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AD2ED1" w:rsidRPr="00AD2ED1" w:rsidTr="00AD2ED1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AD2ED1" w:rsidRPr="00AD2ED1" w:rsidTr="00AD2ED1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2ED1" w:rsidRPr="00AD2ED1" w:rsidRDefault="00AD2ED1" w:rsidP="00AD2ED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851"/>
                    <w:jc w:val="center"/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AD2ED1"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8200" cy="640080"/>
                        <wp:effectExtent l="0" t="0" r="0" b="762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2ED1" w:rsidRPr="00AD2ED1" w:rsidRDefault="00AD2ED1" w:rsidP="00AD2ED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851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  <w:lang w:eastAsia="ru-RU"/>
                    </w:rPr>
                  </w:pPr>
                </w:p>
                <w:p w:rsidR="00AD2ED1" w:rsidRPr="00AD2ED1" w:rsidRDefault="00AD2ED1" w:rsidP="00AD2ED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851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  <w:lang w:eastAsia="ru-RU"/>
                    </w:rPr>
                  </w:pPr>
                </w:p>
                <w:p w:rsidR="00AD2ED1" w:rsidRPr="00AD2ED1" w:rsidRDefault="00AD2ED1" w:rsidP="00AD2ED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851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D2ED1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ПРАВИТЕЛЬСТВО СВЕРДЛОВСКОЙ ОБЛАСТИ</w:t>
                  </w:r>
                </w:p>
                <w:p w:rsidR="00AD2ED1" w:rsidRPr="00AD2ED1" w:rsidRDefault="00AD2ED1" w:rsidP="00AD2ED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851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  <w:lang w:eastAsia="ru-RU"/>
                    </w:rPr>
                  </w:pPr>
                  <w:r w:rsidRPr="00AD2ED1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  <w:lang w:eastAsia="ru-RU"/>
                    </w:rPr>
                    <w:t>РЕГИОНАЛЬНАЯ ЭНЕРГЕТИЧЕСКАЯ КОМИССИЯ</w:t>
                  </w:r>
                </w:p>
                <w:p w:rsidR="00AD2ED1" w:rsidRPr="00AD2ED1" w:rsidRDefault="00AD2ED1" w:rsidP="00AD2ED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851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  <w:lang w:eastAsia="ru-RU"/>
                    </w:rPr>
                  </w:pPr>
                </w:p>
                <w:p w:rsidR="00AD2ED1" w:rsidRPr="00AD2ED1" w:rsidRDefault="00AD2ED1" w:rsidP="00AD2ED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851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4"/>
                      <w:lang w:eastAsia="ru-RU"/>
                    </w:rPr>
                  </w:pPr>
                  <w:r w:rsidRPr="00AD2ED1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AD2ED1" w:rsidRPr="00AD2ED1" w:rsidRDefault="00AD2ED1" w:rsidP="00AD2E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851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</w:p>
          <w:p w:rsidR="00AD2ED1" w:rsidRPr="00AD2ED1" w:rsidRDefault="00AD2ED1" w:rsidP="00AD2E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851"/>
              <w:jc w:val="center"/>
              <w:rPr>
                <w:rFonts w:ascii="Liberation Serif" w:eastAsia="Times New Roman" w:hAnsi="Liberation Serif" w:cs="Liberation Serif"/>
                <w:sz w:val="32"/>
                <w:szCs w:val="32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AD2ED1" w:rsidRPr="00AD2ED1" w:rsidRDefault="00AD2ED1" w:rsidP="00AD2E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851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4"/>
                <w:lang w:eastAsia="ru-RU"/>
              </w:rPr>
            </w:pPr>
          </w:p>
          <w:p w:rsidR="00AD2ED1" w:rsidRPr="00AD2ED1" w:rsidRDefault="00AD2ED1" w:rsidP="00AD2ED1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firstLine="85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D2ED1" w:rsidRPr="00AD2ED1" w:rsidRDefault="00AD2ED1" w:rsidP="00AD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31.07.2019 № 84-ПК</w:t>
      </w:r>
    </w:p>
    <w:p w:rsidR="00AD2ED1" w:rsidRPr="00AD2ED1" w:rsidRDefault="00AD2ED1" w:rsidP="00AD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D2ED1">
        <w:rPr>
          <w:rFonts w:ascii="Liberation Serif" w:eastAsia="Times New Roman" w:hAnsi="Liberation Serif" w:cs="Liberation Serif"/>
          <w:sz w:val="24"/>
          <w:szCs w:val="28"/>
          <w:lang w:eastAsia="ru-RU"/>
        </w:rPr>
        <w:t>г. Екатеринбург</w:t>
      </w:r>
    </w:p>
    <w:p w:rsidR="00AD2ED1" w:rsidRPr="00AD2ED1" w:rsidRDefault="00AD2ED1" w:rsidP="00AD2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D2ED1" w:rsidRPr="00AD2ED1" w:rsidRDefault="00AD2ED1" w:rsidP="00AD2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D2ED1" w:rsidRPr="00AD2ED1" w:rsidRDefault="00AD2ED1" w:rsidP="00AD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Об утверждении нормативов потребления коммунальной услуги </w:t>
      </w:r>
      <w:r w:rsidRPr="00AD2ED1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br/>
        <w:t>по отоплению на территории Свердловской области</w:t>
      </w:r>
    </w:p>
    <w:p w:rsidR="00AD2ED1" w:rsidRPr="00AD2ED1" w:rsidRDefault="00AD2ED1" w:rsidP="00AD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D2ED1" w:rsidRPr="00AD2ED1" w:rsidRDefault="00AD2ED1" w:rsidP="00AD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D2ED1" w:rsidRPr="00AD2ED1" w:rsidRDefault="00AD2ED1" w:rsidP="00AD2ED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Жилищным кодексом Российской Федерации, постановлением</w:t>
      </w:r>
      <w:r w:rsidRPr="00AD2ED1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 Правительства Российской Федерации </w:t>
      </w: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23.05.2006 № 306 «Об утверждении Правил установления и определения нормативов потребления коммунальных услуг </w:t>
      </w: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нормативов потребления коммунальных ресурсов в целях содержания общего имущества в многоквартирном доме»</w:t>
      </w:r>
      <w:r w:rsidRPr="00AD2ED1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 </w:t>
      </w: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Указами Губернатора Свердловской области </w:t>
      </w: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от 13.11.2010 № 1067-УГ «Об утверждении Положения о Региональной энергетической комиссии Свердловской области» и от 10.11.2016 № 658-УГ «О поэтапном переходе </w:t>
      </w: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установлению на территории Свердловской области единых нормативов потребления коммунальной услуги по отоплению» Региональная энергетическая комиссия Свердловской области</w:t>
      </w:r>
    </w:p>
    <w:p w:rsidR="00AD2ED1" w:rsidRPr="00AD2ED1" w:rsidRDefault="00AD2ED1" w:rsidP="00AD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ПОСТАНОВЛЯЕТ:</w:t>
      </w:r>
    </w:p>
    <w:p w:rsidR="00AD2ED1" w:rsidRPr="00AD2ED1" w:rsidRDefault="00AD2ED1" w:rsidP="00AD2ED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 Утвердить нормативы потребления коммунальной услуги по отоплению </w:t>
      </w: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на территории Свердловской области (прилагаются). </w:t>
      </w:r>
    </w:p>
    <w:p w:rsidR="00AD2ED1" w:rsidRPr="00AD2ED1" w:rsidRDefault="00AD2ED1" w:rsidP="00AD2ED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 Рекомендовать органам местного самоуправления муниципальных образований, расположенных на территории Свердловской области, признать утратившими силу действующие нормативные правовые акты об утверждении нормативов потребления коммунальной услуги по отоплению с даты вступления в силу настоящего постановления.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 Настоящее постановление вступает в силу с 1 января 2020 года.</w:t>
      </w:r>
    </w:p>
    <w:p w:rsidR="00AD2ED1" w:rsidRPr="00AD2ED1" w:rsidRDefault="00AD2ED1" w:rsidP="00AD2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4. Настоящее постановление опубли</w:t>
      </w:r>
      <w:r w:rsidR="00A5747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ковать в 10-дневный срок после </w:t>
      </w: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его принятия в «Областной газете», а также на официальном сайте Региональной энергетической комиссии Свердловской области в сети Интернет (</w:t>
      </w:r>
      <w:hyperlink r:id="rId5" w:history="1">
        <w:r w:rsidRPr="00AD2ED1">
          <w:rPr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http</w:t>
        </w:r>
        <w:r w:rsidRPr="00AD2ED1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://</w:t>
        </w:r>
        <w:proofErr w:type="spellStart"/>
        <w:r w:rsidRPr="00AD2ED1">
          <w:rPr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rek</w:t>
        </w:r>
        <w:proofErr w:type="spellEnd"/>
        <w:r w:rsidRPr="00AD2ED1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.</w:t>
        </w:r>
        <w:proofErr w:type="spellStart"/>
        <w:r w:rsidRPr="00AD2ED1">
          <w:rPr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midural</w:t>
        </w:r>
        <w:proofErr w:type="spellEnd"/>
        <w:r w:rsidRPr="00AD2ED1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.</w:t>
        </w:r>
        <w:proofErr w:type="spellStart"/>
        <w:r w:rsidRPr="00AD2ED1">
          <w:rPr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ru</w:t>
        </w:r>
        <w:proofErr w:type="spellEnd"/>
      </w:hyperlink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AD2ED1" w:rsidRPr="00AD2ED1" w:rsidRDefault="00AD2ED1" w:rsidP="00AD2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D2ED1" w:rsidRPr="00AD2ED1" w:rsidRDefault="00AD2ED1" w:rsidP="00AD2ED1">
      <w:pPr>
        <w:spacing w:after="0" w:line="240" w:lineRule="auto"/>
        <w:ind w:firstLine="85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D2ED1" w:rsidRPr="00AD2ED1" w:rsidRDefault="00AD2ED1" w:rsidP="00AD2ED1">
      <w:pPr>
        <w:keepNext/>
        <w:spacing w:after="0" w:line="240" w:lineRule="auto"/>
        <w:ind w:firstLine="851"/>
        <w:jc w:val="both"/>
        <w:outlineLvl w:val="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</w:t>
      </w:r>
    </w:p>
    <w:p w:rsidR="00AD2ED1" w:rsidRPr="00AD2ED1" w:rsidRDefault="00AD2ED1" w:rsidP="00AD2ED1">
      <w:pPr>
        <w:keepNext/>
        <w:spacing w:after="0" w:line="240" w:lineRule="auto"/>
        <w:ind w:firstLine="851"/>
        <w:outlineLvl w:val="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Региональной энергетической </w:t>
      </w:r>
    </w:p>
    <w:p w:rsidR="00AD2ED1" w:rsidRPr="00AD2ED1" w:rsidRDefault="00AD2ED1" w:rsidP="00AD2ED1">
      <w:pPr>
        <w:keepNext/>
        <w:spacing w:after="0" w:line="240" w:lineRule="auto"/>
        <w:ind w:firstLine="851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комиссии Свердловской области                                                       В.В. Гришанов</w:t>
      </w:r>
    </w:p>
    <w:p w:rsidR="00A57478" w:rsidRDefault="00A57478" w:rsidP="00AD2ED1">
      <w:pPr>
        <w:tabs>
          <w:tab w:val="center" w:pos="4677"/>
          <w:tab w:val="right" w:pos="9355"/>
        </w:tabs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A57478" w:rsidSect="00AD2ED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D2ED1" w:rsidRPr="00AD2ED1" w:rsidRDefault="00AD2ED1" w:rsidP="00A57478">
      <w:pPr>
        <w:tabs>
          <w:tab w:val="center" w:pos="4677"/>
          <w:tab w:val="right" w:pos="9355"/>
        </w:tabs>
        <w:spacing w:after="0" w:line="240" w:lineRule="auto"/>
        <w:ind w:left="6096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D2E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УТВЕРЖДЕНЫ </w:t>
      </w:r>
    </w:p>
    <w:p w:rsidR="00AD2ED1" w:rsidRPr="00AD2ED1" w:rsidRDefault="00AD2ED1" w:rsidP="00A57478">
      <w:pPr>
        <w:spacing w:after="0" w:line="240" w:lineRule="auto"/>
        <w:ind w:left="609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D2E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</w:t>
      </w:r>
    </w:p>
    <w:p w:rsidR="00AD2ED1" w:rsidRPr="00AD2ED1" w:rsidRDefault="00AD2ED1" w:rsidP="00A57478">
      <w:pPr>
        <w:spacing w:after="0" w:line="240" w:lineRule="auto"/>
        <w:ind w:left="609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D2E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РЭК Свердловской области </w:t>
      </w:r>
    </w:p>
    <w:p w:rsidR="00AD2ED1" w:rsidRPr="00AD2ED1" w:rsidRDefault="00AD2ED1" w:rsidP="00A57478">
      <w:pPr>
        <w:spacing w:after="0" w:line="240" w:lineRule="auto"/>
        <w:ind w:left="609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D2E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31.07.2019 № 84-ПК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right="-2" w:firstLine="85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Нормативы потребления коммунальной услуги по отоплению 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right="-2" w:firstLine="85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на территории</w:t>
      </w:r>
      <w:r w:rsidRPr="00AD2ED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AD2E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835"/>
        <w:gridCol w:w="2761"/>
        <w:gridCol w:w="2693"/>
      </w:tblGrid>
      <w:tr w:rsidR="00AD2ED1" w:rsidRPr="00AD2ED1" w:rsidTr="00A57478">
        <w:trPr>
          <w:tblHeader/>
        </w:trPr>
        <w:tc>
          <w:tcPr>
            <w:tcW w:w="152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Категория много-квартирного (жилого) дома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Норматив потребления  </w:t>
            </w:r>
          </w:p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(Гкал на 1 кв. метр общей площади жилого помещения в месяц)</w:t>
            </w:r>
          </w:p>
        </w:tc>
      </w:tr>
      <w:tr w:rsidR="00AD2ED1" w:rsidRPr="00AD2ED1" w:rsidTr="00A57478">
        <w:trPr>
          <w:tblHeader/>
        </w:trPr>
        <w:tc>
          <w:tcPr>
            <w:tcW w:w="15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многоквартирные </w:t>
            </w: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жилые дома со стенами из камня, кирпича</w:t>
            </w:r>
          </w:p>
        </w:tc>
        <w:tc>
          <w:tcPr>
            <w:tcW w:w="2761" w:type="dxa"/>
            <w:tcBorders>
              <w:bottom w:val="nil"/>
            </w:tcBorders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многоквартирные </w:t>
            </w: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жилые дома со стенами из панелей, блоков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многоквартирные </w:t>
            </w: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жилые дома со стенами из дерева, смешанных </w:t>
            </w: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других материалов</w:t>
            </w:r>
          </w:p>
        </w:tc>
      </w:tr>
    </w:tbl>
    <w:p w:rsidR="00AD2ED1" w:rsidRPr="00AD2ED1" w:rsidRDefault="00AD2ED1" w:rsidP="00A57478">
      <w:pPr>
        <w:tabs>
          <w:tab w:val="center" w:pos="4677"/>
          <w:tab w:val="right" w:pos="9355"/>
        </w:tabs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835"/>
        <w:gridCol w:w="2761"/>
        <w:gridCol w:w="2693"/>
      </w:tblGrid>
      <w:tr w:rsidR="00AD2ED1" w:rsidRPr="00AD2ED1" w:rsidTr="00A57478">
        <w:trPr>
          <w:tblHeader/>
        </w:trPr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AD2ED1" w:rsidRPr="00AD2ED1" w:rsidTr="00A57478">
        <w:trPr>
          <w:trHeight w:val="562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группа муниципальных образований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0,0431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0,0430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0,0251*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0,0250*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0,0444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0,0269*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0,0243*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0,0274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0,0260*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0,0229*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0,0249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0,0230 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0,0235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0,0243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0,0240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0,0239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0,0223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0,0238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0,0261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0,0185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0,0185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0,0158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0,0159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0,0166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0,0149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0,0147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0,0141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0,0136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0,0136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0,0135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0,0135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0,0135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0,0143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0,0131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0,0121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0,0134</w:t>
            </w:r>
          </w:p>
        </w:tc>
      </w:tr>
      <w:tr w:rsidR="00AD2ED1" w:rsidRPr="00AD2ED1" w:rsidTr="00A57478">
        <w:trPr>
          <w:trHeight w:val="562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группа муниципальных образований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0,0442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0,0444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0,0435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0,0251*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0,0249*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0,0249*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0,0242*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0,0271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0,0235*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0,0223*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0,0235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0,0233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0,0223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0,0244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0,0261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0,0285*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0,0259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0,0170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0,0172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0,0171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0,0141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0,0145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0,0141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0,0156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0,0160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0,0166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0,0133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0,0135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0,0151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0,0119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0,0132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0,0117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0,0131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0,0124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0,0127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0,0161*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0,0121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0,0107</w:t>
            </w:r>
          </w:p>
        </w:tc>
      </w:tr>
      <w:tr w:rsidR="00AD2ED1" w:rsidRPr="00AD2ED1" w:rsidTr="00A57478">
        <w:trPr>
          <w:trHeight w:val="562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 группа муниципальных образований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0,0443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0,0436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0,0447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0,0449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0,0443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0,0452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0,0286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0,0281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0,0241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0,0245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0,0197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0,0191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0,0169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0,0152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rPr>
          <w:trHeight w:val="562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 группа муниципальных образований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0,0409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0,0413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0,0406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0,0246*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0,0231*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0,0407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0,0245*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0,0248*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0,0262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0,0233*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0,0213*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0,0257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0,0141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0,0130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rPr>
          <w:trHeight w:val="562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 группа муниципальных образований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0,0426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0,0418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0,0421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0,0429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0,0424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0,0429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0,0270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0,0267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0,0245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0,0235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0,0175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0,0185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0,0159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0,0159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0,0158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0,0169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0,0146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rPr>
          <w:trHeight w:val="562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 группа муниципальных образований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0,0432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0,0424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0,0227*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0,0423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0,0432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0,0217*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0,0266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0,0237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0,0237</w:t>
            </w:r>
          </w:p>
        </w:tc>
        <w:tc>
          <w:tcPr>
            <w:tcW w:w="2693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0,0173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0,0174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0,0146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0,0160</w:t>
            </w:r>
          </w:p>
        </w:tc>
        <w:tc>
          <w:tcPr>
            <w:tcW w:w="2761" w:type="dxa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0,0166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0,0132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ED1" w:rsidRPr="00AD2ED1" w:rsidTr="00A57478">
        <w:tc>
          <w:tcPr>
            <w:tcW w:w="1521" w:type="dxa"/>
            <w:shd w:val="clear" w:color="auto" w:fill="auto"/>
            <w:vAlign w:val="center"/>
          </w:tcPr>
          <w:p w:rsidR="00AD2ED1" w:rsidRPr="00AD2ED1" w:rsidRDefault="00AD2ED1" w:rsidP="00A574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AD2ED1" w:rsidRPr="00AD2ED1" w:rsidRDefault="00AD2ED1" w:rsidP="00A574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D2ED1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right="-2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right="-2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Примечания: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right="-2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 Группы муниципальных образований, расположенных на территории Свердловской области: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группа: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Верхнесалдинский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Верхняя Тура, городской округ Верхотурский,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Горноуральский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Карпинск, Качканарский городской округ, городской округ Краснотурьинск, городской округ Красноуральск,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Кушвинский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«Городской округ «Город Лесной»,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муниципальное образование,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Нижнетуринский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 Нижний Тагил, городской округ Нижняя Салда,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Новолялинский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ЗАТО Свободный,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Серовский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Сосьвинский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округ;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группа: муниципальное образование «город Екатеринбург», муниципальное образование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Алапаевское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Муниципальное образование город Алапаевск,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Артемовский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Белоярский городской округ, Березовский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Бисертский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Богданович, городской округ Верх-Нейвинский, городской округ Верхнее Дуброво, городской округ Верхний Тагил, городской округ Верхняя Пышма, городской округ Дегтярск, городской округ Заречный,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Кировградский городской округ, Малышевский городской округ, Невьянский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Первоуральск, Полевской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Пышминский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Ревда,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Рефтинский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городской округ  Среднеуральск, городской округ Староуткинск, городской округ Сухой Лог,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Сысертский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Талицкий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муниципальное образование «поселок Уральский», муниципальное образование «Восточное сельское поселение», муниципальное образование «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Галкинское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поселение», муниципальное образование «Зареченское сельское поселение», муниципальное образование «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Калиновское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Обуховское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поселение», муниципальное образование рабочий поселок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Атиг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городское поселение Верхние Серги,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Дружининское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городское поселение,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Кленовское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поселение, Михайловское муниципальное образование, Нижнесергинское городское поселение;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 группа: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Волчанский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Ивдельский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Пелым,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Североуральский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округ;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 группа: город Каменск-Уральский, Каменский городской округ; 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 группа: Муниципальное образование город Ирбит,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муниципальное образование, Тавдинский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Тугулымский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Туринский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Байкаловское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Краснополянское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-Туринское сельское поселение, Сладковское сельское поселение,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Таборинское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поселение;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 группа: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Ачитский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округ, городской округ Красноуфимск, Муниципальное образование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Красноуфимский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округ, </w:t>
      </w:r>
      <w:proofErr w:type="spellStart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Шалинский</w:t>
      </w:r>
      <w:proofErr w:type="spellEnd"/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округ.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right="-2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2. Нормативы потребления</w:t>
      </w:r>
      <w:r w:rsidRPr="00AD2ED1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комм</w:t>
      </w:r>
      <w:r w:rsidR="00B33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унальной услуги по отоплению </w:t>
      </w: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Свердловской области, отмеченные «*» – определены </w:t>
      </w: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применением метода аналогов, неотмеченные «*» – определены с применением расчетного метода.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ind w:right="-2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Продолжительность отопительного периода (количество календарных месяцев, в том числе неполных), определенного для установления нормативов потребления коммунальной услу</w:t>
      </w:r>
      <w:r w:rsidR="00B33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 по отоплению, утвержденных</w:t>
      </w:r>
      <w:r w:rsidRPr="00AD2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отопительный период, составляет 9 календарных месяцев (сентябрь, октябрь, ноябрь, декабрь, январь, февраль, март, апрель, май).</w:t>
      </w:r>
    </w:p>
    <w:p w:rsidR="00AD2ED1" w:rsidRPr="00AD2ED1" w:rsidRDefault="00AD2ED1" w:rsidP="00AD2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D2ED1" w:rsidRPr="00AD2ED1" w:rsidRDefault="00AD2ED1" w:rsidP="00AD2E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AD2ED1" w:rsidRPr="00AD2ED1" w:rsidRDefault="00AD2ED1" w:rsidP="00AD2E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sectPr w:rsidR="00AD2ED1" w:rsidRPr="00AD2ED1" w:rsidSect="00AD2E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2"/>
    <w:rsid w:val="001659D9"/>
    <w:rsid w:val="009D0CD2"/>
    <w:rsid w:val="00A57478"/>
    <w:rsid w:val="00AD2ED1"/>
    <w:rsid w:val="00B335F8"/>
    <w:rsid w:val="00D35F0B"/>
    <w:rsid w:val="00DD448A"/>
    <w:rsid w:val="00E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B11A-8DDC-455A-AEEB-DCE35986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2ED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2ED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2ED1"/>
  </w:style>
  <w:style w:type="paragraph" w:styleId="a3">
    <w:name w:val="header"/>
    <w:basedOn w:val="a"/>
    <w:link w:val="a4"/>
    <w:rsid w:val="00AD2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2E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D2ED1"/>
  </w:style>
  <w:style w:type="paragraph" w:customStyle="1" w:styleId="ConsPlusNormal">
    <w:name w:val="ConsPlusNormal"/>
    <w:rsid w:val="00AD2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D2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2E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k.midur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9E62E597</Template>
  <TotalTime>29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Юлия Уголькова</cp:lastModifiedBy>
  <cp:revision>4</cp:revision>
  <dcterms:created xsi:type="dcterms:W3CDTF">2019-09-27T04:50:00Z</dcterms:created>
  <dcterms:modified xsi:type="dcterms:W3CDTF">2019-09-27T09:54:00Z</dcterms:modified>
</cp:coreProperties>
</file>