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E2" w:rsidRDefault="00C17FE2" w:rsidP="00C17FE2">
      <w:pPr>
        <w:spacing w:line="312" w:lineRule="auto"/>
        <w:ind w:right="0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7" o:title=""/>
          </v:shape>
          <o:OLEObject Type="Embed" ProgID="Word.Document.8" ShapeID="_x0000_i1025" DrawAspect="Content" ObjectID="_1615181054" r:id="rId8"/>
        </w:objec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proofErr w:type="gramEnd"/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Заречный</w:t>
      </w:r>
    </w:p>
    <w:p w:rsidR="00C17FE2" w:rsidRPr="000007A5" w:rsidRDefault="00C17FE2" w:rsidP="00C17FE2">
      <w:pPr>
        <w:spacing w:line="360" w:lineRule="auto"/>
        <w:ind w:right="0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 о с т а н о в л е н и е</w:t>
      </w:r>
    </w:p>
    <w:p w:rsidR="00C17FE2" w:rsidRDefault="00B657D1" w:rsidP="00C17FE2">
      <w:pPr>
        <w:ind w:right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28575" r="33020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6FC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C17FE2" w:rsidRDefault="00C17FE2" w:rsidP="00C17FE2">
      <w:pPr>
        <w:ind w:right="0"/>
        <w:rPr>
          <w:sz w:val="16"/>
          <w:szCs w:val="16"/>
        </w:rPr>
      </w:pPr>
    </w:p>
    <w:p w:rsidR="00C17FE2" w:rsidRPr="000D312B" w:rsidRDefault="00C17FE2" w:rsidP="00C17FE2">
      <w:pPr>
        <w:ind w:right="0"/>
        <w:rPr>
          <w:sz w:val="16"/>
          <w:szCs w:val="16"/>
        </w:rPr>
      </w:pPr>
    </w:p>
    <w:p w:rsidR="00C17FE2" w:rsidRDefault="00C17FE2" w:rsidP="00C17FE2">
      <w:pPr>
        <w:ind w:right="0"/>
      </w:pPr>
      <w:r>
        <w:t>от___</w:t>
      </w:r>
      <w:r w:rsidR="00725604">
        <w:rPr>
          <w:u w:val="single"/>
        </w:rPr>
        <w:t>26.03.2019</w:t>
      </w:r>
      <w:r>
        <w:t>__</w:t>
      </w:r>
      <w:proofErr w:type="gramStart"/>
      <w:r>
        <w:t>_  №</w:t>
      </w:r>
      <w:proofErr w:type="gramEnd"/>
      <w:r>
        <w:t xml:space="preserve">  ___</w:t>
      </w:r>
      <w:r w:rsidR="00725604">
        <w:rPr>
          <w:u w:val="single"/>
        </w:rPr>
        <w:t>339-П</w:t>
      </w:r>
      <w:r>
        <w:t>____</w:t>
      </w:r>
    </w:p>
    <w:p w:rsidR="00C17FE2" w:rsidRDefault="00C17FE2" w:rsidP="00C17FE2">
      <w:pPr>
        <w:ind w:right="0"/>
        <w:rPr>
          <w:sz w:val="28"/>
          <w:szCs w:val="28"/>
        </w:rPr>
      </w:pPr>
    </w:p>
    <w:p w:rsidR="00C17FE2" w:rsidRPr="00766EA0" w:rsidRDefault="00C17FE2" w:rsidP="00C17FE2">
      <w:pPr>
        <w:ind w:right="5812"/>
        <w:jc w:val="center"/>
        <w:rPr>
          <w:szCs w:val="24"/>
        </w:rPr>
      </w:pPr>
      <w:r w:rsidRPr="00766EA0">
        <w:rPr>
          <w:szCs w:val="24"/>
        </w:rPr>
        <w:t>г.</w:t>
      </w:r>
      <w:r>
        <w:rPr>
          <w:szCs w:val="24"/>
        </w:rPr>
        <w:t xml:space="preserve"> </w:t>
      </w:r>
      <w:r w:rsidRPr="00766EA0">
        <w:rPr>
          <w:szCs w:val="24"/>
        </w:rPr>
        <w:t>Заречный</w:t>
      </w:r>
    </w:p>
    <w:p w:rsidR="00711074" w:rsidRPr="0077672C" w:rsidRDefault="00711074" w:rsidP="0071107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DD6E49" w:rsidRPr="0077672C" w:rsidRDefault="00DD6E49" w:rsidP="0071107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3907EB" w:rsidRPr="0077672C" w:rsidRDefault="003C0DE9" w:rsidP="00711074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7672C">
        <w:rPr>
          <w:b/>
          <w:sz w:val="26"/>
          <w:szCs w:val="26"/>
        </w:rPr>
        <w:t>Об утверждении Плана мероприятий («дорожной карты») городского округа Заречный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2019–2021 годы</w:t>
      </w:r>
    </w:p>
    <w:p w:rsidR="00711074" w:rsidRPr="0077672C" w:rsidRDefault="00711074" w:rsidP="00711074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9F632B" w:rsidRPr="0077672C" w:rsidRDefault="003C0DE9" w:rsidP="003C0DE9">
      <w:pPr>
        <w:pStyle w:val="ConsPlusTitle"/>
        <w:ind w:right="-8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7672C">
        <w:rPr>
          <w:rFonts w:ascii="Times New Roman" w:hAnsi="Times New Roman" w:cs="Times New Roman"/>
          <w:b w:val="0"/>
          <w:sz w:val="26"/>
          <w:szCs w:val="26"/>
        </w:rPr>
        <w:t>В соответствии с Градостроительным кодексом Российской Федерации,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во исполнение подпункта «а»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Пр-2347ГС, в целях достижения целевых значений показателей по факторам реализации Плана мероприятий («дорожной карты») Свердловской области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2019–2021 годы» от 05.03.2019 № 01-01-39/6,</w:t>
      </w:r>
      <w:r w:rsidR="009F632B" w:rsidRPr="0077672C">
        <w:rPr>
          <w:rFonts w:ascii="Times New Roman" w:hAnsi="Times New Roman" w:cs="Times New Roman"/>
          <w:b w:val="0"/>
          <w:sz w:val="26"/>
          <w:szCs w:val="26"/>
        </w:rPr>
        <w:t xml:space="preserve"> на основании ст.</w:t>
      </w:r>
      <w:r w:rsidR="00BF3AA2" w:rsidRPr="007767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A5850" w:rsidRPr="0077672C">
        <w:rPr>
          <w:rFonts w:ascii="Times New Roman" w:hAnsi="Times New Roman" w:cs="Times New Roman"/>
          <w:b w:val="0"/>
          <w:sz w:val="26"/>
          <w:szCs w:val="26"/>
        </w:rPr>
        <w:t>ст.</w:t>
      </w:r>
      <w:r w:rsidR="009F632B" w:rsidRPr="0077672C">
        <w:rPr>
          <w:rFonts w:ascii="Times New Roman" w:hAnsi="Times New Roman" w:cs="Times New Roman"/>
          <w:b w:val="0"/>
          <w:sz w:val="26"/>
          <w:szCs w:val="26"/>
        </w:rPr>
        <w:t xml:space="preserve"> 28, 31 Устава городского округа Заречный администрация городского округа Заречный</w:t>
      </w:r>
    </w:p>
    <w:p w:rsidR="00D02874" w:rsidRPr="0077672C" w:rsidRDefault="00D02874" w:rsidP="00A3398C">
      <w:pPr>
        <w:pStyle w:val="a3"/>
        <w:spacing w:before="0" w:beforeAutospacing="0" w:after="0" w:afterAutospacing="0"/>
        <w:ind w:right="-81"/>
        <w:jc w:val="both"/>
        <w:rPr>
          <w:b/>
          <w:sz w:val="26"/>
          <w:szCs w:val="26"/>
        </w:rPr>
      </w:pPr>
      <w:r w:rsidRPr="0077672C">
        <w:rPr>
          <w:b/>
          <w:sz w:val="26"/>
          <w:szCs w:val="26"/>
        </w:rPr>
        <w:t xml:space="preserve">ПОСТАНОВЛЯЕТ: </w:t>
      </w:r>
    </w:p>
    <w:p w:rsidR="003C0DE9" w:rsidRPr="0077672C" w:rsidRDefault="009F632B" w:rsidP="00711074">
      <w:pPr>
        <w:pStyle w:val="a3"/>
        <w:spacing w:before="0" w:beforeAutospacing="0" w:after="0" w:afterAutospacing="0"/>
        <w:ind w:right="-81" w:firstLine="709"/>
        <w:jc w:val="both"/>
        <w:rPr>
          <w:sz w:val="26"/>
          <w:szCs w:val="26"/>
        </w:rPr>
      </w:pPr>
      <w:r w:rsidRPr="0077672C">
        <w:rPr>
          <w:sz w:val="26"/>
          <w:szCs w:val="26"/>
        </w:rPr>
        <w:t>1</w:t>
      </w:r>
      <w:r w:rsidR="00D02874" w:rsidRPr="0077672C">
        <w:rPr>
          <w:sz w:val="26"/>
          <w:szCs w:val="26"/>
        </w:rPr>
        <w:t xml:space="preserve">. </w:t>
      </w:r>
      <w:r w:rsidR="003C0DE9" w:rsidRPr="0077672C">
        <w:rPr>
          <w:sz w:val="26"/>
          <w:szCs w:val="26"/>
        </w:rPr>
        <w:t>Утвердить План мероприятий («дорожной карты») городского округа Заречный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2019 - 2021 годы» (прилагается).</w:t>
      </w:r>
    </w:p>
    <w:p w:rsidR="008D79A1" w:rsidRPr="0077672C" w:rsidRDefault="00AA3B29" w:rsidP="00711074">
      <w:pPr>
        <w:pStyle w:val="a3"/>
        <w:spacing w:before="0" w:beforeAutospacing="0" w:after="0" w:afterAutospacing="0"/>
        <w:ind w:right="-81" w:firstLine="709"/>
        <w:jc w:val="both"/>
        <w:rPr>
          <w:color w:val="000000"/>
          <w:sz w:val="26"/>
          <w:szCs w:val="26"/>
        </w:rPr>
      </w:pPr>
      <w:r w:rsidRPr="0077672C">
        <w:rPr>
          <w:color w:val="000000"/>
          <w:sz w:val="26"/>
          <w:szCs w:val="26"/>
        </w:rPr>
        <w:t>2</w:t>
      </w:r>
      <w:r w:rsidR="008D79A1" w:rsidRPr="0077672C">
        <w:rPr>
          <w:color w:val="000000"/>
          <w:sz w:val="26"/>
          <w:szCs w:val="26"/>
        </w:rPr>
        <w:t xml:space="preserve">. Контроль </w:t>
      </w:r>
      <w:r w:rsidR="00711074" w:rsidRPr="0077672C">
        <w:rPr>
          <w:color w:val="000000"/>
          <w:sz w:val="26"/>
          <w:szCs w:val="26"/>
        </w:rPr>
        <w:t xml:space="preserve">за </w:t>
      </w:r>
      <w:r w:rsidR="008D79A1" w:rsidRPr="0077672C">
        <w:rPr>
          <w:color w:val="000000"/>
          <w:sz w:val="26"/>
          <w:szCs w:val="26"/>
        </w:rPr>
        <w:t>исполнени</w:t>
      </w:r>
      <w:r w:rsidR="00711074" w:rsidRPr="0077672C">
        <w:rPr>
          <w:color w:val="000000"/>
          <w:sz w:val="26"/>
          <w:szCs w:val="26"/>
        </w:rPr>
        <w:t>ем</w:t>
      </w:r>
      <w:r w:rsidR="008D79A1" w:rsidRPr="0077672C">
        <w:rPr>
          <w:color w:val="000000"/>
          <w:sz w:val="26"/>
          <w:szCs w:val="26"/>
        </w:rPr>
        <w:t xml:space="preserve"> настоящего постановления возложить на первого заместителя главы администрации городского округа Заречный В.В. Потапова.</w:t>
      </w:r>
    </w:p>
    <w:p w:rsidR="008D79A1" w:rsidRPr="0077672C" w:rsidRDefault="00AA3B29" w:rsidP="00AA3B29">
      <w:pPr>
        <w:ind w:right="0" w:firstLine="709"/>
        <w:rPr>
          <w:sz w:val="26"/>
          <w:szCs w:val="26"/>
        </w:rPr>
      </w:pPr>
      <w:r w:rsidRPr="0077672C">
        <w:rPr>
          <w:sz w:val="26"/>
          <w:szCs w:val="26"/>
        </w:rPr>
        <w:t>3</w:t>
      </w:r>
      <w:r w:rsidR="005A5850" w:rsidRPr="0077672C">
        <w:rPr>
          <w:sz w:val="26"/>
          <w:szCs w:val="26"/>
        </w:rPr>
        <w:t xml:space="preserve">. </w:t>
      </w:r>
      <w:r w:rsidR="00711074" w:rsidRPr="0077672C">
        <w:rPr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9" w:history="1">
        <w:r w:rsidR="00711074" w:rsidRPr="0077672C">
          <w:rPr>
            <w:rStyle w:val="ad"/>
            <w:color w:val="000000" w:themeColor="text1"/>
            <w:sz w:val="26"/>
            <w:szCs w:val="26"/>
            <w:u w:val="none"/>
          </w:rPr>
          <w:t>www.gorod-zarechny.ru</w:t>
        </w:r>
      </w:hyperlink>
      <w:r w:rsidR="00711074" w:rsidRPr="0077672C">
        <w:rPr>
          <w:sz w:val="26"/>
          <w:szCs w:val="26"/>
        </w:rPr>
        <w:t>).</w:t>
      </w:r>
    </w:p>
    <w:p w:rsidR="00D02874" w:rsidRDefault="00D02874" w:rsidP="00D0287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  <w:bookmarkStart w:id="0" w:name="Par25"/>
      <w:bookmarkEnd w:id="0"/>
    </w:p>
    <w:p w:rsidR="0077672C" w:rsidRPr="0077672C" w:rsidRDefault="0077672C" w:rsidP="00D0287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02874" w:rsidRPr="0077672C" w:rsidRDefault="00D02874" w:rsidP="00D02874">
      <w:pPr>
        <w:ind w:right="-1"/>
        <w:rPr>
          <w:sz w:val="26"/>
          <w:szCs w:val="26"/>
        </w:rPr>
      </w:pPr>
      <w:r w:rsidRPr="0077672C">
        <w:rPr>
          <w:sz w:val="26"/>
          <w:szCs w:val="26"/>
        </w:rPr>
        <w:t xml:space="preserve">Глава </w:t>
      </w:r>
    </w:p>
    <w:p w:rsidR="00711074" w:rsidRPr="0077672C" w:rsidRDefault="00D02874" w:rsidP="0065522C">
      <w:pPr>
        <w:ind w:right="-1"/>
        <w:rPr>
          <w:sz w:val="26"/>
          <w:szCs w:val="26"/>
        </w:rPr>
      </w:pPr>
      <w:r w:rsidRPr="0077672C">
        <w:rPr>
          <w:sz w:val="26"/>
          <w:szCs w:val="26"/>
        </w:rPr>
        <w:t xml:space="preserve">городского округа Заречный        </w:t>
      </w:r>
      <w:r w:rsidR="0007749E" w:rsidRPr="0077672C">
        <w:rPr>
          <w:sz w:val="26"/>
          <w:szCs w:val="26"/>
        </w:rPr>
        <w:t xml:space="preserve">      </w:t>
      </w:r>
      <w:r w:rsidR="00532516" w:rsidRPr="0077672C">
        <w:rPr>
          <w:sz w:val="26"/>
          <w:szCs w:val="26"/>
        </w:rPr>
        <w:t xml:space="preserve">          </w:t>
      </w:r>
      <w:r w:rsidR="0039178F" w:rsidRPr="0077672C">
        <w:rPr>
          <w:sz w:val="26"/>
          <w:szCs w:val="26"/>
        </w:rPr>
        <w:t xml:space="preserve"> </w:t>
      </w:r>
      <w:r w:rsidR="00532516" w:rsidRPr="0077672C">
        <w:rPr>
          <w:sz w:val="26"/>
          <w:szCs w:val="26"/>
        </w:rPr>
        <w:t xml:space="preserve">           </w:t>
      </w:r>
      <w:r w:rsidR="0077672C">
        <w:rPr>
          <w:sz w:val="26"/>
          <w:szCs w:val="26"/>
        </w:rPr>
        <w:t xml:space="preserve">      </w:t>
      </w:r>
      <w:r w:rsidR="00532516" w:rsidRPr="0077672C">
        <w:rPr>
          <w:sz w:val="26"/>
          <w:szCs w:val="26"/>
        </w:rPr>
        <w:t xml:space="preserve">   </w:t>
      </w:r>
      <w:r w:rsidR="00A06CF2" w:rsidRPr="0077672C">
        <w:rPr>
          <w:sz w:val="26"/>
          <w:szCs w:val="26"/>
        </w:rPr>
        <w:t xml:space="preserve">         </w:t>
      </w:r>
      <w:r w:rsidRPr="0077672C">
        <w:rPr>
          <w:sz w:val="26"/>
          <w:szCs w:val="26"/>
        </w:rPr>
        <w:t xml:space="preserve">                       </w:t>
      </w:r>
      <w:r w:rsidR="0007749E" w:rsidRPr="0077672C">
        <w:rPr>
          <w:sz w:val="26"/>
          <w:szCs w:val="26"/>
        </w:rPr>
        <w:t xml:space="preserve">  </w:t>
      </w:r>
      <w:r w:rsidRPr="0077672C">
        <w:rPr>
          <w:sz w:val="26"/>
          <w:szCs w:val="26"/>
        </w:rPr>
        <w:t xml:space="preserve"> А.В. </w:t>
      </w:r>
      <w:proofErr w:type="spellStart"/>
      <w:r w:rsidRPr="0077672C">
        <w:rPr>
          <w:sz w:val="26"/>
          <w:szCs w:val="26"/>
        </w:rPr>
        <w:t>Захарцев</w:t>
      </w:r>
      <w:proofErr w:type="spellEnd"/>
    </w:p>
    <w:p w:rsidR="003C0DE9" w:rsidRDefault="00BF3AA2" w:rsidP="0065522C">
      <w:pPr>
        <w:ind w:right="-1"/>
        <w:rPr>
          <w:b/>
          <w:sz w:val="28"/>
          <w:szCs w:val="28"/>
        </w:rPr>
        <w:sectPr w:rsidR="003C0DE9" w:rsidSect="003C0DE9">
          <w:headerReference w:type="default" r:id="rId10"/>
          <w:pgSz w:w="11906" w:h="16838"/>
          <w:pgMar w:top="567" w:right="567" w:bottom="284" w:left="1418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br w:type="page"/>
      </w:r>
    </w:p>
    <w:p w:rsidR="003C0DE9" w:rsidRPr="003C0DE9" w:rsidRDefault="003C0DE9" w:rsidP="009D62E5">
      <w:pPr>
        <w:autoSpaceDE w:val="0"/>
        <w:autoSpaceDN w:val="0"/>
        <w:adjustRightInd w:val="0"/>
        <w:ind w:left="9912" w:right="0" w:firstLine="708"/>
        <w:jc w:val="left"/>
        <w:rPr>
          <w:szCs w:val="24"/>
        </w:rPr>
      </w:pPr>
      <w:r w:rsidRPr="003C0DE9">
        <w:rPr>
          <w:szCs w:val="24"/>
        </w:rPr>
        <w:lastRenderedPageBreak/>
        <w:t>УТВЕРЖДЕН</w:t>
      </w:r>
    </w:p>
    <w:p w:rsidR="003C0DE9" w:rsidRPr="003C0DE9" w:rsidRDefault="003C0DE9" w:rsidP="009D62E5">
      <w:pPr>
        <w:autoSpaceDE w:val="0"/>
        <w:autoSpaceDN w:val="0"/>
        <w:adjustRightInd w:val="0"/>
        <w:ind w:left="10620" w:right="0"/>
        <w:jc w:val="left"/>
        <w:rPr>
          <w:szCs w:val="24"/>
        </w:rPr>
      </w:pPr>
      <w:r w:rsidRPr="003C0DE9">
        <w:rPr>
          <w:szCs w:val="24"/>
        </w:rPr>
        <w:t xml:space="preserve">постановлением администрации </w:t>
      </w:r>
    </w:p>
    <w:p w:rsidR="003C0DE9" w:rsidRPr="003C0DE9" w:rsidRDefault="003C0DE9" w:rsidP="009D62E5">
      <w:pPr>
        <w:autoSpaceDE w:val="0"/>
        <w:autoSpaceDN w:val="0"/>
        <w:adjustRightInd w:val="0"/>
        <w:ind w:left="10620" w:right="0"/>
        <w:jc w:val="left"/>
        <w:rPr>
          <w:szCs w:val="24"/>
        </w:rPr>
      </w:pPr>
      <w:r w:rsidRPr="003C0DE9">
        <w:rPr>
          <w:szCs w:val="24"/>
        </w:rPr>
        <w:t>городского округа Заречный</w:t>
      </w:r>
    </w:p>
    <w:p w:rsidR="00725604" w:rsidRDefault="00725604" w:rsidP="00725604">
      <w:pPr>
        <w:ind w:left="9912" w:right="0" w:firstLine="708"/>
      </w:pPr>
      <w:bookmarkStart w:id="1" w:name="_GoBack"/>
      <w:bookmarkEnd w:id="1"/>
      <w:r>
        <w:t>от___</w:t>
      </w:r>
      <w:r>
        <w:rPr>
          <w:u w:val="single"/>
        </w:rPr>
        <w:t>26.03.2019</w:t>
      </w:r>
      <w:r>
        <w:t>___  №  ___</w:t>
      </w:r>
      <w:r>
        <w:rPr>
          <w:u w:val="single"/>
        </w:rPr>
        <w:t>339-П</w:t>
      </w:r>
      <w:r>
        <w:t>____</w:t>
      </w:r>
    </w:p>
    <w:p w:rsidR="003C0DE9" w:rsidRPr="003C0DE9" w:rsidRDefault="003C0DE9" w:rsidP="00725604">
      <w:pPr>
        <w:autoSpaceDE w:val="0"/>
        <w:autoSpaceDN w:val="0"/>
        <w:adjustRightInd w:val="0"/>
        <w:ind w:left="10620" w:right="0"/>
        <w:jc w:val="left"/>
        <w:rPr>
          <w:szCs w:val="24"/>
        </w:rPr>
      </w:pPr>
      <w:r w:rsidRPr="003C0DE9">
        <w:rPr>
          <w:szCs w:val="24"/>
        </w:rPr>
        <w:t>«Об утверждении Плана мероприятий («дорожной карты») городского округа Заречный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2019 - 2021 годы»</w:t>
      </w:r>
    </w:p>
    <w:p w:rsidR="003C0DE9" w:rsidRDefault="003C0DE9" w:rsidP="003C0DE9">
      <w:pPr>
        <w:rPr>
          <w:szCs w:val="24"/>
        </w:rPr>
      </w:pPr>
    </w:p>
    <w:p w:rsidR="00575F02" w:rsidRPr="003C0DE9" w:rsidRDefault="00575F02" w:rsidP="003C0DE9">
      <w:pPr>
        <w:rPr>
          <w:szCs w:val="24"/>
        </w:rPr>
      </w:pPr>
    </w:p>
    <w:p w:rsidR="003C0DE9" w:rsidRPr="003C0DE9" w:rsidRDefault="003C0DE9" w:rsidP="003C0DE9">
      <w:pPr>
        <w:rPr>
          <w:szCs w:val="24"/>
        </w:rPr>
      </w:pPr>
    </w:p>
    <w:p w:rsidR="009D62E5" w:rsidRDefault="003C0DE9" w:rsidP="003C0DE9">
      <w:pPr>
        <w:jc w:val="center"/>
        <w:rPr>
          <w:b/>
          <w:szCs w:val="24"/>
        </w:rPr>
      </w:pPr>
      <w:r w:rsidRPr="003C0DE9">
        <w:rPr>
          <w:b/>
          <w:szCs w:val="24"/>
        </w:rPr>
        <w:t xml:space="preserve">План мероприятий («дорожной карты») </w:t>
      </w:r>
    </w:p>
    <w:p w:rsidR="003C0DE9" w:rsidRPr="003C0DE9" w:rsidRDefault="003C0DE9" w:rsidP="003C0DE9">
      <w:pPr>
        <w:jc w:val="center"/>
        <w:rPr>
          <w:b/>
          <w:szCs w:val="24"/>
        </w:rPr>
      </w:pPr>
      <w:r w:rsidRPr="003C0DE9">
        <w:rPr>
          <w:b/>
          <w:szCs w:val="24"/>
        </w:rPr>
        <w:t>городского округа Заречный по внедрению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на 2019 - 2021 годы»</w:t>
      </w:r>
    </w:p>
    <w:p w:rsidR="003C0DE9" w:rsidRPr="003C0DE9" w:rsidRDefault="003C0DE9" w:rsidP="003C0DE9">
      <w:pPr>
        <w:jc w:val="center"/>
        <w:rPr>
          <w:b/>
          <w:szCs w:val="24"/>
        </w:rPr>
      </w:pPr>
    </w:p>
    <w:p w:rsidR="009D62E5" w:rsidRDefault="003C0DE9" w:rsidP="003C0DE9">
      <w:pPr>
        <w:widowControl w:val="0"/>
        <w:ind w:right="0"/>
        <w:jc w:val="center"/>
        <w:rPr>
          <w:b/>
          <w:spacing w:val="-1"/>
          <w:szCs w:val="24"/>
          <w:lang w:eastAsia="en-US"/>
        </w:rPr>
      </w:pPr>
      <w:r w:rsidRPr="003C0DE9">
        <w:rPr>
          <w:b/>
          <w:spacing w:val="-1"/>
          <w:szCs w:val="24"/>
          <w:lang w:eastAsia="en-US"/>
        </w:rPr>
        <w:t xml:space="preserve">Перечень целевых показателей </w:t>
      </w:r>
    </w:p>
    <w:p w:rsidR="003C0DE9" w:rsidRPr="003C0DE9" w:rsidRDefault="003C0DE9" w:rsidP="003C0DE9">
      <w:pPr>
        <w:widowControl w:val="0"/>
        <w:ind w:right="0"/>
        <w:jc w:val="center"/>
        <w:rPr>
          <w:bCs/>
          <w:szCs w:val="24"/>
          <w:lang w:eastAsia="en-US"/>
        </w:rPr>
      </w:pPr>
      <w:r w:rsidRPr="003C0DE9">
        <w:rPr>
          <w:b/>
          <w:spacing w:val="-1"/>
          <w:szCs w:val="24"/>
          <w:lang w:eastAsia="en-US"/>
        </w:rPr>
        <w:t>внедрения целевой модели «Подключение (технологическое присоединение) к системам теплоснабжения, подключение (технологическое присоединение) к централизованным системам</w:t>
      </w:r>
    </w:p>
    <w:p w:rsidR="003C0DE9" w:rsidRPr="003C0DE9" w:rsidRDefault="003C0DE9" w:rsidP="003C0DE9">
      <w:pPr>
        <w:widowControl w:val="0"/>
        <w:ind w:right="0"/>
        <w:jc w:val="center"/>
        <w:rPr>
          <w:bCs/>
          <w:szCs w:val="24"/>
          <w:lang w:eastAsia="en-US"/>
        </w:rPr>
      </w:pPr>
      <w:r w:rsidRPr="003C0DE9">
        <w:rPr>
          <w:b/>
          <w:spacing w:val="-1"/>
          <w:szCs w:val="24"/>
          <w:lang w:eastAsia="en-US"/>
        </w:rPr>
        <w:t>водоснабжения и водоотведения», на 2019-2021 годы</w:t>
      </w:r>
    </w:p>
    <w:p w:rsidR="003C0DE9" w:rsidRPr="003C0DE9" w:rsidRDefault="003C0DE9" w:rsidP="003C0DE9">
      <w:pPr>
        <w:jc w:val="center"/>
        <w:rPr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547"/>
        <w:gridCol w:w="12013"/>
      </w:tblGrid>
      <w:tr w:rsidR="003C0DE9" w:rsidRPr="003C0DE9" w:rsidTr="00141F2F">
        <w:tc>
          <w:tcPr>
            <w:tcW w:w="2547" w:type="dxa"/>
          </w:tcPr>
          <w:p w:rsidR="003C0DE9" w:rsidRPr="003C0DE9" w:rsidRDefault="003C0DE9" w:rsidP="003C0DE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Описание ситуации</w:t>
            </w:r>
          </w:p>
        </w:tc>
        <w:tc>
          <w:tcPr>
            <w:tcW w:w="12013" w:type="dxa"/>
          </w:tcPr>
          <w:p w:rsidR="003C0DE9" w:rsidRPr="003C0DE9" w:rsidRDefault="003C0DE9" w:rsidP="003C0DE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 xml:space="preserve">Целевая модель «Подключение (технологическое присоединение) к системам теплоснабжения, подключение (технологическое присоединение) к централизованным системам водоснабжения и водоотведения» (далее - целевая модель) разработана во исполнение подпункта «а»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года, от 05.12.2016 № Пр-2347ГС, в соответствии с Градостроительным кодексом Российской Федерации, распоряжением Правительства Российской </w:t>
            </w:r>
            <w:r w:rsidRPr="003C0DE9">
              <w:rPr>
                <w:rFonts w:ascii="Times New Roman" w:hAnsi="Times New Roman" w:cs="Times New Roman"/>
                <w:szCs w:val="24"/>
              </w:rPr>
              <w:lastRenderedPageBreak/>
              <w:t>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Федерации».</w:t>
            </w:r>
          </w:p>
          <w:p w:rsidR="003C0DE9" w:rsidRPr="003C0DE9" w:rsidRDefault="003C0DE9" w:rsidP="003C0DE9">
            <w:pPr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Целевая модель определяет порядок сокращения сроков прохождения процедур и их количества, необходимых для подключения (технологического присоединения) к системам теплоснабжения, подключения (технологического присоединения) к централизованным системам водоснабжения и водоотведения (далее — подключение (технологическое присоединение).</w:t>
            </w:r>
          </w:p>
          <w:p w:rsidR="003C0DE9" w:rsidRPr="003C0DE9" w:rsidRDefault="003C0DE9" w:rsidP="003C0DE9">
            <w:pPr>
              <w:spacing w:line="240" w:lineRule="exact"/>
              <w:ind w:right="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Целевая модель сформирована на базе «модельного объекта» со следующими параметрами:</w:t>
            </w:r>
          </w:p>
          <w:p w:rsidR="003C0DE9" w:rsidRPr="003C0DE9" w:rsidRDefault="003C0DE9" w:rsidP="003C0DE9">
            <w:pPr>
              <w:tabs>
                <w:tab w:val="left" w:pos="298"/>
              </w:tabs>
              <w:spacing w:line="278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- объект в сфере теплоснабжения с нагрузкой до 1,5 Гкал/час при наличии технической возможности подключения (технологического присоединения);</w:t>
            </w:r>
          </w:p>
          <w:p w:rsidR="003C0DE9" w:rsidRPr="003C0DE9" w:rsidRDefault="003C0DE9" w:rsidP="003C0DE9">
            <w:pPr>
              <w:tabs>
                <w:tab w:val="left" w:pos="212"/>
              </w:tabs>
              <w:spacing w:after="240"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- объект в сфере водоснабжения и водоотведения с нагрузкой не более 250 куб. м/сутки и наружным диаметром сетей инженерно-технического обеспечения, не превышающим 250 мм, при наличии технической возможности подключения (технологического присоединения).</w:t>
            </w:r>
          </w:p>
          <w:p w:rsidR="003C0DE9" w:rsidRPr="003C0DE9" w:rsidRDefault="003C0DE9" w:rsidP="003C0DE9">
            <w:pPr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Целевая модель рекомендована к реализации гарантирующим организациям в сфере водоснабжения и водоотведения и единым теплоснабжающим организациям, которые осуществляют не менее 10 процентов общего объема заявок на подключение, а в случае отсутствия таких единых теплоснабжающих организаций - единой теплоснабжающей организации, владеющей источником тепловой энергии с наибольшей рабочей тепловой мощностью и (или) тепловыми сетями с наибольшей емкостью в поселении, городском округе, на территории поселений с населением свыше 100 тыс. человек.</w:t>
            </w:r>
          </w:p>
          <w:p w:rsidR="003C0DE9" w:rsidRPr="003C0DE9" w:rsidRDefault="003C0DE9" w:rsidP="003C0DE9">
            <w:pPr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</w:p>
          <w:p w:rsidR="003C0DE9" w:rsidRPr="003C0DE9" w:rsidRDefault="003C0DE9" w:rsidP="003C0DE9">
            <w:pPr>
              <w:shd w:val="clear" w:color="auto" w:fill="FFFFFF"/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 xml:space="preserve">С августа 2018 года действуют новые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утвержденные постановлением Правительства Российской Федерации от 05.07.2018 № 787 (далее - Правила). С учетом указанных Правил разработан проект унифицированного регламента подключения (технологического присоединения) к сетям инженерно- технического обеспечения в сфере теплоснабжения, водоснабжения и водоотведения, который направлен в адрес </w:t>
            </w:r>
            <w:proofErr w:type="spellStart"/>
            <w:r w:rsidRPr="003C0DE9">
              <w:rPr>
                <w:rFonts w:ascii="Times New Roman" w:hAnsi="Times New Roman" w:cs="Times New Roman"/>
                <w:szCs w:val="24"/>
              </w:rPr>
              <w:t>теплосетевых</w:t>
            </w:r>
            <w:proofErr w:type="spellEnd"/>
            <w:r w:rsidRPr="003C0DE9">
              <w:rPr>
                <w:rFonts w:ascii="Times New Roman" w:hAnsi="Times New Roman" w:cs="Times New Roman"/>
                <w:szCs w:val="24"/>
              </w:rPr>
              <w:t xml:space="preserve">, теплоснабжающих организаций с рекомендацией к утверждению. </w:t>
            </w:r>
          </w:p>
          <w:p w:rsidR="003C0DE9" w:rsidRPr="003C0DE9" w:rsidRDefault="003C0DE9" w:rsidP="003C0DE9">
            <w:pPr>
              <w:shd w:val="clear" w:color="auto" w:fill="FFFFFF"/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</w:p>
          <w:p w:rsidR="003C0DE9" w:rsidRPr="003C0DE9" w:rsidRDefault="003C0DE9" w:rsidP="003C0DE9">
            <w:pPr>
              <w:shd w:val="clear" w:color="auto" w:fill="FFFFFF"/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В городском округе Заречный утвержден и размещен на официальном сайте городского округа Заречный административный регламент предоставления муниципальной услуги по выдаче разрешения на проведение земляных работ. Срок предоставления муниципальной услуги по выдаче разрешения на проведение земляных работ - не более 7 дней.</w:t>
            </w:r>
          </w:p>
          <w:p w:rsidR="003C0DE9" w:rsidRPr="003C0DE9" w:rsidRDefault="003C0DE9" w:rsidP="003C0DE9">
            <w:pPr>
              <w:shd w:val="clear" w:color="auto" w:fill="FFFFFF"/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</w:p>
          <w:p w:rsidR="003C0DE9" w:rsidRPr="003C0DE9" w:rsidRDefault="003C0DE9" w:rsidP="003C0DE9">
            <w:pPr>
              <w:shd w:val="clear" w:color="auto" w:fill="FFFFFF"/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lastRenderedPageBreak/>
              <w:t xml:space="preserve">Помимо этого, на территории городского округа Заречный создана контрольная комиссия по подключению с включением в состав представителей </w:t>
            </w:r>
            <w:proofErr w:type="spellStart"/>
            <w:r w:rsidRPr="003C0DE9">
              <w:rPr>
                <w:rFonts w:ascii="Times New Roman" w:hAnsi="Times New Roman" w:cs="Times New Roman"/>
                <w:szCs w:val="24"/>
              </w:rPr>
              <w:t>ресурсоснабжающих</w:t>
            </w:r>
            <w:proofErr w:type="spellEnd"/>
            <w:r w:rsidRPr="003C0DE9">
              <w:rPr>
                <w:rFonts w:ascii="Times New Roman" w:hAnsi="Times New Roman" w:cs="Times New Roman"/>
                <w:szCs w:val="24"/>
              </w:rPr>
              <w:t xml:space="preserve"> организаций, осуществляющих подключение (технологическое присоединение) к сетям инженерно-технического обеспечения, и возможным участием заявителя для урегулирования вопросов, связанных с подключением (технологическим присоединением) объектов капитального строительства к сетям инженерно-технического обеспечения.</w:t>
            </w:r>
          </w:p>
          <w:p w:rsidR="003C0DE9" w:rsidRPr="003C0DE9" w:rsidRDefault="003C0DE9" w:rsidP="003C0DE9">
            <w:pPr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</w:p>
          <w:p w:rsidR="003C0DE9" w:rsidRPr="003C0DE9" w:rsidRDefault="003C0DE9" w:rsidP="003C0DE9">
            <w:pPr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С 10 августа 2018 года в соответствии с постановлением Правительства Свердловской области от 10.08.2018                № 509-пп введена в эксплуатацию информационная система «Региональный портал по технологическому присоединению к электрическим сетям, к сетям газораспределения, к системам теплоснабжения, к централизованным системам водоснабжения и водоотведения, расположенным на территории Свердловской области» с возможностью создания личного кабинета сетевыми, сбытовыми, инфраструктурными организациями - юридических лиц, индивидуальных предпринимателей, профильных исполнительных органов государственной власти и органов местного самоуправления, расположенных на территории Свердловской области (далее - ОМС) (</w:t>
            </w:r>
            <w:hyperlink r:id="rId11" w:history="1">
              <w:r w:rsidRPr="003C0DE9">
                <w:rPr>
                  <w:rFonts w:ascii="Times New Roman" w:hAnsi="Times New Roman" w:cs="Times New Roman"/>
                  <w:szCs w:val="24"/>
                  <w:lang w:val="en-US"/>
                </w:rPr>
                <w:t>http</w:t>
              </w:r>
              <w:r w:rsidRPr="003C0DE9">
                <w:rPr>
                  <w:rFonts w:ascii="Times New Roman" w:hAnsi="Times New Roman" w:cs="Times New Roman"/>
                  <w:szCs w:val="24"/>
                </w:rPr>
                <w:t>://</w:t>
              </w:r>
              <w:proofErr w:type="spellStart"/>
              <w:r w:rsidRPr="003C0DE9">
                <w:rPr>
                  <w:rFonts w:ascii="Times New Roman" w:hAnsi="Times New Roman" w:cs="Times New Roman"/>
                  <w:szCs w:val="24"/>
                  <w:lang w:val="en-US"/>
                </w:rPr>
                <w:t>seti</w:t>
              </w:r>
              <w:proofErr w:type="spellEnd"/>
            </w:hyperlink>
            <w:r w:rsidRPr="003C0DE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C0DE9">
              <w:rPr>
                <w:rFonts w:ascii="Times New Roman" w:hAnsi="Times New Roman" w:cs="Times New Roman"/>
                <w:szCs w:val="24"/>
                <w:lang w:val="en-US"/>
              </w:rPr>
              <w:t>midural</w:t>
            </w:r>
            <w:proofErr w:type="spellEnd"/>
            <w:r w:rsidRPr="003C0DE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C0DE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3C0DE9">
              <w:rPr>
                <w:rFonts w:ascii="Times New Roman" w:hAnsi="Times New Roman" w:cs="Times New Roman"/>
                <w:szCs w:val="24"/>
              </w:rPr>
              <w:t>/). Информационная система предназначена для повышения эффективности управления процессом технологического присоединения к сетям, расположенным на территории Свердловской области, и осуществлению контроля за сроками его выполнения.</w:t>
            </w:r>
          </w:p>
          <w:p w:rsidR="003C0DE9" w:rsidRPr="003C0DE9" w:rsidRDefault="003C0DE9" w:rsidP="003C0DE9">
            <w:pPr>
              <w:spacing w:line="274" w:lineRule="exact"/>
              <w:ind w:right="280"/>
              <w:rPr>
                <w:rFonts w:ascii="Times New Roman" w:hAnsi="Times New Roman" w:cs="Times New Roman"/>
                <w:szCs w:val="24"/>
              </w:rPr>
            </w:pPr>
          </w:p>
          <w:p w:rsidR="003C0DE9" w:rsidRPr="003C0DE9" w:rsidRDefault="003C0DE9" w:rsidP="003C0DE9">
            <w:pPr>
              <w:spacing w:line="274" w:lineRule="exact"/>
              <w:ind w:right="280"/>
              <w:rPr>
                <w:rFonts w:ascii="Times New Roman" w:hAnsi="Times New Roman" w:cs="Times New Roman"/>
                <w:sz w:val="22"/>
                <w:szCs w:val="24"/>
              </w:rPr>
            </w:pPr>
            <w:r w:rsidRPr="003C0DE9">
              <w:rPr>
                <w:rFonts w:ascii="Times New Roman" w:hAnsi="Times New Roman" w:cs="Times New Roman"/>
                <w:szCs w:val="24"/>
              </w:rPr>
              <w:t>Ответственные за реализацию «дорожной карты» - администрация городского округа Заречный, руководители РСО.</w:t>
            </w:r>
          </w:p>
        </w:tc>
      </w:tr>
    </w:tbl>
    <w:p w:rsidR="003C0DE9" w:rsidRPr="003C0DE9" w:rsidRDefault="003C0DE9" w:rsidP="003C0DE9">
      <w:pPr>
        <w:jc w:val="center"/>
        <w:rPr>
          <w:szCs w:val="24"/>
        </w:rPr>
      </w:pPr>
    </w:p>
    <w:p w:rsidR="003C0DE9" w:rsidRPr="003C0DE9" w:rsidRDefault="003C0DE9" w:rsidP="003C0DE9">
      <w:pPr>
        <w:jc w:val="center"/>
        <w:rPr>
          <w:szCs w:val="24"/>
        </w:rPr>
      </w:pPr>
    </w:p>
    <w:p w:rsidR="003C0DE9" w:rsidRDefault="003C0DE9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p w:rsidR="009D62E5" w:rsidRDefault="009D62E5" w:rsidP="003C0DE9">
      <w:pPr>
        <w:ind w:right="0"/>
        <w:jc w:val="center"/>
        <w:rPr>
          <w:szCs w:val="24"/>
        </w:rPr>
      </w:pPr>
    </w:p>
    <w:tbl>
      <w:tblPr>
        <w:tblStyle w:val="12"/>
        <w:tblW w:w="150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8"/>
        <w:gridCol w:w="2910"/>
        <w:gridCol w:w="3043"/>
        <w:gridCol w:w="3260"/>
        <w:gridCol w:w="2334"/>
        <w:gridCol w:w="851"/>
        <w:gridCol w:w="850"/>
        <w:gridCol w:w="851"/>
      </w:tblGrid>
      <w:tr w:rsidR="003C0DE9" w:rsidRPr="009D62E5" w:rsidTr="009D62E5">
        <w:trPr>
          <w:tblHeader/>
        </w:trPr>
        <w:tc>
          <w:tcPr>
            <w:tcW w:w="988" w:type="dxa"/>
            <w:vMerge w:val="restart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Номер строки</w:t>
            </w:r>
          </w:p>
        </w:tc>
        <w:tc>
          <w:tcPr>
            <w:tcW w:w="2910" w:type="dxa"/>
            <w:vMerge w:val="restart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Фактор (этап) реализации</w:t>
            </w:r>
          </w:p>
        </w:tc>
        <w:tc>
          <w:tcPr>
            <w:tcW w:w="3043" w:type="dxa"/>
            <w:vMerge w:val="restart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3260" w:type="dxa"/>
            <w:vMerge w:val="restart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Показатели, характеризующие степень достижения результата</w:t>
            </w:r>
          </w:p>
        </w:tc>
        <w:tc>
          <w:tcPr>
            <w:tcW w:w="2334" w:type="dxa"/>
            <w:vMerge w:val="restart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Текущее значение показателя</w:t>
            </w:r>
          </w:p>
        </w:tc>
        <w:tc>
          <w:tcPr>
            <w:tcW w:w="2552" w:type="dxa"/>
            <w:gridSpan w:val="3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Целевое значение</w:t>
            </w:r>
          </w:p>
        </w:tc>
      </w:tr>
      <w:tr w:rsidR="003C0DE9" w:rsidRPr="009D62E5" w:rsidTr="009D62E5">
        <w:trPr>
          <w:tblHeader/>
        </w:trPr>
        <w:tc>
          <w:tcPr>
            <w:tcW w:w="988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31.12.2019</w:t>
            </w:r>
          </w:p>
        </w:tc>
        <w:tc>
          <w:tcPr>
            <w:tcW w:w="850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31.12.2020</w:t>
            </w: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31.12.2021</w:t>
            </w:r>
          </w:p>
        </w:tc>
      </w:tr>
      <w:tr w:rsidR="003C0DE9" w:rsidRPr="009D62E5" w:rsidTr="009D62E5">
        <w:trPr>
          <w:tblHeader/>
        </w:trPr>
        <w:tc>
          <w:tcPr>
            <w:tcW w:w="988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0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43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260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334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3C0DE9" w:rsidRPr="009D62E5" w:rsidTr="00141F2F">
        <w:tc>
          <w:tcPr>
            <w:tcW w:w="988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4099" w:type="dxa"/>
            <w:gridSpan w:val="7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b/>
                <w:sz w:val="23"/>
                <w:szCs w:val="23"/>
              </w:rPr>
              <w:t>1. Подготовка к заключению договора о подключении (технологическом присоединении)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3C0DE9" w:rsidRPr="009D62E5" w:rsidTr="00141F2F">
        <w:tc>
          <w:tcPr>
            <w:tcW w:w="988" w:type="dxa"/>
            <w:vMerge w:val="restart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910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1.1. Информационное обеспечение процесса подключения (технологического присоединения), на этапе до заключения договора о подключении (технологическом присоединении) к системам теплоснабжения, подключении (технологическом присоединении) к централизованным системам холодного и горячего водоснабжения и (или) водоотведения к системам тепло-, водоснабжения и (или) водоотведения (далее – договор о подключении)</w:t>
            </w:r>
          </w:p>
        </w:tc>
        <w:tc>
          <w:tcPr>
            <w:tcW w:w="3043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Реализация комплекса мероприятий, направленных на сокращение времени заявителей на получение необходимой информации по подключению (технологическому присоединению) создание электронного сервиса, позволяющего сократить время, затраченное заявителем, на получение информации о стоимости подключения (технологического присоединения)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Наличие на официальном сайте городского округа Заречный в информационно-телекоммуникационной сети «Интернет» (далее - официальный сайт) в разделе «Подключение (технологическое присоединение) к системам тепло-, водоснабжения и (или) водоотведения» информации о </w:t>
            </w:r>
            <w:proofErr w:type="spellStart"/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ресурсоснабжающих</w:t>
            </w:r>
            <w:proofErr w:type="spellEnd"/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организациях (далее - РСО), содержащей следующие сведения: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ссылки на сайты РСО, где размещена информация о доступной мощности на источнике тепло-, водоснабжения,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место нахождения,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справочные телефоны,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адреса электронной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почты,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- этапы процедуры 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Информация размещена частично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подключения (технологического присоединения),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сроки, стоимость,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исчерпывающий перечень документов, подлежащих к представлению для подготовки договора о подключении с примером их заполнения,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информацию о возможности подключения нагрузки заявителя в выбранной точке подключения,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информацию о доступной мощности и иное, да/нет</w:t>
            </w:r>
          </w:p>
        </w:tc>
        <w:tc>
          <w:tcPr>
            <w:tcW w:w="2334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0DE9" w:rsidRPr="009D62E5" w:rsidTr="00141F2F">
        <w:tc>
          <w:tcPr>
            <w:tcW w:w="988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на официальном сайте РСО раздела «Подключение (технологическое присоединение) к системам тепло-, водоснабжения и (или) водоотведения», содержащего следующие сведения: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место нахождения,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справочные телефоны,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адреса электронной почты,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этапы процедуры подключения,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сроки, стоимость,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- исчерпывающий перечень документов, подлежащих к представлению для подготовки договора о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подключении с примером их заполнения,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информацию о возможности подключения нагрузки заявителя в выбранной точке подключения,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информацию о доступной мощности и иное,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Информация размещена частично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у РСО регистрации в информационной системе «Региональный портал по технологическому присоединению к электрическим сетям, сетям газораспределения, к сетям теплоснабжения, к централизованным системам водоснабжения и водоотведения, расположенным на территории Свердловской области»,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Из 7 РСО зарегистрировано 6 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(не зарегистрирован МУП ГО Заречный «Теплоснабжение»)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у РСО доступа к системе межведомственного электронного взаимодействия, да/нет</w:t>
            </w:r>
          </w:p>
        </w:tc>
        <w:tc>
          <w:tcPr>
            <w:tcW w:w="2334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калькулятора на официальном сайте РСО, позволяющего рассчитать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ориентировочную плату за подключение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(технологическое присоединение), исходя из требуемой нагрузки</w:t>
            </w:r>
          </w:p>
        </w:tc>
        <w:tc>
          <w:tcPr>
            <w:tcW w:w="2334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  <w:vAlign w:val="center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1.2. Автоматизация процесса подключения (технологического присоединения)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сокращение срока подготовки технических условий подключения (технологического присоединения) по запросам органов власти для дальнейшего включения информации о таких технических условиях в градостроительный план земельного участка (далее - ГПЗУ)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срок представления сведений о технических условиях подключения (технологического присоединения) для подготовки ГПЗУ в уполномоченный орган, рабочих дней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3C0DE9" w:rsidRPr="009D62E5" w:rsidTr="00141F2F">
        <w:tc>
          <w:tcPr>
            <w:tcW w:w="988" w:type="dxa"/>
            <w:vMerge w:val="restart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910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1.3. Обеспечение взаимодействия уполномоченных органов и РСО при подготовке ГПЗУ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повышение качества представляемых сведений о технических условиях подключения (технологического присоединения), содержащихся в ГПЗУ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доля ответов РСО, содержащих исчерпывающие сведения о технических условиях подключения (технологического присоединения), содержащихся в ГПЗУ, процентов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органами власти возможности доступа в режиме просмотра для РСО в сфере тепло-, водоснабжения и водоотведения к государственной информационной системе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обеспечения градостроительной деятельности (далее-ГИСОГД)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наличие доступа в режиме просмотра для РСО в сфере тепло-, водоснабжения и водоотведения к ГИСОГД,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1.4. Регламентация процедур подключения (технологического присоединения)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и размещение на официальных сайтах РСО утвержденных регламентов подключения (технологического присоединения), включающих сроки, состав и последовательность действий при осуществлении подключения (технологического присоединения), сведений о размере платы за услуги по подключению (технологическому присоединению), информацию о месте нахождения и графике работы, справочных телефонах, адресе официального сайта РСО и блок-схему, отражающую графическое изображение последовательности действий, осуществляемых при подключении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(технологическом присоединении)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наличие на официальных сайтах РСО, осуществляющих подключение (технологическое присоединение), утвержденных регламентов подключения (технологического присоединения), отвечающих требованиям соответствующего стандарта раскрытия информации, утвержденного Правительством Российской Федерации, в том числе: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к централизованной системе холодного водоснабжения, да/нет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к централизованной системе горячего водоснабжения, да/нет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к централизованной системе водоотведения, да/нет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к системе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теплоснабжения,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0DE9" w:rsidRPr="009D62E5" w:rsidTr="00141F2F">
        <w:tc>
          <w:tcPr>
            <w:tcW w:w="988" w:type="dxa"/>
            <w:vMerge w:val="restart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910" w:type="dxa"/>
            <w:vMerge w:val="restart"/>
          </w:tcPr>
          <w:p w:rsidR="003C0DE9" w:rsidRPr="009D62E5" w:rsidRDefault="003C0DE9" w:rsidP="003C0DE9">
            <w:pPr>
              <w:spacing w:line="274" w:lineRule="exact"/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1.5. Обеспечение раскрытия информации</w:t>
            </w:r>
          </w:p>
        </w:tc>
        <w:tc>
          <w:tcPr>
            <w:tcW w:w="3043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обеспечение размещения на официальных сайтах РСО информации о наличии (отсутствии) технической возможности подключения (технологического присоединения), а также о регистрации и ходе реализации заявок на подключение (технологическом присоединении)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проведение ежеквартальной актуализации на официальных сайтах РСО следующей информации: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 количестве поданных заявок на подключение (технологическом присоединении),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 количестве исполненных заявок на подключение (технологическом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 количестве заявок на подключение (технологическом присоединении), по которым принято решение об отказе в подключении (технологическом присоединении)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(с указанием причин),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 резерве мощности на источнике тепло-, водоснабжения,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4099" w:type="dxa"/>
            <w:gridSpan w:val="7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b/>
                <w:sz w:val="23"/>
                <w:szCs w:val="23"/>
              </w:rPr>
              <w:t>2. Заключение договора о подключении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Удобство подачи заявки на заключение договора о подключении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реализация комплекса мероприятий, направленных на сокращение времени заявителей (юридических и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физических лиц) на получение необходимой информации по подключению (технологическому присоединению)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обеспечение возможности подачи заявки на заключение договоров о подключении: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в электронной форме, в том числе с использованием электронной подписи (при наличии технической возможности);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почтовым отправлением;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- курьером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 w:val="restart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910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2.1. Уровень обеспечения предоставления услуг в электронном виде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обеспечение предоставления услуг по заключению договоров о подключении, включая получение условий подключения (технологического присоединения), в электронном виде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доля заявок на подключение (технологическое присоединение), поданных в электронном виде, в общем количестве поданных заявок на подключение (технологическое присоединение), процентов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60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повышение информированности заявителя о статусе исполнения заявки на подключение (технологическое присоединение)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онлайн-сервиса с доступной и актуальной информацией о статусе исполнения заявки на подключение (технологическое присоединение), да/нет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 w:val="restart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910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2.2. Подготовка договоров о подключении</w:t>
            </w:r>
          </w:p>
        </w:tc>
        <w:tc>
          <w:tcPr>
            <w:tcW w:w="3043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сокращение сроков рассмотрения заявки на подключение (технологическое присоединение) и подготовки договоров о подключении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срок подготовки и направления заявителю договоров о подключении, в том числе: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C0DE9" w:rsidRPr="009D62E5" w:rsidTr="00141F2F">
        <w:trPr>
          <w:trHeight w:val="407"/>
        </w:trPr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к централизованной системе холодного водоснабжения и водоотведения (за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after="120"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к централизованной системе холодного водоснабжения и (или) водоотведения для субъектов малого предпринимательства, рабочих дней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after="120"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к централизованной системе горячего водоснабжения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after="120"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к системе теплоснабжения, (за исключением случаев, когда расчет стоимости ведется по индивидуальному проекту), рабочих дней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after="120"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2.3. Информационное обеспечение этапа заключения договоров о подключении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обеспечение повышения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открытости информации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проведение технической комиссии по определению возможности подключения (технологического присоединения) при участии заявителя с раскрытием информации о принятых мерах,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Заключение договоров о подключении, включая получение технических условий</w:t>
            </w:r>
          </w:p>
        </w:tc>
        <w:tc>
          <w:tcPr>
            <w:tcW w:w="3043" w:type="dxa"/>
          </w:tcPr>
          <w:p w:rsidR="009D62E5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оптимизация сроков предоставления услуг по заключению договоров о подключении, включая получение технических условий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срок оказания услуг, календарных дней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более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более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более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более</w:t>
            </w:r>
          </w:p>
          <w:p w:rsidR="003C0DE9" w:rsidRPr="009D62E5" w:rsidRDefault="003C0DE9" w:rsidP="003C0DE9">
            <w:pPr>
              <w:spacing w:line="274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30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4099" w:type="dxa"/>
            <w:gridSpan w:val="7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b/>
                <w:sz w:val="23"/>
                <w:szCs w:val="23"/>
              </w:rPr>
              <w:t>3. Обеспечение выполнения мероприятий по подключению (технологическому присоединению)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3.1. 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внесение в законодательство субъекта Российской Федерации изменений, предусматривающих упрощение получения разрешения на строительство, разрешения на ввод в эксплуатацию сетей тепло-, водоснабжения и водоотведения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законодательного акта субъекта Российской Федерации, устанавливающего перечень случаев, при которых не требуется получение разрешения на строительство, разрешения на ввод в эксплуатацию сетей тепло-, водоснабжения и водоотведения, да/нет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3.2. Упрощение порядка оформления прав на земельные участки для размещения линейных объектов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регламентация оформления прав на земельные участки для размещения линейных объектов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административного регламента предоставления муниципальной услуги по установлению публичного сервитута,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 w:val="restart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2910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3.3. Оптимизация процедур</w:t>
            </w:r>
          </w:p>
        </w:tc>
        <w:tc>
          <w:tcPr>
            <w:tcW w:w="3043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регламентация проведения процедур, связанных с особенностями осуществления градостроительной деятельности в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муниципальных образованиях, сокращение срока их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наличие административного регламента представления муниципальной услуги по выдаче разрешения на осуществление земляных работ («ордера на земляные </w:t>
            </w: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lastRenderedPageBreak/>
              <w:t>работы») (далее - «ордер на земляные работы») с сокращенным сроком предоставления «ордера на земляные работы»,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срок предоставления муниципальной услуги по выдаче «ордера на земляные работы», рабочих дней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наличие административного регламента предоставления муниципальной услуги по представлению заключения о соответствии проектной документации плану наземных и подземных коммуникаций,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срок предоставления муниципальной услуги по представлению заключения о соответствии проектной документации плану наземных и подземных коммуникаций, рабочих дней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 xml:space="preserve">оптимизация процесса выдачи акта о готовности внутриплощадочных и внутридомовых сетей и оборудования подключаемого объекта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капитального строительства к подаче тепловой энергии и теплоносителя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наличие возможности направления заявителю акта о готовности внутриплощадочных и внутридомовых сетей и оборудования подключаемого </w:t>
            </w: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объекта капитального строительства к подаче ресурса тепловой энергии (теплоносителя, воды), подписанного электронной подписью,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оптимизация процесса выдачи акта о подключении (технологическом присоединении) объекта, акта разграничения балансовой принадлежности и эксплуатационной ответственности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возможности направления заявителю акта о подключении (технологическом присоединении) объекта, акта разграничения балансовой принадлежности и эксплуатационной ответственности, подписанного электронной подписью,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срок выдачи заявителю акта об осуществлении подключения (технологического присоединения) к централизованной системе горячего водоснабжения и к системе теплоснабжения, рабочих дней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нет данных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14099" w:type="dxa"/>
            <w:gridSpan w:val="7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b/>
                <w:sz w:val="23"/>
                <w:szCs w:val="23"/>
              </w:rPr>
              <w:t>Обеспечивающие факторы</w:t>
            </w:r>
          </w:p>
        </w:tc>
      </w:tr>
      <w:tr w:rsidR="003C0DE9" w:rsidRPr="009D62E5" w:rsidTr="00141F2F">
        <w:tc>
          <w:tcPr>
            <w:tcW w:w="988" w:type="dxa"/>
            <w:vMerge w:val="restart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2910" w:type="dxa"/>
            <w:vMerge w:val="restart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4.1. Утверждение (актуализация) схем тепло-, водоснабжения и водоотведения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утверждению (актуализации) схемы теплоснабжения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утвержденной (актуализированной) схемы теплоснабжения, да/нет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  <w:vMerge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0" w:type="dxa"/>
            <w:vMerge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реализация мероприятий по утверждению (актуализации) образованиях схемы водоснабжения и водоотведения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наличие утвержденной (актуализированной) схемы водоснабжения и водоотведения, да/нет</w:t>
            </w:r>
          </w:p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Утверждение (актуализация) инвестиционных программ, регулируемых организациями в сфере тепло-, водоснабжения и водоотведения</w:t>
            </w:r>
          </w:p>
        </w:tc>
        <w:tc>
          <w:tcPr>
            <w:tcW w:w="3043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выполнение мероприятий по утверждению (актуализации) инвестиционных программ, реализуемых РСО в рамках регулируемых видов деятельности в сферах теплоснабжения, водоснабжения, водоотведения, в том числе в части подключения (технологического присоединения)</w:t>
            </w:r>
          </w:p>
        </w:tc>
        <w:tc>
          <w:tcPr>
            <w:tcW w:w="326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наличие утвержденных инвестиционных программ РСО,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частично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3C0DE9" w:rsidRPr="009D62E5" w:rsidTr="00141F2F">
        <w:tc>
          <w:tcPr>
            <w:tcW w:w="988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2910" w:type="dxa"/>
          </w:tcPr>
          <w:p w:rsidR="003C0DE9" w:rsidRPr="009D62E5" w:rsidRDefault="003C0DE9" w:rsidP="003C0DE9">
            <w:pPr>
              <w:ind w:right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Проведение мониторинга муниципальных респондентов, подключение (технологическое присоединение) которых произведено к системам тепло-, водоснабжения и водоотведения, договоров о подключении, в том числе анализ заявлений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эффективность процедур по подключению (технологическому присоединению)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DE9" w:rsidRPr="009D62E5" w:rsidRDefault="003C0DE9" w:rsidP="003C0DE9">
            <w:pPr>
              <w:spacing w:line="274" w:lineRule="exact"/>
              <w:ind w:right="0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формирование базы региональных респондентов по специализированным показателям А7 и А8, да/нет</w:t>
            </w:r>
          </w:p>
        </w:tc>
        <w:tc>
          <w:tcPr>
            <w:tcW w:w="2334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0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851" w:type="dxa"/>
          </w:tcPr>
          <w:p w:rsidR="003C0DE9" w:rsidRPr="009D62E5" w:rsidRDefault="003C0DE9" w:rsidP="003C0DE9">
            <w:pPr>
              <w:ind w:righ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62E5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532516" w:rsidRPr="009D62E5" w:rsidRDefault="00532516" w:rsidP="00575F02">
      <w:pPr>
        <w:ind w:right="-1"/>
        <w:rPr>
          <w:b/>
          <w:sz w:val="2"/>
          <w:szCs w:val="2"/>
        </w:rPr>
      </w:pPr>
    </w:p>
    <w:sectPr w:rsidR="00532516" w:rsidRPr="009D62E5" w:rsidSect="00413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8D" w:rsidRDefault="00477A8D">
      <w:r>
        <w:separator/>
      </w:r>
    </w:p>
  </w:endnote>
  <w:endnote w:type="continuationSeparator" w:id="0">
    <w:p w:rsidR="00477A8D" w:rsidRDefault="004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8D" w:rsidRDefault="00477A8D">
      <w:r>
        <w:separator/>
      </w:r>
    </w:p>
  </w:footnote>
  <w:footnote w:type="continuationSeparator" w:id="0">
    <w:p w:rsidR="00477A8D" w:rsidRDefault="0047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6C" w:rsidRPr="00711074" w:rsidRDefault="00885E6C">
    <w:pPr>
      <w:pStyle w:val="a9"/>
      <w:jc w:val="center"/>
      <w:rPr>
        <w:sz w:val="28"/>
      </w:rPr>
    </w:pPr>
    <w:r w:rsidRPr="00711074">
      <w:rPr>
        <w:sz w:val="28"/>
      </w:rPr>
      <w:fldChar w:fldCharType="begin"/>
    </w:r>
    <w:r w:rsidRPr="00711074">
      <w:rPr>
        <w:sz w:val="28"/>
      </w:rPr>
      <w:instrText xml:space="preserve"> PAGE   \* MERGEFORMAT </w:instrText>
    </w:r>
    <w:r w:rsidRPr="00711074">
      <w:rPr>
        <w:sz w:val="28"/>
      </w:rPr>
      <w:fldChar w:fldCharType="separate"/>
    </w:r>
    <w:r w:rsidR="00725604">
      <w:rPr>
        <w:noProof/>
        <w:sz w:val="28"/>
      </w:rPr>
      <w:t>4</w:t>
    </w:r>
    <w:r w:rsidRPr="00711074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F3853"/>
    <w:multiLevelType w:val="multilevel"/>
    <w:tmpl w:val="02A83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2"/>
    <w:rsid w:val="00002EB6"/>
    <w:rsid w:val="000069D4"/>
    <w:rsid w:val="00007A22"/>
    <w:rsid w:val="00014419"/>
    <w:rsid w:val="00016E66"/>
    <w:rsid w:val="00027A99"/>
    <w:rsid w:val="00060179"/>
    <w:rsid w:val="00072A4D"/>
    <w:rsid w:val="000740C9"/>
    <w:rsid w:val="0007749E"/>
    <w:rsid w:val="000806DD"/>
    <w:rsid w:val="00080831"/>
    <w:rsid w:val="000C0B13"/>
    <w:rsid w:val="000C3DE6"/>
    <w:rsid w:val="000F113D"/>
    <w:rsid w:val="001241C5"/>
    <w:rsid w:val="00165FFC"/>
    <w:rsid w:val="0018353F"/>
    <w:rsid w:val="001C1336"/>
    <w:rsid w:val="00220488"/>
    <w:rsid w:val="00245BCD"/>
    <w:rsid w:val="00247275"/>
    <w:rsid w:val="00286987"/>
    <w:rsid w:val="00293899"/>
    <w:rsid w:val="00294795"/>
    <w:rsid w:val="002A657D"/>
    <w:rsid w:val="002B202A"/>
    <w:rsid w:val="002D1A0C"/>
    <w:rsid w:val="002D4655"/>
    <w:rsid w:val="003146C1"/>
    <w:rsid w:val="0033727A"/>
    <w:rsid w:val="003516C4"/>
    <w:rsid w:val="0036000E"/>
    <w:rsid w:val="00387F87"/>
    <w:rsid w:val="003907EB"/>
    <w:rsid w:val="0039178F"/>
    <w:rsid w:val="00392D9C"/>
    <w:rsid w:val="003C0DE9"/>
    <w:rsid w:val="003D757D"/>
    <w:rsid w:val="003F0AC2"/>
    <w:rsid w:val="003F6BAA"/>
    <w:rsid w:val="0042625D"/>
    <w:rsid w:val="00440A7D"/>
    <w:rsid w:val="00464475"/>
    <w:rsid w:val="00477A8D"/>
    <w:rsid w:val="004A3FD6"/>
    <w:rsid w:val="004B6956"/>
    <w:rsid w:val="004C7DAA"/>
    <w:rsid w:val="004D253B"/>
    <w:rsid w:val="004F23D3"/>
    <w:rsid w:val="00531317"/>
    <w:rsid w:val="00532516"/>
    <w:rsid w:val="00533AE8"/>
    <w:rsid w:val="00545E10"/>
    <w:rsid w:val="00575F02"/>
    <w:rsid w:val="00595F92"/>
    <w:rsid w:val="005A5850"/>
    <w:rsid w:val="005B014A"/>
    <w:rsid w:val="005B4E58"/>
    <w:rsid w:val="005C1F96"/>
    <w:rsid w:val="005D2251"/>
    <w:rsid w:val="005D452A"/>
    <w:rsid w:val="005E3FBA"/>
    <w:rsid w:val="006278E5"/>
    <w:rsid w:val="006510D1"/>
    <w:rsid w:val="0065522C"/>
    <w:rsid w:val="00664A29"/>
    <w:rsid w:val="00694D50"/>
    <w:rsid w:val="006A495D"/>
    <w:rsid w:val="006C2D22"/>
    <w:rsid w:val="006E3202"/>
    <w:rsid w:val="006E4FB1"/>
    <w:rsid w:val="00711074"/>
    <w:rsid w:val="00715BD7"/>
    <w:rsid w:val="00725604"/>
    <w:rsid w:val="0076661E"/>
    <w:rsid w:val="0077672C"/>
    <w:rsid w:val="007834F3"/>
    <w:rsid w:val="00785A9A"/>
    <w:rsid w:val="007A0B45"/>
    <w:rsid w:val="007B23BA"/>
    <w:rsid w:val="007F2FBD"/>
    <w:rsid w:val="00850608"/>
    <w:rsid w:val="00851C1C"/>
    <w:rsid w:val="00877D97"/>
    <w:rsid w:val="00885E6C"/>
    <w:rsid w:val="00896599"/>
    <w:rsid w:val="008A52D9"/>
    <w:rsid w:val="008D3041"/>
    <w:rsid w:val="008D79A1"/>
    <w:rsid w:val="00903DB2"/>
    <w:rsid w:val="00924FFF"/>
    <w:rsid w:val="00947CBF"/>
    <w:rsid w:val="009735CC"/>
    <w:rsid w:val="00980AC2"/>
    <w:rsid w:val="00997C9C"/>
    <w:rsid w:val="009D3814"/>
    <w:rsid w:val="009D56CC"/>
    <w:rsid w:val="009D62E5"/>
    <w:rsid w:val="009E5A2E"/>
    <w:rsid w:val="009F5420"/>
    <w:rsid w:val="009F632B"/>
    <w:rsid w:val="00A06CF2"/>
    <w:rsid w:val="00A3398C"/>
    <w:rsid w:val="00A36E68"/>
    <w:rsid w:val="00A529A9"/>
    <w:rsid w:val="00A71DCF"/>
    <w:rsid w:val="00AA3B29"/>
    <w:rsid w:val="00AB6BEF"/>
    <w:rsid w:val="00B13C81"/>
    <w:rsid w:val="00B36D61"/>
    <w:rsid w:val="00B51FD2"/>
    <w:rsid w:val="00B53282"/>
    <w:rsid w:val="00B657D1"/>
    <w:rsid w:val="00B70572"/>
    <w:rsid w:val="00B70C7F"/>
    <w:rsid w:val="00B92A71"/>
    <w:rsid w:val="00BA4074"/>
    <w:rsid w:val="00BB1B46"/>
    <w:rsid w:val="00BC2F5C"/>
    <w:rsid w:val="00BE4A8D"/>
    <w:rsid w:val="00BF3AA2"/>
    <w:rsid w:val="00BF3F38"/>
    <w:rsid w:val="00C058F2"/>
    <w:rsid w:val="00C120E1"/>
    <w:rsid w:val="00C1470B"/>
    <w:rsid w:val="00C17FE2"/>
    <w:rsid w:val="00C30DE9"/>
    <w:rsid w:val="00C33F8E"/>
    <w:rsid w:val="00C50CE2"/>
    <w:rsid w:val="00C77936"/>
    <w:rsid w:val="00C824D3"/>
    <w:rsid w:val="00CA60FA"/>
    <w:rsid w:val="00CA7031"/>
    <w:rsid w:val="00CB3881"/>
    <w:rsid w:val="00CB6CEF"/>
    <w:rsid w:val="00CF0746"/>
    <w:rsid w:val="00CF2FC7"/>
    <w:rsid w:val="00CF4E14"/>
    <w:rsid w:val="00D02874"/>
    <w:rsid w:val="00D72B63"/>
    <w:rsid w:val="00D857F9"/>
    <w:rsid w:val="00D91E63"/>
    <w:rsid w:val="00DA15BD"/>
    <w:rsid w:val="00DB0AC5"/>
    <w:rsid w:val="00DD6E49"/>
    <w:rsid w:val="00E36575"/>
    <w:rsid w:val="00E43386"/>
    <w:rsid w:val="00E52752"/>
    <w:rsid w:val="00E705B5"/>
    <w:rsid w:val="00E76BDF"/>
    <w:rsid w:val="00E979A2"/>
    <w:rsid w:val="00EC3B1B"/>
    <w:rsid w:val="00ED474A"/>
    <w:rsid w:val="00ED4BE6"/>
    <w:rsid w:val="00EF464F"/>
    <w:rsid w:val="00F336F4"/>
    <w:rsid w:val="00F411B1"/>
    <w:rsid w:val="00F56CF6"/>
    <w:rsid w:val="00F635DA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CFA03"/>
  <w15:chartTrackingRefBased/>
  <w15:docId w15:val="{1D8F1968-FB87-47A5-B6B6-853D411B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E2"/>
    <w:pPr>
      <w:ind w:right="-567"/>
      <w:jc w:val="both"/>
    </w:pPr>
    <w:rPr>
      <w:sz w:val="24"/>
    </w:rPr>
  </w:style>
  <w:style w:type="paragraph" w:styleId="3">
    <w:name w:val="heading 3"/>
    <w:basedOn w:val="a"/>
    <w:next w:val="a"/>
    <w:link w:val="30"/>
    <w:qFormat/>
    <w:rsid w:val="00664A29"/>
    <w:pPr>
      <w:keepNext/>
      <w:spacing w:before="240" w:after="60"/>
      <w:ind w:right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2625D"/>
    <w:pPr>
      <w:spacing w:before="240" w:after="60"/>
      <w:ind w:right="0"/>
      <w:jc w:val="left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64A2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664A29"/>
    <w:rPr>
      <w:i/>
      <w:iCs/>
      <w:sz w:val="24"/>
      <w:szCs w:val="24"/>
      <w:lang w:val="ru-RU" w:eastAsia="ru-RU" w:bidi="ar-SA"/>
    </w:rPr>
  </w:style>
  <w:style w:type="paragraph" w:styleId="a3">
    <w:name w:val="Normal (Web)"/>
    <w:basedOn w:val="a"/>
    <w:rsid w:val="00C17FE2"/>
    <w:pPr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ConsPlusNormal">
    <w:name w:val="ConsPlusNormal"/>
    <w:link w:val="ConsPlusNormal0"/>
    <w:rsid w:val="00C17F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17FE2"/>
    <w:rPr>
      <w:rFonts w:ascii="Arial" w:hAnsi="Arial" w:cs="Arial"/>
      <w:lang w:val="ru-RU" w:eastAsia="ru-RU" w:bidi="ar-SA"/>
    </w:rPr>
  </w:style>
  <w:style w:type="table" w:styleId="a4">
    <w:name w:val="Table Grid"/>
    <w:basedOn w:val="a1"/>
    <w:rsid w:val="00C120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664A29"/>
    <w:rPr>
      <w:b/>
      <w:bCs/>
      <w:sz w:val="70"/>
      <w:szCs w:val="70"/>
      <w:lang w:bidi="ar-SA"/>
    </w:rPr>
  </w:style>
  <w:style w:type="paragraph" w:customStyle="1" w:styleId="10">
    <w:name w:val="Заголовок №1"/>
    <w:basedOn w:val="a"/>
    <w:link w:val="1"/>
    <w:rsid w:val="00664A29"/>
    <w:pPr>
      <w:widowControl w:val="0"/>
      <w:shd w:val="clear" w:color="auto" w:fill="FFFFFF"/>
      <w:spacing w:before="1140" w:line="806" w:lineRule="exact"/>
      <w:ind w:right="0"/>
      <w:jc w:val="center"/>
      <w:outlineLvl w:val="0"/>
    </w:pPr>
    <w:rPr>
      <w:b/>
      <w:bCs/>
      <w:sz w:val="70"/>
      <w:szCs w:val="70"/>
      <w:lang w:val="x-none" w:eastAsia="x-none"/>
    </w:rPr>
  </w:style>
  <w:style w:type="paragraph" w:styleId="a5">
    <w:name w:val="Body Text Indent"/>
    <w:basedOn w:val="a"/>
    <w:link w:val="a6"/>
    <w:rsid w:val="00664A29"/>
    <w:pPr>
      <w:spacing w:after="120"/>
      <w:ind w:left="283" w:right="0"/>
      <w:jc w:val="left"/>
    </w:pPr>
    <w:rPr>
      <w:szCs w:val="24"/>
    </w:rPr>
  </w:style>
  <w:style w:type="character" w:customStyle="1" w:styleId="a6">
    <w:name w:val="Основной текст с отступом Знак"/>
    <w:link w:val="a5"/>
    <w:rsid w:val="00664A29"/>
    <w:rPr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8"/>
    <w:rsid w:val="00664A29"/>
    <w:rPr>
      <w:sz w:val="27"/>
      <w:szCs w:val="27"/>
      <w:lang w:bidi="ar-SA"/>
    </w:rPr>
  </w:style>
  <w:style w:type="paragraph" w:styleId="a8">
    <w:name w:val="Body Text"/>
    <w:basedOn w:val="a"/>
    <w:link w:val="a7"/>
    <w:rsid w:val="00664A29"/>
    <w:pPr>
      <w:widowControl w:val="0"/>
      <w:shd w:val="clear" w:color="auto" w:fill="FFFFFF"/>
      <w:spacing w:after="4920" w:line="240" w:lineRule="atLeast"/>
      <w:ind w:right="0"/>
      <w:jc w:val="right"/>
    </w:pPr>
    <w:rPr>
      <w:sz w:val="27"/>
      <w:szCs w:val="27"/>
      <w:lang w:val="x-none" w:eastAsia="x-none"/>
    </w:rPr>
  </w:style>
  <w:style w:type="character" w:customStyle="1" w:styleId="2">
    <w:name w:val="Заголовок №2_"/>
    <w:link w:val="20"/>
    <w:rsid w:val="00664A29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664A29"/>
    <w:pPr>
      <w:widowControl w:val="0"/>
      <w:shd w:val="clear" w:color="auto" w:fill="FFFFFF"/>
      <w:spacing w:before="600" w:after="360" w:line="240" w:lineRule="atLeast"/>
      <w:ind w:right="0"/>
      <w:jc w:val="center"/>
      <w:outlineLvl w:val="1"/>
    </w:pPr>
    <w:rPr>
      <w:sz w:val="27"/>
      <w:szCs w:val="27"/>
      <w:lang w:val="x-none" w:eastAsia="x-none"/>
    </w:rPr>
  </w:style>
  <w:style w:type="paragraph" w:customStyle="1" w:styleId="ConsPlusTitle">
    <w:name w:val="ConsPlusTitle"/>
    <w:rsid w:val="00664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64A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E4A8D"/>
    <w:rPr>
      <w:sz w:val="24"/>
    </w:rPr>
  </w:style>
  <w:style w:type="paragraph" w:styleId="ab">
    <w:name w:val="footer"/>
    <w:basedOn w:val="a"/>
    <w:link w:val="ac"/>
    <w:rsid w:val="00BE4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E4A8D"/>
    <w:rPr>
      <w:sz w:val="24"/>
    </w:rPr>
  </w:style>
  <w:style w:type="character" w:styleId="ad">
    <w:name w:val="Hyperlink"/>
    <w:uiPriority w:val="99"/>
    <w:unhideWhenUsed/>
    <w:rsid w:val="003D757D"/>
    <w:rPr>
      <w:color w:val="0000FF"/>
      <w:u w:val="single"/>
    </w:rPr>
  </w:style>
  <w:style w:type="character" w:styleId="ae">
    <w:name w:val="FollowedHyperlink"/>
    <w:uiPriority w:val="99"/>
    <w:unhideWhenUsed/>
    <w:rsid w:val="003D757D"/>
    <w:rPr>
      <w:color w:val="800080"/>
      <w:u w:val="single"/>
    </w:rPr>
  </w:style>
  <w:style w:type="paragraph" w:styleId="af">
    <w:name w:val="Balloon Text"/>
    <w:basedOn w:val="a"/>
    <w:link w:val="af0"/>
    <w:uiPriority w:val="99"/>
    <w:rsid w:val="006552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65522C"/>
    <w:rPr>
      <w:rFonts w:ascii="Segoe UI" w:hAnsi="Segoe UI" w:cs="Segoe UI"/>
      <w:sz w:val="18"/>
      <w:szCs w:val="18"/>
    </w:rPr>
  </w:style>
  <w:style w:type="paragraph" w:customStyle="1" w:styleId="xl65">
    <w:name w:val="xl65"/>
    <w:basedOn w:val="a"/>
    <w:rsid w:val="00387F87"/>
    <w:pPr>
      <w:spacing w:before="100" w:beforeAutospacing="1" w:after="100" w:afterAutospacing="1"/>
      <w:ind w:right="0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387F87"/>
    <w:pP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67">
    <w:name w:val="xl6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1">
    <w:name w:val="xl7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2">
    <w:name w:val="xl7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b/>
      <w:bCs/>
      <w:sz w:val="18"/>
      <w:szCs w:val="18"/>
    </w:rPr>
  </w:style>
  <w:style w:type="paragraph" w:customStyle="1" w:styleId="xl73">
    <w:name w:val="xl7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</w:pPr>
    <w:rPr>
      <w:sz w:val="18"/>
      <w:szCs w:val="18"/>
    </w:rPr>
  </w:style>
  <w:style w:type="paragraph" w:customStyle="1" w:styleId="xl75">
    <w:name w:val="xl75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79">
    <w:name w:val="xl79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 w:val="18"/>
      <w:szCs w:val="18"/>
    </w:rPr>
  </w:style>
  <w:style w:type="paragraph" w:customStyle="1" w:styleId="xl80">
    <w:name w:val="xl80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</w:pPr>
    <w:rPr>
      <w:szCs w:val="24"/>
    </w:rPr>
  </w:style>
  <w:style w:type="paragraph" w:customStyle="1" w:styleId="xl83">
    <w:name w:val="xl83"/>
    <w:basedOn w:val="a"/>
    <w:rsid w:val="00387F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87F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87F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387F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387F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387F8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387F8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87F8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center"/>
      <w:textAlignment w:val="center"/>
    </w:pPr>
    <w:rPr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C0DE9"/>
  </w:style>
  <w:style w:type="character" w:customStyle="1" w:styleId="2Exact">
    <w:name w:val="Основной текст (2) Exact"/>
    <w:basedOn w:val="a0"/>
    <w:rsid w:val="003C0D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3C0DE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0DE9"/>
    <w:pPr>
      <w:widowControl w:val="0"/>
      <w:shd w:val="clear" w:color="auto" w:fill="FFFFFF"/>
      <w:spacing w:before="120" w:line="317" w:lineRule="exact"/>
      <w:ind w:right="0"/>
      <w:jc w:val="center"/>
    </w:pPr>
    <w:rPr>
      <w:b/>
      <w:bCs/>
      <w:sz w:val="27"/>
      <w:szCs w:val="27"/>
    </w:rPr>
  </w:style>
  <w:style w:type="table" w:customStyle="1" w:styleId="12">
    <w:name w:val="Сетка таблицы1"/>
    <w:basedOn w:val="a1"/>
    <w:next w:val="a4"/>
    <w:uiPriority w:val="39"/>
    <w:rsid w:val="003C0D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1"/>
    <w:rsid w:val="003C0DE9"/>
    <w:rPr>
      <w:shd w:val="clear" w:color="auto" w:fill="FFFFFF"/>
    </w:rPr>
  </w:style>
  <w:style w:type="paragraph" w:customStyle="1" w:styleId="31">
    <w:name w:val="Основной текст3"/>
    <w:basedOn w:val="a"/>
    <w:link w:val="af1"/>
    <w:rsid w:val="003C0DE9"/>
    <w:pPr>
      <w:widowControl w:val="0"/>
      <w:shd w:val="clear" w:color="auto" w:fill="FFFFFF"/>
      <w:spacing w:after="240" w:line="274" w:lineRule="exact"/>
      <w:ind w:right="0"/>
    </w:pPr>
    <w:rPr>
      <w:sz w:val="20"/>
    </w:rPr>
  </w:style>
  <w:style w:type="character" w:customStyle="1" w:styleId="13">
    <w:name w:val="Основной текст1"/>
    <w:basedOn w:val="af1"/>
    <w:rsid w:val="003C0D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3C0DE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2">
    <w:name w:val="annotation reference"/>
    <w:basedOn w:val="a0"/>
    <w:uiPriority w:val="99"/>
    <w:unhideWhenUsed/>
    <w:rsid w:val="003C0DE9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C0DE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rsid w:val="003C0DE9"/>
  </w:style>
  <w:style w:type="paragraph" w:styleId="af5">
    <w:name w:val="annotation subject"/>
    <w:basedOn w:val="af3"/>
    <w:next w:val="af3"/>
    <w:link w:val="af6"/>
    <w:uiPriority w:val="99"/>
    <w:unhideWhenUsed/>
    <w:rsid w:val="003C0D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3C0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t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8D6EB4D7</Template>
  <TotalTime>1</TotalTime>
  <Pages>16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22055</CharactersWithSpaces>
  <SharedDoc>false</SharedDoc>
  <HLinks>
    <vt:vector size="6" baseType="variant"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consultantplus://offline/ref=E74829D4E3A875D6CBA87A8191BB40ADC708480B110C4A28AC19004F1B9025D5F6l8U3E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Ольга Измоденова</cp:lastModifiedBy>
  <cp:revision>3</cp:revision>
  <cp:lastPrinted>2019-03-25T08:05:00Z</cp:lastPrinted>
  <dcterms:created xsi:type="dcterms:W3CDTF">2019-03-25T08:05:00Z</dcterms:created>
  <dcterms:modified xsi:type="dcterms:W3CDTF">2019-03-27T03:38:00Z</dcterms:modified>
</cp:coreProperties>
</file>