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42" w:rsidRPr="005F4EC3" w:rsidRDefault="005F4EC3" w:rsidP="005F4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 от 01.03.2018 № 356</w:t>
      </w:r>
    </w:p>
    <w:p w:rsidR="00AD5D42" w:rsidRPr="00E46B3A" w:rsidRDefault="005F4EC3" w:rsidP="00AD5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2pt;margin-top:5.15pt;width:72.05pt;height:62.95pt;z-index:251658240">
            <v:imagedata r:id="rId8" o:title=""/>
          </v:shape>
          <o:OLEObject Type="Embed" ProgID="Word.Picture.8" ShapeID="_x0000_s1026" DrawAspect="Content" ObjectID="_1582611881" r:id="rId9"/>
        </w:object>
      </w:r>
    </w:p>
    <w:p w:rsidR="00AD5D42" w:rsidRDefault="00AD5D42" w:rsidP="00AD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5F4EC3" w:rsidRDefault="005F4EC3" w:rsidP="00AD5D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4EC3" w:rsidRDefault="005F4EC3" w:rsidP="00AD5D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D42" w:rsidRPr="00F4347A" w:rsidRDefault="00AD5D42" w:rsidP="00AD5D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4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F434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AD5D42" w:rsidRPr="00420929" w:rsidRDefault="00AD5D42" w:rsidP="00AD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09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AD5D42" w:rsidRPr="005F4EC3" w:rsidRDefault="00AD5D42" w:rsidP="005F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C0E23" wp14:editId="05171C8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5240F" id="Прямая соединительная линия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AD5D42" w:rsidRPr="00B23172" w:rsidRDefault="00AD5D42" w:rsidP="00AD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B2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.05.2017 г.                                                                                                      </w:t>
      </w:r>
      <w:r w:rsidR="005F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891-п</w:t>
      </w:r>
    </w:p>
    <w:p w:rsidR="00AD5D42" w:rsidRPr="00E46B3A" w:rsidRDefault="00AD5D42" w:rsidP="00AD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AD5D42" w:rsidRPr="00E46B3A" w:rsidRDefault="00AD5D42" w:rsidP="00AD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42" w:rsidRDefault="000D2C6B" w:rsidP="00AD5D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Об утверждении Перечня </w:t>
      </w:r>
      <w:r w:rsidR="00AD5D42" w:rsidRPr="00117158">
        <w:rPr>
          <w:rFonts w:ascii="Times New Roman" w:hAnsi="Times New Roman" w:cs="Times New Roman"/>
          <w:b/>
          <w:i/>
          <w:sz w:val="28"/>
        </w:rPr>
        <w:t xml:space="preserve">муниципальных услуг, предоставляемых </w:t>
      </w:r>
      <w:r w:rsidR="00AD5D42">
        <w:rPr>
          <w:rFonts w:ascii="Times New Roman" w:hAnsi="Times New Roman" w:cs="Times New Roman"/>
          <w:b/>
          <w:i/>
          <w:sz w:val="28"/>
        </w:rPr>
        <w:t>муниципальными учреждениями</w:t>
      </w:r>
      <w:r w:rsidR="00AD5D42" w:rsidRPr="00117158">
        <w:rPr>
          <w:rFonts w:ascii="Times New Roman" w:hAnsi="Times New Roman" w:cs="Times New Roman"/>
          <w:b/>
          <w:i/>
          <w:sz w:val="28"/>
        </w:rPr>
        <w:t xml:space="preserve"> Невьянского городского округа</w:t>
      </w:r>
      <w:r w:rsidR="00AD5D42">
        <w:rPr>
          <w:rFonts w:ascii="Times New Roman" w:hAnsi="Times New Roman" w:cs="Times New Roman"/>
          <w:b/>
          <w:i/>
          <w:sz w:val="28"/>
        </w:rPr>
        <w:t xml:space="preserve"> и администрацией Невьянского городского округа</w:t>
      </w:r>
    </w:p>
    <w:p w:rsidR="00AD5D42" w:rsidRDefault="00AD5D42" w:rsidP="00AD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5D42" w:rsidRDefault="00AD5D42" w:rsidP="00AD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 цел</w:t>
      </w:r>
      <w:r w:rsidR="000D2C6B">
        <w:rPr>
          <w:rFonts w:ascii="Times New Roman" w:hAnsi="Times New Roman" w:cs="Times New Roman"/>
          <w:sz w:val="28"/>
        </w:rPr>
        <w:t xml:space="preserve">ях   исполнения   Федерального </w:t>
      </w:r>
      <w:proofErr w:type="gramStart"/>
      <w:r>
        <w:rPr>
          <w:rFonts w:ascii="Times New Roman" w:hAnsi="Times New Roman" w:cs="Times New Roman"/>
          <w:sz w:val="28"/>
        </w:rPr>
        <w:t>закона  от</w:t>
      </w:r>
      <w:proofErr w:type="gramEnd"/>
      <w:r>
        <w:rPr>
          <w:rFonts w:ascii="Times New Roman" w:hAnsi="Times New Roman" w:cs="Times New Roman"/>
          <w:sz w:val="28"/>
        </w:rPr>
        <w:t xml:space="preserve">  27</w:t>
      </w:r>
      <w:r w:rsidRPr="00DF6A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июля  2010  года      № 210-ФЗ «Об организации предоставления государственных и муниципальных  услуг», руководствуясь статьей 31 Устава </w:t>
      </w:r>
      <w:r w:rsidRPr="00F62210">
        <w:rPr>
          <w:rFonts w:ascii="Times New Roman" w:hAnsi="Times New Roman" w:cs="Times New Roman"/>
          <w:sz w:val="28"/>
        </w:rPr>
        <w:t xml:space="preserve">Невьянского городского </w:t>
      </w:r>
      <w:r>
        <w:rPr>
          <w:rFonts w:ascii="Times New Roman" w:hAnsi="Times New Roman" w:cs="Times New Roman"/>
          <w:sz w:val="28"/>
        </w:rPr>
        <w:t xml:space="preserve"> </w:t>
      </w:r>
      <w:r w:rsidRPr="00F62210">
        <w:rPr>
          <w:rFonts w:ascii="Times New Roman" w:hAnsi="Times New Roman" w:cs="Times New Roman"/>
          <w:sz w:val="28"/>
        </w:rPr>
        <w:t>округа,</w:t>
      </w:r>
    </w:p>
    <w:p w:rsidR="00AD5D42" w:rsidRPr="00F62210" w:rsidRDefault="00AD5D42" w:rsidP="00AD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5D42" w:rsidRDefault="00AD5D42" w:rsidP="00AD5D4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73869">
        <w:rPr>
          <w:rFonts w:ascii="Times New Roman" w:hAnsi="Times New Roman" w:cs="Times New Roman"/>
          <w:b/>
          <w:sz w:val="28"/>
        </w:rPr>
        <w:t>ПОСТАНОВЛЯЮ:</w:t>
      </w:r>
    </w:p>
    <w:p w:rsidR="00AD5D42" w:rsidRDefault="00AD5D42" w:rsidP="00AD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5D42" w:rsidRDefault="00AD5D42" w:rsidP="00AD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перечень муниципальных услуг, предоставляемых </w:t>
      </w:r>
      <w:r w:rsidRPr="00F06465">
        <w:rPr>
          <w:rFonts w:ascii="Times New Roman" w:hAnsi="Times New Roman" w:cs="Times New Roman"/>
          <w:sz w:val="28"/>
        </w:rPr>
        <w:t>муниципальными учреждениями Невьянского городского округа и администрацией Невьянского городского округа</w:t>
      </w:r>
      <w:r>
        <w:rPr>
          <w:rFonts w:ascii="Times New Roman" w:hAnsi="Times New Roman" w:cs="Times New Roman"/>
          <w:sz w:val="28"/>
        </w:rPr>
        <w:t xml:space="preserve"> (прилагается).</w:t>
      </w:r>
    </w:p>
    <w:p w:rsidR="00AD5D42" w:rsidRDefault="00AD5D42" w:rsidP="00AD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Ответственным исполнителям структурных подразделений администрации Невьянского городского округа: отдел экономики,                      торговли и бытового обслуживания (</w:t>
      </w:r>
      <w:r w:rsidRPr="001529EB">
        <w:rPr>
          <w:rFonts w:ascii="Times New Roman" w:hAnsi="Times New Roman" w:cs="Times New Roman"/>
          <w:sz w:val="28"/>
        </w:rPr>
        <w:t>Т.В.</w:t>
      </w:r>
      <w:r>
        <w:rPr>
          <w:rFonts w:ascii="Times New Roman" w:hAnsi="Times New Roman" w:cs="Times New Roman"/>
          <w:sz w:val="28"/>
        </w:rPr>
        <w:t xml:space="preserve"> Тамакулова), управление делами                    (</w:t>
      </w:r>
      <w:r w:rsidRPr="001529EB">
        <w:rPr>
          <w:rFonts w:ascii="Times New Roman" w:hAnsi="Times New Roman" w:cs="Times New Roman"/>
          <w:sz w:val="28"/>
        </w:rPr>
        <w:t>Т.М</w:t>
      </w:r>
      <w:r>
        <w:rPr>
          <w:rFonts w:ascii="Times New Roman" w:hAnsi="Times New Roman" w:cs="Times New Roman"/>
          <w:sz w:val="28"/>
        </w:rPr>
        <w:t xml:space="preserve">. Петухова), отдел капитального строительства (Е.В. </w:t>
      </w:r>
      <w:proofErr w:type="spellStart"/>
      <w:r w:rsidRPr="003F5B95">
        <w:rPr>
          <w:rFonts w:ascii="Times New Roman" w:hAnsi="Times New Roman" w:cs="Times New Roman"/>
          <w:sz w:val="28"/>
        </w:rPr>
        <w:t>Эдильгериева</w:t>
      </w:r>
      <w:proofErr w:type="spellEnd"/>
      <w:r>
        <w:rPr>
          <w:rFonts w:ascii="Times New Roman" w:hAnsi="Times New Roman" w:cs="Times New Roman"/>
          <w:sz w:val="28"/>
        </w:rPr>
        <w:t>), отдел архитектуры  (</w:t>
      </w:r>
      <w:r w:rsidRPr="001529EB">
        <w:rPr>
          <w:rFonts w:ascii="Times New Roman" w:hAnsi="Times New Roman" w:cs="Times New Roman"/>
          <w:sz w:val="28"/>
        </w:rPr>
        <w:t>Е.В.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Эдильгериева</w:t>
      </w:r>
      <w:proofErr w:type="spellEnd"/>
      <w:r>
        <w:rPr>
          <w:rFonts w:ascii="Times New Roman" w:hAnsi="Times New Roman" w:cs="Times New Roman"/>
          <w:sz w:val="28"/>
        </w:rPr>
        <w:t>),  архивный  отдел  (</w:t>
      </w:r>
      <w:r w:rsidRPr="001529EB">
        <w:rPr>
          <w:rFonts w:ascii="Times New Roman" w:hAnsi="Times New Roman" w:cs="Times New Roman"/>
          <w:sz w:val="28"/>
        </w:rPr>
        <w:t>Л.А</w:t>
      </w:r>
      <w:r>
        <w:rPr>
          <w:rFonts w:ascii="Times New Roman" w:hAnsi="Times New Roman" w:cs="Times New Roman"/>
          <w:sz w:val="28"/>
        </w:rPr>
        <w:t xml:space="preserve">. Яркова),  отдел городского  и  коммунального  хозяйства  (С.Ю. Иванцов),  комитет  по управлению  муниципальным  имуществом  (Л.М. Середкина), отдел          бухгалтерского учета, отчетности и администрирования доходов                   (Н.А. </w:t>
      </w:r>
      <w:proofErr w:type="spellStart"/>
      <w:r>
        <w:rPr>
          <w:rFonts w:ascii="Times New Roman" w:hAnsi="Times New Roman" w:cs="Times New Roman"/>
          <w:sz w:val="28"/>
        </w:rPr>
        <w:t>Нечкина</w:t>
      </w:r>
      <w:proofErr w:type="spellEnd"/>
      <w:r>
        <w:rPr>
          <w:rFonts w:ascii="Times New Roman" w:hAnsi="Times New Roman" w:cs="Times New Roman"/>
          <w:sz w:val="28"/>
        </w:rPr>
        <w:t>)  неукоснительно соблюдать требования Федерального закона от 27 июля 2010 года № 210-ФЗ «Об организации предоставления государственных и муниципальных услуг».</w:t>
      </w:r>
    </w:p>
    <w:p w:rsidR="00AD5D42" w:rsidRDefault="00AD5D42" w:rsidP="00AD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Ответственным исполнителям муниципальных учреждений</w:t>
      </w:r>
      <w:r w:rsidRPr="00F06465">
        <w:rPr>
          <w:rFonts w:ascii="Times New Roman" w:hAnsi="Times New Roman" w:cs="Times New Roman"/>
          <w:sz w:val="28"/>
        </w:rPr>
        <w:t xml:space="preserve"> Невьянского городского округа</w:t>
      </w:r>
      <w:r>
        <w:rPr>
          <w:rFonts w:ascii="Times New Roman" w:hAnsi="Times New Roman" w:cs="Times New Roman"/>
          <w:sz w:val="28"/>
        </w:rPr>
        <w:t>: Управление  образования  Невьянского городского  округа  (</w:t>
      </w:r>
      <w:r w:rsidRPr="001529EB">
        <w:rPr>
          <w:rFonts w:ascii="Times New Roman" w:hAnsi="Times New Roman" w:cs="Times New Roman"/>
          <w:sz w:val="28"/>
        </w:rPr>
        <w:t>Н.Н</w:t>
      </w:r>
      <w:r>
        <w:rPr>
          <w:rFonts w:ascii="Times New Roman" w:hAnsi="Times New Roman" w:cs="Times New Roman"/>
          <w:sz w:val="28"/>
        </w:rPr>
        <w:t xml:space="preserve">. Агафонова),  </w:t>
      </w:r>
      <w:r w:rsidRPr="001B6F2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униципальное</w:t>
      </w:r>
      <w:r w:rsidRPr="001B6F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казенное</w:t>
      </w:r>
      <w:r w:rsidRPr="001B6F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учреждение</w:t>
      </w:r>
      <w:r w:rsidRPr="001B6F2B">
        <w:rPr>
          <w:rFonts w:ascii="Times New Roman" w:hAnsi="Times New Roman" w:cs="Times New Roman"/>
          <w:sz w:val="28"/>
        </w:rPr>
        <w:t xml:space="preserve"> "</w:t>
      </w:r>
      <w:r>
        <w:rPr>
          <w:rFonts w:ascii="Times New Roman" w:hAnsi="Times New Roman" w:cs="Times New Roman"/>
          <w:sz w:val="28"/>
        </w:rPr>
        <w:t>Управление культуры Невьянского городского округа</w:t>
      </w:r>
      <w:r w:rsidRPr="001B6F2B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(Н.В. Акимова),  </w:t>
      </w:r>
      <w:r w:rsidRPr="001B6F2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униципальное бюджетное</w:t>
      </w:r>
      <w:r w:rsidRPr="001B6F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учреждение</w:t>
      </w:r>
      <w:r w:rsidRPr="001B6F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культуры</w:t>
      </w:r>
      <w:r w:rsidRPr="001B6F2B">
        <w:rPr>
          <w:rFonts w:ascii="Times New Roman" w:hAnsi="Times New Roman" w:cs="Times New Roman"/>
          <w:sz w:val="28"/>
        </w:rPr>
        <w:t xml:space="preserve"> "</w:t>
      </w:r>
      <w:r>
        <w:rPr>
          <w:rFonts w:ascii="Times New Roman" w:hAnsi="Times New Roman" w:cs="Times New Roman"/>
          <w:sz w:val="28"/>
        </w:rPr>
        <w:t>Централизованная</w:t>
      </w:r>
      <w:r w:rsidRPr="001B6F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библиотечная система</w:t>
      </w:r>
      <w:r w:rsidRPr="001B6F2B">
        <w:rPr>
          <w:rFonts w:ascii="Times New Roman" w:hAnsi="Times New Roman" w:cs="Times New Roman"/>
          <w:sz w:val="28"/>
        </w:rPr>
        <w:t xml:space="preserve">" </w:t>
      </w:r>
      <w:r>
        <w:rPr>
          <w:rFonts w:ascii="Times New Roman" w:hAnsi="Times New Roman" w:cs="Times New Roman"/>
          <w:sz w:val="28"/>
        </w:rPr>
        <w:t>Невьянского городского округа  (</w:t>
      </w:r>
      <w:r w:rsidRPr="001529EB">
        <w:rPr>
          <w:rFonts w:ascii="Times New Roman" w:hAnsi="Times New Roman" w:cs="Times New Roman"/>
          <w:sz w:val="28"/>
        </w:rPr>
        <w:t>Л.В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Девяшина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Pr="001B6F2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униципальное</w:t>
      </w:r>
      <w:r w:rsidRPr="001B6F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бюджетное</w:t>
      </w:r>
      <w:r w:rsidRPr="001B6F2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учреждение</w:t>
      </w:r>
      <w:r w:rsidRPr="001B6F2B">
        <w:rPr>
          <w:rFonts w:ascii="Times New Roman" w:hAnsi="Times New Roman" w:cs="Times New Roman"/>
          <w:sz w:val="28"/>
        </w:rPr>
        <w:t xml:space="preserve"> "У</w:t>
      </w:r>
      <w:r>
        <w:rPr>
          <w:rFonts w:ascii="Times New Roman" w:hAnsi="Times New Roman" w:cs="Times New Roman"/>
          <w:sz w:val="28"/>
        </w:rPr>
        <w:t>правление</w:t>
      </w:r>
      <w:r w:rsidRPr="001B6F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хозяйством</w:t>
      </w:r>
      <w:r w:rsidRPr="001B6F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Невьянского городского округа</w:t>
      </w:r>
      <w:r w:rsidRPr="001B6F2B">
        <w:rPr>
          <w:rFonts w:ascii="Times New Roman" w:hAnsi="Times New Roman" w:cs="Times New Roman"/>
          <w:sz w:val="28"/>
        </w:rPr>
        <w:t xml:space="preserve">" </w:t>
      </w:r>
      <w:r>
        <w:rPr>
          <w:rFonts w:ascii="Times New Roman" w:hAnsi="Times New Roman" w:cs="Times New Roman"/>
          <w:sz w:val="28"/>
        </w:rPr>
        <w:t xml:space="preserve">(М.Б. </w:t>
      </w:r>
      <w:proofErr w:type="spellStart"/>
      <w:r>
        <w:rPr>
          <w:rFonts w:ascii="Times New Roman" w:hAnsi="Times New Roman" w:cs="Times New Roman"/>
          <w:sz w:val="28"/>
        </w:rPr>
        <w:t>Шандер</w:t>
      </w:r>
      <w:proofErr w:type="spellEnd"/>
      <w:r>
        <w:rPr>
          <w:rFonts w:ascii="Times New Roman" w:hAnsi="Times New Roman" w:cs="Times New Roman"/>
          <w:sz w:val="28"/>
        </w:rPr>
        <w:t xml:space="preserve">),  </w:t>
      </w:r>
      <w:r w:rsidRPr="001B6F2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пециализированное</w:t>
      </w:r>
      <w:r w:rsidRPr="001B6F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муниципальное</w:t>
      </w:r>
      <w:r w:rsidRPr="001B6F2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бюджетное учреждение</w:t>
      </w:r>
      <w:r w:rsidRPr="001B6F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Невьянского городского округа "Ритуал</w:t>
      </w:r>
      <w:r w:rsidR="000D2C6B">
        <w:rPr>
          <w:rFonts w:ascii="Times New Roman" w:hAnsi="Times New Roman" w:cs="Times New Roman"/>
          <w:sz w:val="28"/>
        </w:rPr>
        <w:t xml:space="preserve">" </w:t>
      </w:r>
      <w:r>
        <w:rPr>
          <w:rFonts w:ascii="Times New Roman" w:hAnsi="Times New Roman" w:cs="Times New Roman"/>
          <w:sz w:val="28"/>
        </w:rPr>
        <w:t>(</w:t>
      </w:r>
      <w:r w:rsidRPr="001529EB">
        <w:rPr>
          <w:rFonts w:ascii="Times New Roman" w:hAnsi="Times New Roman" w:cs="Times New Roman"/>
          <w:sz w:val="28"/>
        </w:rPr>
        <w:t>М.Е.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Ветошкин</w:t>
      </w:r>
      <w:proofErr w:type="spellEnd"/>
      <w:r>
        <w:rPr>
          <w:rFonts w:ascii="Times New Roman" w:hAnsi="Times New Roman" w:cs="Times New Roman"/>
          <w:sz w:val="28"/>
        </w:rPr>
        <w:t>)  неукоснительно соблюдать требования Федерального закона от 27 июля 2010 года № 210-ФЗ «Об организации предоставления государственных и муниципальных услуг».</w:t>
      </w:r>
    </w:p>
    <w:p w:rsidR="00AD5D42" w:rsidRPr="001D7CEE" w:rsidRDefault="00AD5D42" w:rsidP="00AD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5452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ризнать утратившим с</w:t>
      </w:r>
      <w:r w:rsidR="000D2C6B">
        <w:rPr>
          <w:rFonts w:ascii="Times New Roman" w:hAnsi="Times New Roman" w:cs="Times New Roman"/>
          <w:sz w:val="28"/>
        </w:rPr>
        <w:t>илу постановление администрации</w:t>
      </w:r>
      <w:r>
        <w:rPr>
          <w:rFonts w:ascii="Times New Roman" w:hAnsi="Times New Roman" w:cs="Times New Roman"/>
          <w:sz w:val="28"/>
        </w:rPr>
        <w:t xml:space="preserve"> Невьянского городского </w:t>
      </w:r>
      <w:r w:rsidRPr="0025452B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от 26.04.2017</w:t>
      </w:r>
      <w:r w:rsidRPr="00DA6E89">
        <w:rPr>
          <w:rFonts w:ascii="Times New Roman" w:hAnsi="Times New Roman" w:cs="Times New Roman"/>
          <w:sz w:val="28"/>
        </w:rPr>
        <w:t>г.</w:t>
      </w:r>
      <w:r w:rsidRPr="00DA6E89">
        <w:t xml:space="preserve"> </w:t>
      </w:r>
      <w:r w:rsidRPr="00DA6E89">
        <w:rPr>
          <w:rFonts w:ascii="Times New Roman" w:hAnsi="Times New Roman" w:cs="Times New Roman"/>
          <w:sz w:val="28"/>
        </w:rPr>
        <w:t xml:space="preserve">№ 821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</w:rPr>
        <w:t xml:space="preserve">Об утверждении Перечня </w:t>
      </w:r>
      <w:r w:rsidRPr="001D7CEE">
        <w:rPr>
          <w:rFonts w:ascii="Times New Roman" w:hAnsi="Times New Roman" w:cs="Times New Roman"/>
          <w:sz w:val="28"/>
        </w:rPr>
        <w:t>муниципальных услуг, предоставляемых организациями и учреждениями Невьянского городского округа</w:t>
      </w:r>
      <w:r>
        <w:rPr>
          <w:rFonts w:ascii="Times New Roman" w:hAnsi="Times New Roman" w:cs="Times New Roman"/>
          <w:sz w:val="28"/>
        </w:rPr>
        <w:t>».</w:t>
      </w:r>
    </w:p>
    <w:p w:rsidR="00AD5D42" w:rsidRDefault="00AD5D42" w:rsidP="00AD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Контроль за исполнением настоящего постановления возложить на заместителя главы администрации Невьянского городского по вопросам промышленности, экономики и финансов - начальника финансового управления администрации Невьянского городского округа </w:t>
      </w:r>
      <w:r w:rsidRPr="004A7FFC">
        <w:rPr>
          <w:rFonts w:ascii="Times New Roman" w:hAnsi="Times New Roman" w:cs="Times New Roman"/>
          <w:sz w:val="28"/>
        </w:rPr>
        <w:t>А.М.</w:t>
      </w:r>
      <w:r>
        <w:rPr>
          <w:rFonts w:ascii="Times New Roman" w:hAnsi="Times New Roman" w:cs="Times New Roman"/>
          <w:sz w:val="28"/>
        </w:rPr>
        <w:t xml:space="preserve"> Балашова.</w:t>
      </w:r>
    </w:p>
    <w:p w:rsidR="00AD5D42" w:rsidRDefault="00AD5D42" w:rsidP="00AD5D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6. </w:t>
      </w:r>
      <w:r w:rsidRPr="001529EB">
        <w:rPr>
          <w:rFonts w:ascii="Times New Roman" w:hAnsi="Times New Roman" w:cs="Times New Roman"/>
          <w:sz w:val="28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>
        <w:rPr>
          <w:rFonts w:ascii="Times New Roman" w:hAnsi="Times New Roman" w:cs="Times New Roman"/>
          <w:sz w:val="28"/>
        </w:rPr>
        <w:t xml:space="preserve">информационно-телекоммуникационной </w:t>
      </w:r>
      <w:r w:rsidRPr="001529EB">
        <w:rPr>
          <w:rFonts w:ascii="Times New Roman" w:hAnsi="Times New Roman" w:cs="Times New Roman"/>
          <w:sz w:val="28"/>
        </w:rPr>
        <w:t>сети Интернет.</w:t>
      </w:r>
    </w:p>
    <w:p w:rsidR="00AD5D42" w:rsidRDefault="00AD5D42" w:rsidP="00AD5D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5D42" w:rsidRDefault="00AD5D42" w:rsidP="00AD5D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5D42" w:rsidRPr="006F0316" w:rsidRDefault="00AD5D42" w:rsidP="00AD5D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                                                                  </w:t>
      </w:r>
      <w:r w:rsidRPr="003F28B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</w:t>
      </w:r>
      <w:r w:rsidRPr="003F28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А.А. Берчук</w:t>
      </w:r>
    </w:p>
    <w:p w:rsidR="00AD5D42" w:rsidRPr="00E46B3A" w:rsidRDefault="00AD5D42" w:rsidP="00AD5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D5D42" w:rsidRPr="00E46B3A" w:rsidRDefault="00AD5D42" w:rsidP="00AD5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D5D42" w:rsidRPr="00E46B3A" w:rsidRDefault="00AD5D42" w:rsidP="00AD5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D5D42" w:rsidRPr="00E46B3A" w:rsidRDefault="00AD5D42" w:rsidP="00AD5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D5D42" w:rsidRPr="00E46B3A" w:rsidRDefault="00AD5D42" w:rsidP="00AD5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D5D42" w:rsidRPr="00E46B3A" w:rsidRDefault="00AD5D42" w:rsidP="00AD5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D5D42" w:rsidRPr="00E46B3A" w:rsidRDefault="00AD5D42" w:rsidP="00AD5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D5D42" w:rsidRDefault="00AD5D42" w:rsidP="00AD5D42"/>
    <w:p w:rsidR="00AD5D42" w:rsidRDefault="00AD5D42" w:rsidP="00F75D7A">
      <w:pPr>
        <w:pStyle w:val="Style4"/>
        <w:widowControl/>
        <w:tabs>
          <w:tab w:val="left" w:pos="10065"/>
        </w:tabs>
        <w:ind w:right="-516"/>
        <w:rPr>
          <w:rStyle w:val="FontStyle26"/>
          <w:sz w:val="21"/>
          <w:szCs w:val="21"/>
        </w:rPr>
      </w:pPr>
    </w:p>
    <w:p w:rsidR="00AD5D42" w:rsidRDefault="00AD5D42" w:rsidP="00F75D7A">
      <w:pPr>
        <w:pStyle w:val="Style4"/>
        <w:widowControl/>
        <w:tabs>
          <w:tab w:val="left" w:pos="10065"/>
        </w:tabs>
        <w:ind w:right="-516"/>
        <w:rPr>
          <w:rStyle w:val="FontStyle26"/>
          <w:sz w:val="21"/>
          <w:szCs w:val="21"/>
        </w:rPr>
      </w:pPr>
    </w:p>
    <w:p w:rsidR="00AD5D42" w:rsidRDefault="00AD5D42" w:rsidP="00F75D7A">
      <w:pPr>
        <w:pStyle w:val="Style4"/>
        <w:widowControl/>
        <w:tabs>
          <w:tab w:val="left" w:pos="10065"/>
        </w:tabs>
        <w:ind w:right="-516"/>
        <w:rPr>
          <w:rStyle w:val="FontStyle26"/>
          <w:sz w:val="21"/>
          <w:szCs w:val="21"/>
        </w:rPr>
      </w:pPr>
    </w:p>
    <w:p w:rsidR="00AD5D42" w:rsidRDefault="00AD5D42" w:rsidP="00F75D7A">
      <w:pPr>
        <w:pStyle w:val="Style4"/>
        <w:widowControl/>
        <w:tabs>
          <w:tab w:val="left" w:pos="10065"/>
        </w:tabs>
        <w:ind w:right="-516"/>
        <w:rPr>
          <w:rStyle w:val="FontStyle26"/>
          <w:sz w:val="21"/>
          <w:szCs w:val="21"/>
        </w:rPr>
      </w:pPr>
    </w:p>
    <w:p w:rsidR="00AD5D42" w:rsidRDefault="00AD5D42" w:rsidP="00F75D7A">
      <w:pPr>
        <w:pStyle w:val="Style4"/>
        <w:widowControl/>
        <w:tabs>
          <w:tab w:val="left" w:pos="10065"/>
        </w:tabs>
        <w:ind w:right="-516"/>
        <w:rPr>
          <w:rStyle w:val="FontStyle26"/>
          <w:sz w:val="21"/>
          <w:szCs w:val="21"/>
        </w:rPr>
      </w:pPr>
    </w:p>
    <w:p w:rsidR="00AD5D42" w:rsidRDefault="00AD5D42" w:rsidP="00F75D7A">
      <w:pPr>
        <w:pStyle w:val="Style4"/>
        <w:widowControl/>
        <w:tabs>
          <w:tab w:val="left" w:pos="10065"/>
        </w:tabs>
        <w:ind w:right="-516"/>
        <w:rPr>
          <w:rStyle w:val="FontStyle26"/>
          <w:sz w:val="21"/>
          <w:szCs w:val="21"/>
        </w:rPr>
      </w:pPr>
    </w:p>
    <w:p w:rsidR="00AD5D42" w:rsidRDefault="00AD5D42" w:rsidP="00F75D7A">
      <w:pPr>
        <w:pStyle w:val="Style4"/>
        <w:widowControl/>
        <w:tabs>
          <w:tab w:val="left" w:pos="10065"/>
        </w:tabs>
        <w:ind w:right="-516"/>
        <w:rPr>
          <w:rStyle w:val="FontStyle26"/>
          <w:sz w:val="21"/>
          <w:szCs w:val="21"/>
        </w:rPr>
      </w:pPr>
    </w:p>
    <w:p w:rsidR="00AD5D42" w:rsidRDefault="00AD5D42" w:rsidP="00F75D7A">
      <w:pPr>
        <w:pStyle w:val="Style4"/>
        <w:widowControl/>
        <w:tabs>
          <w:tab w:val="left" w:pos="10065"/>
        </w:tabs>
        <w:ind w:right="-516"/>
        <w:rPr>
          <w:rStyle w:val="FontStyle26"/>
          <w:sz w:val="21"/>
          <w:szCs w:val="21"/>
        </w:rPr>
      </w:pPr>
    </w:p>
    <w:p w:rsidR="00AD5D42" w:rsidRDefault="00AD5D42" w:rsidP="00F75D7A">
      <w:pPr>
        <w:pStyle w:val="Style4"/>
        <w:widowControl/>
        <w:tabs>
          <w:tab w:val="left" w:pos="10065"/>
        </w:tabs>
        <w:ind w:right="-516"/>
        <w:rPr>
          <w:rStyle w:val="FontStyle26"/>
          <w:sz w:val="21"/>
          <w:szCs w:val="21"/>
        </w:rPr>
      </w:pPr>
    </w:p>
    <w:p w:rsidR="005F4EC3" w:rsidRDefault="005F4EC3" w:rsidP="00F75D7A">
      <w:pPr>
        <w:pStyle w:val="Style4"/>
        <w:widowControl/>
        <w:tabs>
          <w:tab w:val="left" w:pos="10065"/>
        </w:tabs>
        <w:ind w:right="-516"/>
        <w:rPr>
          <w:rStyle w:val="FontStyle26"/>
          <w:sz w:val="21"/>
          <w:szCs w:val="21"/>
        </w:rPr>
        <w:sectPr w:rsidR="005F4EC3" w:rsidSect="005F4EC3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F75D7A" w:rsidRDefault="00F75D7A" w:rsidP="00F75D7A">
      <w:pPr>
        <w:pStyle w:val="Style4"/>
        <w:widowControl/>
        <w:tabs>
          <w:tab w:val="left" w:pos="10065"/>
        </w:tabs>
        <w:ind w:right="-516"/>
        <w:rPr>
          <w:rStyle w:val="FontStyle26"/>
          <w:sz w:val="21"/>
          <w:szCs w:val="21"/>
        </w:rPr>
      </w:pPr>
    </w:p>
    <w:p w:rsidR="00FA760C" w:rsidRPr="00705C47" w:rsidRDefault="00FA760C" w:rsidP="00FA760C">
      <w:pPr>
        <w:pStyle w:val="Style4"/>
        <w:widowControl/>
        <w:ind w:left="10065" w:right="-516"/>
        <w:jc w:val="right"/>
        <w:rPr>
          <w:rStyle w:val="FontStyle26"/>
          <w:sz w:val="21"/>
          <w:szCs w:val="21"/>
        </w:rPr>
      </w:pPr>
      <w:r w:rsidRPr="00705C47">
        <w:rPr>
          <w:rStyle w:val="FontStyle26"/>
          <w:sz w:val="21"/>
          <w:szCs w:val="21"/>
        </w:rPr>
        <w:t xml:space="preserve">УТВЕРЖДЕН </w:t>
      </w:r>
    </w:p>
    <w:p w:rsidR="00FA760C" w:rsidRPr="00705C47" w:rsidRDefault="00FA760C" w:rsidP="00FA760C">
      <w:pPr>
        <w:pStyle w:val="Style4"/>
        <w:widowControl/>
        <w:tabs>
          <w:tab w:val="left" w:pos="11057"/>
        </w:tabs>
        <w:ind w:left="10065" w:right="-516"/>
        <w:jc w:val="right"/>
        <w:rPr>
          <w:rStyle w:val="FontStyle26"/>
          <w:sz w:val="21"/>
          <w:szCs w:val="21"/>
        </w:rPr>
      </w:pPr>
      <w:r w:rsidRPr="00705C47">
        <w:rPr>
          <w:rStyle w:val="FontStyle26"/>
          <w:sz w:val="21"/>
          <w:szCs w:val="21"/>
        </w:rPr>
        <w:tab/>
        <w:t>постановлением администрации Невьянского городского округа</w:t>
      </w:r>
    </w:p>
    <w:p w:rsidR="00FA760C" w:rsidRPr="00705C47" w:rsidRDefault="00FA760C" w:rsidP="00FA760C">
      <w:pPr>
        <w:pStyle w:val="Style4"/>
        <w:widowControl/>
        <w:ind w:left="10065" w:right="-516"/>
        <w:jc w:val="right"/>
        <w:rPr>
          <w:rStyle w:val="FontStyle26"/>
          <w:sz w:val="21"/>
          <w:szCs w:val="21"/>
          <w:u w:val="single"/>
        </w:rPr>
      </w:pPr>
      <w:r w:rsidRPr="00705C47">
        <w:rPr>
          <w:rStyle w:val="FontStyle26"/>
          <w:sz w:val="21"/>
          <w:szCs w:val="21"/>
        </w:rPr>
        <w:t xml:space="preserve">    от </w:t>
      </w:r>
      <w:r w:rsidR="007C7C53" w:rsidRPr="00705C47">
        <w:rPr>
          <w:rStyle w:val="FontStyle26"/>
          <w:sz w:val="21"/>
          <w:szCs w:val="21"/>
          <w:u w:val="single"/>
        </w:rPr>
        <w:t xml:space="preserve">10.05.2017 г </w:t>
      </w:r>
      <w:r w:rsidRPr="00705C47">
        <w:rPr>
          <w:rStyle w:val="FontStyle26"/>
          <w:sz w:val="21"/>
          <w:szCs w:val="21"/>
        </w:rPr>
        <w:t xml:space="preserve">№ </w:t>
      </w:r>
      <w:r w:rsidR="007C7C53" w:rsidRPr="00705C47">
        <w:rPr>
          <w:rStyle w:val="FontStyle26"/>
          <w:sz w:val="21"/>
          <w:szCs w:val="21"/>
          <w:u w:val="single"/>
        </w:rPr>
        <w:t>891-п</w:t>
      </w:r>
    </w:p>
    <w:p w:rsidR="00E954DA" w:rsidRPr="00705C47" w:rsidRDefault="00E954DA" w:rsidP="00E9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D2C6B" w:rsidRDefault="00E954DA" w:rsidP="000D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05C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Перечень</w:t>
      </w:r>
      <w:r w:rsidR="000D2C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705C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муниципальных услуг, предоставляемых муниципальными учреждениями Невьянского городского округа </w:t>
      </w:r>
    </w:p>
    <w:p w:rsidR="00E954DA" w:rsidRPr="00705C47" w:rsidRDefault="00E954DA" w:rsidP="000D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05C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администрацией Невьянского городского округа</w:t>
      </w:r>
    </w:p>
    <w:p w:rsidR="00E954DA" w:rsidRPr="00705C47" w:rsidRDefault="00E954DA" w:rsidP="00E9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88"/>
        <w:gridCol w:w="10022"/>
        <w:gridCol w:w="4666"/>
      </w:tblGrid>
      <w:tr w:rsidR="00455279" w:rsidRPr="00705C47" w:rsidTr="00455279">
        <w:tc>
          <w:tcPr>
            <w:tcW w:w="588" w:type="dxa"/>
            <w:vAlign w:val="center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10022" w:type="dxa"/>
            <w:vAlign w:val="center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E954DA" w:rsidRPr="00705C47" w:rsidTr="0048403C">
        <w:tc>
          <w:tcPr>
            <w:tcW w:w="15276" w:type="dxa"/>
            <w:gridSpan w:val="3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1.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2.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3.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4.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5.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6.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7.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E954DA" w:rsidRPr="00705C47" w:rsidTr="0048403C">
        <w:tc>
          <w:tcPr>
            <w:tcW w:w="15276" w:type="dxa"/>
            <w:gridSpan w:val="3"/>
          </w:tcPr>
          <w:p w:rsidR="00E954DA" w:rsidRPr="00705C47" w:rsidRDefault="00E954DA" w:rsidP="00A33B8E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8.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9.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10.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11.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lastRenderedPageBreak/>
              <w:t>12.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E954DA" w:rsidRPr="00705C47" w:rsidTr="0048403C">
        <w:tc>
          <w:tcPr>
            <w:tcW w:w="15276" w:type="dxa"/>
            <w:gridSpan w:val="3"/>
          </w:tcPr>
          <w:p w:rsidR="00E954DA" w:rsidRPr="00705C47" w:rsidRDefault="00E954DA" w:rsidP="00A33B8E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13.</w:t>
            </w:r>
          </w:p>
        </w:tc>
        <w:tc>
          <w:tcPr>
            <w:tcW w:w="10022" w:type="dxa"/>
          </w:tcPr>
          <w:p w:rsidR="00E954DA" w:rsidRPr="00705C47" w:rsidRDefault="00E954DA" w:rsidP="00D835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 или ином законном основании, в план организации и проведения ярмарок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14.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Выдача, продление и 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E954DA" w:rsidRPr="00705C47" w:rsidTr="0048403C">
        <w:tc>
          <w:tcPr>
            <w:tcW w:w="15276" w:type="dxa"/>
            <w:gridSpan w:val="3"/>
          </w:tcPr>
          <w:p w:rsidR="00E954DA" w:rsidRPr="00705C47" w:rsidRDefault="00E954DA" w:rsidP="0048403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15.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16.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Рабочая группа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A33B8E" w:rsidP="00A33B8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05C47">
              <w:rPr>
                <w:rFonts w:hAnsi="Times New Roman"/>
                <w:bCs/>
                <w:sz w:val="21"/>
                <w:szCs w:val="21"/>
              </w:rPr>
              <w:t>17.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A33B8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18</w:t>
            </w:r>
            <w:r w:rsidR="00A33B8E" w:rsidRPr="00705C47">
              <w:rPr>
                <w:rFonts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color w:val="FF0000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разрешений на вступление</w:t>
            </w:r>
            <w:r w:rsidR="000774A8" w:rsidRPr="00705C47">
              <w:rPr>
                <w:rFonts w:hAnsi="Times New Roman"/>
                <w:sz w:val="21"/>
                <w:szCs w:val="21"/>
              </w:rPr>
              <w:t xml:space="preserve"> в брак несовершеннолетним гражданам</w:t>
            </w:r>
            <w:r w:rsidRPr="00705C47">
              <w:rPr>
                <w:rFonts w:hAnsi="Times New Roman"/>
                <w:sz w:val="21"/>
                <w:szCs w:val="21"/>
              </w:rPr>
              <w:t>, достигшим возраста шестнадцати лет</w:t>
            </w:r>
            <w:r w:rsidR="000774A8" w:rsidRPr="00705C47">
              <w:rPr>
                <w:rFonts w:hAnsi="Times New Roman"/>
                <w:sz w:val="21"/>
                <w:szCs w:val="21"/>
              </w:rPr>
              <w:t>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color w:val="FF0000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E954DA" w:rsidRPr="00705C47" w:rsidTr="0048403C">
        <w:tc>
          <w:tcPr>
            <w:tcW w:w="15276" w:type="dxa"/>
            <w:gridSpan w:val="3"/>
          </w:tcPr>
          <w:p w:rsidR="00E954DA" w:rsidRPr="00705C47" w:rsidRDefault="00E954DA" w:rsidP="00455279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19</w:t>
            </w:r>
            <w:r w:rsidR="00455279" w:rsidRPr="00705C47">
              <w:rPr>
                <w:rFonts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0022" w:type="dxa"/>
          </w:tcPr>
          <w:p w:rsidR="00E954DA" w:rsidRPr="00705C47" w:rsidRDefault="00BF3713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однократно бесплатно земельных участков в собственность граждан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20</w:t>
            </w:r>
            <w:r w:rsidR="00455279" w:rsidRPr="00705C47">
              <w:rPr>
                <w:rFonts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0022" w:type="dxa"/>
          </w:tcPr>
          <w:p w:rsidR="00E954DA" w:rsidRPr="00705C47" w:rsidRDefault="00A7063A" w:rsidP="00E954DA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21</w:t>
            </w:r>
            <w:r w:rsidR="00455279" w:rsidRPr="00705C47">
              <w:rPr>
                <w:rFonts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22</w:t>
            </w:r>
          </w:p>
        </w:tc>
        <w:tc>
          <w:tcPr>
            <w:tcW w:w="10022" w:type="dxa"/>
          </w:tcPr>
          <w:p w:rsidR="00E954DA" w:rsidRPr="00705C47" w:rsidRDefault="005A796D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23</w:t>
            </w:r>
          </w:p>
        </w:tc>
        <w:tc>
          <w:tcPr>
            <w:tcW w:w="10022" w:type="dxa"/>
          </w:tcPr>
          <w:p w:rsidR="00E954DA" w:rsidRPr="00705C47" w:rsidRDefault="00A464B0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</w:t>
            </w:r>
            <w:r w:rsidR="00F75D7A">
              <w:rPr>
                <w:rFonts w:hAnsi="Times New Roman"/>
                <w:sz w:val="21"/>
                <w:szCs w:val="21"/>
              </w:rPr>
              <w:t>2</w:t>
            </w:r>
            <w:r w:rsidRPr="00705C47">
              <w:rPr>
                <w:rFonts w:hAnsi="Times New Roman"/>
                <w:sz w:val="21"/>
                <w:szCs w:val="21"/>
              </w:rPr>
              <w:t>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lastRenderedPageBreak/>
              <w:t>24</w:t>
            </w:r>
          </w:p>
        </w:tc>
        <w:tc>
          <w:tcPr>
            <w:tcW w:w="10022" w:type="dxa"/>
          </w:tcPr>
          <w:p w:rsidR="00E954DA" w:rsidRPr="00705C47" w:rsidRDefault="00A7063A" w:rsidP="00E954DA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25</w:t>
            </w:r>
          </w:p>
        </w:tc>
        <w:tc>
          <w:tcPr>
            <w:tcW w:w="10022" w:type="dxa"/>
          </w:tcPr>
          <w:p w:rsidR="00E954DA" w:rsidRPr="00705C47" w:rsidRDefault="00A464B0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26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27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Исключение жилых помещений из числа служебных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28</w:t>
            </w:r>
          </w:p>
        </w:tc>
        <w:tc>
          <w:tcPr>
            <w:tcW w:w="10022" w:type="dxa"/>
          </w:tcPr>
          <w:p w:rsidR="00E954DA" w:rsidRPr="00705C47" w:rsidRDefault="00A7063A" w:rsidP="00E954DA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10022" w:type="dxa"/>
          </w:tcPr>
          <w:p w:rsidR="00E954DA" w:rsidRPr="00705C47" w:rsidRDefault="005A796D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30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0E0248" w:rsidRPr="00705C47">
              <w:rPr>
                <w:rFonts w:hAnsi="Times New Roman"/>
                <w:sz w:val="21"/>
                <w:szCs w:val="21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31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</w:t>
            </w:r>
            <w:r w:rsidR="00DA50E0" w:rsidRPr="00705C47">
              <w:rPr>
                <w:rFonts w:hAnsi="Times New Roman"/>
                <w:sz w:val="21"/>
                <w:szCs w:val="21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32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разрешений на проведение земляных работ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33</w:t>
            </w:r>
          </w:p>
        </w:tc>
        <w:tc>
          <w:tcPr>
            <w:tcW w:w="10022" w:type="dxa"/>
          </w:tcPr>
          <w:p w:rsidR="00E954DA" w:rsidRPr="00705C47" w:rsidRDefault="00A7063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34</w:t>
            </w:r>
          </w:p>
        </w:tc>
        <w:tc>
          <w:tcPr>
            <w:tcW w:w="10022" w:type="dxa"/>
          </w:tcPr>
          <w:p w:rsidR="00E954DA" w:rsidRPr="00705C47" w:rsidRDefault="00A464B0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35</w:t>
            </w:r>
          </w:p>
        </w:tc>
        <w:tc>
          <w:tcPr>
            <w:tcW w:w="10022" w:type="dxa"/>
          </w:tcPr>
          <w:p w:rsidR="00E954DA" w:rsidRPr="00705C47" w:rsidRDefault="000774A8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36</w:t>
            </w:r>
          </w:p>
        </w:tc>
        <w:tc>
          <w:tcPr>
            <w:tcW w:w="10022" w:type="dxa"/>
          </w:tcPr>
          <w:p w:rsidR="00E954DA" w:rsidRPr="00705C47" w:rsidRDefault="00A7063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37</w:t>
            </w:r>
          </w:p>
        </w:tc>
        <w:tc>
          <w:tcPr>
            <w:tcW w:w="10022" w:type="dxa"/>
          </w:tcPr>
          <w:p w:rsidR="00E954DA" w:rsidRPr="00705C47" w:rsidRDefault="00A7063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 xml:space="preserve"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</w:t>
            </w:r>
            <w:r w:rsidRPr="00705C47">
              <w:rPr>
                <w:rFonts w:hAnsi="Times New Roman"/>
                <w:sz w:val="21"/>
                <w:szCs w:val="21"/>
              </w:rPr>
              <w:lastRenderedPageBreak/>
              <w:t>субъектов Российской Федерации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lastRenderedPageBreak/>
              <w:t xml:space="preserve">Комитет по управлению муниципальным имуществом администрации Невьянского </w:t>
            </w:r>
            <w:r w:rsidRPr="00705C47">
              <w:rPr>
                <w:rFonts w:hAnsi="Times New Roman"/>
                <w:sz w:val="21"/>
                <w:szCs w:val="21"/>
              </w:rPr>
              <w:lastRenderedPageBreak/>
              <w:t>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lastRenderedPageBreak/>
              <w:t>38</w:t>
            </w:r>
          </w:p>
        </w:tc>
        <w:tc>
          <w:tcPr>
            <w:tcW w:w="10022" w:type="dxa"/>
          </w:tcPr>
          <w:p w:rsidR="00E954DA" w:rsidRPr="00705C47" w:rsidRDefault="00A7063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E954DA" w:rsidRPr="00705C47" w:rsidTr="0048403C">
        <w:tc>
          <w:tcPr>
            <w:tcW w:w="15276" w:type="dxa"/>
            <w:gridSpan w:val="3"/>
          </w:tcPr>
          <w:p w:rsidR="00E954DA" w:rsidRPr="009E657F" w:rsidRDefault="009E657F" w:rsidP="0045527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9E657F">
              <w:rPr>
                <w:rFonts w:hAnsi="Times New Roman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39</w:t>
            </w:r>
          </w:p>
        </w:tc>
        <w:tc>
          <w:tcPr>
            <w:tcW w:w="10022" w:type="dxa"/>
          </w:tcPr>
          <w:p w:rsidR="00E954DA" w:rsidRPr="00705C47" w:rsidRDefault="004A78FD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40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4143CC" w:rsidRPr="00705C47">
              <w:rPr>
                <w:rFonts w:hAnsi="Times New Roman"/>
                <w:sz w:val="21"/>
                <w:szCs w:val="21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41</w:t>
            </w:r>
          </w:p>
        </w:tc>
        <w:tc>
          <w:tcPr>
            <w:tcW w:w="10022" w:type="dxa"/>
          </w:tcPr>
          <w:p w:rsidR="00E954DA" w:rsidRPr="00705C47" w:rsidRDefault="004A78FD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42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градостроительного плана земельного участка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43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 xml:space="preserve">Выдача разрешения на строительство (реконструкцию), продление (прекращение) действия разрешения на строительство (реконструкцию), внесение изменений в разрешение на строительство (реконструкцию) </w:t>
            </w:r>
            <w:bookmarkStart w:id="0" w:name="_GoBack"/>
            <w:r w:rsidRPr="00705C47">
              <w:rPr>
                <w:rFonts w:hAnsi="Times New Roman"/>
                <w:sz w:val="21"/>
                <w:szCs w:val="21"/>
              </w:rPr>
              <w:t xml:space="preserve">объектов капитального </w:t>
            </w:r>
            <w:bookmarkEnd w:id="0"/>
            <w:r w:rsidRPr="00705C47">
              <w:rPr>
                <w:rFonts w:hAnsi="Times New Roman"/>
                <w:sz w:val="21"/>
                <w:szCs w:val="21"/>
              </w:rPr>
              <w:t>строительства и  объектов индивидуального жилищного строительства на территории</w:t>
            </w:r>
            <w:r w:rsidR="00B92010" w:rsidRPr="00705C47">
              <w:rPr>
                <w:rFonts w:hAnsi="Times New Roman"/>
                <w:sz w:val="21"/>
                <w:szCs w:val="21"/>
              </w:rPr>
              <w:t xml:space="preserve"> Невьянского городского 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44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Присвоение, изменение адреса объекту адресации и аннулирование адреса объекта адресации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45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46</w:t>
            </w:r>
          </w:p>
        </w:tc>
        <w:tc>
          <w:tcPr>
            <w:tcW w:w="10022" w:type="dxa"/>
          </w:tcPr>
          <w:p w:rsidR="00E954DA" w:rsidRPr="00705C47" w:rsidRDefault="00E954DA" w:rsidP="002459B8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разрешения на отклонение от предельных параме</w:t>
            </w:r>
            <w:r w:rsidR="002459B8" w:rsidRPr="00705C47">
              <w:rPr>
                <w:rFonts w:hAnsi="Times New Roman"/>
                <w:sz w:val="21"/>
                <w:szCs w:val="21"/>
              </w:rPr>
              <w:t>тров разрешенного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A82417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47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территории Невьянского городского округа»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E954DA" w:rsidRPr="00705C47" w:rsidTr="0048403C">
        <w:tc>
          <w:tcPr>
            <w:tcW w:w="15276" w:type="dxa"/>
            <w:gridSpan w:val="3"/>
          </w:tcPr>
          <w:p w:rsidR="00E954DA" w:rsidRPr="009E657F" w:rsidRDefault="009E657F" w:rsidP="0045527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9E657F">
              <w:rPr>
                <w:rFonts w:hAnsi="Times New Roman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8403C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48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E954DA" w:rsidRPr="00705C47" w:rsidTr="0048403C">
        <w:tc>
          <w:tcPr>
            <w:tcW w:w="15276" w:type="dxa"/>
            <w:gridSpan w:val="3"/>
          </w:tcPr>
          <w:p w:rsidR="00E954DA" w:rsidRPr="009E657F" w:rsidRDefault="009E657F" w:rsidP="0045527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9E657F">
              <w:rPr>
                <w:rFonts w:hAnsi="Times New Roman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49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lastRenderedPageBreak/>
              <w:t>50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51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E954DA" w:rsidRPr="00705C47" w:rsidTr="0048403C">
        <w:tc>
          <w:tcPr>
            <w:tcW w:w="15276" w:type="dxa"/>
            <w:gridSpan w:val="3"/>
          </w:tcPr>
          <w:p w:rsidR="00E954DA" w:rsidRPr="009E657F" w:rsidRDefault="009E657F" w:rsidP="00455279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9E657F">
              <w:rPr>
                <w:rFonts w:hAnsi="Times New Roman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52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53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54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E954DA" w:rsidRPr="00705C47" w:rsidTr="0048403C">
        <w:tc>
          <w:tcPr>
            <w:tcW w:w="15276" w:type="dxa"/>
            <w:gridSpan w:val="3"/>
          </w:tcPr>
          <w:p w:rsidR="00E954DA" w:rsidRPr="009E657F" w:rsidRDefault="009E657F" w:rsidP="00455279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9E657F">
              <w:rPr>
                <w:rFonts w:hAnsi="Times New Roman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55</w:t>
            </w:r>
          </w:p>
        </w:tc>
        <w:tc>
          <w:tcPr>
            <w:tcW w:w="10022" w:type="dxa"/>
          </w:tcPr>
          <w:p w:rsidR="00E954DA" w:rsidRPr="00705C47" w:rsidRDefault="000774A8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56</w:t>
            </w:r>
          </w:p>
        </w:tc>
        <w:tc>
          <w:tcPr>
            <w:tcW w:w="10022" w:type="dxa"/>
          </w:tcPr>
          <w:p w:rsidR="00E954DA" w:rsidRPr="00705C47" w:rsidRDefault="00E954DA" w:rsidP="00861036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57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58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 w:rsidR="00857182" w:rsidRPr="00705C47">
              <w:rPr>
                <w:rFonts w:hAnsi="Times New Roman"/>
                <w:sz w:val="21"/>
                <w:szCs w:val="21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  <w:p w:rsidR="00E7297D" w:rsidRPr="00705C47" w:rsidRDefault="00E7297D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59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60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29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61</w:t>
            </w:r>
          </w:p>
        </w:tc>
        <w:tc>
          <w:tcPr>
            <w:tcW w:w="10022" w:type="dxa"/>
          </w:tcPr>
          <w:p w:rsidR="00E954DA" w:rsidRPr="00705C47" w:rsidRDefault="000774A8" w:rsidP="00E954DA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62</w:t>
            </w:r>
          </w:p>
        </w:tc>
        <w:tc>
          <w:tcPr>
            <w:tcW w:w="10022" w:type="dxa"/>
          </w:tcPr>
          <w:p w:rsidR="00E954DA" w:rsidRPr="00705C47" w:rsidRDefault="00000805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63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 xml:space="preserve">Отдел капитального строительства </w:t>
            </w:r>
            <w:r w:rsidRPr="00705C47">
              <w:rPr>
                <w:rFonts w:hAnsi="Times New Roman"/>
                <w:sz w:val="21"/>
                <w:szCs w:val="21"/>
              </w:rPr>
              <w:lastRenderedPageBreak/>
              <w:t>администрации Невьянского городского округа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lastRenderedPageBreak/>
              <w:t>64</w:t>
            </w:r>
          </w:p>
        </w:tc>
        <w:tc>
          <w:tcPr>
            <w:tcW w:w="10022" w:type="dxa"/>
          </w:tcPr>
          <w:p w:rsidR="00E954DA" w:rsidRPr="00705C47" w:rsidRDefault="00E954DA" w:rsidP="004E0549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  <w:r w:rsidR="00523B68" w:rsidRPr="00705C47">
              <w:rPr>
                <w:rFonts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E954DA" w:rsidRPr="00705C47" w:rsidRDefault="00E954DA" w:rsidP="00E954DA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65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666" w:type="dxa"/>
          </w:tcPr>
          <w:p w:rsidR="00E954DA" w:rsidRPr="00705C47" w:rsidRDefault="00802C04" w:rsidP="00E954DA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E954DA" w:rsidRPr="00705C47" w:rsidTr="0048403C">
        <w:tc>
          <w:tcPr>
            <w:tcW w:w="15276" w:type="dxa"/>
            <w:gridSpan w:val="3"/>
          </w:tcPr>
          <w:p w:rsidR="00E954DA" w:rsidRPr="0011520E" w:rsidRDefault="0011520E" w:rsidP="00455279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11520E">
              <w:rPr>
                <w:rFonts w:hAnsi="Times New Roman"/>
                <w:b/>
                <w:sz w:val="21"/>
                <w:szCs w:val="21"/>
              </w:rPr>
              <w:t>СБМУ НГО «Ритуал»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66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67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455279" w:rsidRPr="00705C47" w:rsidTr="00455279">
        <w:tc>
          <w:tcPr>
            <w:tcW w:w="588" w:type="dxa"/>
          </w:tcPr>
          <w:p w:rsidR="00E954DA" w:rsidRPr="00705C47" w:rsidRDefault="00F75D7A" w:rsidP="00455279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68</w:t>
            </w:r>
          </w:p>
        </w:tc>
        <w:tc>
          <w:tcPr>
            <w:tcW w:w="10022" w:type="dxa"/>
          </w:tcPr>
          <w:p w:rsidR="00E954DA" w:rsidRPr="00705C47" w:rsidRDefault="00E954DA" w:rsidP="00E954DA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Выдача удостоверения о захоронении</w:t>
            </w:r>
          </w:p>
        </w:tc>
        <w:tc>
          <w:tcPr>
            <w:tcW w:w="4666" w:type="dxa"/>
          </w:tcPr>
          <w:p w:rsidR="00E954DA" w:rsidRPr="00705C47" w:rsidRDefault="00E954DA" w:rsidP="00E954DA">
            <w:pPr>
              <w:rPr>
                <w:rFonts w:hAnsi="Times New Roman"/>
                <w:sz w:val="21"/>
                <w:szCs w:val="21"/>
              </w:rPr>
            </w:pPr>
            <w:r w:rsidRPr="00705C4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</w:tbl>
    <w:p w:rsidR="00E954DA" w:rsidRPr="00705C47" w:rsidRDefault="00E954DA" w:rsidP="00E954DA">
      <w:pPr>
        <w:rPr>
          <w:sz w:val="21"/>
          <w:szCs w:val="21"/>
        </w:rPr>
      </w:pPr>
    </w:p>
    <w:p w:rsidR="00BA225B" w:rsidRPr="00705C47" w:rsidRDefault="00BA225B" w:rsidP="00E954DA">
      <w:pPr>
        <w:ind w:left="-993" w:firstLine="993"/>
        <w:rPr>
          <w:sz w:val="21"/>
          <w:szCs w:val="21"/>
        </w:rPr>
      </w:pPr>
    </w:p>
    <w:sectPr w:rsidR="00BA225B" w:rsidRPr="00705C47" w:rsidSect="005F4E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0B" w:rsidRDefault="0094670B" w:rsidP="0094670B">
      <w:pPr>
        <w:spacing w:after="0" w:line="240" w:lineRule="auto"/>
      </w:pPr>
      <w:r>
        <w:separator/>
      </w:r>
    </w:p>
  </w:endnote>
  <w:endnote w:type="continuationSeparator" w:id="0">
    <w:p w:rsidR="0094670B" w:rsidRDefault="0094670B" w:rsidP="0094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0B" w:rsidRDefault="0094670B" w:rsidP="0094670B">
      <w:pPr>
        <w:spacing w:after="0" w:line="240" w:lineRule="auto"/>
      </w:pPr>
      <w:r>
        <w:separator/>
      </w:r>
    </w:p>
  </w:footnote>
  <w:footnote w:type="continuationSeparator" w:id="0">
    <w:p w:rsidR="0094670B" w:rsidRDefault="0094670B" w:rsidP="0094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A38"/>
    <w:multiLevelType w:val="hybridMultilevel"/>
    <w:tmpl w:val="24808B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DA"/>
    <w:rsid w:val="00000805"/>
    <w:rsid w:val="00001980"/>
    <w:rsid w:val="00011813"/>
    <w:rsid w:val="00026452"/>
    <w:rsid w:val="00040F58"/>
    <w:rsid w:val="00046736"/>
    <w:rsid w:val="00053490"/>
    <w:rsid w:val="000774A8"/>
    <w:rsid w:val="00083C05"/>
    <w:rsid w:val="000D2C6B"/>
    <w:rsid w:val="000D3710"/>
    <w:rsid w:val="000D6DFB"/>
    <w:rsid w:val="000E0248"/>
    <w:rsid w:val="000E7CA4"/>
    <w:rsid w:val="00105FC2"/>
    <w:rsid w:val="0011520E"/>
    <w:rsid w:val="0012332A"/>
    <w:rsid w:val="00125BC0"/>
    <w:rsid w:val="0014449C"/>
    <w:rsid w:val="00170D7A"/>
    <w:rsid w:val="001777A4"/>
    <w:rsid w:val="00183822"/>
    <w:rsid w:val="001921F0"/>
    <w:rsid w:val="001C28E0"/>
    <w:rsid w:val="001C4076"/>
    <w:rsid w:val="001C50D5"/>
    <w:rsid w:val="001E56B1"/>
    <w:rsid w:val="00224C59"/>
    <w:rsid w:val="00226A81"/>
    <w:rsid w:val="002315EB"/>
    <w:rsid w:val="002421C2"/>
    <w:rsid w:val="002459B8"/>
    <w:rsid w:val="00254891"/>
    <w:rsid w:val="00257A8C"/>
    <w:rsid w:val="00265E75"/>
    <w:rsid w:val="0027693D"/>
    <w:rsid w:val="00281484"/>
    <w:rsid w:val="00285876"/>
    <w:rsid w:val="002A231E"/>
    <w:rsid w:val="002A7197"/>
    <w:rsid w:val="002D73DF"/>
    <w:rsid w:val="002F1906"/>
    <w:rsid w:val="002F5FE6"/>
    <w:rsid w:val="0030153C"/>
    <w:rsid w:val="003407EF"/>
    <w:rsid w:val="00341882"/>
    <w:rsid w:val="00347471"/>
    <w:rsid w:val="00350B4A"/>
    <w:rsid w:val="00356DAF"/>
    <w:rsid w:val="00362B0A"/>
    <w:rsid w:val="00371797"/>
    <w:rsid w:val="00372A9D"/>
    <w:rsid w:val="003777E6"/>
    <w:rsid w:val="00390C95"/>
    <w:rsid w:val="00391F08"/>
    <w:rsid w:val="003A5A2A"/>
    <w:rsid w:val="003A787C"/>
    <w:rsid w:val="003D15F6"/>
    <w:rsid w:val="003D46BC"/>
    <w:rsid w:val="003D52CB"/>
    <w:rsid w:val="003D7E6F"/>
    <w:rsid w:val="003E7C12"/>
    <w:rsid w:val="00402D93"/>
    <w:rsid w:val="004030D0"/>
    <w:rsid w:val="004143CC"/>
    <w:rsid w:val="0042381D"/>
    <w:rsid w:val="004249C2"/>
    <w:rsid w:val="0042549D"/>
    <w:rsid w:val="004278A3"/>
    <w:rsid w:val="004356D2"/>
    <w:rsid w:val="00455279"/>
    <w:rsid w:val="004569CA"/>
    <w:rsid w:val="004738F9"/>
    <w:rsid w:val="004838F6"/>
    <w:rsid w:val="0048403C"/>
    <w:rsid w:val="0048435E"/>
    <w:rsid w:val="004A7863"/>
    <w:rsid w:val="004A78FD"/>
    <w:rsid w:val="004B2EF0"/>
    <w:rsid w:val="004D7968"/>
    <w:rsid w:val="004E0549"/>
    <w:rsid w:val="004F2AD9"/>
    <w:rsid w:val="004F7243"/>
    <w:rsid w:val="005020E4"/>
    <w:rsid w:val="0051123B"/>
    <w:rsid w:val="0051142D"/>
    <w:rsid w:val="00523B68"/>
    <w:rsid w:val="00536DCA"/>
    <w:rsid w:val="00543E6A"/>
    <w:rsid w:val="0056568E"/>
    <w:rsid w:val="0057503D"/>
    <w:rsid w:val="00586B66"/>
    <w:rsid w:val="00595221"/>
    <w:rsid w:val="005A0223"/>
    <w:rsid w:val="005A1C7E"/>
    <w:rsid w:val="005A796D"/>
    <w:rsid w:val="005C3AC3"/>
    <w:rsid w:val="005C3C6F"/>
    <w:rsid w:val="005C50BF"/>
    <w:rsid w:val="005C765C"/>
    <w:rsid w:val="005E1821"/>
    <w:rsid w:val="005E4992"/>
    <w:rsid w:val="005F4016"/>
    <w:rsid w:val="005F4EC3"/>
    <w:rsid w:val="005F67F7"/>
    <w:rsid w:val="00604398"/>
    <w:rsid w:val="00623226"/>
    <w:rsid w:val="006367FB"/>
    <w:rsid w:val="00645AF5"/>
    <w:rsid w:val="00650A22"/>
    <w:rsid w:val="00663853"/>
    <w:rsid w:val="00697D65"/>
    <w:rsid w:val="006C1C94"/>
    <w:rsid w:val="006E0E46"/>
    <w:rsid w:val="006F0963"/>
    <w:rsid w:val="006F5A34"/>
    <w:rsid w:val="00704121"/>
    <w:rsid w:val="00705C47"/>
    <w:rsid w:val="0070628A"/>
    <w:rsid w:val="00715793"/>
    <w:rsid w:val="00733F0B"/>
    <w:rsid w:val="00745952"/>
    <w:rsid w:val="0076362B"/>
    <w:rsid w:val="007A1A29"/>
    <w:rsid w:val="007A789D"/>
    <w:rsid w:val="007B1E86"/>
    <w:rsid w:val="007B427A"/>
    <w:rsid w:val="007B4F15"/>
    <w:rsid w:val="007B6390"/>
    <w:rsid w:val="007C015B"/>
    <w:rsid w:val="007C061F"/>
    <w:rsid w:val="007C409E"/>
    <w:rsid w:val="007C7C53"/>
    <w:rsid w:val="007D0DDF"/>
    <w:rsid w:val="007D2898"/>
    <w:rsid w:val="007D4234"/>
    <w:rsid w:val="007E392B"/>
    <w:rsid w:val="00801AA4"/>
    <w:rsid w:val="00802C04"/>
    <w:rsid w:val="00806AB7"/>
    <w:rsid w:val="00821050"/>
    <w:rsid w:val="0082296B"/>
    <w:rsid w:val="008276A9"/>
    <w:rsid w:val="008467BF"/>
    <w:rsid w:val="00857182"/>
    <w:rsid w:val="00861036"/>
    <w:rsid w:val="00867EA2"/>
    <w:rsid w:val="00870F6F"/>
    <w:rsid w:val="00874F12"/>
    <w:rsid w:val="00897579"/>
    <w:rsid w:val="008A0C65"/>
    <w:rsid w:val="008B5011"/>
    <w:rsid w:val="008D41D8"/>
    <w:rsid w:val="008D5A72"/>
    <w:rsid w:val="00906282"/>
    <w:rsid w:val="0091064B"/>
    <w:rsid w:val="0091704F"/>
    <w:rsid w:val="00920B54"/>
    <w:rsid w:val="00920E74"/>
    <w:rsid w:val="00921BC3"/>
    <w:rsid w:val="00931C66"/>
    <w:rsid w:val="0094180D"/>
    <w:rsid w:val="0094670B"/>
    <w:rsid w:val="009513BC"/>
    <w:rsid w:val="00960FC4"/>
    <w:rsid w:val="00976723"/>
    <w:rsid w:val="009917FA"/>
    <w:rsid w:val="009A6304"/>
    <w:rsid w:val="009B252F"/>
    <w:rsid w:val="009B6B14"/>
    <w:rsid w:val="009C6714"/>
    <w:rsid w:val="009D180C"/>
    <w:rsid w:val="009D7427"/>
    <w:rsid w:val="009E0F53"/>
    <w:rsid w:val="009E657F"/>
    <w:rsid w:val="00A03BF9"/>
    <w:rsid w:val="00A049ED"/>
    <w:rsid w:val="00A17830"/>
    <w:rsid w:val="00A258D1"/>
    <w:rsid w:val="00A33B8E"/>
    <w:rsid w:val="00A35E67"/>
    <w:rsid w:val="00A464B0"/>
    <w:rsid w:val="00A62B24"/>
    <w:rsid w:val="00A66054"/>
    <w:rsid w:val="00A7063A"/>
    <w:rsid w:val="00A76AD5"/>
    <w:rsid w:val="00A82417"/>
    <w:rsid w:val="00A95D75"/>
    <w:rsid w:val="00A96913"/>
    <w:rsid w:val="00A97076"/>
    <w:rsid w:val="00AA2815"/>
    <w:rsid w:val="00AA5DA3"/>
    <w:rsid w:val="00AA7A9E"/>
    <w:rsid w:val="00AD5D42"/>
    <w:rsid w:val="00AE0448"/>
    <w:rsid w:val="00AE14AE"/>
    <w:rsid w:val="00B06BBD"/>
    <w:rsid w:val="00B323D2"/>
    <w:rsid w:val="00B376E7"/>
    <w:rsid w:val="00B82C0E"/>
    <w:rsid w:val="00B92010"/>
    <w:rsid w:val="00BA16A7"/>
    <w:rsid w:val="00BA225B"/>
    <w:rsid w:val="00BA2D40"/>
    <w:rsid w:val="00BB7C86"/>
    <w:rsid w:val="00BD0314"/>
    <w:rsid w:val="00BD793F"/>
    <w:rsid w:val="00BE1618"/>
    <w:rsid w:val="00BE4876"/>
    <w:rsid w:val="00BE4CE7"/>
    <w:rsid w:val="00BF0A60"/>
    <w:rsid w:val="00BF1E40"/>
    <w:rsid w:val="00BF3713"/>
    <w:rsid w:val="00BF39E3"/>
    <w:rsid w:val="00C108B6"/>
    <w:rsid w:val="00C33EA3"/>
    <w:rsid w:val="00C35A5F"/>
    <w:rsid w:val="00C52106"/>
    <w:rsid w:val="00C62993"/>
    <w:rsid w:val="00C8106A"/>
    <w:rsid w:val="00C8587A"/>
    <w:rsid w:val="00CA5DE5"/>
    <w:rsid w:val="00CA7841"/>
    <w:rsid w:val="00CB63F1"/>
    <w:rsid w:val="00CD1B13"/>
    <w:rsid w:val="00CD58FF"/>
    <w:rsid w:val="00D16F96"/>
    <w:rsid w:val="00D46590"/>
    <w:rsid w:val="00D630D8"/>
    <w:rsid w:val="00D76D56"/>
    <w:rsid w:val="00D8350E"/>
    <w:rsid w:val="00D96ADA"/>
    <w:rsid w:val="00DA50E0"/>
    <w:rsid w:val="00DB1C7A"/>
    <w:rsid w:val="00DD3C57"/>
    <w:rsid w:val="00DE4BBF"/>
    <w:rsid w:val="00E11825"/>
    <w:rsid w:val="00E15C0C"/>
    <w:rsid w:val="00E34429"/>
    <w:rsid w:val="00E354BD"/>
    <w:rsid w:val="00E54DAE"/>
    <w:rsid w:val="00E63003"/>
    <w:rsid w:val="00E63592"/>
    <w:rsid w:val="00E7297D"/>
    <w:rsid w:val="00E90E77"/>
    <w:rsid w:val="00E924BE"/>
    <w:rsid w:val="00E954DA"/>
    <w:rsid w:val="00EE2EA0"/>
    <w:rsid w:val="00EF05B1"/>
    <w:rsid w:val="00EF4DC0"/>
    <w:rsid w:val="00F05014"/>
    <w:rsid w:val="00F10F00"/>
    <w:rsid w:val="00F11DFA"/>
    <w:rsid w:val="00F303F4"/>
    <w:rsid w:val="00F35737"/>
    <w:rsid w:val="00F435EF"/>
    <w:rsid w:val="00F54E68"/>
    <w:rsid w:val="00F75D7A"/>
    <w:rsid w:val="00F96E72"/>
    <w:rsid w:val="00FA4993"/>
    <w:rsid w:val="00FA760C"/>
    <w:rsid w:val="00FA767B"/>
    <w:rsid w:val="00FB2D62"/>
    <w:rsid w:val="00FB37A0"/>
    <w:rsid w:val="00FC675A"/>
    <w:rsid w:val="00FE146B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40873B"/>
  <w15:docId w15:val="{F66A108E-A494-4B52-88BB-8575F59C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4D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FA7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A760C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4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70B"/>
  </w:style>
  <w:style w:type="paragraph" w:styleId="a6">
    <w:name w:val="footer"/>
    <w:basedOn w:val="a"/>
    <w:link w:val="a7"/>
    <w:uiPriority w:val="99"/>
    <w:unhideWhenUsed/>
    <w:rsid w:val="0094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70B"/>
  </w:style>
  <w:style w:type="paragraph" w:styleId="a8">
    <w:name w:val="Balloon Text"/>
    <w:basedOn w:val="a"/>
    <w:link w:val="a9"/>
    <w:uiPriority w:val="99"/>
    <w:semiHidden/>
    <w:unhideWhenUsed/>
    <w:rsid w:val="0070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4FF2-DE73-4741-A293-28282735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putkovaam</cp:lastModifiedBy>
  <cp:revision>36</cp:revision>
  <cp:lastPrinted>2017-09-13T04:37:00Z</cp:lastPrinted>
  <dcterms:created xsi:type="dcterms:W3CDTF">2017-05-04T05:01:00Z</dcterms:created>
  <dcterms:modified xsi:type="dcterms:W3CDTF">2018-03-15T04:38:00Z</dcterms:modified>
</cp:coreProperties>
</file>