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AD4DFD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9264">
            <v:imagedata r:id="rId8" o:title=""/>
          </v:shape>
          <o:OLEObject Type="Embed" ProgID="Word.Picture.8" ShapeID="_x0000_s1026" DrawAspect="Content" ObjectID="_1643553176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B3C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5132C4" w:rsidRPr="006877C3" w:rsidRDefault="005132C4" w:rsidP="005132C4">
      <w:pPr>
        <w:rPr>
          <w:b/>
          <w:sz w:val="28"/>
          <w:szCs w:val="28"/>
        </w:rPr>
      </w:pP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Об утверждении муниципальной программы 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«Развитие транспортной инфраструктуры, дорожного хозяйства в Невьянском городском округе до </w:t>
      </w:r>
      <w:r w:rsidRPr="005132C4">
        <w:rPr>
          <w:b/>
          <w:i/>
          <w:sz w:val="28"/>
          <w:szCs w:val="28"/>
        </w:rPr>
        <w:t>2044 года»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1.Утвердить муниципальную программу «Развитие транспортной инфраструктуры, дорожного хозяйства в Невьянском городском округе до 20</w:t>
      </w:r>
      <w:r>
        <w:rPr>
          <w:sz w:val="28"/>
          <w:szCs w:val="28"/>
        </w:rPr>
        <w:t>44</w:t>
      </w:r>
      <w:r w:rsidRPr="0006045D">
        <w:rPr>
          <w:sz w:val="28"/>
          <w:szCs w:val="28"/>
        </w:rPr>
        <w:t xml:space="preserve"> года» (прилагается).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06045D" w:rsidRDefault="005132C4" w:rsidP="005132C4">
      <w:pPr>
        <w:ind w:firstLine="360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1007F7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>В НЕВЬЯНСКОМ ГОРОДСКОМ ОКРУГЕ ДО 2044 ГОДА"</w:t>
      </w:r>
    </w:p>
    <w:p w:rsidR="005132C4" w:rsidRPr="00E749EB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муниципальной 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Сроки реализации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2C4">
              <w:t>2015-2044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</w:t>
            </w:r>
            <w:r w:rsidRPr="004C3101">
              <w:lastRenderedPageBreak/>
              <w:t xml:space="preserve">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 xml:space="preserve">муниципальной программы        </w:t>
            </w:r>
          </w:p>
          <w:p w:rsidR="003657D5" w:rsidRPr="005132C4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>по годам реализации, тыс. рублей</w:t>
            </w:r>
            <w:r w:rsidRPr="00FB6D9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 xml:space="preserve">ВСЕГО:   627 769,13 тыс. рублей                              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 xml:space="preserve">в том числе: 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2015 год – 39 588,0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2016 год – 97 452,82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2017 год – 107 388,63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2018 год – 131 601,00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2019 год –  74 577,42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2020 год – 90 282,14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2021 год – 40898,00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2022 год – 40898,00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2023 год – 635,32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2024 год – 211,80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2025 год – 211,80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2026 год – 211,80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2027 год – 211,80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2028 год – 211,80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2029 год – 211,80 тыс. рублей;</w:t>
            </w:r>
          </w:p>
          <w:p w:rsidR="00AD4DFD" w:rsidRPr="00DA05C5" w:rsidRDefault="00AD4DFD" w:rsidP="00AD4D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2030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2031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2032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2033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2034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2035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2036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2037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2038 год – 211,80 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2039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2040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2041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2042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2043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 xml:space="preserve">2044 год – 211,80 тыс. рублей 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из них: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 xml:space="preserve">областной бюджет: 195018,90 тыс. рублей, 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в том числе: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2015 год – 15 000,0 тыс. рублей,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2016 год – 70 018,90 тыс. рублей,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2017 год – 70 000,00 тыс. рублей,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2018 год – 40 000,00 тыс. рублей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 xml:space="preserve">местный бюджет: 432 750,23 тыс. рублей,                     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 xml:space="preserve">в том числе: 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2015 год – 24 588,0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2016 год – 27433,92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2017 год – 37388,63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lastRenderedPageBreak/>
              <w:t>2018 год – 91601,00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2019 год – 74 577,42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2020 год – 90 282,14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2021 год – 40 898,00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2022 год – 40 898,00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2023 год – 635,32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2024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2025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2026 год – 211,80 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2027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2028 год – 211,80 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2029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2030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2031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2032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2033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2034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2035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2036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2037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2038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2039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2040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2041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2042 год – 211,80 тыс. рублей;</w:t>
            </w:r>
          </w:p>
          <w:p w:rsidR="00186B01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2043 год – 211,80 тыс. рублей;</w:t>
            </w:r>
          </w:p>
          <w:p w:rsidR="003657D5" w:rsidRPr="00DA05C5" w:rsidRDefault="00186B01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A05C5">
              <w:rPr>
                <w:highlight w:val="yellow"/>
              </w:rPr>
              <w:t>2044 год – 211,80 тыс. рублей</w:t>
            </w:r>
            <w:bookmarkStart w:id="0" w:name="_GoBack"/>
            <w:bookmarkEnd w:id="0"/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lastRenderedPageBreak/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C85C54">
        <w:rPr>
          <w:b/>
          <w:sz w:val="28"/>
          <w:szCs w:val="28"/>
        </w:rPr>
        <w:t>Раздел 1</w:t>
      </w:r>
      <w:r w:rsidRPr="00C85C54">
        <w:rPr>
          <w:sz w:val="28"/>
          <w:szCs w:val="28"/>
        </w:rPr>
        <w:t xml:space="preserve">. </w:t>
      </w:r>
      <w:r w:rsidRPr="00C85C54">
        <w:rPr>
          <w:b/>
          <w:sz w:val="28"/>
          <w:szCs w:val="28"/>
        </w:rPr>
        <w:t>Характеристика и анализ текущего состояния сферы транспортно</w:t>
      </w:r>
      <w:r>
        <w:rPr>
          <w:b/>
          <w:sz w:val="28"/>
          <w:szCs w:val="28"/>
        </w:rPr>
        <w:t>й</w:t>
      </w:r>
      <w:r w:rsidRPr="00C85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по </w:t>
      </w:r>
      <w:r w:rsidRPr="00E749EB">
        <w:rPr>
          <w:rFonts w:ascii="Times" w:hAnsi="Times" w:cs="Times"/>
          <w:color w:val="000000"/>
          <w:sz w:val="28"/>
          <w:szCs w:val="28"/>
        </w:rPr>
        <w:t>строительству, реконструкции и ремонту автомобильных дорог местного значения, мостов, иных транспортных инженерных сооруже</w:t>
      </w:r>
      <w:r>
        <w:rPr>
          <w:rFonts w:ascii="Times" w:hAnsi="Times" w:cs="Times"/>
          <w:color w:val="000000"/>
          <w:sz w:val="28"/>
          <w:szCs w:val="28"/>
        </w:rPr>
        <w:t>ний и объектов благоустройства; р</w:t>
      </w:r>
      <w:r w:rsidRPr="00E749EB">
        <w:rPr>
          <w:rFonts w:ascii="Times" w:hAnsi="Times" w:cs="Times"/>
          <w:color w:val="000000"/>
          <w:sz w:val="28"/>
          <w:szCs w:val="28"/>
        </w:rPr>
        <w:t>азработка основных направлений инвестиционной политики в области развития автомобильных дорог местного зн</w:t>
      </w:r>
      <w:r>
        <w:rPr>
          <w:rFonts w:ascii="Times" w:hAnsi="Times" w:cs="Times"/>
          <w:color w:val="000000"/>
          <w:sz w:val="28"/>
          <w:szCs w:val="28"/>
        </w:rPr>
        <w:t xml:space="preserve">ачения, разработка долгосрочных </w:t>
      </w:r>
      <w:r w:rsidRPr="00E749EB">
        <w:rPr>
          <w:rFonts w:ascii="Times" w:hAnsi="Times" w:cs="Times"/>
          <w:color w:val="000000"/>
          <w:sz w:val="28"/>
          <w:szCs w:val="28"/>
        </w:rPr>
        <w:t>целевых программ по: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развитию улично-дорожной сети, обеспечению ее достаточной пропускной способности и созданию безопасных условий движения;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разработке комплексных схем организации дорожного движения, установки и эксплуатации технических средств организации дорожного движения, разработке системы мер, направленной на сокращение количества дорожно-транспортных  происшествий.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t xml:space="preserve"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</w:t>
      </w:r>
      <w:r w:rsidRPr="00AF0EC6">
        <w:rPr>
          <w:sz w:val="28"/>
          <w:szCs w:val="28"/>
        </w:rPr>
        <w:lastRenderedPageBreak/>
        <w:t>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до </w:t>
      </w:r>
      <w:r w:rsidRPr="005132C4">
        <w:rPr>
          <w:sz w:val="28"/>
          <w:szCs w:val="28"/>
        </w:rPr>
        <w:t>2044 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A44B66" w:rsidRDefault="005132C4" w:rsidP="005132C4">
      <w:pPr>
        <w:ind w:firstLine="708"/>
        <w:jc w:val="center"/>
        <w:rPr>
          <w:b/>
          <w:sz w:val="28"/>
          <w:szCs w:val="28"/>
        </w:rPr>
      </w:pPr>
      <w:r w:rsidRPr="00A44B66">
        <w:rPr>
          <w:b/>
          <w:sz w:val="28"/>
          <w:szCs w:val="28"/>
        </w:rPr>
        <w:t>Раздел 2. Цели и задачи муниципальной 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цели по совершенствованию улично-дорожной сети Невьянского городского округа предусматривает решение задач, направленных 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Реализация 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>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C052A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дорожного хозяйства в Невьянском городском округе </w:t>
      </w:r>
      <w:r w:rsidRPr="005132C4">
        <w:rPr>
          <w:rFonts w:eastAsiaTheme="minorHAnsi"/>
          <w:sz w:val="28"/>
          <w:szCs w:val="28"/>
          <w:lang w:eastAsia="en-US"/>
        </w:rPr>
        <w:t>до 2044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A44B66" w:rsidRDefault="005132C4" w:rsidP="005132C4">
      <w:pPr>
        <w:jc w:val="center"/>
        <w:rPr>
          <w:b/>
          <w:sz w:val="28"/>
          <w:szCs w:val="28"/>
        </w:rPr>
      </w:pPr>
      <w:r w:rsidRPr="00A44B66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5132C4">
        <w:rPr>
          <w:sz w:val="28"/>
          <w:szCs w:val="28"/>
        </w:rPr>
        <w:t>до 2044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за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1" w:name="Par210"/>
            <w:bookmarkEnd w:id="1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Сроки реализации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2C4">
              <w:t>2015 – 2044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23679D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23679D">
              <w:lastRenderedPageBreak/>
              <w:t xml:space="preserve">Объемы финансирования            </w:t>
            </w:r>
          </w:p>
          <w:p w:rsidR="003657D5" w:rsidRPr="0023679D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23679D">
              <w:t xml:space="preserve">муниципальной подпрограммы        </w:t>
            </w:r>
          </w:p>
          <w:p w:rsidR="003657D5" w:rsidRPr="0023679D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23679D"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ВСЕГО: </w:t>
            </w:r>
            <w:r w:rsidR="00F30764">
              <w:rPr>
                <w:highlight w:val="yellow"/>
              </w:rPr>
              <w:t>622 330,03</w:t>
            </w:r>
            <w:r w:rsidRPr="00833CBF">
              <w:rPr>
                <w:highlight w:val="yellow"/>
              </w:rPr>
              <w:t xml:space="preserve"> тыс. рублей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2015 год – 38 749,20 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2016 год –  97087,52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2017 год –  106733,63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2018 год –  130811,00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2019 год –  </w:t>
            </w:r>
            <w:r w:rsidR="00947B36">
              <w:rPr>
                <w:highlight w:val="yellow"/>
              </w:rPr>
              <w:t>74067,42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2020 год – </w:t>
            </w:r>
            <w:r w:rsidR="00947B36">
              <w:rPr>
                <w:highlight w:val="yellow"/>
              </w:rPr>
              <w:t>89522,14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 - </w:t>
            </w:r>
            <w:r w:rsidR="00947B36">
              <w:rPr>
                <w:highlight w:val="yellow"/>
              </w:rPr>
              <w:t>40138,00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2022 год – </w:t>
            </w:r>
            <w:r w:rsidR="00947B36">
              <w:rPr>
                <w:highlight w:val="yellow"/>
              </w:rPr>
              <w:t>40138,00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2023 год – </w:t>
            </w:r>
            <w:r w:rsidR="00947B36">
              <w:rPr>
                <w:highlight w:val="yellow"/>
              </w:rPr>
              <w:t>635,32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2024 год – </w:t>
            </w:r>
            <w:r w:rsidR="00947B36"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2025 год – </w:t>
            </w:r>
            <w:r w:rsidR="00AD4DA2">
              <w:rPr>
                <w:highlight w:val="yellow"/>
              </w:rPr>
              <w:t>211,80</w:t>
            </w:r>
            <w:r w:rsidR="00AD4DA2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2026 год – </w:t>
            </w:r>
            <w:r w:rsidR="00AD4DA2">
              <w:rPr>
                <w:highlight w:val="yellow"/>
              </w:rPr>
              <w:t>211,80</w:t>
            </w:r>
            <w:r w:rsidR="00AD4DA2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2027 год – </w:t>
            </w:r>
            <w:r w:rsidR="00AD4DA2">
              <w:rPr>
                <w:highlight w:val="yellow"/>
              </w:rPr>
              <w:t>211,80</w:t>
            </w:r>
            <w:r w:rsidR="00AD4DA2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2028 год – </w:t>
            </w:r>
            <w:r w:rsidR="00AD4DA2">
              <w:rPr>
                <w:highlight w:val="yellow"/>
              </w:rPr>
              <w:t>211,80</w:t>
            </w:r>
            <w:r w:rsidR="00AD4DA2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2029 год – </w:t>
            </w:r>
            <w:r w:rsidR="00E26A5D">
              <w:rPr>
                <w:highlight w:val="yellow"/>
              </w:rPr>
              <w:t>211,80</w:t>
            </w:r>
            <w:r w:rsidR="00E26A5D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2030 год – </w:t>
            </w:r>
            <w:r w:rsidR="00E26A5D">
              <w:rPr>
                <w:highlight w:val="yellow"/>
              </w:rPr>
              <w:t>211,80</w:t>
            </w:r>
            <w:r w:rsidR="00E26A5D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2031 год – </w:t>
            </w:r>
            <w:r w:rsidR="00E26A5D">
              <w:rPr>
                <w:highlight w:val="yellow"/>
              </w:rPr>
              <w:t>211,80</w:t>
            </w:r>
            <w:r w:rsidR="00E26A5D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2032 год – </w:t>
            </w:r>
            <w:r w:rsidR="00E26A5D">
              <w:rPr>
                <w:highlight w:val="yellow"/>
              </w:rPr>
              <w:t>211,80</w:t>
            </w:r>
            <w:r w:rsidR="00E26A5D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2033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2034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2035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2036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2037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2038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2039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2040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2041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2042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2043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2044 год – </w:t>
            </w:r>
            <w:r w:rsidR="008A0006">
              <w:rPr>
                <w:highlight w:val="yellow"/>
              </w:rPr>
              <w:t>211,80</w:t>
            </w:r>
            <w:r w:rsidR="008A000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 xml:space="preserve">тыс. рублей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из них: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федеральный бюджет: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областной бюджет: 195018,90 тыс. рублей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2015 год – 15 000,0 тыс. рублей,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2016 год – 70018,90 тыс. рублей,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2017 год – 70000,00 тыс. рублей,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2018 год – 40 000,00 тыс. рублей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местный бюджет: </w:t>
            </w:r>
            <w:r w:rsidR="00CF3694">
              <w:rPr>
                <w:highlight w:val="yellow"/>
              </w:rPr>
              <w:t>427 311,13</w:t>
            </w:r>
            <w:r w:rsidRPr="00833CBF">
              <w:rPr>
                <w:highlight w:val="yellow"/>
              </w:rPr>
              <w:t xml:space="preserve">  тыс. рублей                     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2015 год – 23 749,2 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2016 год –  27068,62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2017 год –  36 733,63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2018 год –  90811,00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2019 год –  </w:t>
            </w:r>
            <w:r w:rsidR="00CF3694">
              <w:rPr>
                <w:highlight w:val="yellow"/>
              </w:rPr>
              <w:t>74067,42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2020 год – </w:t>
            </w:r>
            <w:r w:rsidR="00CF3694">
              <w:rPr>
                <w:highlight w:val="yellow"/>
              </w:rPr>
              <w:t>89522,14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– </w:t>
            </w:r>
            <w:r w:rsidR="00CF3694">
              <w:rPr>
                <w:highlight w:val="yellow"/>
              </w:rPr>
              <w:t>40138,00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2022 год – </w:t>
            </w:r>
            <w:r w:rsidR="00C53276">
              <w:rPr>
                <w:highlight w:val="yellow"/>
              </w:rPr>
              <w:t>40138,00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3CBF">
              <w:rPr>
                <w:highlight w:val="yellow"/>
              </w:rPr>
              <w:t xml:space="preserve">2023 год – </w:t>
            </w:r>
            <w:r w:rsidR="00C53276">
              <w:rPr>
                <w:highlight w:val="yellow"/>
              </w:rPr>
              <w:t>635,32</w:t>
            </w:r>
            <w:r w:rsidR="00C5327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lastRenderedPageBreak/>
              <w:t xml:space="preserve">2024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2025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2026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2027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2028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2029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2030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2031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2032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2033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2034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2035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2036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2037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2038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2039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2040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2041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2042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2043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3657D5" w:rsidRPr="0023679D" w:rsidRDefault="00C53276" w:rsidP="00C53276">
            <w:pPr>
              <w:widowControl w:val="0"/>
              <w:autoSpaceDE w:val="0"/>
              <w:autoSpaceDN w:val="0"/>
              <w:adjustRightInd w:val="0"/>
            </w:pPr>
            <w:r w:rsidRPr="00833CBF">
              <w:rPr>
                <w:highlight w:val="yellow"/>
              </w:rPr>
              <w:t xml:space="preserve">2044 год – </w:t>
            </w:r>
            <w:r>
              <w:rPr>
                <w:highlight w:val="yellow"/>
              </w:rPr>
              <w:t>211,80</w:t>
            </w:r>
            <w:r w:rsidRPr="00833CBF">
              <w:rPr>
                <w:highlight w:val="yellow"/>
              </w:rPr>
              <w:t xml:space="preserve"> тыс. рублей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lastRenderedPageBreak/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- снижению стоимости перевозок (за счет сокращения расхода горюче-смазочных материалов (далее – ГСМ), снижение износа транспортных средств </w:t>
      </w:r>
      <w:r w:rsidRPr="00127CD2">
        <w:rPr>
          <w:sz w:val="28"/>
          <w:szCs w:val="28"/>
        </w:rPr>
        <w:lastRenderedPageBreak/>
        <w:t>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</w:t>
      </w:r>
      <w:r w:rsidRPr="00127CD2">
        <w:rPr>
          <w:sz w:val="28"/>
          <w:szCs w:val="28"/>
        </w:rPr>
        <w:lastRenderedPageBreak/>
        <w:t xml:space="preserve">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</w:t>
      </w:r>
      <w:r w:rsidRPr="00127CD2">
        <w:rPr>
          <w:sz w:val="28"/>
          <w:szCs w:val="28"/>
        </w:rPr>
        <w:lastRenderedPageBreak/>
        <w:t>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>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EC052A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05420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127CD2">
        <w:rPr>
          <w:sz w:val="28"/>
          <w:szCs w:val="28"/>
        </w:rPr>
        <w:tab/>
      </w:r>
      <w:r w:rsidRPr="00127CD2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>округе до 2044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E84368" w:rsidRPr="00D75BA8" w:rsidRDefault="00E84368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lastRenderedPageBreak/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Сроки реализации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2C4">
              <w:t>2015 – 2044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>Количество перевезенных пассажиров общественным транспортом в пригородном сообщении на территории Невьянского 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1F1064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1F1064">
              <w:t xml:space="preserve">Объемы финансирования            </w:t>
            </w:r>
          </w:p>
          <w:p w:rsidR="005E64F8" w:rsidRPr="001F1064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1F1064">
              <w:t xml:space="preserve">муниципальной программы        </w:t>
            </w:r>
          </w:p>
          <w:p w:rsidR="005E64F8" w:rsidRPr="002962A7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F1064"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ВСЕГО: </w:t>
            </w:r>
            <w:r w:rsidR="00D551E4">
              <w:rPr>
                <w:highlight w:val="yellow"/>
              </w:rPr>
              <w:t>5439,10</w:t>
            </w:r>
            <w:r w:rsidRPr="00CC353B">
              <w:rPr>
                <w:highlight w:val="yellow"/>
              </w:rPr>
              <w:t xml:space="preserve"> тыс. рублей                                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2015 год – 838,8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2016 год – 365,30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2017 год – 655,0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2018 год – 790,00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2019 год – </w:t>
            </w:r>
            <w:r w:rsidR="00D551E4">
              <w:rPr>
                <w:highlight w:val="yellow"/>
              </w:rPr>
              <w:t>510,00</w:t>
            </w:r>
            <w:r w:rsidRPr="00CC353B">
              <w:rPr>
                <w:highlight w:val="yellow"/>
              </w:rPr>
              <w:t>,00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2020 год – </w:t>
            </w:r>
            <w:r w:rsidR="00D551E4">
              <w:rPr>
                <w:highlight w:val="yellow"/>
              </w:rPr>
              <w:t>760,00</w:t>
            </w:r>
            <w:r w:rsidRPr="00CC353B">
              <w:rPr>
                <w:highlight w:val="yellow"/>
              </w:rPr>
              <w:t xml:space="preserve"> тыс. рублей;</w:t>
            </w:r>
          </w:p>
          <w:p w:rsidR="001C756D" w:rsidRPr="0028063B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 w:rsidR="00D551E4">
              <w:rPr>
                <w:highlight w:val="yellow"/>
              </w:rPr>
              <w:t>760,00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2022 год –  </w:t>
            </w:r>
            <w:r w:rsidR="00D551E4">
              <w:t>760,00</w:t>
            </w:r>
            <w:r w:rsidRPr="0028063B">
              <w:t xml:space="preserve">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2023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2024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2025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2026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2027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2028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2029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2030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lastRenderedPageBreak/>
              <w:t>2031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2032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2033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2034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2035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2036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2037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2038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2039 год – 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2040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2041 год – 0 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2042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2043 год –  0 тыс. рублей;</w:t>
            </w:r>
          </w:p>
          <w:p w:rsidR="001C756D" w:rsidRPr="0028063B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28063B">
              <w:t>2044 год –  0  тыс. рублей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28063B">
              <w:t>из них: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в том числе: </w:t>
            </w:r>
          </w:p>
          <w:p w:rsidR="00DA05C5" w:rsidRPr="00CC353B" w:rsidRDefault="00CC353B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местный бюджет: </w:t>
            </w:r>
            <w:r w:rsidR="00DA05C5">
              <w:rPr>
                <w:highlight w:val="yellow"/>
              </w:rPr>
              <w:t>5439,10</w:t>
            </w:r>
            <w:r w:rsidR="00DA05C5" w:rsidRPr="00CC353B">
              <w:rPr>
                <w:highlight w:val="yellow"/>
              </w:rPr>
              <w:t xml:space="preserve"> тыс. рублей                                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2015 год – 838,8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2016 год – 365,30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2017 год – 655,0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2018 год – 790,00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2019 год – </w:t>
            </w:r>
            <w:r>
              <w:rPr>
                <w:highlight w:val="yellow"/>
              </w:rPr>
              <w:t>510,00</w:t>
            </w:r>
            <w:r w:rsidRPr="00CC353B">
              <w:rPr>
                <w:highlight w:val="yellow"/>
              </w:rPr>
              <w:t>,00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2020 год – </w:t>
            </w:r>
            <w:r>
              <w:rPr>
                <w:highlight w:val="yellow"/>
              </w:rPr>
              <w:t>760,00</w:t>
            </w:r>
            <w:r w:rsidRPr="00CC353B">
              <w:rPr>
                <w:highlight w:val="yellow"/>
              </w:rPr>
              <w:t xml:space="preserve"> тыс. рублей;</w:t>
            </w:r>
          </w:p>
          <w:p w:rsidR="00DA05C5" w:rsidRPr="0028063B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>
              <w:rPr>
                <w:highlight w:val="yellow"/>
              </w:rPr>
              <w:t>760,00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D0791C" w:rsidRPr="0028063B" w:rsidRDefault="00D0791C" w:rsidP="00CC353B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2022 год –  </w:t>
            </w:r>
            <w:r w:rsidR="00DA05C5">
              <w:t>760,00</w:t>
            </w:r>
            <w:r w:rsidRPr="0028063B">
              <w:t xml:space="preserve">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2023 год –  0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2024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2025 год –  0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2026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2027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2028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2029 год –  0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2030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2031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2032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2033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2034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2035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2036 год –  0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2037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2038 год –  0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2039 год – 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2040 год –  0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2041 год – 0 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2042 год –  0 тыс. рублей;</w:t>
            </w:r>
          </w:p>
          <w:p w:rsidR="00D0791C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>2043 год –  0 тыс. рублей;</w:t>
            </w:r>
          </w:p>
          <w:p w:rsidR="005E64F8" w:rsidRPr="0028063B" w:rsidRDefault="00D0791C" w:rsidP="00D0791C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2044 год –  0  тыс. рублей </w:t>
            </w:r>
          </w:p>
          <w:p w:rsidR="005E64F8" w:rsidRPr="0028063B" w:rsidRDefault="005E64F8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lastRenderedPageBreak/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9D09FE" w:rsidRDefault="005132C4" w:rsidP="005132C4">
      <w:pPr>
        <w:ind w:firstLine="708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муниципальной подпрограммы является: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1). Повышение доступности услуг транспортного комплекса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32C4" w:rsidRPr="00BF4826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</w:t>
      </w:r>
      <w:r w:rsidRPr="005132C4">
        <w:rPr>
          <w:rFonts w:eastAsiaTheme="minorHAnsi"/>
          <w:sz w:val="28"/>
          <w:szCs w:val="28"/>
          <w:lang w:eastAsia="en-US"/>
        </w:rPr>
        <w:t>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EC052A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 xml:space="preserve">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BF4826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b/>
          <w:sz w:val="28"/>
          <w:szCs w:val="28"/>
        </w:rPr>
      </w:pPr>
      <w:r w:rsidRPr="009D09FE">
        <w:rPr>
          <w:sz w:val="28"/>
          <w:szCs w:val="28"/>
        </w:rPr>
        <w:tab/>
      </w:r>
      <w:r w:rsidRPr="009D09FE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09FE"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инфраструктуры, дорожного хозяйства в Невьянском городском округе до 2044 года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D75BA8">
      <w:footerReference w:type="default" r:id="rId22"/>
      <w:headerReference w:type="first" r:id="rId23"/>
      <w:pgSz w:w="11906" w:h="16838"/>
      <w:pgMar w:top="1135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C0" w:rsidRDefault="00B739C0">
      <w:r>
        <w:separator/>
      </w:r>
    </w:p>
  </w:endnote>
  <w:endnote w:type="continuationSeparator" w:id="0">
    <w:p w:rsidR="00B739C0" w:rsidRDefault="00B7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Content>
      <w:p w:rsidR="00AD4DFD" w:rsidRDefault="00AD4D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C5">
          <w:rPr>
            <w:noProof/>
          </w:rPr>
          <w:t>2</w:t>
        </w:r>
        <w:r>
          <w:fldChar w:fldCharType="end"/>
        </w:r>
      </w:p>
    </w:sdtContent>
  </w:sdt>
  <w:p w:rsidR="00AD4DFD" w:rsidRDefault="00AD4D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C0" w:rsidRDefault="00B739C0">
      <w:r>
        <w:separator/>
      </w:r>
    </w:p>
  </w:footnote>
  <w:footnote w:type="continuationSeparator" w:id="0">
    <w:p w:rsidR="00B739C0" w:rsidRDefault="00B7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FD" w:rsidRPr="00891037" w:rsidRDefault="00AD4DFD" w:rsidP="00891037">
    <w:pPr>
      <w:pStyle w:val="a8"/>
      <w:jc w:val="center"/>
    </w:pPr>
    <w:r>
      <w:t xml:space="preserve">АКТУАЛЬНАЯ РЕДАКЦИЯ </w:t>
    </w:r>
    <w:r w:rsidRPr="00891037">
      <w:t xml:space="preserve"> от </w:t>
    </w:r>
    <w:r>
      <w:t>18</w:t>
    </w:r>
    <w:r w:rsidRPr="00891037">
      <w:t>.</w:t>
    </w:r>
    <w:r>
      <w:t>02</w:t>
    </w:r>
    <w:r w:rsidRPr="00891037">
      <w:t>.20</w:t>
    </w:r>
    <w:r>
      <w:t xml:space="preserve">20 </w:t>
    </w:r>
    <w:r w:rsidRPr="00891037">
      <w:t xml:space="preserve"> № </w:t>
    </w:r>
    <w:r>
      <w:t>322</w:t>
    </w:r>
    <w:r w:rsidRPr="00891037">
      <w:t xml:space="preserve"> 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C7E39"/>
    <w:rsid w:val="007D086B"/>
    <w:rsid w:val="007D0D49"/>
    <w:rsid w:val="007D0EA3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F5D"/>
    <w:rsid w:val="00E72BE8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5641"/>
    <w:rsid w:val="00ED5F46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56ECA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3779-61D3-461F-80F8-C1DE2E2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22</cp:revision>
  <dcterms:created xsi:type="dcterms:W3CDTF">2015-10-27T04:02:00Z</dcterms:created>
  <dcterms:modified xsi:type="dcterms:W3CDTF">2020-02-18T12:46:00Z</dcterms:modified>
</cp:coreProperties>
</file>