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10E" w:rsidRPr="009D610E" w:rsidRDefault="00DF0581" w:rsidP="009D610E">
                  <w:pPr>
                    <w:rPr>
                      <w:sz w:val="20"/>
                      <w:szCs w:val="20"/>
                    </w:rPr>
                  </w:pPr>
                  <w:r w:rsidRPr="009D610E">
                    <w:rPr>
                      <w:sz w:val="20"/>
                      <w:szCs w:val="20"/>
                    </w:rPr>
                    <w:t xml:space="preserve">Приложение № 1 к постановлению администрации Невьянского городского округа «О внесении изменений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</w:t>
                  </w:r>
                  <w:r w:rsidR="009D610E" w:rsidRPr="009D610E">
                    <w:rPr>
                      <w:sz w:val="20"/>
                      <w:szCs w:val="20"/>
                    </w:rPr>
                    <w:t xml:space="preserve">     </w:t>
                  </w:r>
                  <w:r w:rsidRPr="009D610E">
                    <w:rPr>
                      <w:sz w:val="20"/>
                      <w:szCs w:val="20"/>
                    </w:rPr>
                    <w:t>№ 2618-п</w:t>
                  </w:r>
                  <w:r w:rsidR="002B387E">
                    <w:rPr>
                      <w:sz w:val="20"/>
                      <w:szCs w:val="20"/>
                    </w:rPr>
                    <w:t>»</w:t>
                  </w:r>
                  <w:r w:rsidR="009D610E" w:rsidRPr="009D610E">
                    <w:rPr>
                      <w:sz w:val="20"/>
                      <w:szCs w:val="20"/>
                    </w:rPr>
                    <w:t xml:space="preserve"> от_______________________2020 года №________-п</w:t>
                  </w:r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  <w:bookmarkEnd w:id="0"/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1.4. Технологическое присоединение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территории, подлежащей </w:t>
            </w:r>
            <w:proofErr w:type="spellStart"/>
            <w:r>
              <w:rPr>
                <w:sz w:val="20"/>
                <w:szCs w:val="20"/>
              </w:rPr>
              <w:t>акарицидной</w:t>
            </w:r>
            <w:proofErr w:type="spellEnd"/>
            <w:r>
              <w:rPr>
                <w:sz w:val="20"/>
                <w:szCs w:val="20"/>
              </w:rPr>
              <w:t xml:space="preserve">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</w:t>
            </w:r>
            <w:proofErr w:type="spellStart"/>
            <w:r>
              <w:rPr>
                <w:sz w:val="20"/>
                <w:szCs w:val="20"/>
              </w:rPr>
              <w:t>демеркуризация</w:t>
            </w:r>
            <w:proofErr w:type="spellEnd"/>
            <w:r>
              <w:rPr>
                <w:sz w:val="20"/>
                <w:szCs w:val="20"/>
              </w:rPr>
              <w:t xml:space="preserve">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DF0581">
      <w:pgSz w:w="16838" w:h="11906" w:orient="landscape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E3A73"/>
    <w:rsid w:val="00444F57"/>
    <w:rsid w:val="004D512B"/>
    <w:rsid w:val="004F0FE1"/>
    <w:rsid w:val="00680F68"/>
    <w:rsid w:val="007C3903"/>
    <w:rsid w:val="00841310"/>
    <w:rsid w:val="008A70C6"/>
    <w:rsid w:val="009076CB"/>
    <w:rsid w:val="009D610E"/>
    <w:rsid w:val="00A2029B"/>
    <w:rsid w:val="00AB1D5B"/>
    <w:rsid w:val="00B06788"/>
    <w:rsid w:val="00B4511D"/>
    <w:rsid w:val="00D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13</cp:revision>
  <dcterms:created xsi:type="dcterms:W3CDTF">2020-02-10T05:48:00Z</dcterms:created>
  <dcterms:modified xsi:type="dcterms:W3CDTF">2020-02-10T07:48:00Z</dcterms:modified>
</cp:coreProperties>
</file>