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F" w:rsidRDefault="00F343EF" w:rsidP="00F343EF">
      <w:pPr>
        <w:spacing w:after="0" w:line="240" w:lineRule="auto"/>
        <w:jc w:val="center"/>
        <w:rPr>
          <w:rFonts w:ascii="Times New Roman" w:eastAsia="Times New Roman" w:hAnsi="Times New Roman" w:cs="Times New Roman"/>
          <w:b/>
          <w:i/>
          <w:sz w:val="28"/>
          <w:szCs w:val="28"/>
        </w:rPr>
      </w:pPr>
      <w:bookmarkStart w:id="0" w:name="_GoBack"/>
      <w:bookmarkEnd w:id="0"/>
      <w:r w:rsidRPr="00473530">
        <w:rPr>
          <w:rFonts w:ascii="Times New Roman" w:hAnsi="Times New Roman" w:cs="Times New Roman"/>
          <w:b/>
          <w:i/>
          <w:sz w:val="28"/>
          <w:szCs w:val="28"/>
          <w:highlight w:val="yellow"/>
        </w:rPr>
        <w:t xml:space="preserve">АКТУАЛЬНАЯ РЕДАКЦИЯ № </w:t>
      </w:r>
      <w:r w:rsidR="00BF0294">
        <w:rPr>
          <w:rFonts w:ascii="Times New Roman" w:hAnsi="Times New Roman" w:cs="Times New Roman"/>
          <w:b/>
          <w:i/>
          <w:sz w:val="28"/>
          <w:szCs w:val="28"/>
          <w:highlight w:val="yellow"/>
          <w:u w:val="single"/>
        </w:rPr>
        <w:t xml:space="preserve"> 15</w:t>
      </w:r>
      <w:r w:rsidR="005F326A" w:rsidRPr="00473530">
        <w:rPr>
          <w:rFonts w:ascii="Times New Roman" w:hAnsi="Times New Roman" w:cs="Times New Roman"/>
          <w:b/>
          <w:i/>
          <w:sz w:val="28"/>
          <w:szCs w:val="28"/>
          <w:highlight w:val="yellow"/>
          <w:u w:val="single"/>
        </w:rPr>
        <w:t>8</w:t>
      </w:r>
      <w:r w:rsidR="00BF0294">
        <w:rPr>
          <w:rFonts w:ascii="Times New Roman" w:hAnsi="Times New Roman" w:cs="Times New Roman"/>
          <w:b/>
          <w:i/>
          <w:sz w:val="28"/>
          <w:szCs w:val="28"/>
          <w:highlight w:val="yellow"/>
          <w:u w:val="single"/>
        </w:rPr>
        <w:t>7-п от 25.11</w:t>
      </w:r>
      <w:r w:rsidRPr="00473530">
        <w:rPr>
          <w:rFonts w:ascii="Times New Roman" w:hAnsi="Times New Roman" w:cs="Times New Roman"/>
          <w:b/>
          <w:i/>
          <w:sz w:val="28"/>
          <w:szCs w:val="28"/>
          <w:highlight w:val="yellow"/>
          <w:u w:val="single"/>
        </w:rPr>
        <w:t>.2020</w:t>
      </w:r>
    </w:p>
    <w:p w:rsidR="00F343EF" w:rsidRDefault="00DD1DD6" w:rsidP="00F343EF">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667987817" r:id="rId7"/>
        </w:object>
      </w: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B45C"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rsidR="00F343EF" w:rsidRDefault="00F343EF" w:rsidP="00F343EF">
      <w:pPr>
        <w:spacing w:after="0" w:line="240" w:lineRule="auto"/>
        <w:jc w:val="center"/>
        <w:rPr>
          <w:rFonts w:ascii="Times New Roman" w:hAnsi="Times New Roman" w:cs="Times New Roman"/>
          <w:b/>
          <w:i/>
          <w:sz w:val="28"/>
          <w:szCs w:val="28"/>
        </w:rPr>
      </w:pPr>
    </w:p>
    <w:p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rsidR="00F343EF" w:rsidRDefault="00F343EF" w:rsidP="00F343EF">
      <w:pPr>
        <w:spacing w:after="0" w:line="240" w:lineRule="auto"/>
        <w:jc w:val="center"/>
        <w:rPr>
          <w:rFonts w:ascii="Times New Roman" w:eastAsia="Times New Roman" w:hAnsi="Times New Roman" w:cs="Times New Roman"/>
          <w:b/>
          <w:i/>
          <w:sz w:val="28"/>
          <w:szCs w:val="28"/>
        </w:rPr>
      </w:pPr>
    </w:p>
    <w:p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F343EF" w:rsidRDefault="00F343EF" w:rsidP="00F343EF">
      <w:pPr>
        <w:spacing w:after="0" w:line="240" w:lineRule="auto"/>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F343EF" w:rsidRDefault="00F343EF" w:rsidP="00F343EF">
      <w:pPr>
        <w:spacing w:after="0" w:line="240" w:lineRule="auto"/>
        <w:ind w:left="360"/>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hAnsi="Times New Roman" w:cs="Times New Roman"/>
          <w:sz w:val="28"/>
          <w:szCs w:val="28"/>
        </w:rPr>
      </w:pPr>
    </w:p>
    <w:p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до 2024 года»</w:t>
      </w:r>
    </w:p>
    <w:p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Подпрограмма 1. «Развитие </w:t>
            </w:r>
            <w:proofErr w:type="gramStart"/>
            <w:r w:rsidRPr="00FC28AE">
              <w:rPr>
                <w:rFonts w:ascii="Times New Roman" w:hAnsi="Times New Roman"/>
                <w:sz w:val="24"/>
                <w:szCs w:val="24"/>
              </w:rPr>
              <w:t>туризма  в</w:t>
            </w:r>
            <w:proofErr w:type="gramEnd"/>
            <w:r w:rsidRPr="00FC28AE">
              <w:rPr>
                <w:rFonts w:ascii="Times New Roman" w:hAnsi="Times New Roman"/>
                <w:sz w:val="24"/>
                <w:szCs w:val="24"/>
              </w:rPr>
              <w:t xml:space="preserve">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4.Уровень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b/>
                <w:sz w:val="24"/>
                <w:szCs w:val="24"/>
              </w:rPr>
            </w:pPr>
            <w:r w:rsidRPr="00FC28AE">
              <w:rPr>
                <w:rFonts w:ascii="Times New Roman" w:eastAsia="Calibri" w:hAnsi="Times New Roman" w:cs="Times New Roman"/>
                <w:b/>
                <w:sz w:val="24"/>
                <w:szCs w:val="24"/>
                <w:highlight w:val="yellow"/>
              </w:rPr>
              <w:t xml:space="preserve">всего –   </w:t>
            </w:r>
            <w:r w:rsidR="005F326A">
              <w:rPr>
                <w:rFonts w:ascii="Times New Roman" w:eastAsia="Times New Roman" w:hAnsi="Times New Roman" w:cs="Times New Roman"/>
                <w:b/>
                <w:bCs/>
                <w:sz w:val="24"/>
                <w:szCs w:val="24"/>
                <w:highlight w:val="yellow"/>
              </w:rPr>
              <w:t>893</w:t>
            </w:r>
            <w:r w:rsidR="00BF0294">
              <w:rPr>
                <w:rFonts w:ascii="Times New Roman" w:eastAsia="Times New Roman" w:hAnsi="Times New Roman" w:cs="Times New Roman"/>
                <w:b/>
                <w:bCs/>
                <w:sz w:val="24"/>
                <w:szCs w:val="24"/>
                <w:highlight w:val="yellow"/>
              </w:rPr>
              <w:t>6</w:t>
            </w:r>
            <w:r w:rsidR="005F326A">
              <w:rPr>
                <w:rFonts w:ascii="Times New Roman" w:eastAsia="Times New Roman" w:hAnsi="Times New Roman" w:cs="Times New Roman"/>
                <w:b/>
                <w:bCs/>
                <w:sz w:val="24"/>
                <w:szCs w:val="24"/>
                <w:highlight w:val="yellow"/>
              </w:rPr>
              <w:t>7</w:t>
            </w:r>
            <w:r w:rsidR="00BF0294">
              <w:rPr>
                <w:rFonts w:ascii="Times New Roman" w:eastAsia="Times New Roman" w:hAnsi="Times New Roman" w:cs="Times New Roman"/>
                <w:b/>
                <w:bCs/>
                <w:sz w:val="24"/>
                <w:szCs w:val="24"/>
                <w:highlight w:val="yellow"/>
              </w:rPr>
              <w:t>2</w:t>
            </w:r>
            <w:r w:rsidR="00FC28AE">
              <w:rPr>
                <w:rFonts w:ascii="Times New Roman" w:eastAsia="Times New Roman" w:hAnsi="Times New Roman" w:cs="Times New Roman"/>
                <w:b/>
                <w:bCs/>
                <w:sz w:val="24"/>
                <w:szCs w:val="24"/>
                <w:highlight w:val="yellow"/>
              </w:rPr>
              <w:t>,</w:t>
            </w:r>
            <w:r w:rsidR="00BF0294">
              <w:rPr>
                <w:rFonts w:ascii="Times New Roman" w:eastAsia="Times New Roman" w:hAnsi="Times New Roman" w:cs="Times New Roman"/>
                <w:b/>
                <w:bCs/>
                <w:sz w:val="24"/>
                <w:szCs w:val="24"/>
                <w:highlight w:val="yellow"/>
              </w:rPr>
              <w:t>02</w:t>
            </w:r>
            <w:r w:rsidRPr="00FC28AE">
              <w:rPr>
                <w:rFonts w:ascii="Times New Roman" w:eastAsia="Times New Roman" w:hAnsi="Times New Roman" w:cs="Times New Roman"/>
                <w:b/>
                <w:bCs/>
                <w:sz w:val="24"/>
                <w:szCs w:val="24"/>
                <w:highlight w:val="yellow"/>
              </w:rPr>
              <w:t xml:space="preserve"> </w:t>
            </w:r>
            <w:r w:rsidRPr="00FC28AE">
              <w:rPr>
                <w:rFonts w:ascii="Times New Roman" w:eastAsia="Calibri" w:hAnsi="Times New Roman" w:cs="Times New Roman"/>
                <w:b/>
                <w:sz w:val="24"/>
                <w:szCs w:val="24"/>
                <w:highlight w:val="yellow"/>
              </w:rPr>
              <w:t>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102 160,90тыс.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114 007,39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121 527,81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135 349,02 тыс. рублей;</w:t>
            </w:r>
          </w:p>
          <w:p w:rsidR="00F343EF" w:rsidRPr="00FC28AE" w:rsidRDefault="005F326A"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142 </w:t>
            </w:r>
            <w:r w:rsidR="00BF0294">
              <w:rPr>
                <w:rFonts w:ascii="Times New Roman" w:eastAsia="Calibri" w:hAnsi="Times New Roman" w:cs="Times New Roman"/>
                <w:sz w:val="24"/>
                <w:szCs w:val="24"/>
                <w:highlight w:val="yellow"/>
              </w:rPr>
              <w:t>005,89</w:t>
            </w:r>
            <w:r w:rsidR="00F343EF" w:rsidRPr="00FC28AE">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137 753,54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140 867,47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highlight w:val="yellow"/>
              </w:rPr>
              <w:t>областной бюджет</w:t>
            </w:r>
            <w:r w:rsidR="00BF0294">
              <w:rPr>
                <w:rFonts w:ascii="Times New Roman" w:eastAsia="Calibri" w:hAnsi="Times New Roman" w:cs="Times New Roman"/>
                <w:b/>
                <w:sz w:val="24"/>
                <w:szCs w:val="24"/>
                <w:highlight w:val="yellow"/>
              </w:rPr>
              <w:t>:   15845,0</w:t>
            </w:r>
            <w:r w:rsidRPr="009E0B01">
              <w:rPr>
                <w:rFonts w:ascii="Times New Roman" w:eastAsia="Calibri" w:hAnsi="Times New Roman" w:cs="Times New Roman"/>
                <w:b/>
                <w:sz w:val="24"/>
                <w:szCs w:val="24"/>
                <w:highlight w:val="yellow"/>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1 976,50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2 322,1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5 684,70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3613,10  тыс. рублей;</w:t>
            </w:r>
          </w:p>
          <w:p w:rsidR="00F343EF" w:rsidRPr="00FC28AE" w:rsidRDefault="00BF0294"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2248,6</w:t>
            </w:r>
            <w:r w:rsidR="00F343EF" w:rsidRPr="00FC28AE">
              <w:rPr>
                <w:rFonts w:ascii="Times New Roman" w:eastAsia="Calibri" w:hAnsi="Times New Roman" w:cs="Times New Roman"/>
                <w:sz w:val="24"/>
                <w:szCs w:val="24"/>
                <w:highlight w:val="yellow"/>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2024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федеральный бюджет: 80,80 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80,80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lastRenderedPageBreak/>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2024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highlight w:val="yellow"/>
              </w:rPr>
              <w:t>местный бюджет</w:t>
            </w:r>
            <w:r w:rsidRPr="00FC28AE">
              <w:rPr>
                <w:rFonts w:ascii="Times New Roman" w:eastAsia="Calibri" w:hAnsi="Times New Roman" w:cs="Times New Roman"/>
                <w:sz w:val="24"/>
                <w:szCs w:val="24"/>
                <w:highlight w:val="yellow"/>
              </w:rPr>
              <w:t xml:space="preserve">: </w:t>
            </w:r>
            <w:r w:rsidR="005F326A">
              <w:rPr>
                <w:rFonts w:ascii="Times New Roman" w:eastAsia="Times New Roman" w:hAnsi="Times New Roman" w:cs="Times New Roman"/>
                <w:b/>
                <w:bCs/>
                <w:sz w:val="24"/>
                <w:szCs w:val="24"/>
                <w:highlight w:val="yellow"/>
              </w:rPr>
              <w:t>877</w:t>
            </w:r>
            <w:r w:rsidRPr="00FC28AE">
              <w:rPr>
                <w:rFonts w:ascii="Times New Roman" w:eastAsia="Times New Roman" w:hAnsi="Times New Roman" w:cs="Times New Roman"/>
                <w:b/>
                <w:bCs/>
                <w:sz w:val="24"/>
                <w:szCs w:val="24"/>
                <w:highlight w:val="yellow"/>
              </w:rPr>
              <w:t>7</w:t>
            </w:r>
            <w:r w:rsidR="005F326A">
              <w:rPr>
                <w:rFonts w:ascii="Times New Roman" w:eastAsia="Times New Roman" w:hAnsi="Times New Roman" w:cs="Times New Roman"/>
                <w:b/>
                <w:bCs/>
                <w:sz w:val="24"/>
                <w:szCs w:val="24"/>
                <w:highlight w:val="yellow"/>
              </w:rPr>
              <w:t>4</w:t>
            </w:r>
            <w:r w:rsidR="00BF0294">
              <w:rPr>
                <w:rFonts w:ascii="Times New Roman" w:eastAsia="Times New Roman" w:hAnsi="Times New Roman" w:cs="Times New Roman"/>
                <w:b/>
                <w:bCs/>
                <w:sz w:val="24"/>
                <w:szCs w:val="24"/>
                <w:highlight w:val="yellow"/>
              </w:rPr>
              <w:t>6,15</w:t>
            </w:r>
            <w:r w:rsidRPr="00FC28AE">
              <w:rPr>
                <w:rFonts w:ascii="Times New Roman" w:eastAsia="Times New Roman" w:hAnsi="Times New Roman" w:cs="Times New Roman"/>
                <w:b/>
                <w:bCs/>
                <w:sz w:val="24"/>
                <w:szCs w:val="24"/>
                <w:highlight w:val="yellow"/>
              </w:rPr>
              <w:t xml:space="preserve"> </w:t>
            </w:r>
            <w:r w:rsidRPr="00FC28AE">
              <w:rPr>
                <w:rFonts w:ascii="Times New Roman" w:eastAsia="Calibri" w:hAnsi="Times New Roman" w:cs="Times New Roman"/>
                <w:b/>
                <w:sz w:val="24"/>
                <w:szCs w:val="24"/>
                <w:highlight w:val="yellow"/>
              </w:rPr>
              <w:t>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100 103,60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111 685,29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115 843,11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131 735,92 тыс. рублей;</w:t>
            </w:r>
          </w:p>
          <w:p w:rsidR="00F343EF" w:rsidRPr="00FC28AE" w:rsidRDefault="005F326A"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139 7</w:t>
            </w:r>
            <w:r w:rsidR="00BF0294">
              <w:rPr>
                <w:rFonts w:ascii="Times New Roman" w:eastAsia="Calibri" w:hAnsi="Times New Roman" w:cs="Times New Roman"/>
                <w:sz w:val="24"/>
                <w:szCs w:val="24"/>
                <w:highlight w:val="yellow"/>
              </w:rPr>
              <w:t>5</w:t>
            </w:r>
            <w:r w:rsidR="00FC28AE">
              <w:rPr>
                <w:rFonts w:ascii="Times New Roman" w:eastAsia="Calibri" w:hAnsi="Times New Roman" w:cs="Times New Roman"/>
                <w:sz w:val="24"/>
                <w:szCs w:val="24"/>
                <w:highlight w:val="yellow"/>
              </w:rPr>
              <w:t>7</w:t>
            </w:r>
            <w:r w:rsidR="00BF0294">
              <w:rPr>
                <w:rFonts w:ascii="Times New Roman" w:eastAsia="Calibri" w:hAnsi="Times New Roman" w:cs="Times New Roman"/>
                <w:sz w:val="24"/>
                <w:szCs w:val="24"/>
                <w:highlight w:val="yellow"/>
              </w:rPr>
              <w:t>,22</w:t>
            </w:r>
            <w:r w:rsidR="00F343EF" w:rsidRPr="00FC28AE">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137 753,54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140 867,47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DD1DD6" w:rsidP="00FC28AE">
            <w:pPr>
              <w:pStyle w:val="a3"/>
              <w:rPr>
                <w:rFonts w:ascii="Times New Roman" w:hAnsi="Times New Roman"/>
                <w:sz w:val="24"/>
                <w:szCs w:val="24"/>
                <w:lang w:val="en-US"/>
              </w:rPr>
            </w:pPr>
            <w:hyperlink r:id="rId8"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Сфера культуры Невьянского городского округа представлена </w:t>
      </w:r>
      <w:r w:rsidRPr="00FC28AE">
        <w:rPr>
          <w:rFonts w:ascii="Times New Roman" w:eastAsia="Times New Roman" w:hAnsi="Times New Roman" w:cs="Times New Roman"/>
          <w:sz w:val="24"/>
          <w:szCs w:val="24"/>
        </w:rPr>
        <w:t>следующими учреждениями культуры:</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FC28AE">
        <w:rPr>
          <w:rFonts w:ascii="Times New Roman" w:hAnsi="Times New Roman" w:cs="Times New Roman"/>
          <w:sz w:val="24"/>
          <w:szCs w:val="24"/>
        </w:rPr>
        <w:t xml:space="preserve"> Невьянского городского округа;</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FC28AE">
        <w:rPr>
          <w:rFonts w:ascii="Times New Roman" w:eastAsia="Times New Roman" w:hAnsi="Times New Roman" w:cs="Times New Roman"/>
          <w:sz w:val="24"/>
          <w:szCs w:val="24"/>
        </w:rPr>
        <w:t>образования  «</w:t>
      </w:r>
      <w:proofErr w:type="gramEnd"/>
      <w:r w:rsidRPr="00FC28AE">
        <w:rPr>
          <w:rFonts w:ascii="Times New Roman" w:eastAsia="Times New Roman" w:hAnsi="Times New Roman" w:cs="Times New Roman"/>
          <w:sz w:val="24"/>
          <w:szCs w:val="24"/>
        </w:rPr>
        <w:t>Детская школа искусств» п. Цементный</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FC28AE">
        <w:rPr>
          <w:rFonts w:ascii="Times New Roman" w:hAnsi="Times New Roman" w:cs="Times New Roman"/>
          <w:sz w:val="24"/>
          <w:szCs w:val="24"/>
        </w:rPr>
        <w:t>.</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8"/>
          <w:szCs w:val="28"/>
        </w:rPr>
        <w:t xml:space="preserve">      </w:t>
      </w:r>
      <w:r w:rsidRPr="00FC28AE">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FC28AE">
        <w:rPr>
          <w:rFonts w:ascii="Times New Roman" w:hAnsi="Times New Roman"/>
          <w:sz w:val="24"/>
          <w:szCs w:val="24"/>
        </w:rPr>
        <w:t>ст.Таватуй</w:t>
      </w:r>
      <w:proofErr w:type="spellEnd"/>
      <w:r w:rsidRPr="00FC28AE">
        <w:rPr>
          <w:rFonts w:ascii="Times New Roman" w:hAnsi="Times New Roman"/>
          <w:sz w:val="24"/>
          <w:szCs w:val="24"/>
        </w:rPr>
        <w:t xml:space="preserve">. </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lastRenderedPageBreak/>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F343EF" w:rsidRPr="00FC28AE" w:rsidRDefault="00F343EF" w:rsidP="00F343EF">
      <w:pPr>
        <w:pStyle w:val="a3"/>
        <w:jc w:val="both"/>
        <w:rPr>
          <w:rFonts w:ascii="Times New Roman" w:hAnsi="Times New Roman"/>
          <w:bCs/>
          <w:iCs/>
          <w:sz w:val="24"/>
          <w:szCs w:val="24"/>
        </w:rPr>
      </w:pPr>
      <w:r w:rsidRPr="00FC28AE">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C28AE">
        <w:rPr>
          <w:rFonts w:ascii="Times New Roman" w:hAnsi="Times New Roman"/>
          <w:sz w:val="28"/>
          <w:szCs w:val="28"/>
        </w:rPr>
        <w:t xml:space="preserve"> </w:t>
      </w:r>
      <w:r w:rsidRPr="00FC28AE">
        <w:rPr>
          <w:rFonts w:ascii="Times New Roman" w:hAnsi="Times New Roman"/>
          <w:sz w:val="24"/>
          <w:szCs w:val="24"/>
        </w:rPr>
        <w:t xml:space="preserve">В рамках реализации </w:t>
      </w:r>
      <w:r w:rsidRPr="00FC28AE">
        <w:rPr>
          <w:rFonts w:ascii="Times New Roman" w:hAnsi="Times New Roman"/>
          <w:b/>
          <w:sz w:val="24"/>
          <w:szCs w:val="24"/>
        </w:rPr>
        <w:t>проекта «Виртуальный концертный зал в Невьянске»</w:t>
      </w:r>
      <w:r w:rsidRPr="00FC28AE">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FC28AE">
        <w:rPr>
          <w:rFonts w:ascii="Times New Roman" w:hAnsi="Times New Roman"/>
          <w:b/>
          <w:sz w:val="24"/>
          <w:szCs w:val="24"/>
        </w:rPr>
        <w:t>филармонические уроки</w:t>
      </w:r>
      <w:r w:rsidRPr="00FC28AE">
        <w:rPr>
          <w:rFonts w:ascii="Times New Roman" w:hAnsi="Times New Roman"/>
          <w:sz w:val="24"/>
          <w:szCs w:val="24"/>
        </w:rPr>
        <w:t xml:space="preserve">. </w:t>
      </w:r>
      <w:r w:rsidRPr="00FC28AE">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FC28AE">
        <w:rPr>
          <w:rFonts w:ascii="Times New Roman" w:hAnsi="Times New Roman"/>
          <w:sz w:val="24"/>
          <w:szCs w:val="24"/>
        </w:rPr>
        <w:t>данные  мероприятия</w:t>
      </w:r>
      <w:proofErr w:type="gramEnd"/>
      <w:r w:rsidRPr="00FC28AE">
        <w:rPr>
          <w:rFonts w:ascii="Times New Roman" w:hAnsi="Times New Roman"/>
          <w:sz w:val="24"/>
          <w:szCs w:val="24"/>
        </w:rPr>
        <w:t xml:space="preserve">.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w:t>
      </w:r>
      <w:proofErr w:type="gramStart"/>
      <w:r w:rsidRPr="00FC28AE">
        <w:rPr>
          <w:rFonts w:ascii="Times New Roman" w:hAnsi="Times New Roman"/>
          <w:sz w:val="24"/>
          <w:szCs w:val="24"/>
        </w:rPr>
        <w:t>округе  вырос</w:t>
      </w:r>
      <w:proofErr w:type="gramEnd"/>
      <w:r w:rsidRPr="00FC28AE">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F343EF" w:rsidRPr="00FC28AE" w:rsidRDefault="00F343EF" w:rsidP="00F343EF">
      <w:pPr>
        <w:pStyle w:val="a3"/>
        <w:ind w:firstLine="709"/>
        <w:jc w:val="both"/>
        <w:rPr>
          <w:rFonts w:ascii="Liberation Serif" w:hAnsi="Liberation Serif" w:cs="Liberation Serif"/>
          <w:sz w:val="24"/>
          <w:szCs w:val="24"/>
        </w:rPr>
      </w:pPr>
      <w:r w:rsidRPr="00FC28AE">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FC28AE">
        <w:rPr>
          <w:rFonts w:ascii="Times New Roman" w:hAnsi="Times New Roman"/>
          <w:sz w:val="24"/>
          <w:szCs w:val="24"/>
        </w:rPr>
        <w:t>среднеобластных</w:t>
      </w:r>
      <w:proofErr w:type="spellEnd"/>
      <w:r w:rsidRPr="00FC28AE">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C28AE">
        <w:rPr>
          <w:rFonts w:ascii="Liberation Serif" w:hAnsi="Liberation Serif" w:cs="Liberation Serif"/>
          <w:sz w:val="24"/>
          <w:szCs w:val="24"/>
        </w:rPr>
        <w:t>76,7ед.</w:t>
      </w:r>
      <w:r w:rsidRPr="00FC28AE">
        <w:rPr>
          <w:rFonts w:ascii="Times New Roman" w:hAnsi="Times New Roman"/>
          <w:sz w:val="24"/>
          <w:szCs w:val="24"/>
        </w:rPr>
        <w:t xml:space="preserve"> (по Свердловской области – 114 единиц). Поступления новой литературы в 2019 году не было.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F343EF" w:rsidRPr="00FC28AE" w:rsidRDefault="00F343EF" w:rsidP="00F343EF">
      <w:pPr>
        <w:pStyle w:val="a3"/>
        <w:jc w:val="both"/>
        <w:rPr>
          <w:rFonts w:ascii="Times New Roman" w:hAnsi="Times New Roman"/>
          <w:bCs/>
          <w:sz w:val="24"/>
          <w:szCs w:val="24"/>
        </w:rPr>
      </w:pPr>
      <w:r w:rsidRPr="00FC28AE">
        <w:rPr>
          <w:rFonts w:ascii="Times New Roman" w:hAnsi="Times New Roman"/>
          <w:sz w:val="24"/>
          <w:szCs w:val="24"/>
        </w:rPr>
        <w:t xml:space="preserve">            В Невьянском городском округе в </w:t>
      </w:r>
      <w:proofErr w:type="gramStart"/>
      <w:r w:rsidRPr="00FC28AE">
        <w:rPr>
          <w:rFonts w:ascii="Times New Roman" w:hAnsi="Times New Roman"/>
          <w:sz w:val="24"/>
          <w:szCs w:val="24"/>
        </w:rPr>
        <w:t>результате  реализованных</w:t>
      </w:r>
      <w:proofErr w:type="gramEnd"/>
      <w:r w:rsidRPr="00FC28AE">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FC28AE">
        <w:rPr>
          <w:rFonts w:ascii="Times New Roman" w:hAnsi="Times New Roman"/>
          <w:sz w:val="24"/>
          <w:szCs w:val="24"/>
        </w:rPr>
        <w:t xml:space="preserve">   «</w:t>
      </w:r>
      <w:proofErr w:type="gramEnd"/>
      <w:r w:rsidRPr="00FC28AE">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FC28AE">
        <w:rPr>
          <w:rFonts w:ascii="Times New Roman" w:hAnsi="Times New Roman"/>
          <w:sz w:val="24"/>
          <w:szCs w:val="24"/>
        </w:rPr>
        <w:t>фандрайзинга</w:t>
      </w:r>
      <w:proofErr w:type="spellEnd"/>
      <w:r w:rsidRPr="00FC28AE">
        <w:rPr>
          <w:rFonts w:ascii="Times New Roman" w:hAnsi="Times New Roman"/>
          <w:sz w:val="24"/>
          <w:szCs w:val="24"/>
        </w:rPr>
        <w:t xml:space="preserve">, оптимизации затрат, внедрения эффективных форм управления.  </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Запланированные муниципальной программой мероприятия </w:t>
      </w:r>
      <w:proofErr w:type="gramStart"/>
      <w:r w:rsidRPr="00FC28AE">
        <w:rPr>
          <w:rFonts w:ascii="Times New Roman" w:hAnsi="Times New Roman"/>
          <w:sz w:val="24"/>
          <w:szCs w:val="24"/>
        </w:rPr>
        <w:t>направлены  на</w:t>
      </w:r>
      <w:proofErr w:type="gramEnd"/>
      <w:r w:rsidRPr="00FC28AE">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внутренние факторы, препятствующие развитию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слабость внутриведомственных связей между субъектами культурной деятельности;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слабая материально-техническая база учреждений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внешние факторы, препятствующие развитию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неразвитость негосударственного сектора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неразвитые культурные потребности части населения;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Реализация муниципальной программы предполагает: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обеспечение инновационного развития отрасли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 внутренним рискам относятся: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низкая эффективность использования бюджетных средств;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необоснованное перераспределение средств в ходе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5) длительный срок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Внешними рисками реализации муниципальной программы являются: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возможности снижения темпов экономического роста, усиление инфляции;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FC28AE">
        <w:rPr>
          <w:rFonts w:ascii="Times New Roman" w:hAnsi="Times New Roman"/>
          <w:sz w:val="24"/>
          <w:szCs w:val="24"/>
        </w:rPr>
        <w:t>реализации  запланированных</w:t>
      </w:r>
      <w:proofErr w:type="gramEnd"/>
      <w:r w:rsidRPr="00FC28AE">
        <w:rPr>
          <w:rFonts w:ascii="Times New Roman" w:hAnsi="Times New Roman"/>
          <w:sz w:val="24"/>
          <w:szCs w:val="24"/>
        </w:rPr>
        <w:t xml:space="preserve">  мероприятий.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F343EF" w:rsidRPr="00FC28AE" w:rsidRDefault="00F343EF" w:rsidP="00F343EF">
      <w:pPr>
        <w:pStyle w:val="a3"/>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Исполнителями муниципальной программы являются:</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cs="Times New Roman"/>
          <w:b w:val="0"/>
          <w:color w:val="363636"/>
          <w:sz w:val="24"/>
          <w:szCs w:val="24"/>
          <w:shd w:val="clear" w:color="auto" w:fill="FFFFFF"/>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7, 8, 15</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1. «Развитие туризма в Невьянском городском округе </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spacing w:after="0" w:line="240" w:lineRule="auto"/>
        <w:jc w:val="both"/>
        <w:rPr>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1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rsidR="00F343EF" w:rsidRPr="00FC28AE"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FC28AE">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1 муниципальной программы</w:t>
            </w:r>
          </w:p>
          <w:p w:rsidR="00F343EF" w:rsidRPr="00FC28AE" w:rsidRDefault="00F343EF" w:rsidP="00FC28AE">
            <w:pPr>
              <w:spacing w:after="0" w:line="240" w:lineRule="auto"/>
              <w:rPr>
                <w:sz w:val="24"/>
                <w:szCs w:val="24"/>
                <w:lang w:eastAsia="en-US"/>
              </w:rPr>
            </w:pPr>
          </w:p>
          <w:p w:rsidR="00F343EF" w:rsidRPr="00FC28AE"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lastRenderedPageBreak/>
              <w:t>1) темп роста   количества  проведенных презентаций туристических ресурсов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темп роста  количества проведенных информационных  и пресс-туров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количество реализованных информационных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lastRenderedPageBreak/>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подпрограммы 1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A659E6" w:rsidRDefault="005F326A" w:rsidP="00FC28AE">
            <w:pPr>
              <w:spacing w:after="0" w:line="240" w:lineRule="auto"/>
              <w:rPr>
                <w:rFonts w:ascii="Times New Roman" w:eastAsia="Calibri" w:hAnsi="Times New Roman" w:cs="Times New Roman"/>
                <w:b/>
                <w:sz w:val="24"/>
                <w:szCs w:val="24"/>
              </w:rPr>
            </w:pPr>
            <w:r w:rsidRPr="00A659E6">
              <w:rPr>
                <w:rFonts w:ascii="Times New Roman" w:eastAsia="Calibri" w:hAnsi="Times New Roman" w:cs="Times New Roman"/>
                <w:b/>
                <w:sz w:val="24"/>
                <w:szCs w:val="24"/>
              </w:rPr>
              <w:t>всего –   959,98</w:t>
            </w:r>
            <w:r w:rsidR="00F343EF" w:rsidRPr="00A659E6">
              <w:rPr>
                <w:rFonts w:ascii="Times New Roman" w:eastAsia="Calibri" w:hAnsi="Times New Roman" w:cs="Times New Roman"/>
                <w:b/>
                <w:sz w:val="24"/>
                <w:szCs w:val="24"/>
              </w:rPr>
              <w:t xml:space="preserve"> тыс. рублей,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в том числе:</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211,76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2017 год –    110,00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110,00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114,73 тыс. рублей;</w:t>
            </w:r>
          </w:p>
          <w:p w:rsidR="00F343EF" w:rsidRPr="00A659E6" w:rsidRDefault="00FC28AE"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2020 год -     16</w:t>
            </w:r>
            <w:r w:rsidR="005F326A" w:rsidRPr="00A659E6">
              <w:rPr>
                <w:rFonts w:ascii="Times New Roman" w:eastAsia="Calibri" w:hAnsi="Times New Roman" w:cs="Times New Roman"/>
                <w:sz w:val="24"/>
                <w:szCs w:val="24"/>
              </w:rPr>
              <w:t>0,83</w:t>
            </w:r>
            <w:r w:rsidR="00F343EF" w:rsidRPr="00A659E6">
              <w:rPr>
                <w:rFonts w:ascii="Times New Roman" w:eastAsia="Calibri" w:hAnsi="Times New Roman" w:cs="Times New Roman"/>
                <w:sz w:val="24"/>
                <w:szCs w:val="24"/>
              </w:rPr>
              <w:t xml:space="preserve">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2021 год –    123,85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2022 год –    128,81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2023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b/>
                <w:sz w:val="24"/>
                <w:szCs w:val="24"/>
              </w:rPr>
              <w:t xml:space="preserve">местный </w:t>
            </w:r>
            <w:r w:rsidR="005F326A" w:rsidRPr="00A659E6">
              <w:rPr>
                <w:rFonts w:ascii="Times New Roman" w:eastAsia="Calibri" w:hAnsi="Times New Roman" w:cs="Times New Roman"/>
                <w:b/>
                <w:sz w:val="24"/>
                <w:szCs w:val="24"/>
              </w:rPr>
              <w:t>бюджет:  959,98</w:t>
            </w:r>
            <w:r w:rsidRPr="00A659E6">
              <w:rPr>
                <w:rFonts w:ascii="Times New Roman" w:eastAsia="Calibri" w:hAnsi="Times New Roman" w:cs="Times New Roman"/>
                <w:b/>
                <w:sz w:val="24"/>
                <w:szCs w:val="24"/>
              </w:rPr>
              <w:t xml:space="preserve"> тыс. рублей</w:t>
            </w:r>
            <w:r w:rsidRPr="00A659E6">
              <w:rPr>
                <w:rFonts w:ascii="Times New Roman" w:eastAsia="Calibri" w:hAnsi="Times New Roman" w:cs="Times New Roman"/>
                <w:sz w:val="24"/>
                <w:szCs w:val="24"/>
              </w:rPr>
              <w:t>,</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в том числе: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211,76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2017 год –    110,00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110,00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114,73 тыс. рублей;</w:t>
            </w:r>
          </w:p>
          <w:p w:rsidR="00F343EF" w:rsidRPr="00A659E6" w:rsidRDefault="009E0B01"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2020 год -     16</w:t>
            </w:r>
            <w:r w:rsidR="005F326A" w:rsidRPr="00A659E6">
              <w:rPr>
                <w:rFonts w:ascii="Times New Roman" w:eastAsia="Calibri" w:hAnsi="Times New Roman" w:cs="Times New Roman"/>
                <w:sz w:val="24"/>
                <w:szCs w:val="24"/>
              </w:rPr>
              <w:t>0,83</w:t>
            </w:r>
            <w:r w:rsidR="00F343EF" w:rsidRPr="00A659E6">
              <w:rPr>
                <w:rFonts w:ascii="Times New Roman" w:eastAsia="Calibri" w:hAnsi="Times New Roman" w:cs="Times New Roman"/>
                <w:sz w:val="24"/>
                <w:szCs w:val="24"/>
              </w:rPr>
              <w:t xml:space="preserve">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2021 год –    123,85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2022 год –    128,81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2023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pStyle w:val="a3"/>
              <w:rPr>
                <w:rFonts w:ascii="Times New Roman" w:hAnsi="Times New Roman"/>
                <w:sz w:val="24"/>
                <w:szCs w:val="24"/>
              </w:rPr>
            </w:pPr>
            <w:r w:rsidRPr="00A659E6">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DD1DD6" w:rsidP="00FC28AE">
            <w:pPr>
              <w:pStyle w:val="a3"/>
              <w:rPr>
                <w:rFonts w:ascii="Times New Roman" w:hAnsi="Times New Roman"/>
                <w:sz w:val="24"/>
                <w:szCs w:val="24"/>
                <w:lang w:val="en-US"/>
              </w:rPr>
            </w:pPr>
            <w:hyperlink r:id="rId9"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FC28AE">
        <w:rPr>
          <w:rFonts w:ascii="Times New Roman" w:hAnsi="Times New Roman"/>
          <w:b/>
          <w:sz w:val="24"/>
          <w:szCs w:val="24"/>
        </w:rPr>
        <w:t>Развитие  туризма</w:t>
      </w:r>
      <w:proofErr w:type="gramEnd"/>
      <w:r w:rsidRPr="00FC28AE">
        <w:rPr>
          <w:rFonts w:ascii="Times New Roman" w:hAnsi="Times New Roman"/>
          <w:b/>
          <w:sz w:val="24"/>
          <w:szCs w:val="24"/>
        </w:rPr>
        <w:t xml:space="preserve">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w:t>
      </w:r>
      <w:r w:rsidRPr="00FC28AE">
        <w:rPr>
          <w:rFonts w:ascii="Times New Roman" w:hAnsi="Times New Roman" w:cs="Times New Roman"/>
        </w:rPr>
        <w:lastRenderedPageBreak/>
        <w:t>Таволги. Особо привлекательным объектом для туристов является Наклонная башня – легко узнаваемый символ не только г. Невьянска, но и Урала.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FC28AE">
        <w:rPr>
          <w:rFonts w:ascii="Times New Roman" w:hAnsi="Times New Roman" w:cs="Times New Roman"/>
        </w:rPr>
        <w:t>так же</w:t>
      </w:r>
      <w:proofErr w:type="gramEnd"/>
      <w:r w:rsidRPr="00FC28AE">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Наличие в Невьянском городском округе природных памятников - озера </w:t>
      </w:r>
      <w:proofErr w:type="spellStart"/>
      <w:r w:rsidRPr="00FC28AE">
        <w:rPr>
          <w:rFonts w:ascii="Times New Roman" w:hAnsi="Times New Roman" w:cs="Times New Roman"/>
        </w:rPr>
        <w:t>Таватуй</w:t>
      </w:r>
      <w:proofErr w:type="spellEnd"/>
      <w:r w:rsidRPr="00FC28AE">
        <w:rPr>
          <w:rFonts w:ascii="Times New Roman" w:hAnsi="Times New Roman" w:cs="Times New Roman"/>
        </w:rPr>
        <w:t xml:space="preserve">, озера </w:t>
      </w:r>
      <w:proofErr w:type="spellStart"/>
      <w:r w:rsidRPr="00FC28AE">
        <w:rPr>
          <w:rFonts w:ascii="Times New Roman" w:hAnsi="Times New Roman" w:cs="Times New Roman"/>
        </w:rPr>
        <w:t>Аятское</w:t>
      </w:r>
      <w:proofErr w:type="spellEnd"/>
      <w:r w:rsidRPr="00FC28AE">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1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lastRenderedPageBreak/>
        <w:t xml:space="preserve">Подпрограмма 2.  «Развитие </w:t>
      </w:r>
      <w:proofErr w:type="gramStart"/>
      <w:r w:rsidRPr="00FC28AE">
        <w:rPr>
          <w:rFonts w:ascii="Times New Roman" w:hAnsi="Times New Roman"/>
          <w:b/>
          <w:sz w:val="24"/>
          <w:szCs w:val="24"/>
        </w:rPr>
        <w:t>культуры  в</w:t>
      </w:r>
      <w:proofErr w:type="gramEnd"/>
      <w:r w:rsidRPr="00FC28AE">
        <w:rPr>
          <w:rFonts w:ascii="Times New Roman" w:hAnsi="Times New Roman"/>
          <w:b/>
          <w:sz w:val="24"/>
          <w:szCs w:val="24"/>
        </w:rPr>
        <w:t xml:space="preserve"> Невьянском городском округе на 2016-2024 годы» муниципальной программы Невьянского городского округа</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«Развитие </w:t>
      </w:r>
      <w:proofErr w:type="gramStart"/>
      <w:r w:rsidRPr="00FC28AE">
        <w:rPr>
          <w:rFonts w:ascii="Times New Roman" w:hAnsi="Times New Roman"/>
          <w:sz w:val="24"/>
          <w:szCs w:val="24"/>
        </w:rPr>
        <w:t>культуры  в</w:t>
      </w:r>
      <w:proofErr w:type="gramEnd"/>
      <w:r w:rsidRPr="00FC28AE">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jc w:val="both"/>
              <w:rPr>
                <w:rFonts w:ascii="Times New Roman" w:hAnsi="Times New Roman"/>
                <w:sz w:val="24"/>
                <w:szCs w:val="24"/>
              </w:rPr>
            </w:pP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сохранение и развитие культуры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посещаемость населением киносеансов, проводимых организациями, осуществляющими кинопоказ;</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увеличение численности участников культурно – досуговых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5)доля коллективов самодеятельного художественного творчества, имеющих звание «</w:t>
            </w:r>
            <w:proofErr w:type="gramStart"/>
            <w:r w:rsidRPr="00FC28AE">
              <w:rPr>
                <w:rFonts w:ascii="Times New Roman" w:hAnsi="Times New Roman"/>
                <w:sz w:val="24"/>
                <w:szCs w:val="24"/>
              </w:rPr>
              <w:t>народный  (</w:t>
            </w:r>
            <w:proofErr w:type="gramEnd"/>
            <w:r w:rsidRPr="00FC28AE">
              <w:rPr>
                <w:rFonts w:ascii="Times New Roman" w:hAnsi="Times New Roman"/>
                <w:sz w:val="24"/>
                <w:szCs w:val="24"/>
              </w:rPr>
              <w:t>образцовый)»;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7) число посещений муниципальных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10) увеличение количества библиографических записей в сводном электронном каталоге библиотек Свердловской </w:t>
            </w:r>
            <w:r w:rsidRPr="00FC28AE">
              <w:rPr>
                <w:rFonts w:ascii="Times New Roman" w:hAnsi="Times New Roman" w:cs="Times New Roman"/>
                <w:sz w:val="24"/>
                <w:szCs w:val="24"/>
              </w:rPr>
              <w:lastRenderedPageBreak/>
              <w:t>области (по сравнению с предыдущим годом);</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11) доля электронных изданий в общем количестве поступлений в фонды областных </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государственных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16) доля расходов на культуру в бюджете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подпрограммы 2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sz w:val="24"/>
                <w:szCs w:val="24"/>
              </w:rPr>
            </w:pPr>
            <w:r w:rsidRPr="005F326A">
              <w:rPr>
                <w:rFonts w:ascii="Times New Roman" w:eastAsia="Calibri" w:hAnsi="Times New Roman" w:cs="Times New Roman"/>
                <w:b/>
                <w:sz w:val="24"/>
                <w:szCs w:val="24"/>
                <w:highlight w:val="yellow"/>
              </w:rPr>
              <w:t>всего –</w:t>
            </w:r>
            <w:r w:rsidRPr="005F326A">
              <w:rPr>
                <w:rFonts w:ascii="Times New Roman" w:eastAsia="Calibri" w:hAnsi="Times New Roman" w:cs="Times New Roman"/>
                <w:sz w:val="24"/>
                <w:szCs w:val="24"/>
                <w:highlight w:val="yellow"/>
              </w:rPr>
              <w:t xml:space="preserve">   </w:t>
            </w:r>
            <w:r w:rsidR="00BF0294">
              <w:rPr>
                <w:rFonts w:ascii="Times New Roman" w:eastAsia="Times New Roman" w:hAnsi="Times New Roman" w:cs="Times New Roman"/>
                <w:bCs/>
                <w:sz w:val="24"/>
                <w:szCs w:val="24"/>
                <w:highlight w:val="yellow"/>
              </w:rPr>
              <w:t>465 829,65</w:t>
            </w:r>
            <w:r w:rsidRPr="005F326A">
              <w:rPr>
                <w:rFonts w:ascii="Times New Roman" w:eastAsia="Times New Roman" w:hAnsi="Times New Roman" w:cs="Times New Roman"/>
                <w:bCs/>
                <w:sz w:val="24"/>
                <w:szCs w:val="24"/>
                <w:highlight w:val="yellow"/>
              </w:rPr>
              <w:t xml:space="preserve"> </w:t>
            </w:r>
            <w:r w:rsidRPr="005F326A">
              <w:rPr>
                <w:rFonts w:ascii="Times New Roman" w:eastAsia="Calibri" w:hAnsi="Times New Roman" w:cs="Times New Roman"/>
                <w:sz w:val="24"/>
                <w:szCs w:val="24"/>
                <w:highlight w:val="yellow"/>
              </w:rPr>
              <w:t>тыс. рублей,</w:t>
            </w:r>
            <w:r w:rsidRPr="00FC28AE">
              <w:rPr>
                <w:rFonts w:ascii="Times New Roman" w:eastAsia="Calibri" w:hAnsi="Times New Roman" w:cs="Times New Roman"/>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53 429,17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61 355,06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69 100,01 тыс. рублей;</w:t>
            </w:r>
          </w:p>
          <w:p w:rsidR="00F343EF" w:rsidRPr="00FC28AE" w:rsidRDefault="00473530"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 год –   70 486,3</w:t>
            </w:r>
            <w:r w:rsidR="00F343EF" w:rsidRPr="00FC28AE">
              <w:rPr>
                <w:rFonts w:ascii="Times New Roman" w:eastAsia="Calibri" w:hAnsi="Times New Roman" w:cs="Times New Roman"/>
                <w:sz w:val="24"/>
                <w:szCs w:val="24"/>
              </w:rPr>
              <w:t>2 тыс. рублей;</w:t>
            </w:r>
          </w:p>
          <w:p w:rsidR="00F343EF" w:rsidRPr="00FC28AE" w:rsidRDefault="00BF0294"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71 576,95</w:t>
            </w:r>
            <w:r w:rsidR="00F343EF" w:rsidRPr="00473530">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473530">
              <w:rPr>
                <w:rFonts w:ascii="Times New Roman" w:eastAsia="Calibri" w:hAnsi="Times New Roman" w:cs="Times New Roman"/>
                <w:b/>
                <w:sz w:val="24"/>
                <w:szCs w:val="24"/>
                <w:highlight w:val="yellow"/>
              </w:rPr>
              <w:lastRenderedPageBreak/>
              <w:t>областной бюджет:</w:t>
            </w:r>
            <w:r w:rsidR="00BF0294">
              <w:rPr>
                <w:rFonts w:ascii="Times New Roman" w:eastAsia="Calibri" w:hAnsi="Times New Roman" w:cs="Times New Roman"/>
                <w:sz w:val="24"/>
                <w:szCs w:val="24"/>
                <w:highlight w:val="yellow"/>
              </w:rPr>
              <w:t xml:space="preserve">   7215,6</w:t>
            </w:r>
            <w:r w:rsidRPr="00473530">
              <w:rPr>
                <w:rFonts w:ascii="Times New Roman" w:eastAsia="Calibri" w:hAnsi="Times New Roman" w:cs="Times New Roman"/>
                <w:sz w:val="24"/>
                <w:szCs w:val="24"/>
                <w:highlight w:val="yellow"/>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- 507,00 тыс. рублей;</w:t>
            </w:r>
          </w:p>
          <w:p w:rsidR="00F343EF"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- 4484,00 тыс. рублей;</w:t>
            </w:r>
          </w:p>
          <w:p w:rsidR="001105ED" w:rsidRPr="00FC28AE" w:rsidRDefault="001105ED"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 год - 1875,8</w:t>
            </w:r>
            <w:r w:rsidRPr="00FC28AE">
              <w:rPr>
                <w:rFonts w:ascii="Times New Roman" w:eastAsia="Calibri" w:hAnsi="Times New Roman" w:cs="Times New Roman"/>
                <w:sz w:val="24"/>
                <w:szCs w:val="24"/>
              </w:rPr>
              <w:t>0 тыс. рублей;</w:t>
            </w:r>
          </w:p>
          <w:p w:rsidR="00F343EF" w:rsidRPr="00FC28AE" w:rsidRDefault="00BF0294"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348,8</w:t>
            </w:r>
            <w:r w:rsidR="00F343EF" w:rsidRPr="00473530">
              <w:rPr>
                <w:rFonts w:ascii="Times New Roman" w:eastAsia="Calibri" w:hAnsi="Times New Roman" w:cs="Times New Roman"/>
                <w:sz w:val="24"/>
                <w:szCs w:val="24"/>
                <w:highlight w:val="yellow"/>
              </w:rPr>
              <w:t>7 тыс. рублей;</w:t>
            </w:r>
            <w:r w:rsidR="00F343EF" w:rsidRPr="00FC28AE">
              <w:rPr>
                <w:rFonts w:ascii="Times New Roman" w:eastAsia="Calibri" w:hAnsi="Times New Roman" w:cs="Times New Roman"/>
                <w:sz w:val="24"/>
                <w:szCs w:val="24"/>
              </w:rPr>
              <w:t xml:space="preserve">                  </w:t>
            </w:r>
          </w:p>
          <w:p w:rsidR="00F343EF" w:rsidRPr="00473530" w:rsidRDefault="00F343EF" w:rsidP="00FC28AE">
            <w:pPr>
              <w:spacing w:after="0" w:line="240" w:lineRule="auto"/>
              <w:rPr>
                <w:rFonts w:ascii="Times New Roman" w:eastAsia="Calibri" w:hAnsi="Times New Roman" w:cs="Times New Roman"/>
                <w:b/>
                <w:sz w:val="24"/>
                <w:szCs w:val="24"/>
              </w:rPr>
            </w:pPr>
            <w:r w:rsidRPr="00473530">
              <w:rPr>
                <w:rFonts w:ascii="Times New Roman" w:eastAsia="Calibri" w:hAnsi="Times New Roman" w:cs="Times New Roman"/>
                <w:b/>
                <w:sz w:val="24"/>
                <w:szCs w:val="24"/>
              </w:rPr>
              <w:t>федеральный бюджет: 80,80тыс.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80,80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473530">
              <w:rPr>
                <w:rFonts w:ascii="Times New Roman" w:eastAsia="Calibri" w:hAnsi="Times New Roman" w:cs="Times New Roman"/>
                <w:b/>
                <w:sz w:val="24"/>
                <w:szCs w:val="24"/>
                <w:highlight w:val="yellow"/>
              </w:rPr>
              <w:t>местный бюджет</w:t>
            </w:r>
            <w:r w:rsidR="00BF0294">
              <w:rPr>
                <w:rFonts w:ascii="Times New Roman" w:eastAsia="Calibri" w:hAnsi="Times New Roman" w:cs="Times New Roman"/>
                <w:b/>
                <w:sz w:val="24"/>
                <w:szCs w:val="24"/>
                <w:highlight w:val="yellow"/>
              </w:rPr>
              <w:t>: 458 533,</w:t>
            </w:r>
            <w:r w:rsidR="00473530" w:rsidRPr="00473530">
              <w:rPr>
                <w:rFonts w:ascii="Times New Roman" w:eastAsia="Calibri" w:hAnsi="Times New Roman" w:cs="Times New Roman"/>
                <w:b/>
                <w:sz w:val="24"/>
                <w:szCs w:val="24"/>
                <w:highlight w:val="yellow"/>
              </w:rPr>
              <w:t>1</w:t>
            </w:r>
            <w:r w:rsidR="00BF0294">
              <w:rPr>
                <w:rFonts w:ascii="Times New Roman" w:eastAsia="Calibri" w:hAnsi="Times New Roman" w:cs="Times New Roman"/>
                <w:b/>
                <w:sz w:val="24"/>
                <w:szCs w:val="24"/>
                <w:highlight w:val="yellow"/>
              </w:rPr>
              <w:t>8</w:t>
            </w:r>
            <w:r w:rsidRPr="00473530">
              <w:rPr>
                <w:rFonts w:ascii="Times New Roman" w:eastAsia="Calibri" w:hAnsi="Times New Roman" w:cs="Times New Roman"/>
                <w:b/>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53 348,37тыс.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60 848,06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64 616,01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68 610,52 тыс. рублей;</w:t>
            </w:r>
          </w:p>
          <w:p w:rsidR="00F343EF" w:rsidRPr="00FC28AE" w:rsidRDefault="00BF0294"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71 228,08</w:t>
            </w:r>
            <w:r w:rsidR="00F343EF" w:rsidRPr="00473530">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DD1DD6" w:rsidP="00FC28AE">
            <w:pPr>
              <w:pStyle w:val="a3"/>
              <w:rPr>
                <w:rFonts w:ascii="Times New Roman" w:hAnsi="Times New Roman"/>
                <w:sz w:val="24"/>
                <w:szCs w:val="24"/>
                <w:lang w:val="en-US"/>
              </w:rPr>
            </w:pPr>
            <w:hyperlink r:id="rId10"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FC28AE">
        <w:rPr>
          <w:color w:val="000000"/>
        </w:rPr>
        <w:t>Рябинушка</w:t>
      </w:r>
      <w:proofErr w:type="spellEnd"/>
      <w:r w:rsidRPr="00FC28AE">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FC28AE">
        <w:rPr>
          <w:color w:val="000000"/>
        </w:rPr>
        <w:t>среднеобластной</w:t>
      </w:r>
      <w:proofErr w:type="spellEnd"/>
      <w:r w:rsidRPr="00FC28AE">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FC28AE">
        <w:rPr>
          <w:color w:val="000000"/>
        </w:rPr>
        <w:t>детьми</w:t>
      </w:r>
      <w:proofErr w:type="gramEnd"/>
      <w:r w:rsidRPr="00FC28AE">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w:t>
      </w:r>
      <w:r w:rsidRPr="00FC28AE">
        <w:rPr>
          <w:color w:val="000000"/>
        </w:rPr>
        <w:lastRenderedPageBreak/>
        <w:t xml:space="preserve">2019 год составил 170,8% или 69313 человек. Доля платных культурно-массовых мероприятий для детей составляет 49,5%, для молодежи 15%.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детского творчества «Игрушка-</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b/>
          <w:sz w:val="24"/>
          <w:szCs w:val="24"/>
        </w:rPr>
        <w:t>Значимые достижения 2019г</w:t>
      </w:r>
      <w:r w:rsidRPr="00FC28AE">
        <w:rPr>
          <w:rFonts w:ascii="Times New Roman" w:eastAsia="Times New Roman" w:hAnsi="Times New Roman" w:cs="Times New Roman"/>
          <w:sz w:val="24"/>
          <w:szCs w:val="24"/>
        </w:rPr>
        <w:t>.</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hAnsi="Times New Roman" w:cs="Times New Roman"/>
          <w:sz w:val="24"/>
          <w:szCs w:val="24"/>
        </w:rPr>
        <w:t>- Всероссийский многожанровый конкурс «НАПОКАЗ» г. Екатеринбург;</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XIII</w:t>
      </w:r>
      <w:r w:rsidRPr="00FC28AE">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FC28AE">
        <w:rPr>
          <w:rFonts w:ascii="Times New Roman" w:eastAsia="Times New Roman" w:hAnsi="Times New Roman" w:cs="Times New Roman"/>
          <w:sz w:val="24"/>
          <w:szCs w:val="24"/>
        </w:rPr>
        <w:t xml:space="preserve">мозаика»   </w:t>
      </w:r>
      <w:proofErr w:type="gramEnd"/>
      <w:r w:rsidRPr="00FC28AE">
        <w:rPr>
          <w:rFonts w:ascii="Times New Roman" w:eastAsia="Times New Roman" w:hAnsi="Times New Roman" w:cs="Times New Roman"/>
          <w:sz w:val="24"/>
          <w:szCs w:val="24"/>
        </w:rPr>
        <w:t xml:space="preserve">           г. Ярославль (Гран-При фестиваля «Мастера» п. Калиново);</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(7 дипломов финалиста, д</w:t>
      </w:r>
      <w:r w:rsidRPr="00FC28AE">
        <w:rPr>
          <w:rFonts w:ascii="Times New Roman" w:eastAsia="Calibri" w:hAnsi="Times New Roman" w:cs="Times New Roman"/>
          <w:sz w:val="24"/>
          <w:szCs w:val="24"/>
        </w:rPr>
        <w:t>иплом за 1 место и за 3 место в номинации сувенир, игрушка Пыхтеева Г.Н.);</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w:t>
      </w:r>
      <w:r w:rsidRPr="00FC28AE">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в номинации «Народный танец». Хор «</w:t>
      </w:r>
      <w:proofErr w:type="spellStart"/>
      <w:r w:rsidRPr="00FC28AE">
        <w:rPr>
          <w:rFonts w:ascii="Times New Roman" w:eastAsia="Calibri" w:hAnsi="Times New Roman" w:cs="Times New Roman"/>
          <w:sz w:val="24"/>
          <w:szCs w:val="24"/>
        </w:rPr>
        <w:t>Рябинушка</w:t>
      </w:r>
      <w:proofErr w:type="spellEnd"/>
      <w:r w:rsidRPr="00FC28AE">
        <w:rPr>
          <w:rFonts w:ascii="Times New Roman" w:eastAsia="Calibri" w:hAnsi="Times New Roman" w:cs="Times New Roman"/>
          <w:sz w:val="24"/>
          <w:szCs w:val="24"/>
        </w:rPr>
        <w:t xml:space="preserve">»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вокальная группа хора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и Любовь Новоселова завоевала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солистка </w:t>
      </w:r>
      <w:proofErr w:type="spellStart"/>
      <w:r w:rsidRPr="00FC28AE">
        <w:rPr>
          <w:rFonts w:ascii="Times New Roman" w:eastAsia="Calibri" w:hAnsi="Times New Roman" w:cs="Times New Roman"/>
          <w:sz w:val="24"/>
          <w:szCs w:val="24"/>
        </w:rPr>
        <w:t>Бобкова</w:t>
      </w:r>
      <w:proofErr w:type="spellEnd"/>
      <w:r w:rsidRPr="00FC28AE">
        <w:rPr>
          <w:rFonts w:ascii="Times New Roman" w:eastAsia="Calibri" w:hAnsi="Times New Roman" w:cs="Times New Roman"/>
          <w:sz w:val="24"/>
          <w:szCs w:val="24"/>
        </w:rPr>
        <w:t xml:space="preserve"> Валентина –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хор ДК п. Ребристый –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танцевальный коллектив «Озорники»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и ее ученица Вера </w:t>
      </w:r>
      <w:proofErr w:type="spellStart"/>
      <w:r w:rsidRPr="00FC28AE">
        <w:rPr>
          <w:rFonts w:ascii="Times New Roman" w:eastAsia="Calibri" w:hAnsi="Times New Roman" w:cs="Times New Roman"/>
          <w:sz w:val="24"/>
          <w:szCs w:val="24"/>
        </w:rPr>
        <w:t>Кошкарова</w:t>
      </w:r>
      <w:proofErr w:type="spellEnd"/>
      <w:r w:rsidRPr="00FC28AE">
        <w:rPr>
          <w:rFonts w:ascii="Times New Roman" w:eastAsia="Calibri" w:hAnsi="Times New Roman" w:cs="Times New Roman"/>
          <w:sz w:val="24"/>
          <w:szCs w:val="24"/>
        </w:rPr>
        <w:t xml:space="preserve"> получила диплом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w:t>
      </w:r>
    </w:p>
    <w:p w:rsidR="00F343EF" w:rsidRPr="00FC28AE" w:rsidRDefault="00F343EF" w:rsidP="00F343EF">
      <w:pPr>
        <w:pStyle w:val="a3"/>
        <w:spacing w:line="276" w:lineRule="auto"/>
        <w:jc w:val="both"/>
        <w:rPr>
          <w:rFonts w:ascii="Times New Roman" w:hAnsi="Times New Roman"/>
          <w:sz w:val="24"/>
          <w:szCs w:val="24"/>
        </w:rPr>
      </w:pPr>
      <w:r w:rsidRPr="00FC28AE">
        <w:rPr>
          <w:rFonts w:ascii="Times New Roman" w:eastAsia="Times New Roman" w:hAnsi="Times New Roman"/>
          <w:sz w:val="24"/>
          <w:szCs w:val="24"/>
          <w:lang w:eastAsia="ru-RU"/>
        </w:rPr>
        <w:t xml:space="preserve">-  </w:t>
      </w:r>
      <w:r w:rsidRPr="00FC28AE">
        <w:rPr>
          <w:rFonts w:ascii="Times New Roman" w:eastAsia="Times New Roman" w:hAnsi="Times New Roman"/>
          <w:sz w:val="24"/>
          <w:szCs w:val="24"/>
          <w:lang w:val="en-US" w:eastAsia="ru-RU"/>
        </w:rPr>
        <w:t>III</w:t>
      </w:r>
      <w:r w:rsidRPr="00FC28AE">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FC28AE">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FC28AE">
        <w:rPr>
          <w:rFonts w:ascii="Times New Roman" w:hAnsi="Times New Roman"/>
          <w:sz w:val="24"/>
          <w:szCs w:val="24"/>
          <w:lang w:val="en-US"/>
        </w:rPr>
        <w:t>II</w:t>
      </w:r>
      <w:r w:rsidRPr="00FC28AE">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FC28AE">
        <w:rPr>
          <w:rFonts w:ascii="Times New Roman" w:hAnsi="Times New Roman"/>
          <w:sz w:val="24"/>
          <w:szCs w:val="24"/>
        </w:rPr>
        <w:t>Ивановна  получил</w:t>
      </w:r>
      <w:proofErr w:type="gramEnd"/>
      <w:r w:rsidRPr="00FC28AE">
        <w:rPr>
          <w:rFonts w:ascii="Times New Roman" w:hAnsi="Times New Roman"/>
          <w:sz w:val="24"/>
          <w:szCs w:val="24"/>
        </w:rPr>
        <w:t xml:space="preserve">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«Народный танец», от 45 лет и коллектив степ-</w:t>
      </w:r>
      <w:r w:rsidRPr="00FC28AE">
        <w:rPr>
          <w:rFonts w:ascii="Times New Roman" w:hAnsi="Times New Roman"/>
          <w:sz w:val="24"/>
          <w:szCs w:val="24"/>
        </w:rPr>
        <w:lastRenderedPageBreak/>
        <w:t xml:space="preserve">танца рук. Секачев Игорь Вячеславович завоевали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«Стилизация народного танца», 10-13 лет;</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в номинации «Художественное слово» Арапов Захар;</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rsidR="00F343EF" w:rsidRPr="00FC28AE" w:rsidRDefault="00F343EF" w:rsidP="00F343EF">
      <w:pPr>
        <w:tabs>
          <w:tab w:val="left" w:pos="3900"/>
        </w:tabs>
        <w:spacing w:after="0"/>
        <w:jc w:val="both"/>
        <w:rPr>
          <w:rFonts w:ascii="Times New Roman" w:eastAsia="Times New Roman" w:hAnsi="Times New Roman" w:cs="Times New Roman"/>
          <w:sz w:val="24"/>
          <w:szCs w:val="24"/>
        </w:rPr>
      </w:pPr>
      <w:r w:rsidRPr="00FC28AE">
        <w:rPr>
          <w:rFonts w:ascii="Times New Roman" w:eastAsia="Times New Roman" w:hAnsi="Times New Roman"/>
          <w:sz w:val="24"/>
          <w:szCs w:val="24"/>
        </w:rPr>
        <w:t xml:space="preserve">- </w:t>
      </w:r>
      <w:r w:rsidRPr="00FC28AE">
        <w:rPr>
          <w:rFonts w:ascii="Times New Roman" w:eastAsia="Times New Roman" w:hAnsi="Times New Roman"/>
          <w:sz w:val="24"/>
          <w:szCs w:val="24"/>
          <w:lang w:val="en-US"/>
        </w:rPr>
        <w:t>XVIII</w:t>
      </w:r>
      <w:r w:rsidRPr="00FC28AE">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FC28AE">
        <w:rPr>
          <w:rFonts w:ascii="Times New Roman" w:eastAsia="Times New Roman" w:hAnsi="Times New Roman"/>
          <w:sz w:val="24"/>
          <w:szCs w:val="24"/>
        </w:rPr>
        <w:t>Кашинский</w:t>
      </w:r>
      <w:proofErr w:type="spellEnd"/>
      <w:r w:rsidRPr="00FC28AE">
        <w:rPr>
          <w:rFonts w:ascii="Times New Roman" w:eastAsia="Times New Roman" w:hAnsi="Times New Roman"/>
          <w:sz w:val="24"/>
          <w:szCs w:val="24"/>
        </w:rPr>
        <w:t xml:space="preserve"> хоровод»</w:t>
      </w:r>
      <w:r w:rsidRPr="00FC28AE">
        <w:rPr>
          <w:rFonts w:ascii="Times New Roman" w:eastAsia="Times New Roman" w:hAnsi="Times New Roman" w:cs="Times New Roman"/>
          <w:sz w:val="24"/>
          <w:szCs w:val="24"/>
        </w:rPr>
        <w:t xml:space="preserve"> </w:t>
      </w:r>
      <w:proofErr w:type="spellStart"/>
      <w:r w:rsidRPr="00FC28AE">
        <w:rPr>
          <w:rFonts w:ascii="Times New Roman" w:eastAsia="Times New Roman" w:hAnsi="Times New Roman" w:cs="Times New Roman"/>
          <w:sz w:val="24"/>
          <w:szCs w:val="24"/>
        </w:rPr>
        <w:t>с.Кашино</w:t>
      </w:r>
      <w:proofErr w:type="spellEnd"/>
      <w:r w:rsidRPr="00FC28AE">
        <w:rPr>
          <w:rFonts w:ascii="Times New Roman" w:eastAsia="Times New Roman" w:hAnsi="Times New Roman" w:cs="Times New Roman"/>
          <w:sz w:val="24"/>
          <w:szCs w:val="24"/>
        </w:rPr>
        <w:t xml:space="preserve">, г. Богданович. Номинация «Частушки» - Л. </w:t>
      </w:r>
      <w:proofErr w:type="spellStart"/>
      <w:r w:rsidRPr="00FC28AE">
        <w:rPr>
          <w:rFonts w:ascii="Times New Roman" w:eastAsia="Times New Roman" w:hAnsi="Times New Roman" w:cs="Times New Roman"/>
          <w:sz w:val="24"/>
          <w:szCs w:val="24"/>
        </w:rPr>
        <w:t>Ханова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III</w:t>
      </w:r>
      <w:r w:rsidRPr="00FC28AE">
        <w:rPr>
          <w:rFonts w:ascii="Times New Roman" w:eastAsia="Times New Roman" w:hAnsi="Times New Roman" w:cs="Times New Roman"/>
          <w:sz w:val="24"/>
          <w:szCs w:val="24"/>
        </w:rPr>
        <w:t xml:space="preserve"> степени. «Народные инструменты» - </w:t>
      </w:r>
      <w:proofErr w:type="spellStart"/>
      <w:r w:rsidRPr="00FC28AE">
        <w:rPr>
          <w:rFonts w:ascii="Times New Roman" w:eastAsia="Times New Roman" w:hAnsi="Times New Roman" w:cs="Times New Roman"/>
          <w:sz w:val="24"/>
          <w:szCs w:val="24"/>
        </w:rPr>
        <w:t>Манеев</w:t>
      </w:r>
      <w:proofErr w:type="spellEnd"/>
      <w:r w:rsidRPr="00FC28AE">
        <w:rPr>
          <w:rFonts w:ascii="Times New Roman" w:eastAsia="Times New Roman" w:hAnsi="Times New Roman" w:cs="Times New Roman"/>
          <w:sz w:val="24"/>
          <w:szCs w:val="24"/>
        </w:rPr>
        <w:t xml:space="preserve"> В.Н.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 «Кулинарный конкурс» - ДК п. Ребристый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Конкурс подворий –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FC28AE">
        <w:rPr>
          <w:rFonts w:ascii="Times New Roman" w:hAnsi="Times New Roman" w:cs="Times New Roman"/>
          <w:sz w:val="24"/>
          <w:szCs w:val="24"/>
        </w:rPr>
        <w:t>г. Кировград.</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Номинация «Художественное слово» - диплом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 Тамара </w:t>
      </w:r>
      <w:proofErr w:type="spellStart"/>
      <w:r w:rsidRPr="00FC28AE">
        <w:rPr>
          <w:rFonts w:ascii="Times New Roman" w:hAnsi="Times New Roman" w:cs="Times New Roman"/>
          <w:sz w:val="24"/>
          <w:szCs w:val="24"/>
        </w:rPr>
        <w:t>Перегудова</w:t>
      </w:r>
      <w:proofErr w:type="spellEnd"/>
      <w:r w:rsidRPr="00FC28AE">
        <w:rPr>
          <w:rFonts w:ascii="Times New Roman" w:hAnsi="Times New Roman" w:cs="Times New Roman"/>
          <w:sz w:val="24"/>
          <w:szCs w:val="24"/>
        </w:rPr>
        <w:t xml:space="preserve"> ДК                     п. Цементный;</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«Хореография» - диплом лауреата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коллектив «Время танцевать»,</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руководитель Т.И. Белоусова ДКМ;</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«Вокал» - диплом лауреата </w:t>
      </w:r>
      <w:r w:rsidRPr="00FC28AE">
        <w:rPr>
          <w:rFonts w:ascii="Times New Roman" w:hAnsi="Times New Roman" w:cs="Times New Roman"/>
          <w:sz w:val="24"/>
          <w:szCs w:val="24"/>
          <w:lang w:val="en-US"/>
        </w:rPr>
        <w:t>II</w:t>
      </w:r>
      <w:r w:rsidRPr="00FC28AE">
        <w:rPr>
          <w:rFonts w:ascii="Times New Roman" w:hAnsi="Times New Roman" w:cs="Times New Roman"/>
          <w:sz w:val="24"/>
          <w:szCs w:val="24"/>
        </w:rPr>
        <w:t xml:space="preserve"> степени – Александр Орлов;</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«Декоративно-прикладное творчество» - дипломы лауреатов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w:t>
      </w:r>
      <w:proofErr w:type="spellStart"/>
      <w:r w:rsidRPr="00FC28AE">
        <w:rPr>
          <w:rFonts w:ascii="Times New Roman" w:hAnsi="Times New Roman" w:cs="Times New Roman"/>
          <w:sz w:val="24"/>
          <w:szCs w:val="24"/>
        </w:rPr>
        <w:t>Л.Сергеева</w:t>
      </w:r>
      <w:proofErr w:type="spellEnd"/>
      <w:r w:rsidRPr="00FC28AE">
        <w:rPr>
          <w:rFonts w:ascii="Times New Roman" w:hAnsi="Times New Roman" w:cs="Times New Roman"/>
          <w:sz w:val="24"/>
          <w:szCs w:val="24"/>
        </w:rPr>
        <w:t xml:space="preserve"> - художественная керамика, Г. Пыхтеева – текстильная кукла,  </w:t>
      </w:r>
      <w:proofErr w:type="spellStart"/>
      <w:r w:rsidRPr="00FC28AE">
        <w:rPr>
          <w:rFonts w:ascii="Times New Roman" w:hAnsi="Times New Roman" w:cs="Times New Roman"/>
          <w:sz w:val="24"/>
          <w:szCs w:val="24"/>
        </w:rPr>
        <w:t>Кукарцева</w:t>
      </w:r>
      <w:proofErr w:type="spellEnd"/>
      <w:r w:rsidRPr="00FC28AE">
        <w:rPr>
          <w:rFonts w:ascii="Times New Roman" w:hAnsi="Times New Roman" w:cs="Times New Roman"/>
          <w:sz w:val="24"/>
          <w:szCs w:val="24"/>
        </w:rPr>
        <w:t xml:space="preserve">  Лариса – изделия из нетрадиционных материалов.</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proofErr w:type="gramStart"/>
      <w:r w:rsidRPr="00FC28AE">
        <w:rPr>
          <w:rFonts w:ascii="Times New Roman" w:hAnsi="Times New Roman" w:cs="Times New Roman"/>
          <w:sz w:val="24"/>
          <w:szCs w:val="24"/>
        </w:rPr>
        <w:t>В  Невьянском</w:t>
      </w:r>
      <w:proofErr w:type="gramEnd"/>
      <w:r w:rsidRPr="00FC28AE">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FC28AE">
        <w:rPr>
          <w:rFonts w:ascii="Times New Roman" w:hAnsi="Times New Roman" w:cs="Times New Roman"/>
          <w:sz w:val="24"/>
          <w:szCs w:val="24"/>
        </w:rPr>
        <w:t>контентов</w:t>
      </w:r>
      <w:proofErr w:type="spellEnd"/>
      <w:r w:rsidRPr="00FC28AE">
        <w:rPr>
          <w:rFonts w:ascii="Times New Roman" w:hAnsi="Times New Roman" w:cs="Times New Roman"/>
          <w:sz w:val="24"/>
          <w:szCs w:val="24"/>
        </w:rPr>
        <w:t xml:space="preserve">. Специальной техники для оцифровки фонда в библиотеках системы нет. </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FC28AE">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FC28AE">
        <w:rPr>
          <w:rFonts w:ascii="Times New Roman" w:hAnsi="Times New Roman"/>
          <w:sz w:val="24"/>
          <w:szCs w:val="24"/>
        </w:rPr>
        <w:t xml:space="preserve">Сайты постоянно пополняются новыми актуальными материалами. </w:t>
      </w:r>
      <w:r w:rsidRPr="00FC28AE">
        <w:rPr>
          <w:rFonts w:ascii="Times New Roman" w:hAnsi="Times New Roman" w:cs="Times New Roman"/>
          <w:sz w:val="24"/>
          <w:szCs w:val="24"/>
        </w:rPr>
        <w:t xml:space="preserve">Постоянно ведется работа по продвижению сайтов: реклама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выпуск визиток и памяток.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FC28AE">
        <w:rPr>
          <w:rFonts w:ascii="Times New Roman" w:hAnsi="Times New Roman" w:cs="Times New Roman"/>
          <w:sz w:val="24"/>
          <w:szCs w:val="24"/>
        </w:rPr>
        <w:t>П.П.Бажова</w:t>
      </w:r>
      <w:proofErr w:type="spellEnd"/>
      <w:r w:rsidRPr="00FC28AE">
        <w:rPr>
          <w:rFonts w:ascii="Times New Roman" w:hAnsi="Times New Roman" w:cs="Times New Roman"/>
          <w:sz w:val="24"/>
          <w:szCs w:val="24"/>
        </w:rPr>
        <w:t xml:space="preserve">, («Одноклассники», «В </w:t>
      </w:r>
      <w:proofErr w:type="spellStart"/>
      <w:r w:rsidRPr="00FC28AE">
        <w:rPr>
          <w:rFonts w:ascii="Times New Roman" w:hAnsi="Times New Roman" w:cs="Times New Roman"/>
          <w:sz w:val="24"/>
          <w:szCs w:val="24"/>
        </w:rPr>
        <w:t>Котнакте</w:t>
      </w:r>
      <w:proofErr w:type="spellEnd"/>
      <w:r w:rsidRPr="00FC28AE">
        <w:rPr>
          <w:rFonts w:ascii="Times New Roman" w:hAnsi="Times New Roman" w:cs="Times New Roman"/>
          <w:sz w:val="24"/>
          <w:szCs w:val="24"/>
        </w:rPr>
        <w:t>»</w:t>
      </w:r>
      <w:proofErr w:type="gramStart"/>
      <w:r w:rsidRPr="00FC28AE">
        <w:rPr>
          <w:rFonts w:ascii="Times New Roman" w:hAnsi="Times New Roman" w:cs="Times New Roman"/>
          <w:sz w:val="24"/>
          <w:szCs w:val="24"/>
        </w:rPr>
        <w:t>),библиотека</w:t>
      </w:r>
      <w:proofErr w:type="gramEnd"/>
      <w:r w:rsidRPr="00FC28AE">
        <w:rPr>
          <w:rFonts w:ascii="Times New Roman" w:hAnsi="Times New Roman" w:cs="Times New Roman"/>
          <w:sz w:val="24"/>
          <w:szCs w:val="24"/>
        </w:rPr>
        <w:t xml:space="preserve"> – филиал № 15 </w:t>
      </w:r>
      <w:proofErr w:type="spellStart"/>
      <w:r w:rsidRPr="00FC28AE">
        <w:rPr>
          <w:rFonts w:ascii="Times New Roman" w:hAnsi="Times New Roman" w:cs="Times New Roman"/>
          <w:sz w:val="24"/>
          <w:szCs w:val="24"/>
        </w:rPr>
        <w:t>п.Цементный</w:t>
      </w:r>
      <w:proofErr w:type="spellEnd"/>
      <w:r w:rsidRPr="00FC28AE">
        <w:rPr>
          <w:rFonts w:ascii="Times New Roman" w:hAnsi="Times New Roman" w:cs="Times New Roman"/>
          <w:sz w:val="24"/>
          <w:szCs w:val="24"/>
        </w:rPr>
        <w:t xml:space="preserve">        («Одноклассники»). Центр детского чтения «Радуга </w:t>
      </w:r>
      <w:r w:rsidRPr="00FC28AE">
        <w:rPr>
          <w:rFonts w:ascii="Times New Roman" w:hAnsi="Times New Roman" w:cs="Times New Roman"/>
          <w:sz w:val="24"/>
          <w:szCs w:val="24"/>
        </w:rPr>
        <w:lastRenderedPageBreak/>
        <w:t>(«Одноклассники», «В Контакте», «</w:t>
      </w:r>
      <w:proofErr w:type="spellStart"/>
      <w:r w:rsidRPr="00FC28AE">
        <w:rPr>
          <w:rFonts w:ascii="Times New Roman" w:hAnsi="Times New Roman" w:cs="Times New Roman"/>
          <w:sz w:val="24"/>
          <w:szCs w:val="24"/>
        </w:rPr>
        <w:t>Фейсбук</w:t>
      </w:r>
      <w:proofErr w:type="spellEnd"/>
      <w:r w:rsidRPr="00FC28AE">
        <w:rPr>
          <w:rFonts w:ascii="Times New Roman" w:hAnsi="Times New Roman" w:cs="Times New Roman"/>
          <w:sz w:val="24"/>
          <w:szCs w:val="24"/>
        </w:rPr>
        <w:t xml:space="preserve">»),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Для удаленных пользователей обеспечен </w:t>
      </w:r>
      <w:r w:rsidRPr="00FC28AE">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cs="Times New Roman"/>
          <w:color w:val="000000"/>
          <w:sz w:val="24"/>
          <w:szCs w:val="24"/>
        </w:rPr>
        <w:t xml:space="preserve">Продолжилась работа по созданию электронного каталога. </w:t>
      </w:r>
      <w:r w:rsidRPr="00FC28AE">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FC28AE">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FC28AE">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трех библиотеках (ЦГБ, сельская библиотека-филиал №8, с. </w:t>
      </w:r>
      <w:proofErr w:type="spellStart"/>
      <w:r w:rsidRPr="00FC28AE">
        <w:rPr>
          <w:rFonts w:ascii="Times New Roman" w:hAnsi="Times New Roman" w:cs="Times New Roman"/>
          <w:sz w:val="24"/>
          <w:szCs w:val="24"/>
        </w:rPr>
        <w:t>Аятское</w:t>
      </w:r>
      <w:proofErr w:type="spellEnd"/>
      <w:r w:rsidRPr="00FC28AE">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FC28AE">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FC28AE">
        <w:rPr>
          <w:rStyle w:val="s7"/>
          <w:rFonts w:ascii="Times New Roman" w:hAnsi="Times New Roman" w:cs="Times New Roman"/>
          <w:sz w:val="24"/>
          <w:szCs w:val="24"/>
        </w:rPr>
        <w:t xml:space="preserve"> В</w:t>
      </w:r>
      <w:r w:rsidRPr="00FC28AE">
        <w:rPr>
          <w:rStyle w:val="apple-converted-space"/>
          <w:rFonts w:ascii="Times New Roman" w:eastAsia="Arial Unicode MS" w:hAnsi="Times New Roman" w:cs="Times New Roman"/>
          <w:color w:val="000000"/>
          <w:sz w:val="24"/>
          <w:szCs w:val="24"/>
        </w:rPr>
        <w:t> </w:t>
      </w:r>
      <w:r w:rsidRPr="00FC28AE">
        <w:rPr>
          <w:rFonts w:ascii="Times New Roman" w:hAnsi="Times New Roman" w:cs="Times New Roman"/>
          <w:sz w:val="24"/>
          <w:szCs w:val="24"/>
        </w:rPr>
        <w:t>2019 году библиотеки МБУК «</w:t>
      </w:r>
      <w:proofErr w:type="gramStart"/>
      <w:r w:rsidRPr="00FC28AE">
        <w:rPr>
          <w:rFonts w:ascii="Times New Roman" w:hAnsi="Times New Roman" w:cs="Times New Roman"/>
          <w:sz w:val="24"/>
          <w:szCs w:val="24"/>
        </w:rPr>
        <w:t>ЦБС»НГО</w:t>
      </w:r>
      <w:proofErr w:type="gramEnd"/>
      <w:r w:rsidRPr="00FC28AE">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FC28AE">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FC28AE">
        <w:rPr>
          <w:rFonts w:ascii="Times New Roman" w:hAnsi="Times New Roman"/>
          <w:sz w:val="24"/>
          <w:szCs w:val="24"/>
        </w:rPr>
        <w:t>квест</w:t>
      </w:r>
      <w:proofErr w:type="spellEnd"/>
      <w:r w:rsidRPr="00FC28AE">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Востребованы и актуальны на </w:t>
      </w:r>
      <w:proofErr w:type="gramStart"/>
      <w:r w:rsidRPr="00FC28AE">
        <w:rPr>
          <w:rFonts w:ascii="Times New Roman" w:hAnsi="Times New Roman"/>
          <w:sz w:val="24"/>
          <w:szCs w:val="24"/>
        </w:rPr>
        <w:t>протяжении  нескольких</w:t>
      </w:r>
      <w:proofErr w:type="gramEnd"/>
      <w:r w:rsidRPr="00FC28AE">
        <w:rPr>
          <w:rFonts w:ascii="Times New Roman" w:hAnsi="Times New Roman"/>
          <w:sz w:val="24"/>
          <w:szCs w:val="24"/>
        </w:rPr>
        <w:t xml:space="preserve"> лет остались программы и проекты:</w:t>
      </w:r>
    </w:p>
    <w:p w:rsidR="00F343EF" w:rsidRPr="00FC28AE" w:rsidRDefault="00F343EF" w:rsidP="00F343EF">
      <w:pPr>
        <w:pStyle w:val="a7"/>
        <w:numPr>
          <w:ilvl w:val="0"/>
          <w:numId w:val="5"/>
        </w:numPr>
        <w:spacing w:after="0" w:line="240" w:lineRule="auto"/>
        <w:jc w:val="both"/>
        <w:rPr>
          <w:rFonts w:ascii="Times New Roman" w:hAnsi="Times New Roman" w:cs="Times New Roman"/>
          <w:sz w:val="24"/>
          <w:szCs w:val="24"/>
        </w:rPr>
      </w:pPr>
      <w:r w:rsidRPr="00FC28AE">
        <w:rPr>
          <w:rFonts w:ascii="Times New Roman" w:hAnsi="Times New Roman"/>
          <w:sz w:val="24"/>
          <w:szCs w:val="24"/>
        </w:rPr>
        <w:t xml:space="preserve">для людей с ограниченными возможностями: </w:t>
      </w:r>
      <w:r w:rsidRPr="00FC28AE">
        <w:rPr>
          <w:rFonts w:ascii="Times New Roman" w:hAnsi="Times New Roman" w:cs="Times New Roman"/>
          <w:sz w:val="24"/>
          <w:szCs w:val="24"/>
        </w:rPr>
        <w:t xml:space="preserve">«От сердца к </w:t>
      </w:r>
      <w:proofErr w:type="gramStart"/>
      <w:r w:rsidRPr="00FC28AE">
        <w:rPr>
          <w:rFonts w:ascii="Times New Roman" w:hAnsi="Times New Roman" w:cs="Times New Roman"/>
          <w:sz w:val="24"/>
          <w:szCs w:val="24"/>
        </w:rPr>
        <w:t>сердцу»(</w:t>
      </w:r>
      <w:proofErr w:type="gramEnd"/>
      <w:r w:rsidRPr="00FC28AE">
        <w:rPr>
          <w:rFonts w:ascii="Times New Roman" w:hAnsi="Times New Roman" w:cs="Times New Roman"/>
          <w:sz w:val="24"/>
          <w:szCs w:val="24"/>
        </w:rPr>
        <w:t xml:space="preserve">ЦГБ); Проект «Служба </w:t>
      </w:r>
      <w:proofErr w:type="spellStart"/>
      <w:r w:rsidRPr="00FC28AE">
        <w:rPr>
          <w:rFonts w:ascii="Times New Roman" w:hAnsi="Times New Roman" w:cs="Times New Roman"/>
          <w:sz w:val="24"/>
          <w:szCs w:val="24"/>
        </w:rPr>
        <w:t>библиотерапии</w:t>
      </w:r>
      <w:proofErr w:type="spellEnd"/>
      <w:r w:rsidRPr="00FC28AE">
        <w:rPr>
          <w:rFonts w:ascii="Times New Roman" w:hAnsi="Times New Roman" w:cs="Times New Roman"/>
          <w:sz w:val="24"/>
          <w:szCs w:val="24"/>
        </w:rPr>
        <w:t xml:space="preserve"> «Для Вас открыты наши двери и сердца»; </w:t>
      </w:r>
    </w:p>
    <w:p w:rsidR="00F343EF" w:rsidRPr="00FC28AE"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FC28AE">
        <w:rPr>
          <w:rFonts w:ascii="Times New Roman" w:hAnsi="Times New Roman" w:cs="Times New Roman"/>
          <w:sz w:val="24"/>
          <w:szCs w:val="24"/>
        </w:rPr>
        <w:t xml:space="preserve">проекты по </w:t>
      </w:r>
      <w:proofErr w:type="gramStart"/>
      <w:r w:rsidRPr="00FC28AE">
        <w:rPr>
          <w:rFonts w:ascii="Times New Roman" w:hAnsi="Times New Roman" w:cs="Times New Roman"/>
          <w:sz w:val="24"/>
          <w:szCs w:val="24"/>
        </w:rPr>
        <w:t>краеведению:  «</w:t>
      </w:r>
      <w:proofErr w:type="gramEnd"/>
      <w:r w:rsidRPr="00FC28AE">
        <w:rPr>
          <w:rFonts w:ascii="Times New Roman" w:hAnsi="Times New Roman" w:cs="Times New Roman"/>
          <w:sz w:val="24"/>
          <w:szCs w:val="24"/>
        </w:rPr>
        <w:t>И это все о нем, о поселке Цементном родном!»(филиал №15,п. Цементный); «Возращение к истокам»;</w:t>
      </w:r>
      <w:r w:rsidRPr="00FC28AE">
        <w:rPr>
          <w:b/>
        </w:rPr>
        <w:t xml:space="preserve"> </w:t>
      </w:r>
      <w:r w:rsidRPr="00FC28AE">
        <w:rPr>
          <w:rFonts w:ascii="Times New Roman" w:hAnsi="Times New Roman" w:cs="Times New Roman"/>
          <w:sz w:val="24"/>
          <w:szCs w:val="24"/>
        </w:rPr>
        <w:t>«Читай, Невьянск» (ЦГБ);</w:t>
      </w:r>
      <w:r w:rsidRPr="00FC28AE">
        <w:rPr>
          <w:rStyle w:val="s7"/>
          <w:rFonts w:ascii="Times New Roman" w:hAnsi="Times New Roman" w:cs="Times New Roman"/>
          <w:bCs/>
          <w:color w:val="000000"/>
          <w:sz w:val="24"/>
          <w:szCs w:val="24"/>
        </w:rPr>
        <w:t xml:space="preserve"> </w:t>
      </w:r>
      <w:r w:rsidRPr="00FC28AE">
        <w:rPr>
          <w:rFonts w:ascii="Times New Roman" w:hAnsi="Times New Roman" w:cs="Times New Roman"/>
          <w:sz w:val="24"/>
          <w:szCs w:val="24"/>
        </w:rPr>
        <w:t>«Наш край большой страны частица»</w:t>
      </w:r>
      <w:r w:rsidRPr="00FC28AE">
        <w:rPr>
          <w:rStyle w:val="s9"/>
          <w:rFonts w:ascii="Times New Roman" w:hAnsi="Times New Roman" w:cs="Times New Roman"/>
          <w:bCs/>
          <w:color w:val="000000"/>
          <w:sz w:val="24"/>
          <w:szCs w:val="24"/>
        </w:rPr>
        <w:t xml:space="preserve">(филиал №4,с. </w:t>
      </w:r>
      <w:proofErr w:type="spellStart"/>
      <w:r w:rsidRPr="00FC28AE">
        <w:rPr>
          <w:rStyle w:val="s9"/>
          <w:rFonts w:ascii="Times New Roman" w:hAnsi="Times New Roman" w:cs="Times New Roman"/>
          <w:bCs/>
          <w:color w:val="000000"/>
          <w:sz w:val="24"/>
          <w:szCs w:val="24"/>
        </w:rPr>
        <w:t>Быньги</w:t>
      </w:r>
      <w:proofErr w:type="spellEnd"/>
      <w:r w:rsidRPr="00FC28AE">
        <w:rPr>
          <w:rStyle w:val="s9"/>
          <w:rFonts w:ascii="Times New Roman" w:hAnsi="Times New Roman" w:cs="Times New Roman"/>
          <w:bCs/>
          <w:color w:val="000000"/>
          <w:sz w:val="24"/>
          <w:szCs w:val="24"/>
        </w:rPr>
        <w:t xml:space="preserve">). </w:t>
      </w:r>
    </w:p>
    <w:p w:rsidR="00F343EF" w:rsidRPr="00FC28AE" w:rsidRDefault="00F343EF" w:rsidP="00F343EF">
      <w:pPr>
        <w:pStyle w:val="a7"/>
        <w:spacing w:after="0" w:line="240" w:lineRule="auto"/>
        <w:ind w:left="780"/>
        <w:jc w:val="both"/>
        <w:rPr>
          <w:rFonts w:ascii="Times New Roman" w:hAnsi="Times New Roman" w:cs="Times New Roman"/>
          <w:sz w:val="24"/>
          <w:szCs w:val="24"/>
        </w:rPr>
      </w:pPr>
      <w:r w:rsidRPr="00FC28AE">
        <w:rPr>
          <w:rFonts w:ascii="Times New Roman" w:hAnsi="Times New Roman" w:cs="Times New Roman"/>
          <w:sz w:val="24"/>
          <w:szCs w:val="24"/>
        </w:rPr>
        <w:t xml:space="preserve">А также проекты, направленные на работу с семьей, пропаганду ЗОЖ и другие. </w:t>
      </w:r>
    </w:p>
    <w:p w:rsidR="00F343EF" w:rsidRPr="00FC28AE" w:rsidRDefault="00F343EF" w:rsidP="00F343EF">
      <w:pPr>
        <w:spacing w:after="0" w:line="240" w:lineRule="auto"/>
        <w:jc w:val="both"/>
        <w:rPr>
          <w:rFonts w:ascii="Times New Roman" w:hAnsi="Times New Roman" w:cs="Times New Roman"/>
          <w:color w:val="000000"/>
          <w:sz w:val="24"/>
          <w:szCs w:val="24"/>
        </w:rPr>
      </w:pPr>
      <w:r w:rsidRPr="00FC28AE">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F343EF" w:rsidRPr="00FC28AE" w:rsidRDefault="00F343EF" w:rsidP="00F343EF">
      <w:pPr>
        <w:spacing w:after="0" w:line="240" w:lineRule="auto"/>
        <w:jc w:val="both"/>
        <w:rPr>
          <w:rFonts w:ascii="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pPr>
      <w:r w:rsidRPr="00FC28AE">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FC28AE">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w:t>
      </w:r>
      <w:r w:rsidRPr="00FC28AE">
        <w:lastRenderedPageBreak/>
        <w:t xml:space="preserve">206- с 15 до 30 лет. Их посетили 25247 человек, из них 14943-до 14 лет, 3039- с 15 до 30 лет. </w:t>
      </w:r>
    </w:p>
    <w:p w:rsidR="00F343EF" w:rsidRPr="00FC28AE"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8AE">
        <w:rPr>
          <w:rFonts w:ascii="Times New Roman" w:eastAsia="Times New Roman" w:hAnsi="Times New Roman" w:cs="Times New Roman"/>
          <w:color w:val="000000"/>
          <w:sz w:val="24"/>
          <w:szCs w:val="24"/>
        </w:rPr>
        <w:t xml:space="preserve">   </w:t>
      </w:r>
    </w:p>
    <w:p w:rsidR="00F343EF" w:rsidRPr="00FC28AE"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FC28AE">
        <w:rPr>
          <w:rFonts w:ascii="Times New Roman" w:eastAsia="Times New Roman" w:hAnsi="Times New Roman" w:cs="Times New Roman"/>
          <w:color w:val="000000"/>
          <w:sz w:val="24"/>
          <w:szCs w:val="24"/>
        </w:rPr>
        <w:t xml:space="preserve">      </w:t>
      </w:r>
      <w:r w:rsidRPr="00FC28AE">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FC28AE">
        <w:rPr>
          <w:rFonts w:ascii="Times New Roman" w:eastAsia="TimesNewRomanPSMT" w:hAnsi="Times New Roman" w:cs="Times New Roman"/>
          <w:sz w:val="24"/>
          <w:szCs w:val="24"/>
        </w:rPr>
        <w:t>всероссийской акции в поддержку чтения «</w:t>
      </w:r>
      <w:proofErr w:type="spellStart"/>
      <w:r w:rsidRPr="00FC28AE">
        <w:rPr>
          <w:rFonts w:ascii="Times New Roman" w:eastAsia="TimesNewRomanPSMT" w:hAnsi="Times New Roman" w:cs="Times New Roman"/>
          <w:sz w:val="24"/>
          <w:szCs w:val="24"/>
        </w:rPr>
        <w:t>Библионочь</w:t>
      </w:r>
      <w:proofErr w:type="spellEnd"/>
      <w:r w:rsidRPr="00FC28AE">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FC28AE">
        <w:rPr>
          <w:rFonts w:ascii="Times New Roman" w:hAnsi="Times New Roman" w:cs="Times New Roman"/>
          <w:sz w:val="24"/>
          <w:szCs w:val="24"/>
        </w:rPr>
        <w:t xml:space="preserve">В 2019 году  ЦБС впервые приняла участие в </w:t>
      </w:r>
      <w:r w:rsidRPr="00FC28AE">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FC28AE">
        <w:rPr>
          <w:rFonts w:ascii="Times New Roman" w:hAnsi="Times New Roman" w:cs="Times New Roman"/>
          <w:sz w:val="24"/>
          <w:szCs w:val="24"/>
        </w:rPr>
        <w:t>Белинсокого</w:t>
      </w:r>
      <w:proofErr w:type="spellEnd"/>
      <w:r w:rsidRPr="00FC28AE">
        <w:rPr>
          <w:rFonts w:ascii="Times New Roman" w:hAnsi="Times New Roman" w:cs="Times New Roman"/>
          <w:sz w:val="24"/>
          <w:szCs w:val="24"/>
        </w:rPr>
        <w:t>. Еще 3 сотрудника прошли обучение в «</w:t>
      </w:r>
      <w:proofErr w:type="spellStart"/>
      <w:r w:rsidRPr="00FC28AE">
        <w:rPr>
          <w:rFonts w:ascii="Times New Roman" w:hAnsi="Times New Roman" w:cs="Times New Roman"/>
          <w:sz w:val="24"/>
          <w:szCs w:val="24"/>
        </w:rPr>
        <w:t>Медиамастерской</w:t>
      </w:r>
      <w:proofErr w:type="spellEnd"/>
      <w:r w:rsidRPr="00FC28AE">
        <w:rPr>
          <w:rFonts w:ascii="Times New Roman" w:hAnsi="Times New Roman" w:cs="Times New Roman"/>
          <w:sz w:val="24"/>
          <w:szCs w:val="24"/>
        </w:rPr>
        <w:t xml:space="preserve"> - 2019» (посетили все 3 сессии).</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2 муниципальной программы</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b w:val="0"/>
          <w:sz w:val="24"/>
          <w:szCs w:val="24"/>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lastRenderedPageBreak/>
              <w:t>формирование и развитие эффективной системы поддержки творчески одаренных детей и молодежи;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1)количество обучающихся в детских школах искусств Невьянского городского округа;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3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rsidR="00F343EF" w:rsidRPr="00A659E6" w:rsidRDefault="00F343EF" w:rsidP="00FC28AE">
            <w:pPr>
              <w:spacing w:after="0" w:line="240" w:lineRule="auto"/>
              <w:rPr>
                <w:rFonts w:ascii="Times New Roman" w:eastAsia="Calibri" w:hAnsi="Times New Roman" w:cs="Times New Roman"/>
                <w:b/>
                <w:sz w:val="24"/>
                <w:szCs w:val="24"/>
              </w:rPr>
            </w:pPr>
            <w:r w:rsidRPr="00A659E6">
              <w:rPr>
                <w:rFonts w:ascii="Times New Roman" w:eastAsia="Calibri" w:hAnsi="Times New Roman" w:cs="Times New Roman"/>
                <w:b/>
                <w:sz w:val="24"/>
                <w:szCs w:val="24"/>
              </w:rPr>
              <w:t xml:space="preserve">всего –   </w:t>
            </w:r>
            <w:r w:rsidR="009E0B01" w:rsidRPr="00A659E6">
              <w:rPr>
                <w:rFonts w:ascii="Times New Roman" w:eastAsia="Times New Roman" w:hAnsi="Times New Roman" w:cs="Times New Roman"/>
                <w:b/>
                <w:bCs/>
                <w:sz w:val="24"/>
                <w:szCs w:val="24"/>
              </w:rPr>
              <w:t>290 504,2</w:t>
            </w:r>
            <w:r w:rsidRPr="00A659E6">
              <w:rPr>
                <w:rFonts w:ascii="Times New Roman" w:eastAsia="Times New Roman" w:hAnsi="Times New Roman" w:cs="Times New Roman"/>
                <w:b/>
                <w:bCs/>
                <w:sz w:val="24"/>
                <w:szCs w:val="24"/>
              </w:rPr>
              <w:t xml:space="preserve">1 </w:t>
            </w:r>
            <w:r w:rsidRPr="00A659E6">
              <w:rPr>
                <w:rFonts w:ascii="Times New Roman" w:eastAsia="Calibri" w:hAnsi="Times New Roman" w:cs="Times New Roman"/>
                <w:b/>
                <w:sz w:val="24"/>
                <w:szCs w:val="24"/>
              </w:rPr>
              <w:t>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в том числе:</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35 870,41тыс.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2017 год –   39 409,18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38  336,65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42 392, 86 тыс. рублей;</w:t>
            </w:r>
          </w:p>
          <w:p w:rsidR="00F343EF" w:rsidRPr="00A659E6" w:rsidRDefault="009E0B01"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2020 год -    46 069,7</w:t>
            </w:r>
            <w:r w:rsidR="00F343EF" w:rsidRPr="00A659E6">
              <w:rPr>
                <w:rFonts w:ascii="Times New Roman" w:eastAsia="Calibri" w:hAnsi="Times New Roman" w:cs="Times New Roman"/>
                <w:sz w:val="24"/>
                <w:szCs w:val="24"/>
              </w:rPr>
              <w:t>5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2021 год –   43 131,60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2022 год –   45 293,76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2023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из них: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b/>
                <w:sz w:val="24"/>
                <w:szCs w:val="24"/>
              </w:rPr>
              <w:t>областной бюджет</w:t>
            </w:r>
            <w:r w:rsidR="009E0B01" w:rsidRPr="00A659E6">
              <w:rPr>
                <w:rFonts w:ascii="Times New Roman" w:eastAsia="Calibri" w:hAnsi="Times New Roman" w:cs="Times New Roman"/>
                <w:b/>
                <w:sz w:val="24"/>
                <w:szCs w:val="24"/>
              </w:rPr>
              <w:t>: 8 6</w:t>
            </w:r>
            <w:r w:rsidR="008B4A7A" w:rsidRPr="00A659E6">
              <w:rPr>
                <w:rFonts w:ascii="Times New Roman" w:eastAsia="Calibri" w:hAnsi="Times New Roman" w:cs="Times New Roman"/>
                <w:b/>
                <w:sz w:val="24"/>
                <w:szCs w:val="24"/>
              </w:rPr>
              <w:t>29,4</w:t>
            </w:r>
            <w:r w:rsidRPr="00A659E6">
              <w:rPr>
                <w:rFonts w:ascii="Times New Roman" w:eastAsia="Calibri" w:hAnsi="Times New Roman" w:cs="Times New Roman"/>
                <w:b/>
                <w:sz w:val="24"/>
                <w:szCs w:val="24"/>
              </w:rPr>
              <w:t>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в том числе:</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- 1 976,50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2017 год - 1 815,10 тыс. рублей,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- 1 200,70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1 737,30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2020 год - </w:t>
            </w:r>
            <w:r w:rsidR="009E0B01" w:rsidRPr="00A659E6">
              <w:rPr>
                <w:rFonts w:ascii="Times New Roman" w:eastAsia="Calibri" w:hAnsi="Times New Roman" w:cs="Times New Roman"/>
                <w:sz w:val="24"/>
                <w:szCs w:val="24"/>
              </w:rPr>
              <w:t xml:space="preserve"> 1 899,</w:t>
            </w:r>
            <w:r w:rsidR="008B4A7A" w:rsidRPr="00A659E6">
              <w:rPr>
                <w:rFonts w:ascii="Times New Roman" w:eastAsia="Calibri" w:hAnsi="Times New Roman" w:cs="Times New Roman"/>
                <w:sz w:val="24"/>
                <w:szCs w:val="24"/>
              </w:rPr>
              <w:t>80</w:t>
            </w:r>
            <w:r w:rsidR="009E0B01" w:rsidRPr="00A659E6">
              <w:rPr>
                <w:rFonts w:ascii="Times New Roman" w:eastAsia="Calibri" w:hAnsi="Times New Roman" w:cs="Times New Roman"/>
                <w:sz w:val="24"/>
                <w:szCs w:val="24"/>
              </w:rPr>
              <w:t>тыс.рублей,</w:t>
            </w:r>
            <w:r w:rsidRPr="00A659E6">
              <w:rPr>
                <w:rFonts w:ascii="Times New Roman" w:eastAsia="Calibri" w:hAnsi="Times New Roman" w:cs="Times New Roman"/>
                <w:sz w:val="24"/>
                <w:szCs w:val="24"/>
              </w:rPr>
              <w:t xml:space="preserve">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2021 год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2022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2023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b/>
                <w:sz w:val="24"/>
                <w:szCs w:val="24"/>
              </w:rPr>
              <w:lastRenderedPageBreak/>
              <w:t>местный бюджет</w:t>
            </w:r>
            <w:r w:rsidRPr="00A659E6">
              <w:rPr>
                <w:rFonts w:ascii="Times New Roman" w:eastAsia="Calibri" w:hAnsi="Times New Roman" w:cs="Times New Roman"/>
                <w:sz w:val="24"/>
                <w:szCs w:val="24"/>
              </w:rPr>
              <w:t xml:space="preserve">: </w:t>
            </w:r>
            <w:r w:rsidRPr="00A659E6">
              <w:rPr>
                <w:rFonts w:ascii="Times New Roman" w:eastAsia="Calibri" w:hAnsi="Times New Roman" w:cs="Times New Roman"/>
                <w:b/>
                <w:sz w:val="24"/>
                <w:szCs w:val="24"/>
              </w:rPr>
              <w:t>281 874,81 тыс. рублей</w:t>
            </w:r>
            <w:r w:rsidRPr="00A659E6">
              <w:rPr>
                <w:rFonts w:ascii="Times New Roman" w:eastAsia="Calibri" w:hAnsi="Times New Roman" w:cs="Times New Roman"/>
                <w:sz w:val="24"/>
                <w:szCs w:val="24"/>
              </w:rPr>
              <w:t>,</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в том числе: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33 893,91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2017 год –   37 594,08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37 135,95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40 655,56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2020 год -    44 169,95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2021 год –   43 131,60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2022 год –   45 293,76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2023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pStyle w:val="a3"/>
              <w:rPr>
                <w:rFonts w:ascii="Times New Roman" w:hAnsi="Times New Roman"/>
                <w:sz w:val="24"/>
                <w:szCs w:val="24"/>
              </w:rPr>
            </w:pPr>
            <w:r w:rsidRPr="00A659E6">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DD1DD6" w:rsidP="00FC28AE">
            <w:pPr>
              <w:pStyle w:val="a3"/>
              <w:rPr>
                <w:rFonts w:ascii="Times New Roman" w:hAnsi="Times New Roman"/>
                <w:sz w:val="24"/>
                <w:szCs w:val="24"/>
                <w:lang w:val="en-US"/>
              </w:rPr>
            </w:pPr>
            <w:hyperlink r:id="rId11"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FC28AE">
        <w:rPr>
          <w:rFonts w:ascii="Times New Roman" w:hAnsi="Times New Roman"/>
          <w:b/>
          <w:sz w:val="24"/>
          <w:szCs w:val="24"/>
        </w:rPr>
        <w:t>Развитие  дополнительного</w:t>
      </w:r>
      <w:proofErr w:type="gramEnd"/>
      <w:r w:rsidRPr="00FC28AE">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F343EF" w:rsidRPr="00FC28AE" w:rsidRDefault="00F343EF" w:rsidP="00F343EF">
      <w:pPr>
        <w:spacing w:after="0" w:line="240" w:lineRule="auto"/>
        <w:jc w:val="both"/>
        <w:rPr>
          <w:rFonts w:ascii="Times New Roman" w:eastAsia="Calibri" w:hAnsi="Times New Roman" w:cs="Times New Roman"/>
          <w:sz w:val="24"/>
          <w:szCs w:val="24"/>
          <w:lang w:eastAsia="en-US"/>
        </w:rPr>
      </w:pPr>
      <w:r w:rsidRPr="00FC28AE">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rsidR="00F343EF" w:rsidRPr="00FC28AE" w:rsidRDefault="00F343EF" w:rsidP="00F343EF">
      <w:pPr>
        <w:spacing w:after="0" w:line="240" w:lineRule="auto"/>
        <w:jc w:val="both"/>
        <w:rPr>
          <w:rFonts w:ascii="Times New Roman" w:eastAsiaTheme="minorHAnsi" w:hAnsi="Times New Roman"/>
          <w:iCs/>
          <w:sz w:val="24"/>
          <w:szCs w:val="24"/>
          <w:lang w:eastAsia="en-US"/>
        </w:rPr>
      </w:pPr>
      <w:r w:rsidRPr="00FC28AE">
        <w:rPr>
          <w:rFonts w:ascii="Times New Roman" w:eastAsiaTheme="minorHAnsi" w:hAnsi="Times New Roman"/>
          <w:sz w:val="24"/>
          <w:szCs w:val="24"/>
          <w:lang w:eastAsia="en-US"/>
        </w:rPr>
        <w:t xml:space="preserve">- Федерального закона </w:t>
      </w:r>
      <w:r w:rsidRPr="00FC28AE">
        <w:rPr>
          <w:rFonts w:ascii="Times New Roman" w:eastAsiaTheme="minorHAnsi" w:hAnsi="Times New Roman"/>
          <w:iCs/>
          <w:sz w:val="24"/>
          <w:szCs w:val="24"/>
          <w:lang w:eastAsia="en-US"/>
        </w:rPr>
        <w:t xml:space="preserve">от 29 декабря 2012 года № 273-ФЗ </w:t>
      </w:r>
      <w:r w:rsidRPr="00FC28AE">
        <w:rPr>
          <w:rFonts w:ascii="Times New Roman" w:eastAsiaTheme="minorHAnsi" w:hAnsi="Times New Roman"/>
          <w:sz w:val="24"/>
          <w:szCs w:val="24"/>
          <w:lang w:eastAsia="en-US"/>
        </w:rPr>
        <w:t>«Об образовании в Российской Федерации»</w:t>
      </w:r>
      <w:r w:rsidRPr="00FC28AE">
        <w:rPr>
          <w:rFonts w:ascii="Times New Roman" w:eastAsiaTheme="minorHAnsi" w:hAnsi="Times New Roman"/>
          <w:iCs/>
          <w:sz w:val="24"/>
          <w:szCs w:val="24"/>
          <w:lang w:eastAsia="en-US"/>
        </w:rPr>
        <w:t>;</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FC28AE">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FC28AE">
        <w:rPr>
          <w:rFonts w:ascii="Times New Roman" w:eastAsiaTheme="minorHAnsi" w:hAnsi="Times New Roman" w:cs="Times New Roman"/>
          <w:iCs/>
          <w:color w:val="000000"/>
          <w:sz w:val="24"/>
          <w:szCs w:val="24"/>
          <w:lang w:eastAsia="en-US"/>
        </w:rPr>
        <w:t>изобразительного (Живопись) искусств</w:t>
      </w:r>
      <w:r w:rsidRPr="00FC28AE">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FC28AE">
        <w:rPr>
          <w:rFonts w:eastAsia="Calibri"/>
          <w:sz w:val="24"/>
          <w:szCs w:val="24"/>
          <w:lang w:eastAsia="en-US"/>
        </w:rPr>
        <w:t xml:space="preserve">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w:t>
      </w:r>
      <w:r w:rsidRPr="00FC28AE">
        <w:rPr>
          <w:rFonts w:ascii="Times New Roman" w:eastAsiaTheme="minorHAnsi" w:hAnsi="Times New Roman"/>
          <w:sz w:val="24"/>
          <w:szCs w:val="24"/>
          <w:lang w:eastAsia="en-US"/>
        </w:rPr>
        <w:lastRenderedPageBreak/>
        <w:t xml:space="preserve">по видам   искусств (письмо </w:t>
      </w:r>
      <w:proofErr w:type="gramStart"/>
      <w:r w:rsidRPr="00FC28AE">
        <w:rPr>
          <w:rFonts w:ascii="Times New Roman" w:eastAsiaTheme="minorHAnsi" w:hAnsi="Times New Roman"/>
          <w:sz w:val="24"/>
          <w:szCs w:val="24"/>
          <w:lang w:eastAsia="en-US"/>
        </w:rPr>
        <w:t>Министерства  культуры</w:t>
      </w:r>
      <w:proofErr w:type="gramEnd"/>
      <w:r w:rsidRPr="00FC28AE">
        <w:rPr>
          <w:rFonts w:ascii="Times New Roman" w:eastAsiaTheme="minorHAnsi" w:hAnsi="Times New Roman"/>
          <w:sz w:val="24"/>
          <w:szCs w:val="24"/>
          <w:lang w:eastAsia="en-US"/>
        </w:rPr>
        <w:t xml:space="preserve">  Российской  Федерации  от 21.11. 2013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191-01-39/06-ru) и </w:t>
      </w:r>
      <w:proofErr w:type="gramStart"/>
      <w:r w:rsidRPr="00FC28AE">
        <w:rPr>
          <w:rFonts w:ascii="Times New Roman" w:eastAsiaTheme="minorHAnsi" w:hAnsi="Times New Roman"/>
          <w:sz w:val="24"/>
          <w:szCs w:val="24"/>
          <w:lang w:eastAsia="en-US"/>
        </w:rPr>
        <w:t>т.д..</w:t>
      </w:r>
      <w:proofErr w:type="gramEnd"/>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FC28AE">
        <w:rPr>
          <w:rFonts w:ascii="Times New Roman" w:eastAsiaTheme="minorHAnsi" w:hAnsi="Times New Roman" w:cs="Times New Roman"/>
          <w:sz w:val="24"/>
          <w:szCs w:val="24"/>
          <w:lang w:eastAsia="en-US"/>
        </w:rPr>
        <w:t>школах  Невьянского</w:t>
      </w:r>
      <w:proofErr w:type="gramEnd"/>
      <w:r w:rsidRPr="00FC28AE">
        <w:rPr>
          <w:rFonts w:ascii="Times New Roman" w:eastAsiaTheme="minorHAnsi" w:hAnsi="Times New Roman" w:cs="Times New Roman"/>
          <w:sz w:val="24"/>
          <w:szCs w:val="24"/>
          <w:lang w:eastAsia="en-US"/>
        </w:rPr>
        <w:t xml:space="preserve">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FC28AE">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FC28AE">
        <w:rPr>
          <w:color w:val="000000"/>
        </w:rPr>
        <w:t xml:space="preserve">. </w:t>
      </w:r>
      <w:r w:rsidRPr="00FC28AE">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w:t>
      </w:r>
      <w:r w:rsidRPr="00FC28AE">
        <w:rPr>
          <w:color w:val="000000"/>
        </w:rPr>
        <w:lastRenderedPageBreak/>
        <w:t>ансамбли, вокальный ансамбль преподавателей и другие. Ежегодно начинает свой творческий сезон детская филармония.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FC28AE">
        <w:rPr>
          <w:b/>
          <w:color w:val="000000"/>
        </w:rPr>
        <w:t xml:space="preserve"> </w:t>
      </w:r>
      <w:r w:rsidRPr="00FC28AE">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rsidR="00F343EF" w:rsidRPr="00FC28AE" w:rsidRDefault="00F343EF" w:rsidP="00F343EF">
      <w:pPr>
        <w:pStyle w:val="p7"/>
        <w:shd w:val="clear" w:color="auto" w:fill="FFFFFF"/>
        <w:spacing w:before="0" w:beforeAutospacing="0" w:after="0" w:afterAutospacing="0"/>
        <w:ind w:right="992"/>
        <w:jc w:val="both"/>
        <w:rPr>
          <w:color w:val="000000"/>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Следует отметить, </w:t>
      </w:r>
      <w:proofErr w:type="gramStart"/>
      <w:r w:rsidRPr="00FC28AE">
        <w:rPr>
          <w:color w:val="000000"/>
        </w:rPr>
        <w:t>что  в</w:t>
      </w:r>
      <w:proofErr w:type="gramEnd"/>
      <w:r w:rsidRPr="00FC28AE">
        <w:rPr>
          <w:color w:val="000000"/>
        </w:rPr>
        <w:t xml:space="preserve">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3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w:t>
      </w:r>
      <w:r w:rsidRPr="00FC28AE">
        <w:rPr>
          <w:rFonts w:ascii="Times New Roman" w:hAnsi="Times New Roman"/>
          <w:sz w:val="24"/>
          <w:szCs w:val="24"/>
        </w:rPr>
        <w:lastRenderedPageBreak/>
        <w:t xml:space="preserve">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FC28AE">
        <w:rPr>
          <w:rFonts w:ascii="Times New Roman" w:hAnsi="Times New Roman"/>
          <w:color w:val="363636"/>
          <w:sz w:val="24"/>
          <w:szCs w:val="24"/>
          <w:shd w:val="clear" w:color="auto" w:fill="FFFFFF"/>
        </w:rPr>
        <w:t>21.10.2013 № 1268-ПП</w:t>
      </w:r>
      <w:r w:rsidRPr="00FC28AE">
        <w:rPr>
          <w:rStyle w:val="apple-converted-space"/>
          <w:rFonts w:ascii="Times New Roman" w:hAnsi="Times New Roman"/>
          <w:color w:val="363636"/>
          <w:sz w:val="24"/>
          <w:szCs w:val="24"/>
          <w:shd w:val="clear" w:color="auto" w:fill="FFFFFF"/>
        </w:rPr>
        <w:t xml:space="preserve">  «Об </w:t>
      </w:r>
      <w:r w:rsidRPr="00FC28AE">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color w:val="000000"/>
          <w:sz w:val="24"/>
          <w:szCs w:val="24"/>
        </w:rPr>
        <w:t xml:space="preserve"> 7, 8, 15</w:t>
      </w:r>
      <w:r w:rsidRPr="00FC28AE">
        <w:rPr>
          <w:rFonts w:ascii="Times New Roman" w:hAnsi="Times New Roman"/>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spacing w:after="0" w:line="240" w:lineRule="auto"/>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sz w:val="24"/>
          <w:szCs w:val="24"/>
        </w:rPr>
      </w:pPr>
    </w:p>
    <w:p w:rsidR="00F343EF" w:rsidRPr="00FC28AE"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proofErr w:type="gramStart"/>
            <w:r w:rsidRPr="00FC28AE">
              <w:rPr>
                <w:rFonts w:ascii="Times New Roman" w:hAnsi="Times New Roman"/>
                <w:color w:val="000000"/>
                <w:sz w:val="24"/>
                <w:szCs w:val="24"/>
              </w:rPr>
              <w:lastRenderedPageBreak/>
              <w:t>цель:  о</w:t>
            </w:r>
            <w:r w:rsidRPr="00FC28AE">
              <w:rPr>
                <w:rFonts w:ascii="Times New Roman" w:hAnsi="Times New Roman"/>
                <w:sz w:val="24"/>
                <w:szCs w:val="24"/>
              </w:rPr>
              <w:t>беспечение</w:t>
            </w:r>
            <w:proofErr w:type="gramEnd"/>
            <w:r w:rsidRPr="00FC28AE">
              <w:rPr>
                <w:rFonts w:ascii="Times New Roman" w:hAnsi="Times New Roman"/>
                <w:sz w:val="24"/>
                <w:szCs w:val="24"/>
              </w:rPr>
              <w:t xml:space="preserve"> реализации муниципальной программы «Развитие культуры и туризма в Невьянском городском округе до 2024 года»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lastRenderedPageBreak/>
              <w:t>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руководителей учреждений,  работающих на условиях «эффективного контракта»;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4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b/>
                <w:sz w:val="24"/>
                <w:szCs w:val="24"/>
                <w:highlight w:val="yellow"/>
              </w:rPr>
              <w:t xml:space="preserve">всего –   </w:t>
            </w:r>
            <w:r w:rsidR="00A659E6" w:rsidRPr="00A659E6">
              <w:rPr>
                <w:rFonts w:ascii="Times New Roman" w:eastAsia="Times New Roman" w:hAnsi="Times New Roman" w:cs="Times New Roman"/>
                <w:b/>
                <w:bCs/>
                <w:sz w:val="24"/>
                <w:szCs w:val="24"/>
                <w:highlight w:val="yellow"/>
              </w:rPr>
              <w:t>136 396,77</w:t>
            </w:r>
            <w:r w:rsidRPr="00A659E6">
              <w:rPr>
                <w:rFonts w:ascii="Times New Roman" w:eastAsia="Times New Roman" w:hAnsi="Times New Roman" w:cs="Times New Roman"/>
                <w:b/>
                <w:bCs/>
                <w:sz w:val="24"/>
                <w:szCs w:val="24"/>
                <w:highlight w:val="yellow"/>
              </w:rPr>
              <w:t xml:space="preserve"> </w:t>
            </w:r>
            <w:r w:rsidRPr="00A659E6">
              <w:rPr>
                <w:rFonts w:ascii="Times New Roman" w:eastAsia="Calibri" w:hAnsi="Times New Roman" w:cs="Times New Roman"/>
                <w:b/>
                <w:sz w:val="24"/>
                <w:szCs w:val="24"/>
                <w:highlight w:val="yellow"/>
              </w:rPr>
              <w:t>тыс. рублей</w:t>
            </w:r>
            <w:r w:rsidRPr="00A659E6">
              <w:rPr>
                <w:rFonts w:ascii="Times New Roman" w:eastAsia="Calibri" w:hAnsi="Times New Roman" w:cs="Times New Roman"/>
                <w:sz w:val="24"/>
                <w:szCs w:val="24"/>
                <w:highlight w:val="yellow"/>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местный бюджет:</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12 649,56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13 133,15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13 981,15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22 355,11 тыс. рублей;</w:t>
            </w:r>
          </w:p>
          <w:p w:rsidR="00F343EF" w:rsidRPr="00FC28AE" w:rsidRDefault="00A659E6"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highlight w:val="yellow"/>
              </w:rPr>
              <w:t>2020 год -   24 216,95</w:t>
            </w:r>
            <w:r w:rsidR="00F343EF" w:rsidRPr="00A659E6">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24 557,02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25 503,83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DD1DD6" w:rsidP="00FC28AE">
            <w:pPr>
              <w:pStyle w:val="a3"/>
              <w:rPr>
                <w:rFonts w:ascii="Times New Roman" w:hAnsi="Times New Roman"/>
                <w:sz w:val="24"/>
                <w:szCs w:val="24"/>
                <w:lang w:val="en-US"/>
              </w:rPr>
            </w:pPr>
            <w:hyperlink r:id="rId12"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rPr>
          <w:lang w:val="en-US"/>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FC28AE">
        <w:rPr>
          <w:rFonts w:ascii="Times New Roman" w:hAnsi="Times New Roman"/>
          <w:b/>
          <w:sz w:val="24"/>
          <w:szCs w:val="24"/>
        </w:rPr>
        <w:t>4  «</w:t>
      </w:r>
      <w:proofErr w:type="gramEnd"/>
      <w:r w:rsidRPr="00FC28AE">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66 209,69 тысяч рублей (4,9%)</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2017 год – 74 091,21 тысяч рублей (11,9%)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78 707,16 тысяч рублей (6,2%)</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2019 год – 91 080,36 тысяч рублей (15,7%)</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lastRenderedPageBreak/>
        <w:t>2016 год – 11634,66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2017 год – 11922,16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11843,20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2019 год – 12188,98 тысяч рублей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МБУК НГО</w:t>
      </w: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FC28AE">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eastAsia="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sz w:val="26"/>
          <w:szCs w:val="26"/>
        </w:rPr>
        <w:t xml:space="preserve">          </w:t>
      </w:r>
      <w:r w:rsidRPr="00FC28AE">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2017 году – на замену оконных блоков, частичный ремонт кровли в Доме культуры села </w:t>
      </w:r>
      <w:proofErr w:type="spellStart"/>
      <w:r w:rsidRPr="00FC28AE">
        <w:rPr>
          <w:color w:val="000000"/>
        </w:rPr>
        <w:t>Быньги</w:t>
      </w:r>
      <w:proofErr w:type="spellEnd"/>
      <w:r w:rsidRPr="00FC28AE">
        <w:rPr>
          <w:color w:val="000000"/>
        </w:rPr>
        <w:t xml:space="preserve"> на сумму 280, 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в 2018 году  – на ремонт внутренних помещений (входная группа) в ДК п. Ребристый на сумму 175, 2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2020 году 175,17 тысяч рублей планируются на приобретение </w:t>
      </w:r>
      <w:proofErr w:type="spellStart"/>
      <w:proofErr w:type="gramStart"/>
      <w:r w:rsidRPr="00FC28AE">
        <w:rPr>
          <w:color w:val="000000"/>
        </w:rPr>
        <w:t>звуко</w:t>
      </w:r>
      <w:proofErr w:type="spellEnd"/>
      <w:r w:rsidRPr="00FC28AE">
        <w:rPr>
          <w:color w:val="000000"/>
        </w:rPr>
        <w:t>-усиливающей</w:t>
      </w:r>
      <w:proofErr w:type="gramEnd"/>
      <w:r w:rsidRPr="00FC28AE">
        <w:rPr>
          <w:color w:val="000000"/>
        </w:rPr>
        <w:t xml:space="preserve"> аппаратуры для ДК п. Калиново и 50,0 тысяч рублей на денежное поощрение преподавателя МБУ ДО «ДШИ» п. Цементный.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w:t>
      </w:r>
      <w:r w:rsidRPr="00FC28AE">
        <w:rPr>
          <w:rStyle w:val="apple-converted-space"/>
          <w:b/>
          <w:bCs/>
          <w:i/>
          <w:iCs/>
          <w:color w:val="000000"/>
        </w:rPr>
        <w:t> </w:t>
      </w:r>
      <w:r w:rsidRPr="00FC28AE">
        <w:rPr>
          <w:rStyle w:val="s1"/>
          <w:b/>
          <w:bCs/>
          <w:i/>
          <w:iCs/>
          <w:color w:val="000000"/>
        </w:rPr>
        <w:t xml:space="preserve">капитальные и текущие ремонты учреждений культурно-досугового типа </w:t>
      </w:r>
      <w:r w:rsidRPr="00FC28AE">
        <w:rPr>
          <w:color w:val="000000"/>
        </w:rPr>
        <w:t>Невьянского городского округа в 2016-2019  годах израсходованы 6132,25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2020 году </w:t>
      </w:r>
      <w:proofErr w:type="gramStart"/>
      <w:r w:rsidRPr="00FC28AE">
        <w:rPr>
          <w:color w:val="000000"/>
        </w:rPr>
        <w:t>планируется  отремонтировать</w:t>
      </w:r>
      <w:proofErr w:type="gramEnd"/>
      <w:r w:rsidRPr="00FC28AE">
        <w:rPr>
          <w:color w:val="000000"/>
        </w:rPr>
        <w:t xml:space="preserve"> систему отопления в Доме культуры села </w:t>
      </w:r>
      <w:proofErr w:type="spellStart"/>
      <w:r w:rsidRPr="00FC28AE">
        <w:rPr>
          <w:color w:val="000000"/>
        </w:rPr>
        <w:t>Аятское</w:t>
      </w:r>
      <w:proofErr w:type="spellEnd"/>
      <w:r w:rsidRPr="00FC28AE">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FC28AE">
        <w:rPr>
          <w:color w:val="000000"/>
        </w:rPr>
        <w:t>п.Ребристый</w:t>
      </w:r>
      <w:proofErr w:type="spellEnd"/>
      <w:r w:rsidRPr="00FC28AE">
        <w:rPr>
          <w:color w:val="000000"/>
        </w:rPr>
        <w:t xml:space="preserve"> . На эти мероприятия выделено 1300,0 тысяч  рублей.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Средства израсходованы на приобретение кафедры, столов, стульев, стеллажей, МФУ, электронагревателя.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w:t>
      </w:r>
      <w:r w:rsidRPr="00FC28AE">
        <w:rPr>
          <w:color w:val="000000"/>
        </w:rPr>
        <w:lastRenderedPageBreak/>
        <w:t>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 xml:space="preserve">Расходы на дополнительное образование в сфере культуры </w:t>
      </w:r>
      <w:proofErr w:type="gramStart"/>
      <w:r w:rsidRPr="00FC28AE">
        <w:rPr>
          <w:rFonts w:ascii="Times New Roman" w:hAnsi="Times New Roman" w:cs="Times New Roman"/>
          <w:sz w:val="24"/>
          <w:szCs w:val="24"/>
        </w:rPr>
        <w:t>в  рамках</w:t>
      </w:r>
      <w:proofErr w:type="gramEnd"/>
      <w:r w:rsidRPr="00FC28AE">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rsidR="00F343EF" w:rsidRPr="00FC28AE" w:rsidRDefault="00F343EF" w:rsidP="00F343EF">
      <w:pPr>
        <w:spacing w:after="0" w:line="240" w:lineRule="auto"/>
        <w:jc w:val="both"/>
        <w:rPr>
          <w:rFonts w:ascii="Times New Roman" w:hAnsi="Times New Roman" w:cs="Times New Roman"/>
          <w:sz w:val="26"/>
          <w:szCs w:val="26"/>
        </w:rPr>
      </w:pPr>
      <w:r w:rsidRPr="00FC28AE">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FC28AE">
        <w:rPr>
          <w:rFonts w:ascii="Times New Roman" w:hAnsi="Times New Roman" w:cs="Times New Roman"/>
          <w:sz w:val="26"/>
          <w:szCs w:val="26"/>
        </w:rPr>
        <w:t>.</w:t>
      </w:r>
    </w:p>
    <w:p w:rsidR="00F343EF" w:rsidRPr="00FC28AE"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FC28AE">
        <w:rPr>
          <w:rFonts w:ascii="Times New Roman" w:hAnsi="Times New Roman"/>
          <w:sz w:val="26"/>
          <w:szCs w:val="26"/>
        </w:rPr>
        <w:t xml:space="preserve">        </w:t>
      </w:r>
      <w:r w:rsidRPr="00FC28AE">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FC28AE">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FC28AE">
        <w:rPr>
          <w:rFonts w:ascii="Times New Roman" w:eastAsia="Calibri" w:hAnsi="Times New Roman" w:cs="Times New Roman"/>
          <w:sz w:val="24"/>
          <w:szCs w:val="24"/>
        </w:rPr>
        <w:t>ноутбуки - 5 шт., принтеры – 4 шт.,</w:t>
      </w:r>
      <w:r w:rsidRPr="00FC28AE">
        <w:rPr>
          <w:rFonts w:ascii="yandex-sans" w:eastAsia="Times New Roman" w:hAnsi="yandex-sans" w:cs="Times New Roman"/>
          <w:color w:val="000000"/>
          <w:sz w:val="24"/>
          <w:szCs w:val="24"/>
        </w:rPr>
        <w:t xml:space="preserve"> в</w:t>
      </w:r>
      <w:r w:rsidRPr="00FC28AE">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FC28AE">
        <w:rPr>
          <w:rFonts w:ascii="Times New Roman" w:eastAsia="Calibri" w:hAnsi="Times New Roman" w:cs="Times New Roman"/>
          <w:sz w:val="26"/>
          <w:szCs w:val="26"/>
        </w:rPr>
        <w:t>.</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Ежегодно единовременно выплачивается 13 премий в 16 номинациях: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 «Лучший Дом культуры»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 «Лучший сельский клуб»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3. «Лучший коллектив самодеятельного художественного творчества»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4. «Лучшая библиотека» (в 2019 г. размер 46,0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5. «Лучший библиотекарь» (в 2019 г. размер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6. «Лучшее юное дарование» (в 2019 г. три премии по 3,0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7. «За заслуги в сохранении и развитии художественного творчества» (в 2019г. две премии по 10,0 тысяч рублей, одна - 5,0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8. «Лучшему педагогическому работнику учреждения дополнительного образования»             (в 2019г. две премии по 10,0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9. «За поддержку молодежных инициатив» (в 2019 г.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10. «За вклад в поддержку сферы культуры и содействие в реализации культурных проектов» (в 2019 г. 10,0 тыс. рублей)</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4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E73AD"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F343EF" w:rsidRDefault="00F343EF" w:rsidP="00F343EF">
      <w:pPr>
        <w:pStyle w:val="a3"/>
        <w:jc w:val="center"/>
        <w:rPr>
          <w:rFonts w:ascii="Times New Roman" w:hAnsi="Times New Roman"/>
          <w:b/>
          <w:sz w:val="28"/>
          <w:szCs w:val="28"/>
        </w:rPr>
      </w:pPr>
    </w:p>
    <w:p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1105ED"/>
    <w:rsid w:val="00473530"/>
    <w:rsid w:val="005F326A"/>
    <w:rsid w:val="00767188"/>
    <w:rsid w:val="008B4A7A"/>
    <w:rsid w:val="009E0B01"/>
    <w:rsid w:val="00A048BA"/>
    <w:rsid w:val="00A659E6"/>
    <w:rsid w:val="00BF0294"/>
    <w:rsid w:val="00DD1DD6"/>
    <w:rsid w:val="00F234B0"/>
    <w:rsid w:val="00F343EF"/>
    <w:rsid w:val="00FC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3A2981-9F78-4FCA-B9F4-9C4972FC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4E38-D9CD-4302-85FC-C6A223EB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12171</Words>
  <Characters>69381</Characters>
  <Application>Microsoft Office Word</Application>
  <DocSecurity>4</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Anastasia S. Golovneva</cp:lastModifiedBy>
  <cp:revision>2</cp:revision>
  <dcterms:created xsi:type="dcterms:W3CDTF">2020-11-27T08:11:00Z</dcterms:created>
  <dcterms:modified xsi:type="dcterms:W3CDTF">2020-11-27T08:11:00Z</dcterms:modified>
</cp:coreProperties>
</file>