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D3" w:rsidRPr="00E46B3A" w:rsidRDefault="008808F6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-15.35pt;width:72.05pt;height:62.95pt;z-index:251658240">
            <v:imagedata r:id="rId6" o:title=""/>
          </v:shape>
          <o:OLEObject Type="Embed" ProgID="Word.Picture.8" ShapeID="_x0000_s1026" DrawAspect="Content" ObjectID="_1554785606" r:id="rId7"/>
        </w:pict>
      </w:r>
    </w:p>
    <w:p w:rsidR="001F21D3" w:rsidRPr="00E46B3A" w:rsidRDefault="001F21D3" w:rsidP="001F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1D3" w:rsidRPr="00E46B3A" w:rsidRDefault="001F21D3" w:rsidP="001F2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1F21D3" w:rsidRPr="009B70F9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1F21D3" w:rsidRPr="009B70F9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5D47" wp14:editId="005A3E6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B2E95" w:rsidRDefault="001B2E95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1D3" w:rsidRPr="00E46B3A" w:rsidRDefault="00342549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</w:t>
      </w:r>
      <w:r w:rsidR="001F21D3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A6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1F21D3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D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87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1F21D3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F21D3" w:rsidRPr="00872A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</w:t>
      </w:r>
      <w:proofErr w:type="gram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AC" w:rsidRPr="00421ACF" w:rsidRDefault="00E141AC" w:rsidP="00E141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ACF">
        <w:rPr>
          <w:rFonts w:ascii="Times New Roman" w:hAnsi="Times New Roman" w:cs="Times New Roman"/>
          <w:b/>
          <w:i/>
          <w:sz w:val="28"/>
          <w:szCs w:val="28"/>
        </w:rPr>
        <w:t>Об утверждении перечня муниципальных услуг, предоставление которых</w:t>
      </w:r>
    </w:p>
    <w:p w:rsidR="00E141AC" w:rsidRPr="00421ACF" w:rsidRDefault="00E141AC" w:rsidP="00E141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ACF">
        <w:rPr>
          <w:rFonts w:ascii="Times New Roman" w:hAnsi="Times New Roman" w:cs="Times New Roman"/>
          <w:b/>
          <w:i/>
          <w:sz w:val="28"/>
          <w:szCs w:val="28"/>
        </w:rPr>
        <w:t xml:space="preserve">организуется по принципу «одного окна» в </w:t>
      </w:r>
      <w:proofErr w:type="gramStart"/>
      <w:r w:rsidRPr="00421ACF">
        <w:rPr>
          <w:rFonts w:ascii="Times New Roman" w:hAnsi="Times New Roman" w:cs="Times New Roman"/>
          <w:b/>
          <w:i/>
          <w:sz w:val="28"/>
          <w:szCs w:val="28"/>
        </w:rPr>
        <w:t>государственном</w:t>
      </w:r>
      <w:proofErr w:type="gramEnd"/>
      <w:r w:rsidRPr="00421ACF">
        <w:rPr>
          <w:rFonts w:ascii="Times New Roman" w:hAnsi="Times New Roman" w:cs="Times New Roman"/>
          <w:b/>
          <w:i/>
          <w:sz w:val="28"/>
          <w:szCs w:val="28"/>
        </w:rPr>
        <w:t xml:space="preserve"> бюджетном</w:t>
      </w:r>
    </w:p>
    <w:p w:rsidR="00E141AC" w:rsidRPr="00421ACF" w:rsidRDefault="00E141AC" w:rsidP="00E141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21ACF">
        <w:rPr>
          <w:rFonts w:ascii="Times New Roman" w:hAnsi="Times New Roman" w:cs="Times New Roman"/>
          <w:b/>
          <w:i/>
          <w:sz w:val="28"/>
          <w:szCs w:val="28"/>
        </w:rPr>
        <w:t>учреждении</w:t>
      </w:r>
      <w:proofErr w:type="gramEnd"/>
      <w:r w:rsidRPr="00421ACF">
        <w:rPr>
          <w:rFonts w:ascii="Times New Roman" w:hAnsi="Times New Roman" w:cs="Times New Roman"/>
          <w:b/>
          <w:i/>
          <w:sz w:val="28"/>
          <w:szCs w:val="28"/>
        </w:rPr>
        <w:t xml:space="preserve"> Свердловской области «Многофункциональный центр</w:t>
      </w:r>
    </w:p>
    <w:p w:rsidR="00E141AC" w:rsidRDefault="00E141AC" w:rsidP="00E141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ACF">
        <w:rPr>
          <w:rFonts w:ascii="Times New Roman" w:hAnsi="Times New Roman" w:cs="Times New Roman"/>
          <w:b/>
          <w:i/>
          <w:sz w:val="28"/>
          <w:szCs w:val="28"/>
        </w:rPr>
        <w:t>предоставления государственных (муниципальных) услуг»</w:t>
      </w:r>
    </w:p>
    <w:p w:rsidR="00E141AC" w:rsidRDefault="00E141AC" w:rsidP="00E141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41AC" w:rsidRDefault="00E141AC" w:rsidP="00E1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Федеральным з</w:t>
      </w:r>
      <w:r w:rsidR="007D79C8">
        <w:rPr>
          <w:rFonts w:ascii="Times New Roman" w:hAnsi="Times New Roman" w:cs="Times New Roman"/>
          <w:sz w:val="28"/>
          <w:szCs w:val="28"/>
        </w:rPr>
        <w:t xml:space="preserve">аконом от  27 июля  2010  года      </w:t>
      </w:r>
      <w:r w:rsidR="00DD3B70">
        <w:rPr>
          <w:rFonts w:ascii="Times New Roman" w:hAnsi="Times New Roman" w:cs="Times New Roman"/>
          <w:sz w:val="28"/>
          <w:szCs w:val="28"/>
        </w:rPr>
        <w:t xml:space="preserve">  </w:t>
      </w:r>
      <w:r w:rsidR="007D79C8">
        <w:rPr>
          <w:rFonts w:ascii="Times New Roman" w:hAnsi="Times New Roman" w:cs="Times New Roman"/>
          <w:sz w:val="28"/>
          <w:szCs w:val="28"/>
        </w:rPr>
        <w:t xml:space="preserve">    </w:t>
      </w:r>
      <w:r w:rsidR="00DD3B70">
        <w:rPr>
          <w:rFonts w:ascii="Times New Roman" w:hAnsi="Times New Roman" w:cs="Times New Roman"/>
          <w:sz w:val="28"/>
          <w:szCs w:val="28"/>
        </w:rPr>
        <w:t xml:space="preserve">   </w:t>
      </w:r>
      <w:r w:rsidR="007D79C8">
        <w:rPr>
          <w:rFonts w:ascii="Times New Roman" w:hAnsi="Times New Roman" w:cs="Times New Roman"/>
          <w:sz w:val="28"/>
          <w:szCs w:val="28"/>
        </w:rPr>
        <w:t xml:space="preserve">  № 210-ФЗ «Об организации</w:t>
      </w:r>
      <w:r w:rsidR="00DD3B7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и  муниципальных услуг»,    по</w:t>
      </w:r>
      <w:r w:rsidR="007D79C8">
        <w:rPr>
          <w:rFonts w:ascii="Times New Roman" w:hAnsi="Times New Roman" w:cs="Times New Roman"/>
          <w:sz w:val="28"/>
          <w:szCs w:val="28"/>
        </w:rPr>
        <w:t xml:space="preserve">становлением   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   Ф</w:t>
      </w:r>
      <w:r w:rsidR="007D79C8">
        <w:rPr>
          <w:rFonts w:ascii="Times New Roman" w:hAnsi="Times New Roman" w:cs="Times New Roman"/>
          <w:sz w:val="28"/>
          <w:szCs w:val="28"/>
        </w:rPr>
        <w:t xml:space="preserve">едерации   от  27 </w:t>
      </w:r>
      <w:r>
        <w:rPr>
          <w:rFonts w:ascii="Times New Roman" w:hAnsi="Times New Roman" w:cs="Times New Roman"/>
          <w:sz w:val="28"/>
          <w:szCs w:val="28"/>
        </w:rPr>
        <w:t>сентября  2011  года   №  797  «О  взаимодействии   между многофункциональными центрами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 местного самоуправления»,  в целях повышения качества и доступности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по принципу «одного окна»</w:t>
      </w:r>
    </w:p>
    <w:p w:rsidR="00E141AC" w:rsidRDefault="00E141AC" w:rsidP="00E1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1AC" w:rsidRDefault="00E141AC" w:rsidP="00E14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141AC" w:rsidRDefault="00E141AC" w:rsidP="00E14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1AC" w:rsidRDefault="00E141AC" w:rsidP="00E14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FB">
        <w:rPr>
          <w:rFonts w:ascii="Times New Roman" w:hAnsi="Times New Roman" w:cs="Times New Roman"/>
          <w:sz w:val="28"/>
          <w:szCs w:val="28"/>
        </w:rPr>
        <w:t>1.</w:t>
      </w:r>
      <w:r w:rsidR="0020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предоставление которых организуется по при</w:t>
      </w:r>
      <w:r w:rsidR="00A94C56">
        <w:rPr>
          <w:rFonts w:ascii="Times New Roman" w:hAnsi="Times New Roman" w:cs="Times New Roman"/>
          <w:sz w:val="28"/>
          <w:szCs w:val="28"/>
        </w:rPr>
        <w:t>нципу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бюджетном у</w:t>
      </w:r>
      <w:r w:rsidR="00A94C56">
        <w:rPr>
          <w:rFonts w:ascii="Times New Roman" w:hAnsi="Times New Roman" w:cs="Times New Roman"/>
          <w:sz w:val="28"/>
          <w:szCs w:val="28"/>
        </w:rPr>
        <w:t xml:space="preserve">чреждении Свердловской области </w:t>
      </w:r>
      <w:r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</w:t>
      </w:r>
      <w:r w:rsidR="007D79C8">
        <w:rPr>
          <w:rFonts w:ascii="Times New Roman" w:hAnsi="Times New Roman" w:cs="Times New Roman"/>
          <w:sz w:val="28"/>
          <w:szCs w:val="28"/>
        </w:rPr>
        <w:t>ственных (муниципальных) услуг» (прилагается).</w:t>
      </w:r>
    </w:p>
    <w:p w:rsidR="00E141AC" w:rsidRDefault="007D79C8" w:rsidP="00E14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0BA6">
        <w:rPr>
          <w:rFonts w:ascii="Times New Roman" w:hAnsi="Times New Roman" w:cs="Times New Roman"/>
          <w:sz w:val="28"/>
          <w:szCs w:val="28"/>
        </w:rPr>
        <w:t xml:space="preserve">. </w:t>
      </w:r>
      <w:r w:rsidR="00E141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E0F2B">
        <w:rPr>
          <w:rFonts w:ascii="Times New Roman" w:hAnsi="Times New Roman" w:cs="Times New Roman"/>
          <w:sz w:val="28"/>
          <w:szCs w:val="28"/>
        </w:rPr>
        <w:t>администрации</w:t>
      </w:r>
      <w:r w:rsidR="00E141AC">
        <w:rPr>
          <w:rFonts w:ascii="Times New Roman" w:hAnsi="Times New Roman" w:cs="Times New Roman"/>
          <w:sz w:val="28"/>
          <w:szCs w:val="28"/>
        </w:rPr>
        <w:t xml:space="preserve">  Невьянского городского </w:t>
      </w:r>
      <w:r w:rsidR="00342549">
        <w:rPr>
          <w:rFonts w:ascii="Times New Roman" w:hAnsi="Times New Roman" w:cs="Times New Roman"/>
          <w:sz w:val="28"/>
          <w:szCs w:val="28"/>
        </w:rPr>
        <w:t>округа от 06.07.2016 № 1170</w:t>
      </w:r>
      <w:r w:rsidR="00E141AC" w:rsidRPr="00E141AC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предоставление государстве</w:t>
      </w:r>
      <w:r w:rsidR="00E141AC">
        <w:rPr>
          <w:rFonts w:ascii="Times New Roman" w:hAnsi="Times New Roman" w:cs="Times New Roman"/>
          <w:sz w:val="28"/>
          <w:szCs w:val="28"/>
        </w:rPr>
        <w:t xml:space="preserve">нных (муниципальных) </w:t>
      </w:r>
      <w:r w:rsidR="00E141AC" w:rsidRPr="00E141AC">
        <w:rPr>
          <w:rFonts w:ascii="Times New Roman" w:hAnsi="Times New Roman" w:cs="Times New Roman"/>
          <w:sz w:val="28"/>
          <w:szCs w:val="28"/>
        </w:rPr>
        <w:t>услуг»</w:t>
      </w:r>
      <w:r w:rsidR="00E141AC">
        <w:rPr>
          <w:rFonts w:ascii="Times New Roman" w:hAnsi="Times New Roman" w:cs="Times New Roman"/>
          <w:sz w:val="28"/>
          <w:szCs w:val="28"/>
        </w:rPr>
        <w:t xml:space="preserve"> </w:t>
      </w:r>
      <w:r w:rsidR="008E0F2B">
        <w:rPr>
          <w:rFonts w:ascii="Times New Roman" w:hAnsi="Times New Roman" w:cs="Times New Roman"/>
          <w:sz w:val="28"/>
          <w:szCs w:val="28"/>
        </w:rPr>
        <w:t>признать</w:t>
      </w:r>
      <w:r w:rsidR="00E141AC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E141AC" w:rsidRDefault="007D79C8" w:rsidP="00E14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0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1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1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</w:t>
      </w:r>
      <w:r w:rsidR="00E141AC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промышленности, экономики и финансов - начальника финансового управления администрации Невьянского городского  округа </w:t>
      </w:r>
      <w:r w:rsidRPr="007D79C8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1AC">
        <w:rPr>
          <w:rFonts w:ascii="Times New Roman" w:hAnsi="Times New Roman" w:cs="Times New Roman"/>
          <w:sz w:val="28"/>
          <w:szCs w:val="28"/>
        </w:rPr>
        <w:t>Балашова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AC" w:rsidRDefault="007D79C8" w:rsidP="00E1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Опубликовать постановление в газете «Звезда»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7D79C8" w:rsidRDefault="007D79C8" w:rsidP="00E1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9C8" w:rsidRDefault="007D79C8" w:rsidP="00E1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9C8" w:rsidRDefault="007D79C8" w:rsidP="00E1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9F1" w:rsidRDefault="00CA79F1" w:rsidP="00E14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1AC" w:rsidRDefault="00A617F1" w:rsidP="00E14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141AC">
        <w:rPr>
          <w:rFonts w:ascii="Times New Roman" w:hAnsi="Times New Roman" w:cs="Times New Roman"/>
          <w:sz w:val="28"/>
          <w:szCs w:val="28"/>
        </w:rPr>
        <w:tab/>
      </w:r>
      <w:r w:rsidR="00E141AC">
        <w:rPr>
          <w:rFonts w:ascii="Times New Roman" w:hAnsi="Times New Roman" w:cs="Times New Roman"/>
          <w:sz w:val="28"/>
          <w:szCs w:val="28"/>
        </w:rPr>
        <w:tab/>
      </w:r>
      <w:r w:rsidR="00E141AC">
        <w:rPr>
          <w:rFonts w:ascii="Times New Roman" w:hAnsi="Times New Roman" w:cs="Times New Roman"/>
          <w:sz w:val="28"/>
          <w:szCs w:val="28"/>
        </w:rPr>
        <w:tab/>
      </w:r>
      <w:r w:rsidR="00E141AC">
        <w:rPr>
          <w:rFonts w:ascii="Times New Roman" w:hAnsi="Times New Roman" w:cs="Times New Roman"/>
          <w:sz w:val="28"/>
          <w:szCs w:val="28"/>
        </w:rPr>
        <w:tab/>
      </w:r>
      <w:r w:rsidR="00CA79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1B6E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B6E">
        <w:rPr>
          <w:rFonts w:ascii="Times New Roman" w:hAnsi="Times New Roman" w:cs="Times New Roman"/>
          <w:sz w:val="28"/>
          <w:szCs w:val="28"/>
        </w:rPr>
        <w:t>Берчук</w:t>
      </w: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Pr="00E46B3A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21094" w:rsidRDefault="00A21094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F21D3" w:rsidRDefault="001F21D3" w:rsidP="001F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F4DC7" w:rsidRDefault="003F4DC7" w:rsidP="003F4DC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D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СОГЛАСОВАНИЕ</w:t>
      </w:r>
      <w:r w:rsidRPr="003F4DC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3F4DC7" w:rsidRPr="003F4DC7" w:rsidRDefault="003F4DC7" w:rsidP="003F4DC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Невьянского городского округа</w:t>
      </w:r>
    </w:p>
    <w:p w:rsidR="003F4DC7" w:rsidRPr="003F4DC7" w:rsidRDefault="003F4DC7" w:rsidP="003F4DC7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4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муниципальных услуг, предоставление которых</w:t>
      </w: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4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организуется по принципу «одного окна» в </w:t>
      </w:r>
      <w:proofErr w:type="gramStart"/>
      <w:r w:rsidRPr="003F4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государственном</w:t>
      </w:r>
      <w:proofErr w:type="gramEnd"/>
      <w:r w:rsidRPr="003F4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бюджетном</w:t>
      </w: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3F4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учреждении</w:t>
      </w:r>
      <w:proofErr w:type="gramEnd"/>
      <w:r w:rsidRPr="003F4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Свердловской области «Многофункциональный центр</w:t>
      </w: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4D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предоставления государственных (муниципальных) услуг»</w:t>
      </w: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1843"/>
      </w:tblGrid>
      <w:tr w:rsidR="003F4DC7" w:rsidRPr="003F4DC7" w:rsidTr="00A617F1">
        <w:tc>
          <w:tcPr>
            <w:tcW w:w="3369" w:type="dxa"/>
            <w:vMerge w:val="restart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vMerge w:val="restart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3F4DC7" w:rsidRPr="003F4DC7" w:rsidTr="00A617F1">
        <w:tc>
          <w:tcPr>
            <w:tcW w:w="3369" w:type="dxa"/>
            <w:vMerge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843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3F4DC7" w:rsidRPr="003F4DC7" w:rsidTr="00A617F1">
        <w:tc>
          <w:tcPr>
            <w:tcW w:w="3369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 Невьянского городского округа</w:t>
            </w:r>
            <w:r w:rsidR="00F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промышленности, экономики и финансов</w:t>
            </w:r>
          </w:p>
        </w:tc>
        <w:tc>
          <w:tcPr>
            <w:tcW w:w="2693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А.М.</w:t>
            </w:r>
          </w:p>
        </w:tc>
        <w:tc>
          <w:tcPr>
            <w:tcW w:w="1701" w:type="dxa"/>
            <w:shd w:val="clear" w:color="auto" w:fill="auto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DC7" w:rsidRPr="003F4DC7" w:rsidTr="00A617F1">
        <w:tc>
          <w:tcPr>
            <w:tcW w:w="3369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 О.И.</w:t>
            </w:r>
          </w:p>
        </w:tc>
        <w:tc>
          <w:tcPr>
            <w:tcW w:w="1701" w:type="dxa"/>
            <w:shd w:val="clear" w:color="auto" w:fill="auto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DC7" w:rsidRPr="003F4DC7" w:rsidTr="00A617F1">
        <w:tc>
          <w:tcPr>
            <w:tcW w:w="3369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экономики, торговли и бытового обслуживания администрации</w:t>
            </w:r>
          </w:p>
        </w:tc>
        <w:tc>
          <w:tcPr>
            <w:tcW w:w="2693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Тамакулова Т.В.</w:t>
            </w:r>
          </w:p>
        </w:tc>
        <w:tc>
          <w:tcPr>
            <w:tcW w:w="1701" w:type="dxa"/>
            <w:shd w:val="clear" w:color="auto" w:fill="auto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DC7" w:rsidRPr="003F4DC7" w:rsidTr="00A617F1">
        <w:tc>
          <w:tcPr>
            <w:tcW w:w="3369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3F4DC7" w:rsidRPr="003B79CA" w:rsidRDefault="003B79CA" w:rsidP="003B7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Т.М.</w:t>
            </w:r>
          </w:p>
        </w:tc>
        <w:tc>
          <w:tcPr>
            <w:tcW w:w="1701" w:type="dxa"/>
            <w:shd w:val="clear" w:color="auto" w:fill="auto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F4DC7" w:rsidRPr="003F4DC7" w:rsidRDefault="003F4DC7" w:rsidP="003F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C7" w:rsidRPr="003F4DC7" w:rsidRDefault="003F4DC7" w:rsidP="003F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C7" w:rsidRPr="003F4DC7" w:rsidRDefault="003F4DC7" w:rsidP="003F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2"/>
        <w:gridCol w:w="4254"/>
      </w:tblGrid>
      <w:tr w:rsidR="003F4DC7" w:rsidRPr="003F4DC7" w:rsidTr="009B70F9">
        <w:tc>
          <w:tcPr>
            <w:tcW w:w="5352" w:type="dxa"/>
          </w:tcPr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Невьянскую городскую прокуратуру</w:t>
            </w:r>
          </w:p>
        </w:tc>
        <w:tc>
          <w:tcPr>
            <w:tcW w:w="4254" w:type="dxa"/>
          </w:tcPr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Дата_________. ______________</w:t>
            </w: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4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</w:t>
            </w:r>
            <w:r w:rsidR="009B7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3F4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(подпись исполнителя)</w:t>
            </w:r>
          </w:p>
        </w:tc>
      </w:tr>
      <w:tr w:rsidR="003F4DC7" w:rsidRPr="003F4DC7" w:rsidTr="009B70F9">
        <w:trPr>
          <w:trHeight w:val="664"/>
        </w:trPr>
        <w:tc>
          <w:tcPr>
            <w:tcW w:w="5352" w:type="dxa"/>
          </w:tcPr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независимым экспертам:</w:t>
            </w:r>
          </w:p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</w:tcPr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Дата__________________. _________</w:t>
            </w: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4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="009B7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3F4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(подпись исполнителя)</w:t>
            </w:r>
          </w:p>
        </w:tc>
      </w:tr>
      <w:tr w:rsidR="003F4DC7" w:rsidRPr="003F4DC7" w:rsidTr="009B70F9">
        <w:tc>
          <w:tcPr>
            <w:tcW w:w="5352" w:type="dxa"/>
          </w:tcPr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254" w:type="dxa"/>
          </w:tcPr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4DC7" w:rsidRPr="003F4DC7" w:rsidRDefault="003F4DC7" w:rsidP="003F4D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4DC7" w:rsidRPr="003F4DC7" w:rsidRDefault="003F4DC7" w:rsidP="003F4D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штампа)</w:t>
            </w:r>
          </w:p>
        </w:tc>
      </w:tr>
    </w:tbl>
    <w:p w:rsidR="003F4DC7" w:rsidRDefault="003F4DC7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79" w:rsidRPr="003F4DC7" w:rsidRDefault="005B7579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B6E" w:rsidRPr="00B41B6E" w:rsidRDefault="00B41B6E" w:rsidP="00B4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разослать:  в дело – 1</w:t>
      </w:r>
    </w:p>
    <w:p w:rsidR="00B41B6E" w:rsidRPr="00B41B6E" w:rsidRDefault="00B41B6E" w:rsidP="00B4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proofErr w:type="gramStart"/>
      <w:r w:rsid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proofErr w:type="spellEnd"/>
      <w:r w:rsid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</w:p>
    <w:p w:rsidR="00B41B6E" w:rsidRPr="00B41B6E" w:rsidRDefault="00B41B6E" w:rsidP="00B4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ЮО-1, </w:t>
      </w:r>
      <w:proofErr w:type="spellStart"/>
      <w:r w:rsidRPr="00B41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ОБУОиАД</w:t>
      </w:r>
      <w:proofErr w:type="spellEnd"/>
      <w:r w:rsidRPr="00B4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 УД – 1</w:t>
      </w:r>
    </w:p>
    <w:p w:rsidR="00B41B6E" w:rsidRDefault="00B41B6E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6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ОА – 1</w:t>
      </w:r>
    </w:p>
    <w:p w:rsidR="00550361" w:rsidRDefault="00550361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361" w:rsidRDefault="00550361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F1" w:rsidRDefault="00A617F1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F1" w:rsidRDefault="00A617F1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F1" w:rsidRDefault="00A617F1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79" w:rsidRDefault="005B7579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79" w:rsidRPr="003F4DC7" w:rsidRDefault="005B7579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C7" w:rsidRPr="003F4DC7" w:rsidRDefault="003F4DC7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</w:t>
      </w:r>
      <w:r w:rsidR="003B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инспектор</w:t>
      </w:r>
      <w:r w:rsidRPr="003F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ОЭТ и БО</w:t>
      </w:r>
    </w:p>
    <w:p w:rsidR="003F4DC7" w:rsidRPr="003F4DC7" w:rsidRDefault="003F4DC7" w:rsidP="003F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B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Корсакова Юлия Ивановна</w:t>
      </w:r>
    </w:p>
    <w:p w:rsidR="003F4DC7" w:rsidRPr="003F4DC7" w:rsidRDefault="003F4DC7" w:rsidP="003F4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C7" w:rsidRPr="003F4DC7" w:rsidRDefault="003F4DC7" w:rsidP="003F4D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4DC7" w:rsidRPr="003F4DC7" w:rsidRDefault="003F4DC7" w:rsidP="003F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C7" w:rsidRDefault="003F4DC7" w:rsidP="006E12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sectPr w:rsidR="003F4DC7" w:rsidSect="009B70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2B0E" w:rsidRDefault="00A21094" w:rsidP="00BC2B0E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lastRenderedPageBreak/>
        <w:t>УТВЕРЖДЕН</w:t>
      </w:r>
      <w:r w:rsidR="00BC2B0E">
        <w:rPr>
          <w:rStyle w:val="FontStyle26"/>
          <w:sz w:val="26"/>
          <w:szCs w:val="26"/>
        </w:rPr>
        <w:t xml:space="preserve"> </w:t>
      </w:r>
    </w:p>
    <w:p w:rsidR="00BC2B0E" w:rsidRDefault="007269F0" w:rsidP="007269F0">
      <w:pPr>
        <w:pStyle w:val="Style4"/>
        <w:widowControl/>
        <w:tabs>
          <w:tab w:val="left" w:pos="11057"/>
        </w:tabs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</w:r>
      <w:r w:rsidR="00BC2B0E">
        <w:rPr>
          <w:rStyle w:val="FontStyle26"/>
          <w:sz w:val="26"/>
          <w:szCs w:val="26"/>
        </w:rPr>
        <w:t>постановлени</w:t>
      </w:r>
      <w:r>
        <w:rPr>
          <w:rStyle w:val="FontStyle26"/>
          <w:sz w:val="26"/>
          <w:szCs w:val="26"/>
        </w:rPr>
        <w:t xml:space="preserve">ем администрации </w:t>
      </w:r>
      <w:r w:rsidR="00BC2B0E">
        <w:rPr>
          <w:rStyle w:val="FontStyle26"/>
          <w:sz w:val="26"/>
          <w:szCs w:val="26"/>
        </w:rPr>
        <w:t>Невьянского городского округа</w:t>
      </w:r>
    </w:p>
    <w:p w:rsidR="00BC2B0E" w:rsidRPr="00872A62" w:rsidRDefault="007269F0" w:rsidP="00BC2B0E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  <w:u w:val="single"/>
        </w:rPr>
      </w:pPr>
      <w:r>
        <w:rPr>
          <w:rStyle w:val="FontStyle26"/>
          <w:sz w:val="26"/>
          <w:szCs w:val="26"/>
        </w:rPr>
        <w:t xml:space="preserve">    от </w:t>
      </w:r>
      <w:r w:rsidR="00B41B6E">
        <w:rPr>
          <w:rStyle w:val="FontStyle26"/>
          <w:sz w:val="26"/>
          <w:szCs w:val="26"/>
          <w:u w:val="single"/>
        </w:rPr>
        <w:t>___________</w:t>
      </w:r>
      <w:r w:rsidR="00872A62" w:rsidRPr="00872A62">
        <w:rPr>
          <w:rStyle w:val="FontStyle26"/>
          <w:sz w:val="26"/>
          <w:szCs w:val="26"/>
          <w:u w:val="single"/>
        </w:rPr>
        <w:t xml:space="preserve"> </w:t>
      </w:r>
      <w:r w:rsidR="00BC2B0E">
        <w:rPr>
          <w:rStyle w:val="FontStyle26"/>
          <w:sz w:val="26"/>
          <w:szCs w:val="26"/>
        </w:rPr>
        <w:t xml:space="preserve">№ </w:t>
      </w:r>
      <w:r w:rsidR="00B41B6E">
        <w:rPr>
          <w:rStyle w:val="FontStyle26"/>
          <w:sz w:val="26"/>
          <w:szCs w:val="26"/>
          <w:u w:val="single"/>
        </w:rPr>
        <w:t>______</w:t>
      </w:r>
    </w:p>
    <w:p w:rsidR="00BC2B0E" w:rsidRPr="00972FF2" w:rsidRDefault="00BC2B0E" w:rsidP="00BC2B0E">
      <w:pPr>
        <w:pStyle w:val="Style5"/>
        <w:widowControl/>
        <w:rPr>
          <w:sz w:val="26"/>
          <w:szCs w:val="26"/>
        </w:rPr>
      </w:pPr>
    </w:p>
    <w:p w:rsidR="00BC2B0E" w:rsidRPr="006A10CD" w:rsidRDefault="00BC2B0E" w:rsidP="00BC2B0E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П</w:t>
      </w:r>
      <w:r>
        <w:rPr>
          <w:rStyle w:val="FontStyle21"/>
        </w:rPr>
        <w:t>еречень</w:t>
      </w:r>
    </w:p>
    <w:p w:rsidR="00BC2B0E" w:rsidRDefault="00BC2B0E" w:rsidP="00FC4F5F">
      <w:pPr>
        <w:pStyle w:val="Style5"/>
        <w:rPr>
          <w:rStyle w:val="FontStyle21"/>
        </w:rPr>
      </w:pPr>
      <w:r w:rsidRPr="006A10CD">
        <w:rPr>
          <w:rStyle w:val="FontStyle21"/>
        </w:rPr>
        <w:t xml:space="preserve">муниципальных услуг, </w:t>
      </w:r>
      <w:r w:rsidR="00FC4F5F">
        <w:rPr>
          <w:rStyle w:val="FontStyle21"/>
        </w:rPr>
        <w:t xml:space="preserve">предоставление которых </w:t>
      </w:r>
      <w:r w:rsidR="00FC4F5F" w:rsidRPr="00FC4F5F">
        <w:rPr>
          <w:rStyle w:val="FontStyle21"/>
        </w:rPr>
        <w:t>организуется по принципу «одного окна» в государственно</w:t>
      </w:r>
      <w:r w:rsidR="00FC4F5F">
        <w:rPr>
          <w:rStyle w:val="FontStyle21"/>
        </w:rPr>
        <w:t xml:space="preserve">м бюджетном </w:t>
      </w:r>
      <w:r w:rsidR="00FC4F5F" w:rsidRPr="00FC4F5F">
        <w:rPr>
          <w:rStyle w:val="FontStyle21"/>
        </w:rPr>
        <w:t>учреждении Свердловской обл</w:t>
      </w:r>
      <w:r w:rsidR="00FC4F5F">
        <w:rPr>
          <w:rStyle w:val="FontStyle21"/>
        </w:rPr>
        <w:t xml:space="preserve">асти «Многофункциональный центр </w:t>
      </w:r>
      <w:r w:rsidR="00FC4F5F" w:rsidRPr="00FC4F5F">
        <w:rPr>
          <w:rStyle w:val="FontStyle21"/>
        </w:rPr>
        <w:t>предоставления государственных (муниципальных) услуг»</w:t>
      </w:r>
    </w:p>
    <w:tbl>
      <w:tblPr>
        <w:tblStyle w:val="a6"/>
        <w:tblW w:w="15512" w:type="dxa"/>
        <w:tblLook w:val="04A0" w:firstRow="1" w:lastRow="0" w:firstColumn="1" w:lastColumn="0" w:noHBand="0" w:noVBand="1"/>
      </w:tblPr>
      <w:tblGrid>
        <w:gridCol w:w="534"/>
        <w:gridCol w:w="10300"/>
        <w:gridCol w:w="4678"/>
      </w:tblGrid>
      <w:tr w:rsidR="00BC2B0E" w:rsidRPr="00F82259" w:rsidTr="00AE06DF">
        <w:tc>
          <w:tcPr>
            <w:tcW w:w="534" w:type="dxa"/>
            <w:vAlign w:val="center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1"/>
                <w:b w:val="0"/>
                <w:sz w:val="22"/>
                <w:szCs w:val="22"/>
              </w:rPr>
              <w:t xml:space="preserve">№ </w:t>
            </w:r>
            <w:proofErr w:type="gramStart"/>
            <w:r w:rsidRPr="00F82259">
              <w:rPr>
                <w:rStyle w:val="FontStyle21"/>
                <w:b w:val="0"/>
                <w:sz w:val="22"/>
                <w:szCs w:val="22"/>
              </w:rPr>
              <w:t>п</w:t>
            </w:r>
            <w:proofErr w:type="gramEnd"/>
            <w:r w:rsidRPr="00F82259">
              <w:rPr>
                <w:rStyle w:val="FontStyle21"/>
                <w:b w:val="0"/>
                <w:sz w:val="22"/>
                <w:szCs w:val="22"/>
              </w:rPr>
              <w:t>/п</w:t>
            </w:r>
          </w:p>
        </w:tc>
        <w:tc>
          <w:tcPr>
            <w:tcW w:w="10300" w:type="dxa"/>
            <w:vAlign w:val="center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1"/>
                <w:b w:val="0"/>
                <w:sz w:val="22"/>
                <w:szCs w:val="22"/>
              </w:rPr>
              <w:t>Наименование услуги</w:t>
            </w:r>
          </w:p>
        </w:tc>
        <w:tc>
          <w:tcPr>
            <w:tcW w:w="4678" w:type="dxa"/>
            <w:vAlign w:val="center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1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BC2B0E" w:rsidRPr="00F82259" w:rsidTr="00AE06DF">
        <w:tc>
          <w:tcPr>
            <w:tcW w:w="15512" w:type="dxa"/>
            <w:gridSpan w:val="3"/>
          </w:tcPr>
          <w:p w:rsidR="00BC2B0E" w:rsidRPr="00F82259" w:rsidRDefault="00BC2B0E" w:rsidP="00BC2B0E">
            <w:pPr>
              <w:pStyle w:val="Style5"/>
              <w:widowControl/>
              <w:rPr>
                <w:rStyle w:val="FontStyle21"/>
                <w:b w:val="0"/>
                <w:sz w:val="22"/>
                <w:szCs w:val="22"/>
              </w:rPr>
            </w:pPr>
            <w:r w:rsidRPr="00F82259">
              <w:rPr>
                <w:rStyle w:val="FontStyle24"/>
              </w:rPr>
              <w:t>Услуги в сфере образования</w:t>
            </w:r>
          </w:p>
        </w:tc>
      </w:tr>
      <w:tr w:rsidR="00422D56" w:rsidRPr="00F82259" w:rsidTr="00AE06DF">
        <w:tc>
          <w:tcPr>
            <w:tcW w:w="534" w:type="dxa"/>
          </w:tcPr>
          <w:p w:rsidR="00422D56" w:rsidRPr="00F82259" w:rsidRDefault="00422D56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422D56" w:rsidRPr="00F82259" w:rsidRDefault="00422D56" w:rsidP="005A6E66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F82259">
              <w:rPr>
                <w:rStyle w:val="FontStyle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8" w:type="dxa"/>
          </w:tcPr>
          <w:p w:rsidR="00422D56" w:rsidRPr="00F82259" w:rsidRDefault="00422D56" w:rsidP="005A6E66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Невьянского городского округа</w:t>
            </w:r>
          </w:p>
        </w:tc>
      </w:tr>
      <w:tr w:rsidR="00422D56" w:rsidRPr="00F82259" w:rsidTr="00AE06DF">
        <w:tc>
          <w:tcPr>
            <w:tcW w:w="534" w:type="dxa"/>
          </w:tcPr>
          <w:p w:rsidR="00422D56" w:rsidRPr="00F82259" w:rsidRDefault="00422D56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422D56" w:rsidRPr="00F82259" w:rsidRDefault="00422D56" w:rsidP="005A6E66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78" w:type="dxa"/>
          </w:tcPr>
          <w:p w:rsidR="00422D56" w:rsidRPr="00F82259" w:rsidRDefault="00422D56" w:rsidP="005A6E66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422D56" w:rsidRPr="00F82259" w:rsidTr="00AE06DF">
        <w:tc>
          <w:tcPr>
            <w:tcW w:w="534" w:type="dxa"/>
          </w:tcPr>
          <w:p w:rsidR="00422D56" w:rsidRPr="00F82259" w:rsidRDefault="00422D56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422D56" w:rsidRPr="00F82259" w:rsidRDefault="00422D56" w:rsidP="005A6E66">
            <w:pPr>
              <w:pStyle w:val="Style17"/>
              <w:spacing w:line="240" w:lineRule="auto"/>
              <w:rPr>
                <w:rStyle w:val="FontStyle26"/>
              </w:rPr>
            </w:pPr>
            <w:r w:rsidRPr="00DA0CC0">
              <w:rPr>
                <w:rStyle w:val="FontStyle26"/>
              </w:rPr>
              <w:t>Зачислен</w:t>
            </w:r>
            <w:r>
              <w:rPr>
                <w:rStyle w:val="FontStyle26"/>
              </w:rPr>
              <w:t xml:space="preserve">ие в образовательное учреждение </w:t>
            </w:r>
            <w:r w:rsidRPr="00DA0CC0">
              <w:rPr>
                <w:rStyle w:val="FontStyle26"/>
              </w:rPr>
              <w:t>Невьянского городского округа</w:t>
            </w:r>
          </w:p>
        </w:tc>
        <w:tc>
          <w:tcPr>
            <w:tcW w:w="4678" w:type="dxa"/>
          </w:tcPr>
          <w:p w:rsidR="00422D56" w:rsidRPr="00F82259" w:rsidRDefault="00422D56" w:rsidP="005A6E66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422D56" w:rsidRPr="00F82259" w:rsidTr="00AE06DF">
        <w:tc>
          <w:tcPr>
            <w:tcW w:w="534" w:type="dxa"/>
          </w:tcPr>
          <w:p w:rsidR="00422D56" w:rsidRPr="00F82259" w:rsidRDefault="00422D56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422D56" w:rsidRPr="00F82259" w:rsidRDefault="00422D56" w:rsidP="005A6E66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78" w:type="dxa"/>
          </w:tcPr>
          <w:p w:rsidR="00422D56" w:rsidRPr="00F82259" w:rsidRDefault="00422D56" w:rsidP="005A6E66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422D56" w:rsidRPr="00F82259" w:rsidTr="00AE06DF">
        <w:tc>
          <w:tcPr>
            <w:tcW w:w="534" w:type="dxa"/>
          </w:tcPr>
          <w:p w:rsidR="00422D56" w:rsidRPr="00F82259" w:rsidRDefault="00422D56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422D56" w:rsidRPr="00F82259" w:rsidRDefault="00422D56" w:rsidP="005A6E66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DA0CC0">
              <w:rPr>
                <w:rStyle w:val="FontStyle26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78" w:type="dxa"/>
          </w:tcPr>
          <w:p w:rsidR="00422D56" w:rsidRPr="00F82259" w:rsidRDefault="00422D56" w:rsidP="005A6E66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422D56" w:rsidRPr="00F82259" w:rsidTr="00AE06DF">
        <w:tc>
          <w:tcPr>
            <w:tcW w:w="534" w:type="dxa"/>
          </w:tcPr>
          <w:p w:rsidR="00422D56" w:rsidRPr="00F82259" w:rsidRDefault="00422D56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422D56" w:rsidRPr="00F82259" w:rsidRDefault="00422D56" w:rsidP="005A6E66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78" w:type="dxa"/>
          </w:tcPr>
          <w:p w:rsidR="00422D56" w:rsidRPr="00F82259" w:rsidRDefault="00422D56" w:rsidP="005A6E66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Невьянского городского округа</w:t>
            </w:r>
          </w:p>
        </w:tc>
      </w:tr>
      <w:tr w:rsidR="00422D56" w:rsidRPr="00F82259" w:rsidTr="00AE06DF">
        <w:tc>
          <w:tcPr>
            <w:tcW w:w="534" w:type="dxa"/>
          </w:tcPr>
          <w:p w:rsidR="00422D56" w:rsidRPr="00F82259" w:rsidRDefault="00422D56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422D56" w:rsidRPr="00F82259" w:rsidRDefault="00422D56" w:rsidP="005A6E66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DA0CC0">
              <w:rPr>
                <w:rStyle w:val="FontStyle26"/>
              </w:rPr>
              <w:t xml:space="preserve">Предоставление информации об организации дополнительного образования </w:t>
            </w:r>
            <w:proofErr w:type="gramStart"/>
            <w:r w:rsidRPr="00DA0CC0">
              <w:rPr>
                <w:rStyle w:val="FontStyle26"/>
              </w:rPr>
              <w:t>в</w:t>
            </w:r>
            <w:proofErr w:type="gramEnd"/>
            <w:r w:rsidRPr="00DA0CC0">
              <w:rPr>
                <w:rStyle w:val="FontStyle26"/>
              </w:rPr>
              <w:t xml:space="preserve"> </w:t>
            </w:r>
            <w:proofErr w:type="gramStart"/>
            <w:r w:rsidRPr="00DA0CC0">
              <w:rPr>
                <w:rStyle w:val="FontStyle26"/>
              </w:rPr>
              <w:t>Невьянском</w:t>
            </w:r>
            <w:proofErr w:type="gramEnd"/>
            <w:r w:rsidRPr="00DA0CC0">
              <w:rPr>
                <w:rStyle w:val="FontStyle26"/>
              </w:rPr>
              <w:t xml:space="preserve"> городском округе</w:t>
            </w:r>
          </w:p>
        </w:tc>
        <w:tc>
          <w:tcPr>
            <w:tcW w:w="4678" w:type="dxa"/>
          </w:tcPr>
          <w:p w:rsidR="00422D56" w:rsidRPr="00F82259" w:rsidRDefault="00422D56" w:rsidP="005A6E66">
            <w:pPr>
              <w:rPr>
                <w:rFonts w:hAnsi="Times New Roman"/>
                <w:sz w:val="22"/>
                <w:szCs w:val="22"/>
              </w:rPr>
            </w:pPr>
            <w:r w:rsidRPr="00F82259">
              <w:rPr>
                <w:rStyle w:val="FontStyle26"/>
              </w:rPr>
              <w:t>Управление образования, образовательные учреждения</w:t>
            </w:r>
            <w:r>
              <w:rPr>
                <w:rStyle w:val="FontStyle26"/>
              </w:rPr>
              <w:t xml:space="preserve">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15512" w:type="dxa"/>
            <w:gridSpan w:val="3"/>
          </w:tcPr>
          <w:p w:rsidR="00BC2B0E" w:rsidRPr="00F82259" w:rsidRDefault="00BC2B0E" w:rsidP="00BC2B0E">
            <w:pPr>
              <w:jc w:val="center"/>
              <w:rPr>
                <w:rStyle w:val="FontStyle26"/>
              </w:rPr>
            </w:pPr>
            <w:r w:rsidRPr="00F82259">
              <w:rPr>
                <w:rStyle w:val="FontStyle24"/>
              </w:rPr>
              <w:t>Услуги в сфере культуры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F82259" w:rsidRDefault="00422D56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422D56">
              <w:rPr>
                <w:rStyle w:val="FontStyle26"/>
              </w:rPr>
              <w:t xml:space="preserve"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</w:t>
            </w:r>
            <w:r w:rsidRPr="00422D56">
              <w:rPr>
                <w:rStyle w:val="FontStyle26"/>
              </w:rPr>
              <w:lastRenderedPageBreak/>
              <w:t>мероприятий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lastRenderedPageBreak/>
              <w:t>МКУ «УК НГО», МБУК НГО «КДЦ»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МКУК «ЦБС» НГО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F82259" w:rsidRDefault="00422D56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422D56">
              <w:rPr>
                <w:rStyle w:val="FontStyle26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МКУК «ЦБС» НГО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F82259" w:rsidRDefault="00422D56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422D56">
              <w:rPr>
                <w:rStyle w:val="FontStyle26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МБУК НГО «КДЦ»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422D56" w:rsidRPr="00422D56" w:rsidRDefault="00422D56" w:rsidP="00422D56">
            <w:pPr>
              <w:pStyle w:val="Style17"/>
              <w:spacing w:line="240" w:lineRule="auto"/>
              <w:rPr>
                <w:rStyle w:val="FontStyle26"/>
              </w:rPr>
            </w:pPr>
            <w:r w:rsidRPr="00422D56">
              <w:rPr>
                <w:rStyle w:val="FontStyle26"/>
              </w:rPr>
              <w:t>Предоставление  информации о культурно-досуговых услугах на территории</w:t>
            </w:r>
          </w:p>
          <w:p w:rsidR="00BC2B0E" w:rsidRPr="00F82259" w:rsidRDefault="00422D56" w:rsidP="00422D56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422D56">
              <w:rPr>
                <w:rStyle w:val="FontStyle26"/>
              </w:rPr>
              <w:t xml:space="preserve"> 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МКУ «УК НГО», МБУК НГО «КДЦ»</w:t>
            </w:r>
          </w:p>
        </w:tc>
      </w:tr>
      <w:tr w:rsidR="00BC2B0E" w:rsidRPr="00F82259" w:rsidTr="00AE06DF">
        <w:tc>
          <w:tcPr>
            <w:tcW w:w="15512" w:type="dxa"/>
            <w:gridSpan w:val="3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jc w:val="center"/>
              <w:rPr>
                <w:rStyle w:val="FontStyle26"/>
              </w:rPr>
            </w:pPr>
            <w:r w:rsidRPr="00F82259">
              <w:rPr>
                <w:rStyle w:val="FontStyle24"/>
              </w:rPr>
              <w:t>Услуги в сфере агропромышленного комплекса и продовольствия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678" w:type="dxa"/>
          </w:tcPr>
          <w:p w:rsidR="00BC2B0E" w:rsidRPr="00F82259" w:rsidRDefault="00BC2B0E" w:rsidP="00AE06DF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Отдел экономики, торговли и бытового обслуживания администрации </w:t>
            </w:r>
            <w:r w:rsid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>Выдача, продление и переоформление разрешения на право организации розничных рынков</w:t>
            </w:r>
            <w:r w:rsidR="000F4514">
              <w:rPr>
                <w:rStyle w:val="FontStyle26"/>
              </w:rPr>
              <w:t xml:space="preserve"> на территории 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Отдел экономики, торговли и бытового обслуживания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15512" w:type="dxa"/>
            <w:gridSpan w:val="3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F82259">
              <w:rPr>
                <w:rStyle w:val="FontStyle24"/>
              </w:rPr>
              <w:t>Услуги в сфере социальной политики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F82259" w:rsidRDefault="001B0646" w:rsidP="001B0646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>
              <w:rPr>
                <w:rStyle w:val="FontStyle26"/>
              </w:rPr>
              <w:t xml:space="preserve">Предоставление органами местного самоуправления муниципальных образований Свердловской области государственной услуги по предоставлению </w:t>
            </w:r>
            <w:r w:rsidR="00BC2B0E" w:rsidRPr="00F82259">
              <w:rPr>
                <w:rStyle w:val="FontStyle26"/>
              </w:rPr>
              <w:t>гражданам субсидий на оплату жилых помещений и коммунальных услуг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Невьянского городского округа</w:t>
            </w:r>
          </w:p>
        </w:tc>
        <w:tc>
          <w:tcPr>
            <w:tcW w:w="4678" w:type="dxa"/>
          </w:tcPr>
          <w:p w:rsidR="00BC2B0E" w:rsidRPr="00F82259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F82259">
              <w:rPr>
                <w:rStyle w:val="FontStyle26"/>
              </w:rPr>
              <w:t xml:space="preserve">Рабочая группа по предоставлению компенсаций и льгот отдела бухгалтерского учета, отчетности и администрирования доходов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8F1BCC" w:rsidRDefault="00BC2B0E" w:rsidP="008F1BCC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8F1BCC">
              <w:rPr>
                <w:rStyle w:val="FontStyle26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78" w:type="dxa"/>
          </w:tcPr>
          <w:p w:rsidR="00BC2B0E" w:rsidRPr="008F1BCC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8F1BCC">
              <w:rPr>
                <w:rStyle w:val="FontStyle26"/>
              </w:rPr>
              <w:t xml:space="preserve">Управление делами администрации </w:t>
            </w:r>
            <w:r w:rsidR="00AE06DF" w:rsidRPr="008F1BCC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5A6E66" w:rsidRDefault="00BC2B0E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5A6E66">
              <w:rPr>
                <w:rStyle w:val="FontStyle26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678" w:type="dxa"/>
          </w:tcPr>
          <w:p w:rsidR="00BC2B0E" w:rsidRPr="005A6E66" w:rsidRDefault="00BC2B0E" w:rsidP="00BC2B0E">
            <w:pPr>
              <w:rPr>
                <w:rFonts w:hAnsi="Times New Roman"/>
                <w:sz w:val="22"/>
                <w:szCs w:val="22"/>
              </w:rPr>
            </w:pPr>
            <w:r w:rsidRPr="005A6E66">
              <w:rPr>
                <w:rStyle w:val="FontStyle26"/>
              </w:rPr>
              <w:t xml:space="preserve">Управление делами администрации </w:t>
            </w:r>
            <w:r w:rsidR="00AE06DF" w:rsidRPr="005A6E66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15512" w:type="dxa"/>
            <w:gridSpan w:val="3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hanging="7"/>
              <w:jc w:val="center"/>
              <w:rPr>
                <w:rStyle w:val="FontStyle26"/>
              </w:rPr>
            </w:pPr>
            <w:bookmarkStart w:id="0" w:name="_GoBack"/>
            <w:bookmarkEnd w:id="0"/>
            <w:r w:rsidRPr="00BC2B0E">
              <w:rPr>
                <w:rStyle w:val="FontStyle24"/>
              </w:rPr>
              <w:t>Услуги в сфере муниципального имущества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821937" w:rsidP="00BC2B0E">
            <w:pPr>
              <w:pStyle w:val="Style17"/>
              <w:widowControl/>
              <w:spacing w:line="240" w:lineRule="auto"/>
              <w:rPr>
                <w:rStyle w:val="FontStyle26"/>
                <w:strike/>
              </w:rPr>
            </w:pPr>
            <w:r w:rsidRPr="00821937">
              <w:rPr>
                <w:rStyle w:val="FontStyle26"/>
              </w:rPr>
              <w:t xml:space="preserve">Выдача разрешений на установку и эксплуатацию рекламных конструкций, </w:t>
            </w:r>
            <w:proofErr w:type="gramStart"/>
            <w:r w:rsidRPr="00821937">
              <w:rPr>
                <w:rStyle w:val="FontStyle26"/>
              </w:rPr>
              <w:t>аннулировании</w:t>
            </w:r>
            <w:proofErr w:type="gramEnd"/>
            <w:r w:rsidRPr="00821937">
              <w:rPr>
                <w:rStyle w:val="FontStyle26"/>
              </w:rPr>
              <w:t xml:space="preserve"> таких </w:t>
            </w:r>
            <w:r w:rsidRPr="00821937">
              <w:rPr>
                <w:rStyle w:val="FontStyle26"/>
              </w:rPr>
              <w:lastRenderedPageBreak/>
              <w:t>разрешений на территории Невьянского городского округа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lastRenderedPageBreak/>
              <w:t xml:space="preserve">Комитет по управлению муниципальным </w:t>
            </w:r>
            <w:r w:rsidRPr="00BC2B0E">
              <w:rPr>
                <w:rStyle w:val="FontStyle26"/>
              </w:rPr>
              <w:lastRenderedPageBreak/>
              <w:t xml:space="preserve">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1B4615" w:rsidRDefault="001B0646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>
              <w:rPr>
                <w:rStyle w:val="FontStyle26"/>
              </w:rPr>
              <w:t>Подготовка и (или) утверждение схем расположения земельных</w:t>
            </w:r>
            <w:r w:rsidR="00BC2B0E" w:rsidRPr="001B4615">
              <w:rPr>
                <w:rStyle w:val="FontStyle26"/>
              </w:rPr>
              <w:t xml:space="preserve"> участк</w:t>
            </w:r>
            <w:r>
              <w:rPr>
                <w:rStyle w:val="FontStyle26"/>
              </w:rPr>
              <w:t>ов</w:t>
            </w:r>
            <w:r w:rsidR="00BC2B0E" w:rsidRPr="001B4615">
              <w:rPr>
                <w:rStyle w:val="FontStyle26"/>
              </w:rPr>
              <w:t xml:space="preserve"> на кадастровом плане территории </w:t>
            </w:r>
          </w:p>
          <w:p w:rsidR="00BC2B0E" w:rsidRPr="001B4615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  <w:strike/>
              </w:rPr>
            </w:pPr>
          </w:p>
        </w:tc>
        <w:tc>
          <w:tcPr>
            <w:tcW w:w="4678" w:type="dxa"/>
          </w:tcPr>
          <w:p w:rsidR="00BC2B0E" w:rsidRPr="001B4615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B4615">
              <w:rPr>
                <w:rStyle w:val="FontStyle26"/>
              </w:rPr>
              <w:t xml:space="preserve">Отдел архитектуры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="006A487D">
              <w:rPr>
                <w:rStyle w:val="FontStyle26"/>
              </w:rPr>
              <w:t xml:space="preserve"> Невьянского городского округа</w:t>
            </w:r>
            <w:r w:rsidRPr="00BC2B0E">
              <w:rPr>
                <w:rStyle w:val="FontStyle26"/>
              </w:rPr>
              <w:t xml:space="preserve"> и предназначенных для сдачи в аренду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trike/>
              </w:rPr>
            </w:pPr>
            <w:r w:rsidRPr="00BC2B0E">
              <w:rPr>
                <w:sz w:val="22"/>
                <w:szCs w:val="22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6A487D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Оформление приватизации жилых помещений</w:t>
            </w:r>
            <w:r w:rsidR="00BC2B0E" w:rsidRPr="00BC2B0E">
              <w:rPr>
                <w:rStyle w:val="FontStyle26"/>
              </w:rPr>
              <w:t xml:space="preserve"> муниципального жилищного фонда</w:t>
            </w:r>
            <w:r>
              <w:rPr>
                <w:rStyle w:val="FontStyle26"/>
              </w:rPr>
              <w:t xml:space="preserve"> Невьянского городского округа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Исключение жилых помещений из числа служебных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Отчуждение недвижимого имущества, находящегося в муниципальной собственности </w:t>
            </w:r>
            <w:r w:rsidR="006A487D">
              <w:rPr>
                <w:rStyle w:val="FontStyle26"/>
              </w:rPr>
              <w:t xml:space="preserve">Невьянского городского округа </w:t>
            </w:r>
            <w:r w:rsidRPr="00BC2B0E">
              <w:rPr>
                <w:rStyle w:val="FontStyle26"/>
              </w:rPr>
              <w:t>и арендуемого субъектами малого и среднего предпринимательства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  <w:strike/>
              </w:rPr>
            </w:pPr>
            <w:r w:rsidRPr="00BC2B0E">
              <w:rPr>
                <w:rStyle w:val="FontStyle26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342549" w:rsidRDefault="009E76E1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>
              <w:rPr>
                <w:rStyle w:val="FontStyle26"/>
              </w:rPr>
              <w:t>Предоставление разрешения</w:t>
            </w:r>
            <w:r w:rsidR="00BC2B0E" w:rsidRPr="00342549">
              <w:rPr>
                <w:rStyle w:val="FontStyle26"/>
              </w:rPr>
              <w:t xml:space="preserve">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разрешения на осуществление земляных работ</w:t>
            </w:r>
          </w:p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705F72" w:rsidP="00BC2B0E">
            <w:pPr>
              <w:rPr>
                <w:rFonts w:hAnsi="Times New Roman"/>
                <w:sz w:val="22"/>
                <w:szCs w:val="22"/>
              </w:rPr>
            </w:pPr>
            <w:r w:rsidRPr="00705F72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расположенного на территории Невьянского городского округа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342549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342549">
              <w:rPr>
                <w:rStyle w:val="FontStyle26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BC2B0E" w:rsidRPr="00F82259" w:rsidTr="00AE06DF">
        <w:tc>
          <w:tcPr>
            <w:tcW w:w="534" w:type="dxa"/>
          </w:tcPr>
          <w:p w:rsidR="00BC2B0E" w:rsidRPr="00F82259" w:rsidRDefault="00BC2B0E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</w:t>
            </w:r>
          </w:p>
        </w:tc>
        <w:tc>
          <w:tcPr>
            <w:tcW w:w="4678" w:type="dxa"/>
          </w:tcPr>
          <w:p w:rsidR="00BC2B0E" w:rsidRPr="00BC2B0E" w:rsidRDefault="00BC2B0E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80541E" w:rsidRDefault="001B4615" w:rsidP="001B4615">
            <w:pPr>
              <w:pStyle w:val="Style16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0541E">
              <w:rPr>
                <w:sz w:val="20"/>
                <w:szCs w:val="20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78" w:type="dxa"/>
          </w:tcPr>
          <w:p w:rsidR="001B4615" w:rsidRPr="00BC2B0E" w:rsidRDefault="001B4615" w:rsidP="00AE06DF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B4615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 xml:space="preserve">Невьянского городского округа 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80541E" w:rsidRDefault="001B4615" w:rsidP="001B4615">
            <w:pPr>
              <w:pStyle w:val="Style16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80541E">
              <w:rPr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 в безвозмездное пользование гражданам и юридическим лицам</w:t>
            </w:r>
          </w:p>
        </w:tc>
        <w:tc>
          <w:tcPr>
            <w:tcW w:w="4678" w:type="dxa"/>
          </w:tcPr>
          <w:p w:rsidR="001B4615" w:rsidRPr="00BC2B0E" w:rsidRDefault="001B4615" w:rsidP="00AE06DF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B4615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15512" w:type="dxa"/>
            <w:gridSpan w:val="3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строительства и развития инфраструктуры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78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678" w:type="dxa"/>
          </w:tcPr>
          <w:p w:rsidR="001B4615" w:rsidRPr="00BC2B0E" w:rsidRDefault="001B4615" w:rsidP="00AE06DF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8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BC2B0E" w:rsidRDefault="001B0646" w:rsidP="00BC2B0E">
            <w:pPr>
              <w:pStyle w:val="ConsPlusNormal"/>
              <w:rPr>
                <w:rStyle w:val="FontStyle26"/>
              </w:rPr>
            </w:pPr>
            <w:r>
              <w:rPr>
                <w:sz w:val="22"/>
                <w:szCs w:val="22"/>
              </w:rPr>
              <w:t>Выдача градостроительного плана земельного участка на территории Невьянского городского округа</w:t>
            </w:r>
          </w:p>
        </w:tc>
        <w:tc>
          <w:tcPr>
            <w:tcW w:w="4678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C15C57">
              <w:rPr>
                <w:rStyle w:val="FontStyle26"/>
              </w:rPr>
              <w:t>Выдача разрешения на строительство (реконструкцию), продление (прекращение) действия разрешения на строительство (реконструкцию), внесение изменений в разрешение на строительство (реконструкцию) объектов капитального строительства и  объектов индивидуального жилищного строительства на территории Невьянского городского  округа</w:t>
            </w:r>
          </w:p>
        </w:tc>
        <w:tc>
          <w:tcPr>
            <w:tcW w:w="4678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BC2B0E" w:rsidRDefault="005676A6" w:rsidP="00446D7A">
            <w:pPr>
              <w:pStyle w:val="Style17"/>
              <w:widowControl/>
              <w:spacing w:line="240" w:lineRule="auto"/>
              <w:rPr>
                <w:rStyle w:val="FontStyle26"/>
                <w:strike/>
              </w:rPr>
            </w:pPr>
            <w:r w:rsidRPr="005676A6">
              <w:rPr>
                <w:rStyle w:val="FontStyle26"/>
              </w:rPr>
              <w:t>Присвоение, изменение адреса объекту адресации и аннулирование адреса объекта адресации</w:t>
            </w:r>
          </w:p>
        </w:tc>
        <w:tc>
          <w:tcPr>
            <w:tcW w:w="4678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BC2B0E" w:rsidRDefault="001B4615" w:rsidP="001B0646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Предоставление </w:t>
            </w:r>
            <w:r w:rsidR="001B0646">
              <w:rPr>
                <w:rStyle w:val="FontStyle26"/>
              </w:rPr>
              <w:t>сведений</w:t>
            </w:r>
            <w:r w:rsidRPr="00BC2B0E">
              <w:rPr>
                <w:rStyle w:val="FontStyle26"/>
              </w:rPr>
              <w:t xml:space="preserve"> из информационной системы обеспечения градостроительной деятельности</w:t>
            </w:r>
          </w:p>
        </w:tc>
        <w:tc>
          <w:tcPr>
            <w:tcW w:w="4678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архитектуры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разрешения на отклонение от предельных параметров разрешенного строительства,</w:t>
            </w:r>
          </w:p>
          <w:p w:rsidR="001B4615" w:rsidRPr="00BC2B0E" w:rsidRDefault="001B4615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  <w:strike/>
              </w:rPr>
            </w:pPr>
            <w:r w:rsidRPr="00BC2B0E">
              <w:rPr>
                <w:rStyle w:val="FontStyle26"/>
              </w:rPr>
              <w:t xml:space="preserve">реконструкции объекта капитального строительства </w:t>
            </w:r>
          </w:p>
        </w:tc>
        <w:tc>
          <w:tcPr>
            <w:tcW w:w="4678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1B4615" w:rsidRPr="00F82259" w:rsidTr="00AE06DF">
        <w:tc>
          <w:tcPr>
            <w:tcW w:w="534" w:type="dxa"/>
          </w:tcPr>
          <w:p w:rsidR="001B4615" w:rsidRPr="00F82259" w:rsidRDefault="001B4615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rPr>
                <w:rStyle w:val="FontStyle26"/>
                <w:strike/>
              </w:rPr>
            </w:pPr>
            <w:r w:rsidRPr="00C15C57">
              <w:rPr>
                <w:rStyle w:val="FontStyle26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</w:t>
            </w:r>
            <w:r w:rsidR="001F5C33">
              <w:rPr>
                <w:rStyle w:val="FontStyle26"/>
              </w:rPr>
              <w:t>и Невьянского городского округа</w:t>
            </w:r>
          </w:p>
        </w:tc>
        <w:tc>
          <w:tcPr>
            <w:tcW w:w="4678" w:type="dxa"/>
          </w:tcPr>
          <w:p w:rsidR="001B4615" w:rsidRPr="00BC2B0E" w:rsidRDefault="001B4615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="00AE06DF"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57040A" w:rsidRDefault="002C30AF" w:rsidP="005A6E66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57040A">
              <w:rPr>
                <w:rStyle w:val="FontStyle26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78" w:type="dxa"/>
          </w:tcPr>
          <w:p w:rsidR="002C30AF" w:rsidRPr="00BC2B0E" w:rsidRDefault="002C30AF" w:rsidP="005A6E66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капитального строительства администрации </w:t>
            </w:r>
            <w:r w:rsidRPr="00FE6EC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15512" w:type="dxa"/>
            <w:gridSpan w:val="3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транспорта и связи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Выдача специального разрешения на движение по автомобильным дорогам местного значения муниципального образования крупногабаритного и (или) тяжеловесного транспортного средства 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  <w:tr w:rsidR="002C30AF" w:rsidRPr="00F82259" w:rsidTr="00AE06DF">
        <w:tc>
          <w:tcPr>
            <w:tcW w:w="15512" w:type="dxa"/>
            <w:gridSpan w:val="3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обеспечения жильем молодых семей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</w:t>
            </w:r>
            <w:r w:rsidR="005A6E66">
              <w:rPr>
                <w:rStyle w:val="FontStyle26"/>
              </w:rPr>
              <w:t xml:space="preserve">изнание молодых семей </w:t>
            </w:r>
            <w:proofErr w:type="gramStart"/>
            <w:r w:rsidR="005A6E66">
              <w:rPr>
                <w:rStyle w:val="FontStyle26"/>
              </w:rPr>
              <w:t>нуждающим</w:t>
            </w:r>
            <w:r w:rsidRPr="00BC2B0E">
              <w:rPr>
                <w:rStyle w:val="FontStyle26"/>
              </w:rPr>
              <w:t>ся</w:t>
            </w:r>
            <w:proofErr w:type="gramEnd"/>
            <w:r w:rsidRPr="00BC2B0E">
              <w:rPr>
                <w:rStyle w:val="FontStyle26"/>
              </w:rPr>
              <w:t xml:space="preserve"> в улучшении жилищных условий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15512" w:type="dxa"/>
            <w:gridSpan w:val="3"/>
          </w:tcPr>
          <w:p w:rsidR="002C30AF" w:rsidRPr="00BC2B0E" w:rsidRDefault="002C30AF" w:rsidP="00BC2B0E">
            <w:pPr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архивного дела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Архивный отдел администрации </w:t>
            </w:r>
            <w:r w:rsidRPr="00AE06DF">
              <w:rPr>
                <w:rFonts w:hAnsi="Times New Roman"/>
                <w:sz w:val="22"/>
                <w:szCs w:val="22"/>
              </w:rPr>
              <w:t xml:space="preserve">Невьянского </w:t>
            </w:r>
            <w:r w:rsidRPr="00AE06DF">
              <w:rPr>
                <w:rFonts w:hAnsi="Times New Roman"/>
                <w:sz w:val="22"/>
                <w:szCs w:val="22"/>
              </w:rPr>
              <w:lastRenderedPageBreak/>
              <w:t>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Архивный отдел администрации </w:t>
            </w:r>
            <w:r w:rsidRPr="00AE06D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rPr>
                <w:rFonts w:hAnsi="Times New Roman"/>
                <w:sz w:val="22"/>
                <w:szCs w:val="22"/>
              </w:rPr>
            </w:pPr>
            <w:r w:rsidRPr="00BC2B0E">
              <w:rPr>
                <w:rFonts w:hAnsi="Times New Roman"/>
                <w:sz w:val="22"/>
                <w:szCs w:val="22"/>
              </w:rPr>
              <w:t xml:space="preserve">Архивный отдел администрации </w:t>
            </w:r>
            <w:r w:rsidRPr="00AE06DF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15512" w:type="dxa"/>
            <w:gridSpan w:val="3"/>
          </w:tcPr>
          <w:p w:rsidR="002C30AF" w:rsidRPr="00BC2B0E" w:rsidRDefault="002C30AF" w:rsidP="00BC2B0E">
            <w:pPr>
              <w:jc w:val="center"/>
              <w:rPr>
                <w:rStyle w:val="FontStyle26"/>
              </w:rPr>
            </w:pPr>
            <w:r w:rsidRPr="00BC2B0E">
              <w:rPr>
                <w:rStyle w:val="FontStyle24"/>
              </w:rPr>
              <w:t>Услуги в сфере энергетики и жилищно-коммунального хозяйства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78" w:type="dxa"/>
          </w:tcPr>
          <w:p w:rsidR="002C30AF" w:rsidRPr="00BC2B0E" w:rsidRDefault="002C30AF" w:rsidP="00AE06DF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AE06DF">
              <w:rPr>
                <w:rStyle w:val="FontStyle26"/>
              </w:rPr>
              <w:t xml:space="preserve">Невьянского городского округа 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МБУ «Управление хозяйством Невьянского городского округа», управление делами администрации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Отдел городского и коммунального хозяйства администрации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C15C57" w:rsidRDefault="002C30AF">
            <w:pPr>
              <w:rPr>
                <w:rFonts w:hAnsi="Times New Roman"/>
              </w:rPr>
            </w:pPr>
            <w:r w:rsidRPr="00C15C57">
              <w:rPr>
                <w:rFonts w:hAnsi="Times New Roman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78" w:type="dxa"/>
          </w:tcPr>
          <w:p w:rsidR="002C30AF" w:rsidRPr="00C15C57" w:rsidRDefault="0063571D">
            <w:pPr>
              <w:rPr>
                <w:rFonts w:hAnsi="Times New Roman"/>
              </w:rPr>
            </w:pPr>
            <w:r w:rsidRPr="0063571D">
              <w:rPr>
                <w:rFonts w:hAnsi="Times New Roman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hanging="14"/>
              <w:rPr>
                <w:rStyle w:val="FontStyle26"/>
              </w:rPr>
            </w:pPr>
            <w:r w:rsidRPr="00BC2B0E">
              <w:rPr>
                <w:rStyle w:val="FontStyle26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2C30AF" w:rsidP="00BC2B0E">
            <w:pPr>
              <w:pStyle w:val="Style5"/>
              <w:widowControl/>
              <w:numPr>
                <w:ilvl w:val="0"/>
                <w:numId w:val="3"/>
              </w:numPr>
              <w:ind w:left="0" w:firstLine="0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Default="002C30AF" w:rsidP="00C15C57">
            <w:pPr>
              <w:pStyle w:val="Style5"/>
              <w:widowControl/>
              <w:jc w:val="left"/>
              <w:rPr>
                <w:rStyle w:val="FontStyle21"/>
                <w:b w:val="0"/>
                <w:sz w:val="22"/>
                <w:szCs w:val="22"/>
              </w:rPr>
            </w:pPr>
          </w:p>
          <w:p w:rsidR="002C30AF" w:rsidRDefault="005A6E66" w:rsidP="00C15C57">
            <w:pPr>
              <w:pStyle w:val="Style5"/>
              <w:widowControl/>
              <w:jc w:val="left"/>
              <w:rPr>
                <w:rStyle w:val="FontStyle21"/>
                <w:b w:val="0"/>
                <w:sz w:val="22"/>
                <w:szCs w:val="22"/>
              </w:rPr>
            </w:pPr>
            <w:r>
              <w:rPr>
                <w:rStyle w:val="FontStyle21"/>
                <w:b w:val="0"/>
                <w:sz w:val="22"/>
                <w:szCs w:val="22"/>
              </w:rPr>
              <w:t>63</w:t>
            </w:r>
            <w:r w:rsidR="002C30AF">
              <w:rPr>
                <w:rStyle w:val="FontStyle21"/>
                <w:b w:val="0"/>
                <w:sz w:val="22"/>
                <w:szCs w:val="22"/>
              </w:rPr>
              <w:t>.</w:t>
            </w:r>
          </w:p>
          <w:p w:rsidR="002C30AF" w:rsidRPr="00F82259" w:rsidRDefault="002C30AF" w:rsidP="00C15C57">
            <w:pPr>
              <w:pStyle w:val="Style5"/>
              <w:widowControl/>
              <w:jc w:val="left"/>
              <w:rPr>
                <w:rStyle w:val="FontStyle21"/>
                <w:b w:val="0"/>
                <w:sz w:val="22"/>
                <w:szCs w:val="22"/>
              </w:rPr>
            </w:pP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1B4615">
              <w:rPr>
                <w:rStyle w:val="FontStyle26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09141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5A6E66" w:rsidP="001B4615">
            <w:pPr>
              <w:pStyle w:val="Style5"/>
              <w:widowControl/>
              <w:jc w:val="left"/>
              <w:rPr>
                <w:rStyle w:val="FontStyle21"/>
                <w:b w:val="0"/>
                <w:sz w:val="22"/>
                <w:szCs w:val="22"/>
              </w:rPr>
            </w:pPr>
            <w:r>
              <w:rPr>
                <w:rStyle w:val="FontStyle21"/>
                <w:b w:val="0"/>
                <w:sz w:val="22"/>
                <w:szCs w:val="22"/>
              </w:rPr>
              <w:t>64</w:t>
            </w:r>
            <w:r w:rsidR="002C30AF">
              <w:rPr>
                <w:rStyle w:val="FontStyle21"/>
                <w:b w:val="0"/>
                <w:sz w:val="22"/>
                <w:szCs w:val="22"/>
              </w:rPr>
              <w:t>.</w:t>
            </w: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firstLine="14"/>
              <w:rPr>
                <w:rStyle w:val="FontStyle26"/>
              </w:rPr>
            </w:pPr>
            <w:r w:rsidRPr="00BC2B0E">
              <w:rPr>
                <w:rStyle w:val="FontStyle26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678" w:type="dxa"/>
          </w:tcPr>
          <w:p w:rsidR="002C30AF" w:rsidRPr="00BC2B0E" w:rsidRDefault="002C30AF" w:rsidP="00FC4F5F">
            <w:pPr>
              <w:pStyle w:val="Style17"/>
              <w:widowControl/>
              <w:spacing w:line="240" w:lineRule="auto"/>
              <w:ind w:firstLine="7"/>
              <w:rPr>
                <w:rStyle w:val="FontStyle26"/>
              </w:rPr>
            </w:pPr>
            <w:r w:rsidRPr="00BC2B0E">
              <w:rPr>
                <w:rStyle w:val="FontStyle26"/>
              </w:rPr>
              <w:t xml:space="preserve">Комитет по управлению муниципальным имуществом администрации </w:t>
            </w:r>
            <w:r w:rsidRPr="00AE06DF">
              <w:rPr>
                <w:rStyle w:val="FontStyle26"/>
              </w:rPr>
              <w:t>Невьянского городского округа</w:t>
            </w:r>
          </w:p>
        </w:tc>
      </w:tr>
      <w:tr w:rsidR="002C30AF" w:rsidRPr="00F82259" w:rsidTr="00AE06DF">
        <w:tc>
          <w:tcPr>
            <w:tcW w:w="534" w:type="dxa"/>
          </w:tcPr>
          <w:p w:rsidR="002C30AF" w:rsidRPr="00F82259" w:rsidRDefault="005A6E66" w:rsidP="001B4615">
            <w:pPr>
              <w:pStyle w:val="Style5"/>
              <w:widowControl/>
              <w:jc w:val="left"/>
              <w:rPr>
                <w:rStyle w:val="FontStyle21"/>
                <w:b w:val="0"/>
                <w:sz w:val="22"/>
                <w:szCs w:val="22"/>
              </w:rPr>
            </w:pPr>
            <w:r>
              <w:rPr>
                <w:rStyle w:val="FontStyle21"/>
                <w:b w:val="0"/>
                <w:sz w:val="22"/>
                <w:szCs w:val="22"/>
              </w:rPr>
              <w:lastRenderedPageBreak/>
              <w:t>65</w:t>
            </w:r>
            <w:r w:rsidR="002C30AF">
              <w:rPr>
                <w:rStyle w:val="FontStyle21"/>
                <w:b w:val="0"/>
                <w:sz w:val="22"/>
                <w:szCs w:val="22"/>
              </w:rPr>
              <w:t>.</w:t>
            </w:r>
          </w:p>
        </w:tc>
        <w:tc>
          <w:tcPr>
            <w:tcW w:w="10300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rPr>
                <w:rStyle w:val="FontStyle26"/>
              </w:rPr>
            </w:pPr>
            <w:r w:rsidRPr="00BC2B0E">
              <w:rPr>
                <w:rStyle w:val="FontStyle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="00BC3B86">
              <w:rPr>
                <w:rStyle w:val="FontStyle26"/>
              </w:rPr>
              <w:t xml:space="preserve"> </w:t>
            </w:r>
            <w:r w:rsidR="00BC3B86" w:rsidRPr="00BC3B86">
              <w:rPr>
                <w:rStyle w:val="FontStyle26"/>
              </w:rPr>
              <w:t>на территории Невьянского городского округа</w:t>
            </w:r>
          </w:p>
        </w:tc>
        <w:tc>
          <w:tcPr>
            <w:tcW w:w="4678" w:type="dxa"/>
          </w:tcPr>
          <w:p w:rsidR="002C30AF" w:rsidRPr="00BC2B0E" w:rsidRDefault="002C30AF" w:rsidP="00BC2B0E">
            <w:pPr>
              <w:pStyle w:val="Style17"/>
              <w:widowControl/>
              <w:spacing w:line="240" w:lineRule="auto"/>
              <w:ind w:hanging="7"/>
              <w:rPr>
                <w:rStyle w:val="FontStyle26"/>
              </w:rPr>
            </w:pPr>
            <w:r w:rsidRPr="00BC2B0E">
              <w:rPr>
                <w:rStyle w:val="FontStyle26"/>
              </w:rPr>
              <w:t>МБУ «Управление хозяйством Невьянского городского округа»</w:t>
            </w:r>
          </w:p>
        </w:tc>
      </w:tr>
    </w:tbl>
    <w:p w:rsidR="002D3AE8" w:rsidRDefault="002D3AE8" w:rsidP="00872A62">
      <w:pPr>
        <w:spacing w:after="0" w:line="240" w:lineRule="auto"/>
        <w:contextualSpacing/>
      </w:pPr>
    </w:p>
    <w:sectPr w:rsidR="002D3AE8" w:rsidSect="00BC2B0E">
      <w:pgSz w:w="16920" w:h="10844" w:orient="landscape"/>
      <w:pgMar w:top="1418" w:right="1134" w:bottom="567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4F0"/>
    <w:multiLevelType w:val="hybridMultilevel"/>
    <w:tmpl w:val="3D4CE3A0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31ED1A38"/>
    <w:multiLevelType w:val="hybridMultilevel"/>
    <w:tmpl w:val="24808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547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D3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38B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81D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1DD8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D9F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47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A46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41E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6FE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4514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1FCD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646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2E95"/>
    <w:rsid w:val="001B354E"/>
    <w:rsid w:val="001B4615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FD"/>
    <w:rsid w:val="001D5BBF"/>
    <w:rsid w:val="001D6272"/>
    <w:rsid w:val="001D642C"/>
    <w:rsid w:val="001D661B"/>
    <w:rsid w:val="001D66AD"/>
    <w:rsid w:val="001D6F59"/>
    <w:rsid w:val="001D7305"/>
    <w:rsid w:val="001D74F6"/>
    <w:rsid w:val="001D7BF0"/>
    <w:rsid w:val="001D7CEE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1D3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33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BA6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6DFE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372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4FB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4140"/>
    <w:rsid w:val="00254410"/>
    <w:rsid w:val="0025452B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AF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CD1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09E6"/>
    <w:rsid w:val="00311135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549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0E13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F89"/>
    <w:rsid w:val="00357908"/>
    <w:rsid w:val="00357D6D"/>
    <w:rsid w:val="00360303"/>
    <w:rsid w:val="003603FC"/>
    <w:rsid w:val="00360694"/>
    <w:rsid w:val="00360727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2C4F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95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423C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8DA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B87"/>
    <w:rsid w:val="003B5F53"/>
    <w:rsid w:val="003B60A8"/>
    <w:rsid w:val="003B69A6"/>
    <w:rsid w:val="003B707B"/>
    <w:rsid w:val="003B77DD"/>
    <w:rsid w:val="003B79CA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265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581"/>
    <w:rsid w:val="003D5BF5"/>
    <w:rsid w:val="003D5E50"/>
    <w:rsid w:val="003D607B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300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8B5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4DC7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2D56"/>
    <w:rsid w:val="00423098"/>
    <w:rsid w:val="0042344C"/>
    <w:rsid w:val="00423806"/>
    <w:rsid w:val="00423972"/>
    <w:rsid w:val="004243FF"/>
    <w:rsid w:val="00424553"/>
    <w:rsid w:val="00424604"/>
    <w:rsid w:val="00424A04"/>
    <w:rsid w:val="0042542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6D7A"/>
    <w:rsid w:val="004472BC"/>
    <w:rsid w:val="0044762A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C5"/>
    <w:rsid w:val="004542D1"/>
    <w:rsid w:val="004544A8"/>
    <w:rsid w:val="00454583"/>
    <w:rsid w:val="00454659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354"/>
    <w:rsid w:val="004C25FB"/>
    <w:rsid w:val="004C30E8"/>
    <w:rsid w:val="004C3E03"/>
    <w:rsid w:val="004C4BE2"/>
    <w:rsid w:val="004C53ED"/>
    <w:rsid w:val="004C5DC8"/>
    <w:rsid w:val="004C5F42"/>
    <w:rsid w:val="004C689E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5F94"/>
    <w:rsid w:val="004D608B"/>
    <w:rsid w:val="004D64AA"/>
    <w:rsid w:val="004D65BE"/>
    <w:rsid w:val="004D6688"/>
    <w:rsid w:val="004D6706"/>
    <w:rsid w:val="004D6C94"/>
    <w:rsid w:val="004D6E83"/>
    <w:rsid w:val="004D7201"/>
    <w:rsid w:val="004D7293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A4D"/>
    <w:rsid w:val="00500BAE"/>
    <w:rsid w:val="0050134A"/>
    <w:rsid w:val="00501DE9"/>
    <w:rsid w:val="00502398"/>
    <w:rsid w:val="00502972"/>
    <w:rsid w:val="00502D6C"/>
    <w:rsid w:val="00502DA5"/>
    <w:rsid w:val="00503E3B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2E1"/>
    <w:rsid w:val="00507373"/>
    <w:rsid w:val="005076D4"/>
    <w:rsid w:val="005100EF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853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5F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83A"/>
    <w:rsid w:val="00537A27"/>
    <w:rsid w:val="00537EDB"/>
    <w:rsid w:val="005401CF"/>
    <w:rsid w:val="005408B4"/>
    <w:rsid w:val="00540D84"/>
    <w:rsid w:val="00541A57"/>
    <w:rsid w:val="00541FB7"/>
    <w:rsid w:val="00542032"/>
    <w:rsid w:val="005424C9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361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6A6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721"/>
    <w:rsid w:val="00571D4D"/>
    <w:rsid w:val="00571D92"/>
    <w:rsid w:val="005721D8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8E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6E66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E06"/>
    <w:rsid w:val="005B5FA9"/>
    <w:rsid w:val="005B65C5"/>
    <w:rsid w:val="005B6723"/>
    <w:rsid w:val="005B6F53"/>
    <w:rsid w:val="005B7148"/>
    <w:rsid w:val="005B7423"/>
    <w:rsid w:val="005B7579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424B"/>
    <w:rsid w:val="0063505C"/>
    <w:rsid w:val="0063571D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5F77"/>
    <w:rsid w:val="00646088"/>
    <w:rsid w:val="006462D6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BD7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87D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9E7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3CE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2F4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6753"/>
    <w:rsid w:val="006E6814"/>
    <w:rsid w:val="006E6F2F"/>
    <w:rsid w:val="006E731E"/>
    <w:rsid w:val="006F1C3E"/>
    <w:rsid w:val="006F1D0C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5F72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9F0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423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3FB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9C8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1937"/>
    <w:rsid w:val="0082248F"/>
    <w:rsid w:val="008228B4"/>
    <w:rsid w:val="00822AB3"/>
    <w:rsid w:val="00823088"/>
    <w:rsid w:val="00823194"/>
    <w:rsid w:val="008232DE"/>
    <w:rsid w:val="00823445"/>
    <w:rsid w:val="008236FC"/>
    <w:rsid w:val="00823814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9F4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6C3D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849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A62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8F6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553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0F2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BCC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170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43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0F9"/>
    <w:rsid w:val="009B72F1"/>
    <w:rsid w:val="009B7319"/>
    <w:rsid w:val="009B79BF"/>
    <w:rsid w:val="009B7C81"/>
    <w:rsid w:val="009C0409"/>
    <w:rsid w:val="009C07F5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96F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6E1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C82"/>
    <w:rsid w:val="009F7D7D"/>
    <w:rsid w:val="009F7E5F"/>
    <w:rsid w:val="00A00840"/>
    <w:rsid w:val="00A00E0C"/>
    <w:rsid w:val="00A01762"/>
    <w:rsid w:val="00A017BB"/>
    <w:rsid w:val="00A01871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C96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2BB"/>
    <w:rsid w:val="00A14428"/>
    <w:rsid w:val="00A145BE"/>
    <w:rsid w:val="00A14660"/>
    <w:rsid w:val="00A14692"/>
    <w:rsid w:val="00A15238"/>
    <w:rsid w:val="00A1568D"/>
    <w:rsid w:val="00A15C30"/>
    <w:rsid w:val="00A16378"/>
    <w:rsid w:val="00A16422"/>
    <w:rsid w:val="00A16530"/>
    <w:rsid w:val="00A1657B"/>
    <w:rsid w:val="00A16EB5"/>
    <w:rsid w:val="00A171C7"/>
    <w:rsid w:val="00A1740D"/>
    <w:rsid w:val="00A17A72"/>
    <w:rsid w:val="00A2052D"/>
    <w:rsid w:val="00A20552"/>
    <w:rsid w:val="00A2055F"/>
    <w:rsid w:val="00A2091E"/>
    <w:rsid w:val="00A20994"/>
    <w:rsid w:val="00A20B38"/>
    <w:rsid w:val="00A20C9C"/>
    <w:rsid w:val="00A20FA9"/>
    <w:rsid w:val="00A21094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44C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7F1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13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020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4C56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F83"/>
    <w:rsid w:val="00AB22CC"/>
    <w:rsid w:val="00AB2403"/>
    <w:rsid w:val="00AB2806"/>
    <w:rsid w:val="00AB2C41"/>
    <w:rsid w:val="00AB473A"/>
    <w:rsid w:val="00AB4A46"/>
    <w:rsid w:val="00AB4F97"/>
    <w:rsid w:val="00AB5004"/>
    <w:rsid w:val="00AB51C2"/>
    <w:rsid w:val="00AB51C7"/>
    <w:rsid w:val="00AB5403"/>
    <w:rsid w:val="00AB55F0"/>
    <w:rsid w:val="00AB58F9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686"/>
    <w:rsid w:val="00AD6B8B"/>
    <w:rsid w:val="00AD6C5E"/>
    <w:rsid w:val="00AD6CE5"/>
    <w:rsid w:val="00AE00B5"/>
    <w:rsid w:val="00AE0225"/>
    <w:rsid w:val="00AE06DF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8F6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0EC1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209F"/>
    <w:rsid w:val="00B1229C"/>
    <w:rsid w:val="00B12777"/>
    <w:rsid w:val="00B12C11"/>
    <w:rsid w:val="00B134C9"/>
    <w:rsid w:val="00B13850"/>
    <w:rsid w:val="00B13F6D"/>
    <w:rsid w:val="00B14175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9AE"/>
    <w:rsid w:val="00B25AFE"/>
    <w:rsid w:val="00B25CEE"/>
    <w:rsid w:val="00B2645C"/>
    <w:rsid w:val="00B268FE"/>
    <w:rsid w:val="00B26A3B"/>
    <w:rsid w:val="00B272AF"/>
    <w:rsid w:val="00B2731E"/>
    <w:rsid w:val="00B27A1D"/>
    <w:rsid w:val="00B3018A"/>
    <w:rsid w:val="00B307D3"/>
    <w:rsid w:val="00B3083A"/>
    <w:rsid w:val="00B30925"/>
    <w:rsid w:val="00B30D76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B6E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0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B0E"/>
    <w:rsid w:val="00BC2E16"/>
    <w:rsid w:val="00BC35F1"/>
    <w:rsid w:val="00BC3969"/>
    <w:rsid w:val="00BC3B86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151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EC7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2FA9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3538"/>
    <w:rsid w:val="00C13DA0"/>
    <w:rsid w:val="00C14810"/>
    <w:rsid w:val="00C14A88"/>
    <w:rsid w:val="00C14E36"/>
    <w:rsid w:val="00C1500C"/>
    <w:rsid w:val="00C15561"/>
    <w:rsid w:val="00C15C57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2F8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5EA"/>
    <w:rsid w:val="00C7162A"/>
    <w:rsid w:val="00C71B56"/>
    <w:rsid w:val="00C721A0"/>
    <w:rsid w:val="00C72A17"/>
    <w:rsid w:val="00C732E1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B93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2F76"/>
    <w:rsid w:val="00C937DF"/>
    <w:rsid w:val="00C93854"/>
    <w:rsid w:val="00C93A5F"/>
    <w:rsid w:val="00C93D66"/>
    <w:rsid w:val="00C942A3"/>
    <w:rsid w:val="00C94661"/>
    <w:rsid w:val="00C94697"/>
    <w:rsid w:val="00C95454"/>
    <w:rsid w:val="00C95569"/>
    <w:rsid w:val="00C95D55"/>
    <w:rsid w:val="00C96364"/>
    <w:rsid w:val="00C96A38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A79F1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D21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1B7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681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DAE"/>
    <w:rsid w:val="00D43DEB"/>
    <w:rsid w:val="00D4451B"/>
    <w:rsid w:val="00D44C1C"/>
    <w:rsid w:val="00D44EA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3F3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139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B70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1CB"/>
    <w:rsid w:val="00DE567B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DA"/>
    <w:rsid w:val="00E034FF"/>
    <w:rsid w:val="00E03AEC"/>
    <w:rsid w:val="00E0408E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1AC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3BE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9A8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B3B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7C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465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3A6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5055"/>
    <w:rsid w:val="00F56B79"/>
    <w:rsid w:val="00F56E50"/>
    <w:rsid w:val="00F57825"/>
    <w:rsid w:val="00F57A58"/>
    <w:rsid w:val="00F57A92"/>
    <w:rsid w:val="00F57AA3"/>
    <w:rsid w:val="00F57E05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210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2DF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6B8C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4F5F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F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F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M. Putkova</dc:creator>
  <cp:keywords/>
  <dc:description/>
  <cp:lastModifiedBy>putkovaam</cp:lastModifiedBy>
  <cp:revision>51</cp:revision>
  <cp:lastPrinted>2017-04-26T02:21:00Z</cp:lastPrinted>
  <dcterms:created xsi:type="dcterms:W3CDTF">2015-02-10T06:49:00Z</dcterms:created>
  <dcterms:modified xsi:type="dcterms:W3CDTF">2017-04-27T02:07:00Z</dcterms:modified>
</cp:coreProperties>
</file>