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1" w:rsidRPr="00C86C88" w:rsidRDefault="00AC6031" w:rsidP="00012AC4">
      <w:pPr>
        <w:rPr>
          <w:lang w:val="en-US"/>
        </w:rPr>
      </w:pPr>
    </w:p>
    <w:p w:rsidR="00AC6031" w:rsidRDefault="008165A9" w:rsidP="00012A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8" o:title=""/>
          </v:shape>
          <o:OLEObject Type="Embed" ProgID="Word.Picture.8" ShapeID="_x0000_s1027" DrawAspect="Content" ObjectID="_1661754194" r:id="rId9"/>
        </w:object>
      </w:r>
    </w:p>
    <w:p w:rsidR="00012AC4" w:rsidRPr="00D42F5A" w:rsidRDefault="00012AC4" w:rsidP="00012AC4"/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976C27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B14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12AC4" w:rsidRPr="00A8422C" w:rsidRDefault="00B7483C" w:rsidP="00012AC4">
      <w:r w:rsidRPr="00A8422C">
        <w:t>О</w:t>
      </w:r>
      <w:r w:rsidR="00012AC4" w:rsidRPr="00A8422C">
        <w:t>т</w:t>
      </w:r>
      <w:r>
        <w:t xml:space="preserve">  </w:t>
      </w:r>
      <w:r w:rsidR="004E2E78">
        <w:t>26.05.2020</w:t>
      </w:r>
      <w:r>
        <w:t xml:space="preserve">                                                                                                                         </w:t>
      </w:r>
      <w:r w:rsidR="00012AC4" w:rsidRPr="00A8422C">
        <w:t xml:space="preserve">№ </w:t>
      </w:r>
      <w:r w:rsidR="004E2E78">
        <w:t>696</w:t>
      </w:r>
      <w:r w:rsidR="003339BC" w:rsidRPr="00A8422C">
        <w:t>- 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52100" w:rsidRPr="00AC6031" w:rsidRDefault="004A2FC6" w:rsidP="00352100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</w:p>
    <w:p w:rsidR="004A2FC6" w:rsidRPr="00AC6031" w:rsidRDefault="00352100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4A2FC6" w:rsidRPr="00AC6031" w:rsidRDefault="004A2FC6" w:rsidP="004A2FC6">
      <w:pPr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В соответствии с</w:t>
      </w:r>
      <w:r w:rsidR="003804D3">
        <w:rPr>
          <w:sz w:val="28"/>
          <w:szCs w:val="28"/>
        </w:rPr>
        <w:t>о</w:t>
      </w:r>
      <w:r w:rsidRPr="00AC6031">
        <w:rPr>
          <w:sz w:val="28"/>
          <w:szCs w:val="28"/>
        </w:rPr>
        <w:t xml:space="preserve"> стать</w:t>
      </w:r>
      <w:r w:rsidR="003804D3">
        <w:rPr>
          <w:sz w:val="28"/>
          <w:szCs w:val="28"/>
        </w:rPr>
        <w:t>ей</w:t>
      </w:r>
      <w:r w:rsidRPr="00AC6031">
        <w:rPr>
          <w:sz w:val="28"/>
          <w:szCs w:val="28"/>
        </w:rPr>
        <w:t xml:space="preserve"> 174.3 Бюджетного кодекса Российской Федерации, постановлением</w:t>
      </w:r>
      <w:r w:rsidR="000918D7">
        <w:rPr>
          <w:sz w:val="28"/>
          <w:szCs w:val="28"/>
        </w:rPr>
        <w:t xml:space="preserve"> </w:t>
      </w:r>
      <w:r w:rsidRPr="00AC6031">
        <w:rPr>
          <w:sz w:val="28"/>
          <w:szCs w:val="28"/>
        </w:rPr>
        <w:t xml:space="preserve">Правительства Российской Федерации от 22.06.2019 №796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A04F0D">
        <w:rPr>
          <w:b/>
          <w:sz w:val="28"/>
          <w:szCs w:val="28"/>
        </w:rPr>
        <w:t>Я</w:t>
      </w:r>
      <w:bookmarkStart w:id="0" w:name="_GoBack"/>
      <w:bookmarkEnd w:id="0"/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AC6031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 xml:space="preserve">1. Утвердить </w:t>
      </w:r>
      <w:r w:rsidR="00450B95" w:rsidRPr="00AC6031">
        <w:rPr>
          <w:bCs/>
          <w:color w:val="212121"/>
          <w:sz w:val="28"/>
          <w:szCs w:val="28"/>
        </w:rPr>
        <w:t xml:space="preserve">Порядок формирования перечня налоговых расходов Невьянского городского округа  и оценки налоговых расходов </w:t>
      </w:r>
      <w:r w:rsidR="00450B95" w:rsidRPr="00AC6031">
        <w:rPr>
          <w:bCs/>
          <w:iCs/>
          <w:sz w:val="28"/>
          <w:szCs w:val="28"/>
        </w:rPr>
        <w:t xml:space="preserve">Невьянского городского округа </w:t>
      </w:r>
      <w:r w:rsidRPr="00AC6031">
        <w:rPr>
          <w:sz w:val="28"/>
          <w:szCs w:val="28"/>
        </w:rPr>
        <w:t xml:space="preserve"> (прилагается).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 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городского округа                                                                         А.А. Берчук</w:t>
      </w:r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6472CA" w:rsidRDefault="006472C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7D126A" w:rsidRDefault="007D126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0E0B4E" w:rsidRDefault="000E0B4E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EA68B0" w:rsidRPr="00AC6031" w:rsidRDefault="00B7483C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793CEE" w:rsidRPr="00AC6031">
        <w:rPr>
          <w:sz w:val="28"/>
          <w:szCs w:val="28"/>
        </w:rPr>
        <w:t>У</w:t>
      </w:r>
      <w:r w:rsidR="00EA68B0" w:rsidRPr="00AC6031">
        <w:rPr>
          <w:sz w:val="28"/>
          <w:szCs w:val="28"/>
        </w:rPr>
        <w:t>ТВЕРЖДЕН</w:t>
      </w:r>
    </w:p>
    <w:p w:rsidR="00EA68B0" w:rsidRPr="00AC603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 xml:space="preserve">постановлением администрации Невьянского городского округа </w:t>
      </w:r>
    </w:p>
    <w:p w:rsidR="00793CEE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>от</w:t>
      </w:r>
      <w:r w:rsidR="00B7483C">
        <w:rPr>
          <w:sz w:val="28"/>
          <w:szCs w:val="28"/>
        </w:rPr>
        <w:t xml:space="preserve"> </w:t>
      </w:r>
      <w:r w:rsidR="005825AA">
        <w:rPr>
          <w:sz w:val="28"/>
          <w:szCs w:val="28"/>
        </w:rPr>
        <w:t xml:space="preserve">26.05.2020 </w:t>
      </w:r>
      <w:r w:rsidRPr="00AC6031">
        <w:rPr>
          <w:sz w:val="28"/>
          <w:szCs w:val="28"/>
        </w:rPr>
        <w:t xml:space="preserve">№ </w:t>
      </w:r>
      <w:r w:rsidR="005825AA">
        <w:rPr>
          <w:sz w:val="28"/>
          <w:szCs w:val="28"/>
        </w:rPr>
        <w:t>696</w:t>
      </w:r>
      <w:r w:rsidR="000E0B4E">
        <w:rPr>
          <w:sz w:val="28"/>
          <w:szCs w:val="28"/>
        </w:rPr>
        <w:t>-п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450B95" w:rsidRPr="00EF74A2" w:rsidRDefault="00450B95" w:rsidP="00450B95">
      <w:pPr>
        <w:shd w:val="clear" w:color="auto" w:fill="FFFFFF"/>
        <w:jc w:val="center"/>
        <w:rPr>
          <w:color w:val="212121"/>
          <w:sz w:val="28"/>
          <w:szCs w:val="28"/>
        </w:rPr>
      </w:pPr>
      <w:r w:rsidRPr="00EF74A2">
        <w:rPr>
          <w:b/>
          <w:bCs/>
          <w:color w:val="212121"/>
          <w:sz w:val="28"/>
          <w:szCs w:val="28"/>
        </w:rPr>
        <w:t>Порядок формирования перечня</w:t>
      </w:r>
    </w:p>
    <w:p w:rsidR="00450B95" w:rsidRPr="00EF74A2" w:rsidRDefault="00450B95" w:rsidP="00450B9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EF74A2">
        <w:rPr>
          <w:b/>
          <w:bCs/>
          <w:color w:val="212121"/>
          <w:sz w:val="28"/>
          <w:szCs w:val="28"/>
        </w:rPr>
        <w:t xml:space="preserve">налоговых расходов Невьянского городского округа  и  оценки налоговых расходов </w:t>
      </w:r>
      <w:r w:rsidRPr="00EF74A2">
        <w:rPr>
          <w:b/>
          <w:bCs/>
          <w:iCs/>
          <w:sz w:val="28"/>
          <w:szCs w:val="28"/>
        </w:rPr>
        <w:t>Невьянского городского округа</w:t>
      </w:r>
    </w:p>
    <w:p w:rsidR="00450B95" w:rsidRPr="00AC6031" w:rsidRDefault="00450B95" w:rsidP="00450B9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BB618B" w:rsidRPr="00AC6031" w:rsidRDefault="00BB618B" w:rsidP="00BB61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C6031">
        <w:rPr>
          <w:b/>
          <w:color w:val="000000" w:themeColor="text1"/>
          <w:sz w:val="28"/>
          <w:szCs w:val="28"/>
        </w:rPr>
        <w:t>Общие положения</w:t>
      </w:r>
    </w:p>
    <w:p w:rsidR="00BB618B" w:rsidRPr="00AC6031" w:rsidRDefault="00BB618B" w:rsidP="00BB61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592A" w:rsidRPr="00AC6031" w:rsidRDefault="00465817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 xml:space="preserve">Порядок формированияперечня налоговых расходов </w:t>
      </w:r>
      <w:r w:rsidR="00B3592A" w:rsidRPr="00AC6031">
        <w:rPr>
          <w:bCs/>
          <w:color w:val="212121"/>
        </w:rPr>
        <w:t xml:space="preserve">Невьянского городского округа  </w:t>
      </w:r>
      <w:r w:rsidRPr="00AC6031">
        <w:t xml:space="preserve"> и оценки налоговых расходов </w:t>
      </w:r>
      <w:r w:rsidR="00B3592A" w:rsidRPr="00AC6031">
        <w:rPr>
          <w:bCs/>
          <w:iCs/>
        </w:rPr>
        <w:t>Невьянского городского округа</w:t>
      </w:r>
      <w:r w:rsidRPr="00AC6031">
        <w:t xml:space="preserve"> (далее – Порядок) разработан 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</w:t>
      </w:r>
      <w:r w:rsidRPr="00AC6031">
        <w:rPr>
          <w:b/>
          <w:bCs/>
        </w:rPr>
        <w:t> </w:t>
      </w:r>
      <w:r w:rsidRPr="00AC6031">
        <w:t xml:space="preserve">  определяет </w:t>
      </w:r>
      <w:r w:rsidR="00BB618B" w:rsidRPr="00AC6031">
        <w:t xml:space="preserve">процедуру формирования перечня налоговых расходов Невьянского городского округа и оценки налоговых расходов </w:t>
      </w:r>
      <w:r w:rsidR="00B3592A" w:rsidRPr="00AC6031">
        <w:t xml:space="preserve">Невьянского городского округа. </w:t>
      </w:r>
    </w:p>
    <w:p w:rsidR="00BB618B" w:rsidRPr="00A66D63" w:rsidRDefault="00BB618B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>В целях настоящего Порядка применяются следующие понятия и термины:</w:t>
      </w:r>
    </w:p>
    <w:p w:rsidR="009256FA" w:rsidRPr="00893AD1" w:rsidRDefault="00DF71A6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</w:t>
      </w:r>
      <w:r w:rsidR="00FA7E08" w:rsidRPr="00893AD1">
        <w:rPr>
          <w:sz w:val="28"/>
          <w:szCs w:val="28"/>
        </w:rPr>
        <w:t>налоговые расходы</w:t>
      </w:r>
      <w:r w:rsidRPr="00893AD1">
        <w:rPr>
          <w:sz w:val="28"/>
          <w:szCs w:val="28"/>
        </w:rPr>
        <w:t>»</w:t>
      </w:r>
      <w:r w:rsidR="00FA7E08" w:rsidRPr="00893AD1">
        <w:rPr>
          <w:sz w:val="28"/>
          <w:szCs w:val="28"/>
        </w:rPr>
        <w:t xml:space="preserve"> – </w:t>
      </w:r>
      <w:r w:rsidR="00A66D63" w:rsidRPr="00893AD1">
        <w:rPr>
          <w:sz w:val="28"/>
          <w:szCs w:val="28"/>
        </w:rPr>
        <w:t>выпадающие доходы бюджета Невьянского городского округа</w:t>
      </w:r>
      <w:r w:rsidR="00893AD1" w:rsidRPr="00893AD1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 </w:t>
      </w:r>
      <w:r w:rsidR="00961E31" w:rsidRPr="00893AD1">
        <w:rPr>
          <w:sz w:val="28"/>
          <w:szCs w:val="28"/>
        </w:rPr>
        <w:t xml:space="preserve"> установленные нормативно – правовыми актами Невьянского городского округа в качестве мер </w:t>
      </w:r>
      <w:r w:rsidR="00677082" w:rsidRPr="00893AD1">
        <w:rPr>
          <w:sz w:val="28"/>
          <w:szCs w:val="28"/>
        </w:rPr>
        <w:t>муниципальной</w:t>
      </w:r>
      <w:r w:rsidR="00961E31" w:rsidRPr="00893AD1">
        <w:rPr>
          <w:sz w:val="28"/>
          <w:szCs w:val="28"/>
        </w:rPr>
        <w:t xml:space="preserve"> поддержки</w:t>
      </w:r>
      <w:r w:rsidR="00677082" w:rsidRPr="00893AD1">
        <w:rPr>
          <w:sz w:val="28"/>
          <w:szCs w:val="28"/>
        </w:rPr>
        <w:t>в соответствии с целями муниципальных программ</w:t>
      </w:r>
      <w:r w:rsidR="009517E1">
        <w:rPr>
          <w:sz w:val="28"/>
          <w:szCs w:val="28"/>
        </w:rPr>
        <w:t xml:space="preserve"> 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677082" w:rsidRPr="00893AD1">
        <w:rPr>
          <w:sz w:val="28"/>
          <w:szCs w:val="28"/>
        </w:rPr>
        <w:t xml:space="preserve">  и (или) целями с</w:t>
      </w:r>
      <w:r w:rsidR="00893AD1" w:rsidRPr="00893AD1">
        <w:rPr>
          <w:sz w:val="28"/>
          <w:szCs w:val="28"/>
        </w:rPr>
        <w:t>оциально-экономическо</w:t>
      </w:r>
      <w:r w:rsidR="009517E1">
        <w:rPr>
          <w:sz w:val="28"/>
          <w:szCs w:val="28"/>
        </w:rPr>
        <w:t>го развития Невьянского городского округа</w:t>
      </w:r>
      <w:r w:rsidR="00677082" w:rsidRPr="00893AD1">
        <w:rPr>
          <w:sz w:val="28"/>
          <w:szCs w:val="28"/>
        </w:rPr>
        <w:t>, не относящи</w:t>
      </w:r>
      <w:r w:rsidR="009517E1">
        <w:rPr>
          <w:sz w:val="28"/>
          <w:szCs w:val="28"/>
        </w:rPr>
        <w:t>мися к муниципальным программам Невьянского городского округа</w:t>
      </w:r>
      <w:r w:rsidR="00677082" w:rsidRPr="00893AD1">
        <w:rPr>
          <w:sz w:val="28"/>
          <w:szCs w:val="28"/>
        </w:rPr>
        <w:t>;</w:t>
      </w:r>
    </w:p>
    <w:p w:rsidR="00BC1778" w:rsidRPr="00893AD1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 xml:space="preserve">«куратор налогового расхода» – </w:t>
      </w:r>
      <w:r w:rsidR="00BC1778" w:rsidRPr="00893AD1">
        <w:rPr>
          <w:sz w:val="28"/>
          <w:szCs w:val="28"/>
        </w:rPr>
        <w:t>ответственный исполнитель муниципальной программы</w:t>
      </w:r>
      <w:r w:rsidR="009517E1">
        <w:rPr>
          <w:sz w:val="28"/>
          <w:szCs w:val="28"/>
        </w:rPr>
        <w:t xml:space="preserve"> Невьянского городского округа</w:t>
      </w:r>
      <w:r w:rsidR="00BC1778" w:rsidRPr="00893AD1">
        <w:rPr>
          <w:sz w:val="28"/>
          <w:szCs w:val="28"/>
        </w:rPr>
        <w:t xml:space="preserve">, </w:t>
      </w:r>
      <w:r w:rsidRPr="00893AD1">
        <w:rPr>
          <w:sz w:val="28"/>
          <w:szCs w:val="28"/>
        </w:rPr>
        <w:t xml:space="preserve">орган местного самоуправления,ответственный в соответствии с полномочиями, установленными </w:t>
      </w:r>
      <w:r w:rsidR="00A00E5C" w:rsidRPr="00893AD1">
        <w:rPr>
          <w:sz w:val="28"/>
          <w:szCs w:val="28"/>
        </w:rPr>
        <w:t>нормативными</w:t>
      </w:r>
      <w:r w:rsidRPr="00893AD1">
        <w:rPr>
          <w:sz w:val="28"/>
          <w:szCs w:val="28"/>
        </w:rPr>
        <w:t xml:space="preserve"> правовыми актами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9517E1">
        <w:rPr>
          <w:sz w:val="28"/>
          <w:szCs w:val="28"/>
        </w:rPr>
        <w:t xml:space="preserve">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</w:t>
      </w:r>
      <w:r w:rsidR="00476613">
        <w:rPr>
          <w:sz w:val="28"/>
          <w:szCs w:val="28"/>
        </w:rPr>
        <w:t>ой</w:t>
      </w:r>
      <w:r w:rsidR="009517E1" w:rsidRPr="00441596">
        <w:rPr>
          <w:sz w:val="28"/>
          <w:szCs w:val="28"/>
        </w:rPr>
        <w:t xml:space="preserve"> программ</w:t>
      </w:r>
      <w:r w:rsidR="00476613">
        <w:rPr>
          <w:sz w:val="28"/>
          <w:szCs w:val="28"/>
        </w:rPr>
        <w:t>ы</w:t>
      </w:r>
      <w:r w:rsidR="009517E1" w:rsidRPr="00441596">
        <w:rPr>
          <w:sz w:val="28"/>
          <w:szCs w:val="28"/>
        </w:rPr>
        <w:t xml:space="preserve"> Невьянского городского округа</w:t>
      </w:r>
      <w:r w:rsidRPr="00893AD1">
        <w:rPr>
          <w:sz w:val="28"/>
          <w:szCs w:val="28"/>
        </w:rPr>
        <w:t>и (или) целей социально-экономическо</w:t>
      </w:r>
      <w:r w:rsidR="00850FB7" w:rsidRPr="00893AD1">
        <w:rPr>
          <w:sz w:val="28"/>
          <w:szCs w:val="28"/>
        </w:rPr>
        <w:t xml:space="preserve">горазвития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не относящихся к муниципальным программам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>;</w:t>
      </w:r>
    </w:p>
    <w:p w:rsidR="00B3592A" w:rsidRPr="00F90F64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«нормативные характеристики налоговых расходов» – сведения о положениях нормативных правовых актов, которыми предусматриваются налоговые льготы, освобождения и иные преференции по налогам, наименования</w:t>
      </w:r>
      <w:r w:rsidR="00883034" w:rsidRPr="00893AD1">
        <w:rPr>
          <w:sz w:val="28"/>
          <w:szCs w:val="28"/>
        </w:rPr>
        <w:t>х</w:t>
      </w:r>
      <w:r w:rsidRPr="00893AD1">
        <w:rPr>
          <w:sz w:val="28"/>
          <w:szCs w:val="28"/>
        </w:rPr>
        <w:t xml:space="preserve"> налогов,  по которым установлены льготы, категориях плательщиков, для которых </w:t>
      </w:r>
      <w:r w:rsidRPr="00893AD1">
        <w:rPr>
          <w:sz w:val="28"/>
          <w:szCs w:val="28"/>
        </w:rPr>
        <w:lastRenderedPageBreak/>
        <w:t>предусмотрены льготы, а также иные характеристики</w:t>
      </w:r>
      <w:r w:rsidR="00883034" w:rsidRPr="00893AD1">
        <w:rPr>
          <w:sz w:val="28"/>
          <w:szCs w:val="28"/>
        </w:rPr>
        <w:t>, предусмотренные правовыми актами;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«оценка налоговых расходов</w:t>
      </w:r>
      <w:r w:rsidR="00B3592A" w:rsidRPr="00893AD1">
        <w:t xml:space="preserve">» – комплекс мероприятий по оценке объемов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, обусловленных налоговыми льготами, предоставленными плательщикам, а также по оценке </w:t>
      </w:r>
      <w:r w:rsidR="00A74C3F" w:rsidRPr="00893AD1">
        <w:t xml:space="preserve">эффективности </w:t>
      </w:r>
      <w:r w:rsidR="00B3592A" w:rsidRPr="00893AD1">
        <w:t xml:space="preserve">налоговых расходов </w:t>
      </w:r>
      <w:r w:rsidR="00A00E5C" w:rsidRPr="00893AD1">
        <w:t>Невьянского городского округа</w:t>
      </w:r>
      <w:r w:rsidR="00B3592A" w:rsidRPr="00893AD1">
        <w:t>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>«оц</w:t>
      </w:r>
      <w:r w:rsidR="0041093C">
        <w:t>енка объемов налоговых расходов</w:t>
      </w:r>
      <w:r w:rsidRPr="00893AD1">
        <w:t xml:space="preserve">» – определение объемов выпадающих доходов бюджета </w:t>
      </w:r>
      <w:r w:rsidR="00A00E5C" w:rsidRPr="00893AD1">
        <w:t>Невьянского городского округа</w:t>
      </w:r>
      <w:r w:rsidRPr="00893AD1">
        <w:t>, обусловленных льготами, предоставленными плательщикам;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 xml:space="preserve">«оценка эффективности налоговых расходов»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00E5C" w:rsidRPr="00893AD1">
        <w:t>Невьянского городского округа</w:t>
      </w:r>
      <w:r w:rsidRPr="00893AD1">
        <w:t>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«паспорт налогового расхода</w:t>
      </w:r>
      <w:r w:rsidR="00B3592A" w:rsidRPr="00893AD1">
        <w:t xml:space="preserve">» – документ, содержащий сведения о нормативных, фискальных и целевых характеристиках налогового расхода </w:t>
      </w:r>
      <w:r w:rsidR="00A00E5C" w:rsidRPr="00893AD1">
        <w:t>Невьянского городского округа</w:t>
      </w:r>
      <w:r w:rsidR="00B3592A" w:rsidRPr="00893AD1">
        <w:t>, составляемый куратором налогового расхода;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«перечень налоговых расходов</w:t>
      </w:r>
      <w:r w:rsidR="00B3592A" w:rsidRPr="00893AD1">
        <w:t xml:space="preserve">» – документ, содержащий сведения о распределении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 в соответствии с целями муниципальных программ </w:t>
      </w:r>
      <w:r w:rsidR="00A00E5C" w:rsidRPr="00893AD1">
        <w:t>Невьянского городского округа</w:t>
      </w:r>
      <w:r w:rsidR="00476613">
        <w:t xml:space="preserve">, </w:t>
      </w:r>
      <w:r w:rsidR="00476613" w:rsidRPr="00441596">
        <w:t>структурных элементов муниципальных программ Невьянского городского округа</w:t>
      </w:r>
      <w:r w:rsidR="00B3592A" w:rsidRPr="00893AD1">
        <w:t xml:space="preserve"> и (или) целями социально-экономическ</w:t>
      </w:r>
      <w:r w:rsidR="009517E1">
        <w:t>огоразвития</w:t>
      </w:r>
      <w:r w:rsidR="00A00E5C" w:rsidRPr="00893AD1">
        <w:t>Невьянского городского округа</w:t>
      </w:r>
      <w:r w:rsidR="00B3592A" w:rsidRPr="00893AD1">
        <w:t xml:space="preserve">, </w:t>
      </w:r>
      <w:r w:rsidR="003A6559" w:rsidRPr="00893AD1">
        <w:t>не относящимся к муниципальным программам</w:t>
      </w:r>
      <w:r w:rsidR="00476613">
        <w:t>Н</w:t>
      </w:r>
      <w:r w:rsidR="009517E1">
        <w:t>евьянского городского округа</w:t>
      </w:r>
      <w:r w:rsidR="003A6559" w:rsidRPr="00893AD1">
        <w:t xml:space="preserve">, </w:t>
      </w:r>
      <w:r w:rsidR="00B3592A" w:rsidRPr="00893AD1">
        <w:t>а также о кураторах налоговых расходов;</w:t>
      </w:r>
    </w:p>
    <w:p w:rsidR="00B3592A" w:rsidRPr="0041093C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41093C">
        <w:t>«плательщики» – плательщики налогов;</w:t>
      </w:r>
    </w:p>
    <w:p w:rsidR="00B3592A" w:rsidRPr="00CA4504" w:rsidRDefault="0041093C" w:rsidP="00770783">
      <w:pPr>
        <w:pStyle w:val="affc"/>
        <w:spacing w:line="240" w:lineRule="auto"/>
        <w:ind w:firstLine="709"/>
        <w:rPr>
          <w:sz w:val="21"/>
          <w:szCs w:val="21"/>
        </w:rPr>
      </w:pPr>
      <w:r w:rsidRPr="0041093C">
        <w:t>«социальные налоговые расходы</w:t>
      </w:r>
      <w:r w:rsidR="00B3592A" w:rsidRPr="0041093C">
        <w:t xml:space="preserve">» – </w:t>
      </w:r>
      <w:r w:rsidRPr="0041093C">
        <w:t>целевая категория налоговых расходов Невьянского городского округа,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</w:t>
      </w:r>
      <w:r w:rsidR="003109EA" w:rsidRPr="0041093C">
        <w:t xml:space="preserve">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бюджетНевьянского </w:t>
      </w:r>
      <w:r w:rsidR="003109EA" w:rsidRPr="00CA4504">
        <w:t>городского округа</w:t>
      </w:r>
      <w:r w:rsidR="00B3592A" w:rsidRPr="00CA4504">
        <w:t>;</w:t>
      </w:r>
    </w:p>
    <w:p w:rsidR="00B3592A" w:rsidRPr="00DD3C2B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CA4504">
        <w:t xml:space="preserve">«стимулирующие налоговые расходы» – целевая категория налоговых расходов </w:t>
      </w:r>
      <w:r w:rsidR="00A00E5C" w:rsidRPr="00CA4504">
        <w:t>Невьянского городского округа</w:t>
      </w:r>
      <w:r w:rsidRPr="00CA4504">
        <w:t xml:space="preserve">, предполагающих стимулирование экономической активности субъектов предпринимательской деятельности и </w:t>
      </w:r>
      <w:r w:rsidRPr="00DD3C2B">
        <w:t xml:space="preserve">последующее увеличение доходов бюджета </w:t>
      </w:r>
      <w:r w:rsidR="00A00E5C" w:rsidRPr="00DD3C2B">
        <w:t>Невьянского городского округа</w:t>
      </w:r>
      <w:r w:rsidRPr="00DD3C2B">
        <w:t>;</w:t>
      </w:r>
    </w:p>
    <w:p w:rsidR="00B3592A" w:rsidRPr="00DD3C2B" w:rsidRDefault="00DD3C2B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DD3C2B">
        <w:t>«технические налоговые расходы</w:t>
      </w:r>
      <w:r w:rsidR="00B3592A" w:rsidRPr="00DD3C2B">
        <w:t xml:space="preserve">» – целевая категория налоговых расходов </w:t>
      </w:r>
      <w:r w:rsidR="00A00E5C" w:rsidRPr="00DD3C2B">
        <w:t>Невьянского городского округа</w:t>
      </w:r>
      <w:r w:rsidR="00B3592A" w:rsidRPr="00DD3C2B">
        <w:t xml:space="preserve">, предполагающих уменьшение расходов плательщиков, </w:t>
      </w:r>
      <w:r w:rsidRPr="00DD3C2B">
        <w:t xml:space="preserve">воспользовавшихся </w:t>
      </w:r>
      <w:r w:rsidR="00B3592A" w:rsidRPr="00DD3C2B">
        <w:t>льгот</w:t>
      </w:r>
      <w:r w:rsidRPr="00DD3C2B">
        <w:t>ами</w:t>
      </w:r>
      <w:r w:rsidR="00B3592A" w:rsidRPr="00DD3C2B">
        <w:t xml:space="preserve">, финансовое обеспечение которых осуществляется в полном объеме или частично за счет бюджета </w:t>
      </w:r>
      <w:r w:rsidR="00A00E5C" w:rsidRPr="00DD3C2B">
        <w:t>Невьянского городского округа</w:t>
      </w:r>
      <w:r w:rsidR="00B3592A" w:rsidRPr="00DD3C2B">
        <w:t>;</w:t>
      </w:r>
    </w:p>
    <w:p w:rsidR="00B81C94" w:rsidRPr="00B81C94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B81C94">
        <w:t xml:space="preserve">«фискальные характеристики налоговых расходов» – сведения об объеме льгот, предоставленных плательщикам, о численности получателей льгот, об объеме налогов, </w:t>
      </w:r>
      <w:r w:rsidR="00B81C94" w:rsidRPr="00B81C94">
        <w:t>задекларированных ими для уплаты в бюджет;</w:t>
      </w:r>
    </w:p>
    <w:p w:rsidR="00B3592A" w:rsidRPr="00E423C6" w:rsidRDefault="00B3592A" w:rsidP="00770783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1"/>
          <w:szCs w:val="21"/>
        </w:rPr>
      </w:pPr>
      <w:r w:rsidRPr="00B81C94">
        <w:lastRenderedPageBreak/>
        <w:t xml:space="preserve">«целевые характеристики налоговых расходов» – сведения о целевой категории налоговых расходов </w:t>
      </w:r>
      <w:r w:rsidR="00A00E5C" w:rsidRPr="00B81C94">
        <w:t>Невьянского городского округа</w:t>
      </w:r>
      <w:r w:rsidRPr="00B81C94">
        <w:t xml:space="preserve">, целях предоставления плательщикам </w:t>
      </w:r>
      <w:r w:rsidRPr="00476613">
        <w:t>налоговых льгот.</w:t>
      </w:r>
      <w:r w:rsidRPr="00E423C6">
        <w:t> </w:t>
      </w:r>
    </w:p>
    <w:p w:rsidR="00BB618B" w:rsidRPr="000E0B4E" w:rsidRDefault="0099163A" w:rsidP="00770783">
      <w:pPr>
        <w:pStyle w:val="affc"/>
        <w:spacing w:line="240" w:lineRule="auto"/>
        <w:ind w:firstLine="709"/>
      </w:pPr>
      <w:r w:rsidRPr="00627D6A">
        <w:t>«</w:t>
      </w:r>
      <w:r w:rsidR="00BB618B" w:rsidRPr="00627D6A">
        <w:t>нераспределенные налоговые расходы</w:t>
      </w:r>
      <w:r w:rsidR="008308CE" w:rsidRPr="00627D6A">
        <w:t xml:space="preserve">» </w:t>
      </w:r>
      <w:r w:rsidR="00BB618B" w:rsidRPr="00627D6A">
        <w:t xml:space="preserve">– налоговые расходы, </w:t>
      </w:r>
      <w:r w:rsidR="00BB618B" w:rsidRPr="00627D6A">
        <w:rPr>
          <w:noProof/>
          <w:lang w:eastAsia="ru-RU"/>
        </w:rPr>
        <w:t xml:space="preserve">соответствующие целям </w:t>
      </w:r>
      <w:r w:rsidR="00BB618B" w:rsidRPr="00627D6A">
        <w:t>социально-экономическо</w:t>
      </w:r>
      <w:r w:rsidR="00476613">
        <w:t xml:space="preserve">горазвития </w:t>
      </w:r>
      <w:r w:rsidR="008308CE" w:rsidRPr="00627D6A">
        <w:t>Невьянского городского округа</w:t>
      </w:r>
      <w:r w:rsidR="00473EDB">
        <w:t>, реализуемым в рамках</w:t>
      </w:r>
      <w:r w:rsidR="00BB618B" w:rsidRPr="00627D6A">
        <w:rPr>
          <w:noProof/>
          <w:lang w:eastAsia="ru-RU"/>
        </w:rPr>
        <w:t xml:space="preserve">нескольких </w:t>
      </w:r>
      <w:r w:rsidR="00733467" w:rsidRPr="00627D6A">
        <w:rPr>
          <w:noProof/>
          <w:lang w:eastAsia="ru-RU"/>
        </w:rPr>
        <w:t xml:space="preserve">муниципальных </w:t>
      </w:r>
      <w:r w:rsidR="00BB618B" w:rsidRPr="00627D6A">
        <w:rPr>
          <w:noProof/>
          <w:lang w:eastAsia="ru-RU"/>
        </w:rPr>
        <w:t xml:space="preserve"> программ</w:t>
      </w:r>
      <w:r w:rsidR="00476613">
        <w:rPr>
          <w:noProof/>
          <w:lang w:eastAsia="ru-RU"/>
        </w:rPr>
        <w:t xml:space="preserve"> Невьянского городского округа</w:t>
      </w:r>
      <w:r w:rsidR="00BB618B" w:rsidRPr="00627D6A">
        <w:rPr>
          <w:noProof/>
          <w:lang w:eastAsia="ru-RU"/>
        </w:rPr>
        <w:t xml:space="preserve"> и непрограммных направлений деятельности</w:t>
      </w:r>
      <w:r w:rsidR="00733467" w:rsidRPr="000E0B4E">
        <w:rPr>
          <w:noProof/>
          <w:lang w:eastAsia="ru-RU"/>
        </w:rPr>
        <w:t>Невьянского городского округа</w:t>
      </w:r>
      <w:r w:rsidR="00627D6A" w:rsidRPr="000E0B4E">
        <w:rPr>
          <w:noProof/>
          <w:lang w:eastAsia="ru-RU"/>
        </w:rPr>
        <w:t>;</w:t>
      </w:r>
    </w:p>
    <w:p w:rsidR="00441596" w:rsidRPr="000E0B4E" w:rsidRDefault="001D56A6" w:rsidP="00BF4331">
      <w:pPr>
        <w:pStyle w:val="ad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Отнесение налоговых расходов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муниципальным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программам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осуществляется</w:t>
      </w:r>
      <w:r w:rsidRPr="000E0B4E">
        <w:rPr>
          <w:rFonts w:ascii="Times New Roman" w:hAnsi="Times New Roman"/>
          <w:spacing w:val="-4"/>
          <w:sz w:val="28"/>
          <w:szCs w:val="28"/>
        </w:rPr>
        <w:t xml:space="preserve"> исходя из целей </w:t>
      </w:r>
      <w:r w:rsidR="00441596" w:rsidRPr="000E0B4E">
        <w:rPr>
          <w:rFonts w:ascii="Times New Roman" w:hAnsi="Times New Roman"/>
          <w:spacing w:val="-4"/>
          <w:sz w:val="28"/>
          <w:szCs w:val="28"/>
        </w:rPr>
        <w:t xml:space="preserve">муниципальных  </w:t>
      </w:r>
      <w:r w:rsidRPr="000E0B4E">
        <w:rPr>
          <w:rFonts w:ascii="Times New Roman" w:hAnsi="Times New Roman"/>
          <w:sz w:val="28"/>
          <w:szCs w:val="28"/>
        </w:rPr>
        <w:t xml:space="preserve"> программ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41596" w:rsidRPr="000E0B4E">
        <w:rPr>
          <w:rFonts w:ascii="Times New Roman" w:hAnsi="Times New Roman"/>
          <w:sz w:val="28"/>
          <w:szCs w:val="28"/>
        </w:rPr>
        <w:t>муниципальных программ 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="00E93644">
        <w:rPr>
          <w:rFonts w:ascii="Times New Roman" w:hAnsi="Times New Roman"/>
          <w:sz w:val="28"/>
          <w:szCs w:val="28"/>
        </w:rPr>
        <w:t>,</w:t>
      </w:r>
      <w:r w:rsidRPr="000E0B4E">
        <w:rPr>
          <w:rFonts w:ascii="Times New Roman" w:hAnsi="Times New Roman"/>
          <w:sz w:val="28"/>
          <w:szCs w:val="28"/>
        </w:rPr>
        <w:t xml:space="preserve"> не относящихся к </w:t>
      </w:r>
      <w:r w:rsidR="00441596" w:rsidRPr="000E0B4E">
        <w:rPr>
          <w:rFonts w:ascii="Times New Roman" w:hAnsi="Times New Roman"/>
          <w:sz w:val="28"/>
          <w:szCs w:val="28"/>
        </w:rPr>
        <w:t xml:space="preserve">муниципальным </w:t>
      </w:r>
      <w:r w:rsidRPr="000E0B4E">
        <w:rPr>
          <w:rFonts w:ascii="Times New Roman" w:hAnsi="Times New Roman"/>
          <w:sz w:val="28"/>
          <w:szCs w:val="28"/>
        </w:rPr>
        <w:t xml:space="preserve">программам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>.</w:t>
      </w:r>
    </w:p>
    <w:p w:rsidR="00BB618B" w:rsidRPr="00441596" w:rsidRDefault="00BB618B" w:rsidP="00770783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596">
        <w:rPr>
          <w:rFonts w:ascii="Times New Roman" w:hAnsi="Times New Roman"/>
          <w:sz w:val="28"/>
          <w:szCs w:val="28"/>
        </w:rPr>
        <w:t xml:space="preserve">В целях оценки налоговых расходов </w:t>
      </w:r>
      <w:r w:rsidR="00FF0417" w:rsidRPr="00441596">
        <w:rPr>
          <w:rFonts w:ascii="Times New Roman" w:hAnsi="Times New Roman"/>
          <w:sz w:val="28"/>
          <w:szCs w:val="28"/>
        </w:rPr>
        <w:t>Финансовое управление администрации Невьянского городского округа</w:t>
      </w:r>
      <w:r w:rsidR="008468C7" w:rsidRPr="00441596"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Pr="00441596">
        <w:rPr>
          <w:rFonts w:ascii="Times New Roman" w:hAnsi="Times New Roman"/>
          <w:sz w:val="28"/>
          <w:szCs w:val="28"/>
        </w:rPr>
        <w:t>:</w:t>
      </w:r>
    </w:p>
    <w:p w:rsidR="00BB618B" w:rsidRPr="00441596" w:rsidRDefault="00FF0417" w:rsidP="007707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5637">
        <w:rPr>
          <w:sz w:val="28"/>
          <w:szCs w:val="28"/>
        </w:rPr>
        <w:t>а)</w:t>
      </w:r>
      <w:r w:rsidR="00BB618B" w:rsidRPr="00515637">
        <w:rPr>
          <w:sz w:val="28"/>
          <w:szCs w:val="28"/>
        </w:rPr>
        <w:t>формирует перечень налоговых расходов</w:t>
      </w:r>
      <w:r w:rsidR="00441596" w:rsidRPr="00515637">
        <w:rPr>
          <w:sz w:val="28"/>
          <w:szCs w:val="28"/>
        </w:rPr>
        <w:t xml:space="preserve"> Невьянского городского округа содержащий информацию, предусмотренную </w:t>
      </w:r>
      <w:hyperlink w:anchor="P133" w:history="1">
        <w:r w:rsidR="00441596" w:rsidRPr="00515637">
          <w:rPr>
            <w:sz w:val="28"/>
            <w:szCs w:val="28"/>
          </w:rPr>
          <w:t>приложением</w:t>
        </w:r>
      </w:hyperlink>
      <w:r w:rsidR="00441596" w:rsidRPr="00515637">
        <w:rPr>
          <w:sz w:val="28"/>
          <w:szCs w:val="28"/>
        </w:rPr>
        <w:t xml:space="preserve"> № 1 к настоящему Порядку;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</w:t>
      </w:r>
      <w:r w:rsidR="00FF0417" w:rsidRPr="00555013">
        <w:rPr>
          <w:color w:val="212121"/>
          <w:sz w:val="28"/>
          <w:szCs w:val="28"/>
        </w:rPr>
        <w:t xml:space="preserve">)обеспечивает сбор и формирование информации о нормативных, целевых и фискальных характеристиках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на текущий финансовый год, очередной финансовый год и плановый период;</w:t>
      </w:r>
    </w:p>
    <w:p w:rsidR="00AA390F" w:rsidRPr="00FF0417" w:rsidRDefault="00FA7524" w:rsidP="00770783">
      <w:pPr>
        <w:autoSpaceDE w:val="0"/>
        <w:autoSpaceDN w:val="0"/>
        <w:adjustRightInd w:val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AA390F">
        <w:rPr>
          <w:color w:val="212121"/>
          <w:sz w:val="28"/>
          <w:szCs w:val="28"/>
        </w:rPr>
        <w:t xml:space="preserve">) </w:t>
      </w:r>
      <w:r w:rsidR="00AA390F">
        <w:rPr>
          <w:sz w:val="28"/>
          <w:szCs w:val="28"/>
        </w:rPr>
        <w:t>представляет куратору налоговых расходов Невьянского городского округа информацию для оценки налоговых расходов  (данные статистической отчетности, иные сведения, необходимые для проведения оценки налоговых расходов);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</w:t>
      </w:r>
      <w:r w:rsidR="00FF0417" w:rsidRPr="00555013">
        <w:rPr>
          <w:color w:val="212121"/>
          <w:sz w:val="28"/>
          <w:szCs w:val="28"/>
        </w:rPr>
        <w:t xml:space="preserve">) осуществляет обобщение результатов оценки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805ED1" w:rsidRPr="00555013">
        <w:rPr>
          <w:color w:val="212121"/>
          <w:sz w:val="28"/>
          <w:szCs w:val="28"/>
        </w:rPr>
        <w:t>, проводимой кураторами налоговых расходов</w:t>
      </w:r>
      <w:r w:rsidR="00995570" w:rsidRPr="00555013">
        <w:rPr>
          <w:color w:val="212121"/>
          <w:sz w:val="28"/>
          <w:szCs w:val="28"/>
        </w:rPr>
        <w:t>.</w:t>
      </w:r>
    </w:p>
    <w:p w:rsidR="00FF0417" w:rsidRDefault="00441596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0E0B4E">
        <w:rPr>
          <w:color w:val="212121"/>
          <w:sz w:val="28"/>
          <w:szCs w:val="28"/>
        </w:rPr>
        <w:t xml:space="preserve">. </w:t>
      </w:r>
      <w:r w:rsidR="00FF0417" w:rsidRPr="00555013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733467" w:rsidRPr="00555013">
        <w:rPr>
          <w:color w:val="212121"/>
          <w:sz w:val="28"/>
          <w:szCs w:val="28"/>
        </w:rPr>
        <w:t>ИФНС России №28 по Свердловской области</w:t>
      </w:r>
      <w:r w:rsidR="00FF0417" w:rsidRPr="00555013">
        <w:rPr>
          <w:color w:val="212121"/>
          <w:sz w:val="28"/>
          <w:szCs w:val="28"/>
        </w:rPr>
        <w:t xml:space="preserve"> представля</w:t>
      </w:r>
      <w:r w:rsidR="00733467" w:rsidRPr="00555013">
        <w:rPr>
          <w:color w:val="212121"/>
          <w:sz w:val="28"/>
          <w:szCs w:val="28"/>
        </w:rPr>
        <w:t>ет</w:t>
      </w:r>
      <w:r w:rsidR="00FF0417" w:rsidRPr="00555013">
        <w:rPr>
          <w:color w:val="212121"/>
          <w:sz w:val="28"/>
          <w:szCs w:val="28"/>
        </w:rPr>
        <w:t xml:space="preserve"> в </w:t>
      </w:r>
      <w:r w:rsidR="008468C7" w:rsidRPr="00555013">
        <w:rPr>
          <w:color w:val="212121"/>
          <w:sz w:val="28"/>
          <w:szCs w:val="28"/>
        </w:rPr>
        <w:t xml:space="preserve">Финансовое управление информацию </w:t>
      </w:r>
      <w:r w:rsidR="00FF0417" w:rsidRPr="00555013">
        <w:rPr>
          <w:color w:val="212121"/>
          <w:sz w:val="28"/>
          <w:szCs w:val="28"/>
        </w:rPr>
        <w:t>о фискальных хара</w:t>
      </w:r>
      <w:r w:rsidR="00795F1D">
        <w:rPr>
          <w:color w:val="212121"/>
          <w:sz w:val="28"/>
          <w:szCs w:val="28"/>
        </w:rPr>
        <w:t xml:space="preserve">ктеристиках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6 лет, предшествующих отчетному финансовому году.</w:t>
      </w:r>
    </w:p>
    <w:p w:rsidR="006472CA" w:rsidRPr="006472CA" w:rsidRDefault="00BA521E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="000E0B4E">
        <w:rPr>
          <w:color w:val="212121"/>
          <w:sz w:val="28"/>
          <w:szCs w:val="28"/>
        </w:rPr>
        <w:t xml:space="preserve">. </w:t>
      </w:r>
      <w:r w:rsidR="006472CA" w:rsidRPr="00492C02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492C02">
        <w:rPr>
          <w:color w:val="212121"/>
          <w:sz w:val="28"/>
          <w:szCs w:val="28"/>
        </w:rPr>
        <w:t>Невьянского городского округа</w:t>
      </w:r>
      <w:r w:rsidR="006472CA" w:rsidRPr="00492C02">
        <w:rPr>
          <w:color w:val="212121"/>
          <w:sz w:val="28"/>
          <w:szCs w:val="28"/>
        </w:rPr>
        <w:t xml:space="preserve"> кураторы налоговых расходов:</w:t>
      </w:r>
    </w:p>
    <w:p w:rsidR="006472CA" w:rsidRPr="00441596" w:rsidRDefault="006472CA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0E46DE">
        <w:rPr>
          <w:color w:val="212121"/>
          <w:sz w:val="28"/>
          <w:szCs w:val="28"/>
        </w:rPr>
        <w:t xml:space="preserve">а) формируют паспорта налоговых расходов </w:t>
      </w:r>
      <w:r w:rsidR="00A00E5C" w:rsidRPr="000E46DE">
        <w:rPr>
          <w:color w:val="212121"/>
          <w:sz w:val="28"/>
          <w:szCs w:val="28"/>
        </w:rPr>
        <w:t>Невьянского городского округа</w:t>
      </w:r>
      <w:r w:rsidRPr="000E46DE">
        <w:rPr>
          <w:color w:val="212121"/>
          <w:sz w:val="28"/>
          <w:szCs w:val="28"/>
        </w:rPr>
        <w:t xml:space="preserve">, содержащие информацию, </w:t>
      </w:r>
      <w:r w:rsidRPr="000E46DE">
        <w:rPr>
          <w:sz w:val="28"/>
          <w:szCs w:val="28"/>
        </w:rPr>
        <w:t>предусмотренную </w:t>
      </w:r>
      <w:r w:rsidR="00B7483C">
        <w:rPr>
          <w:sz w:val="28"/>
          <w:szCs w:val="28"/>
        </w:rPr>
        <w:t>приложением №</w:t>
      </w:r>
      <w:r w:rsidR="00441596" w:rsidRPr="000E46DE">
        <w:rPr>
          <w:sz w:val="28"/>
          <w:szCs w:val="28"/>
        </w:rPr>
        <w:t>2к настоящему</w:t>
      </w:r>
      <w:r w:rsidRPr="000E46DE">
        <w:rPr>
          <w:sz w:val="28"/>
          <w:szCs w:val="28"/>
        </w:rPr>
        <w:t xml:space="preserve"> П</w:t>
      </w:r>
      <w:r w:rsidR="00441596" w:rsidRPr="000E46DE">
        <w:rPr>
          <w:sz w:val="28"/>
          <w:szCs w:val="28"/>
        </w:rPr>
        <w:t>орядку</w:t>
      </w:r>
      <w:r w:rsidRPr="000E46DE">
        <w:rPr>
          <w:sz w:val="28"/>
          <w:szCs w:val="28"/>
        </w:rPr>
        <w:t>;</w:t>
      </w:r>
    </w:p>
    <w:p w:rsidR="006472CA" w:rsidRDefault="006472CA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555013">
        <w:rPr>
          <w:color w:val="212121"/>
          <w:sz w:val="28"/>
          <w:szCs w:val="28"/>
        </w:rPr>
        <w:lastRenderedPageBreak/>
        <w:t xml:space="preserve">б) осуществляют оценку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473EDB">
        <w:rPr>
          <w:color w:val="212121"/>
          <w:sz w:val="28"/>
          <w:szCs w:val="28"/>
        </w:rPr>
        <w:t xml:space="preserve"> и направляют </w:t>
      </w:r>
      <w:r w:rsidR="00AA390F">
        <w:rPr>
          <w:color w:val="212121"/>
          <w:sz w:val="28"/>
          <w:szCs w:val="28"/>
        </w:rPr>
        <w:t>результаты такой оценки в Финансовое управление</w:t>
      </w:r>
      <w:r w:rsidRPr="00555013">
        <w:rPr>
          <w:color w:val="212121"/>
          <w:sz w:val="28"/>
          <w:szCs w:val="28"/>
        </w:rPr>
        <w:t>.</w:t>
      </w:r>
    </w:p>
    <w:p w:rsidR="00F20051" w:rsidRPr="006472C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F20051" w:rsidRPr="00600723" w:rsidRDefault="002A14E2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Ӏ</w:t>
      </w:r>
      <w:r w:rsidR="00F20051" w:rsidRPr="00600723">
        <w:rPr>
          <w:b/>
          <w:bCs/>
          <w:color w:val="212121"/>
          <w:sz w:val="28"/>
          <w:szCs w:val="28"/>
        </w:rPr>
        <w:t xml:space="preserve">Ӏ. </w:t>
      </w:r>
      <w:r w:rsidR="001873D6">
        <w:rPr>
          <w:b/>
          <w:bCs/>
          <w:color w:val="212121"/>
          <w:sz w:val="28"/>
          <w:szCs w:val="28"/>
        </w:rPr>
        <w:t>Порядок ф</w:t>
      </w:r>
      <w:r w:rsidR="00F20051" w:rsidRPr="00600723">
        <w:rPr>
          <w:b/>
          <w:bCs/>
          <w:color w:val="212121"/>
          <w:sz w:val="28"/>
          <w:szCs w:val="28"/>
        </w:rPr>
        <w:t>ормировани</w:t>
      </w:r>
      <w:r w:rsidR="001873D6">
        <w:rPr>
          <w:b/>
          <w:bCs/>
          <w:color w:val="212121"/>
          <w:sz w:val="28"/>
          <w:szCs w:val="28"/>
        </w:rPr>
        <w:t>я</w:t>
      </w:r>
      <w:r w:rsidR="00F20051" w:rsidRPr="00600723">
        <w:rPr>
          <w:b/>
          <w:bCs/>
          <w:color w:val="212121"/>
          <w:sz w:val="28"/>
          <w:szCs w:val="28"/>
        </w:rPr>
        <w:t xml:space="preserve"> перечня налоговых расходов</w:t>
      </w:r>
    </w:p>
    <w:p w:rsidR="00F20051" w:rsidRPr="00600723" w:rsidRDefault="00A00E5C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Невьянского городского округа</w:t>
      </w:r>
    </w:p>
    <w:p w:rsidR="00F20051" w:rsidRPr="00600723" w:rsidRDefault="00F20051" w:rsidP="00770783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600723">
        <w:rPr>
          <w:color w:val="212121"/>
          <w:sz w:val="21"/>
          <w:szCs w:val="21"/>
        </w:rPr>
        <w:t> </w:t>
      </w:r>
    </w:p>
    <w:p w:rsidR="00C44AEC" w:rsidRPr="006F3120" w:rsidRDefault="00BA521E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2"/>
      <w:bookmarkEnd w:id="1"/>
      <w:r>
        <w:rPr>
          <w:color w:val="212121"/>
          <w:sz w:val="28"/>
          <w:szCs w:val="28"/>
        </w:rPr>
        <w:t>7</w:t>
      </w:r>
      <w:r w:rsidR="00F20051" w:rsidRPr="00600723">
        <w:rPr>
          <w:color w:val="212121"/>
          <w:sz w:val="28"/>
          <w:szCs w:val="28"/>
        </w:rPr>
        <w:t xml:space="preserve">. Проект перечня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формируется Финансовым управлением </w:t>
      </w:r>
      <w:r w:rsidR="00600723" w:rsidRPr="00600723">
        <w:rPr>
          <w:color w:val="212121"/>
          <w:sz w:val="28"/>
          <w:szCs w:val="28"/>
        </w:rPr>
        <w:t xml:space="preserve">в 2020 году до </w:t>
      </w:r>
      <w:r w:rsidR="00B7483C">
        <w:rPr>
          <w:color w:val="212121"/>
          <w:sz w:val="28"/>
          <w:szCs w:val="28"/>
        </w:rPr>
        <w:t xml:space="preserve">     </w:t>
      </w:r>
      <w:r w:rsidR="00600723" w:rsidRPr="00600723">
        <w:rPr>
          <w:color w:val="212121"/>
          <w:sz w:val="28"/>
          <w:szCs w:val="28"/>
        </w:rPr>
        <w:t xml:space="preserve">15 июля, а в последующие годы - </w:t>
      </w:r>
      <w:r w:rsidR="00F20051" w:rsidRPr="00600723">
        <w:rPr>
          <w:color w:val="212121"/>
          <w:sz w:val="28"/>
          <w:szCs w:val="28"/>
        </w:rPr>
        <w:t xml:space="preserve"> до 25 марта и направляется на согласование </w:t>
      </w:r>
      <w:r w:rsidR="00805ED1" w:rsidRPr="00600723">
        <w:rPr>
          <w:color w:val="212121"/>
          <w:sz w:val="28"/>
          <w:szCs w:val="28"/>
        </w:rPr>
        <w:t>в отдел экономики, торговли и бытового обслуживания администрации Невьянского городского округа</w:t>
      </w:r>
      <w:r w:rsidR="00600723">
        <w:rPr>
          <w:color w:val="212121"/>
          <w:sz w:val="28"/>
          <w:szCs w:val="28"/>
        </w:rPr>
        <w:t xml:space="preserve"> (далее – отдел экономики, торговли и бытового обслуживания)</w:t>
      </w:r>
      <w:r w:rsidR="00805ED1" w:rsidRPr="00600723">
        <w:rPr>
          <w:color w:val="212121"/>
          <w:sz w:val="28"/>
          <w:szCs w:val="28"/>
        </w:rPr>
        <w:t xml:space="preserve"> и </w:t>
      </w:r>
      <w:r w:rsidR="00F20051" w:rsidRPr="00600723">
        <w:rPr>
          <w:color w:val="212121"/>
          <w:sz w:val="28"/>
          <w:szCs w:val="28"/>
        </w:rPr>
        <w:t>ответственным исполнителям муниципальных программ</w:t>
      </w:r>
      <w:r>
        <w:rPr>
          <w:color w:val="212121"/>
          <w:sz w:val="28"/>
          <w:szCs w:val="28"/>
        </w:rPr>
        <w:t xml:space="preserve"> Невьянского городского округа</w:t>
      </w:r>
      <w:r w:rsidR="00C44AEC" w:rsidRPr="00600723">
        <w:rPr>
          <w:color w:val="212121"/>
          <w:sz w:val="28"/>
          <w:szCs w:val="28"/>
        </w:rPr>
        <w:t>,</w:t>
      </w:r>
      <w:r w:rsidR="00C44AEC" w:rsidRPr="00600723">
        <w:rPr>
          <w:sz w:val="28"/>
          <w:szCs w:val="28"/>
        </w:rPr>
        <w:t xml:space="preserve">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600723" w:rsidRDefault="002D5351" w:rsidP="000E0B4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3"/>
      <w:bookmarkEnd w:id="2"/>
      <w:r w:rsidRPr="002D5351">
        <w:rPr>
          <w:color w:val="212121"/>
          <w:sz w:val="28"/>
          <w:szCs w:val="28"/>
        </w:rPr>
        <w:t>8</w:t>
      </w:r>
      <w:r w:rsidR="000E0B4E">
        <w:rPr>
          <w:color w:val="212121"/>
          <w:sz w:val="28"/>
          <w:szCs w:val="28"/>
        </w:rPr>
        <w:t>.</w:t>
      </w:r>
      <w:r w:rsidR="00F20051" w:rsidRPr="002D5351">
        <w:rPr>
          <w:color w:val="212121"/>
          <w:sz w:val="28"/>
          <w:szCs w:val="28"/>
        </w:rPr>
        <w:t xml:space="preserve">Ответственные исполнители муниципальных программ </w:t>
      </w:r>
      <w:r w:rsidR="00600723" w:rsidRPr="002D5351">
        <w:rPr>
          <w:color w:val="212121"/>
          <w:sz w:val="28"/>
          <w:szCs w:val="28"/>
        </w:rPr>
        <w:t>и отдел экономики, торговли</w:t>
      </w:r>
      <w:r w:rsidR="00600723" w:rsidRPr="00600723">
        <w:rPr>
          <w:color w:val="212121"/>
          <w:sz w:val="28"/>
          <w:szCs w:val="28"/>
        </w:rPr>
        <w:t xml:space="preserve"> и бытового обслуживания в 2020 году до 30 июля, а в последующие годы до </w:t>
      </w:r>
      <w:r w:rsidR="00F20051" w:rsidRPr="00600723">
        <w:rPr>
          <w:color w:val="212121"/>
          <w:sz w:val="28"/>
          <w:szCs w:val="28"/>
        </w:rPr>
        <w:t xml:space="preserve">10 апреля рассматривают проект перечня налоговых расходов на предмет предлагаемого распределения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в соответствии с целями муниципальных программ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E24F99" w:rsidRPr="00600723">
        <w:rPr>
          <w:color w:val="212121"/>
          <w:sz w:val="28"/>
          <w:szCs w:val="28"/>
        </w:rPr>
        <w:t xml:space="preserve">, </w:t>
      </w:r>
      <w:r w:rsidR="00BA521E" w:rsidRPr="00BA521E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E24F99" w:rsidRPr="00BA521E">
        <w:rPr>
          <w:sz w:val="28"/>
          <w:szCs w:val="28"/>
        </w:rPr>
        <w:t>,</w:t>
      </w:r>
      <w:r w:rsidR="00E24F99" w:rsidRPr="00600723">
        <w:rPr>
          <w:sz w:val="28"/>
          <w:szCs w:val="28"/>
        </w:rPr>
        <w:t xml:space="preserve"> направлениям деятельности</w:t>
      </w:r>
      <w:r w:rsidR="00F20051" w:rsidRPr="00600723">
        <w:rPr>
          <w:color w:val="212121"/>
          <w:sz w:val="28"/>
          <w:szCs w:val="28"/>
        </w:rPr>
        <w:t xml:space="preserve"> (или) целями социально</w:t>
      </w:r>
      <w:r w:rsidR="00FA43A5">
        <w:rPr>
          <w:color w:val="212121"/>
          <w:sz w:val="28"/>
          <w:szCs w:val="28"/>
        </w:rPr>
        <w:t>–</w:t>
      </w:r>
      <w:r w:rsidR="00F20051" w:rsidRPr="00600723">
        <w:rPr>
          <w:color w:val="212121"/>
          <w:sz w:val="28"/>
          <w:szCs w:val="28"/>
        </w:rPr>
        <w:t>экономическо</w:t>
      </w:r>
      <w:r w:rsidR="00476613">
        <w:rPr>
          <w:color w:val="212121"/>
          <w:sz w:val="28"/>
          <w:szCs w:val="28"/>
        </w:rPr>
        <w:t>го</w:t>
      </w:r>
      <w:r w:rsidR="00111AA8" w:rsidRPr="00600723">
        <w:rPr>
          <w:color w:val="212121"/>
          <w:sz w:val="28"/>
          <w:szCs w:val="28"/>
        </w:rPr>
        <w:t xml:space="preserve">развития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A43A5">
        <w:rPr>
          <w:color w:val="212121"/>
          <w:sz w:val="28"/>
          <w:szCs w:val="28"/>
        </w:rPr>
        <w:t>, не относящих</w:t>
      </w:r>
      <w:r w:rsidR="00F20051" w:rsidRPr="00600723">
        <w:rPr>
          <w:color w:val="212121"/>
          <w:sz w:val="28"/>
          <w:szCs w:val="28"/>
        </w:rPr>
        <w:t xml:space="preserve">ся к муниципальным программам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600723" w:rsidRPr="00600723">
        <w:rPr>
          <w:color w:val="212121"/>
          <w:sz w:val="28"/>
          <w:szCs w:val="28"/>
        </w:rPr>
        <w:t xml:space="preserve">, </w:t>
      </w:r>
      <w:r w:rsidR="00600723" w:rsidRPr="00600723">
        <w:rPr>
          <w:sz w:val="28"/>
          <w:szCs w:val="28"/>
        </w:rPr>
        <w:t>и определения кураторов налоговых расходов.</w:t>
      </w:r>
    </w:p>
    <w:p w:rsidR="001A12AA" w:rsidRDefault="001A12A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уточнению проекта перечня налоговых расходов  направляются в Финансовое управление.</w:t>
      </w:r>
    </w:p>
    <w:p w:rsidR="00111AA8" w:rsidRPr="00111AA8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F67530">
        <w:t>В случае несогласия с указанным распределением предложения по уточнению такого распределения (с указанием муниципальной программы</w:t>
      </w:r>
      <w:r w:rsidR="00990660">
        <w:t xml:space="preserve"> Невьянского городского округа</w:t>
      </w:r>
      <w:r w:rsidRPr="00F67530">
        <w:t>, ее структурного элемента, направления деятельности, не входящего в муниципальные программы, к которым необходимо отнести каждый налоговый расход, в отношении которого имеются замечания)</w:t>
      </w:r>
      <w:r w:rsidR="00F67530" w:rsidRPr="00F67530">
        <w:rPr>
          <w:color w:val="auto"/>
        </w:rPr>
        <w:t>направляются в Финансовое управление в течение срока, указанного в абзаце первом настоящего пункта.</w:t>
      </w:r>
    </w:p>
    <w:p w:rsidR="00111AA8" w:rsidRPr="00793CBC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 w:rsidRPr="00F67530">
        <w:rPr>
          <w:color w:val="auto"/>
        </w:rPr>
        <w:t xml:space="preserve">В случае если предложения, указанные в абзаце </w:t>
      </w:r>
      <w:r w:rsidR="001A12AA" w:rsidRPr="00F67530">
        <w:rPr>
          <w:color w:val="auto"/>
        </w:rPr>
        <w:t xml:space="preserve">третьем </w:t>
      </w:r>
      <w:r w:rsidRPr="00F67530">
        <w:rPr>
          <w:color w:val="auto"/>
        </w:rPr>
        <w:t>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</w:t>
      </w:r>
      <w:r w:rsidR="001A12AA" w:rsidRPr="00F67530">
        <w:rPr>
          <w:color w:val="auto"/>
        </w:rPr>
        <w:t xml:space="preserve"> и направлению в Финансовое управление в течение срока, указанного в абзаце первом настоящего пункта.</w:t>
      </w:r>
    </w:p>
    <w:p w:rsidR="00F67530" w:rsidRDefault="00B22514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t xml:space="preserve">В случае если </w:t>
      </w:r>
      <w:r w:rsidR="00F67530" w:rsidRPr="00F67530">
        <w:rPr>
          <w:sz w:val="28"/>
          <w:szCs w:val="28"/>
        </w:rPr>
        <w:t xml:space="preserve">эти замечания и предложения </w:t>
      </w:r>
      <w:r w:rsidRPr="00F67530">
        <w:rPr>
          <w:sz w:val="28"/>
          <w:szCs w:val="28"/>
        </w:rPr>
        <w:t xml:space="preserve"> не направлены в Финансовое управление </w:t>
      </w:r>
      <w:r w:rsidR="00F67530" w:rsidRPr="00F67530">
        <w:rPr>
          <w:sz w:val="28"/>
          <w:szCs w:val="28"/>
        </w:rPr>
        <w:t xml:space="preserve">в течение срока, указанного в </w:t>
      </w:r>
      <w:hyperlink r:id="rId11" w:history="1">
        <w:r w:rsidR="00F67530" w:rsidRPr="00F67530">
          <w:rPr>
            <w:sz w:val="28"/>
            <w:szCs w:val="28"/>
          </w:rPr>
          <w:t>абзаце первом</w:t>
        </w:r>
      </w:hyperlink>
      <w:r w:rsidR="00F67530" w:rsidRPr="00F67530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67530" w:rsidRDefault="00F67530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lastRenderedPageBreak/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 в соответствии с целями муниципальных программ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</w:t>
      </w:r>
      <w:r w:rsidR="00476613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Pr="00F67530">
        <w:rPr>
          <w:sz w:val="28"/>
          <w:szCs w:val="28"/>
        </w:rPr>
        <w:t xml:space="preserve"> и (или) целями социально-экономическо</w:t>
      </w:r>
      <w:r w:rsidR="00476613">
        <w:rPr>
          <w:sz w:val="28"/>
          <w:szCs w:val="28"/>
        </w:rPr>
        <w:t xml:space="preserve">го развития </w:t>
      </w:r>
      <w:r w:rsidRPr="00F67530">
        <w:rPr>
          <w:sz w:val="28"/>
          <w:szCs w:val="28"/>
        </w:rPr>
        <w:t>Невьянского городского округа, не относящимися к муниципальным программам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4A4854" w:rsidRPr="00D76BA0" w:rsidRDefault="00E24F99" w:rsidP="00415B2B">
      <w:pPr>
        <w:pStyle w:val="affc"/>
        <w:spacing w:line="240" w:lineRule="auto"/>
        <w:ind w:firstLine="709"/>
        <w:rPr>
          <w:color w:val="212121"/>
        </w:rPr>
      </w:pPr>
      <w:r w:rsidRPr="00D66111">
        <w:rPr>
          <w:color w:val="212121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A00E5C" w:rsidRPr="00D66111">
        <w:rPr>
          <w:color w:val="212121"/>
        </w:rPr>
        <w:t>Невьянского городского округа</w:t>
      </w:r>
      <w:r w:rsidRPr="00D66111">
        <w:rPr>
          <w:color w:val="212121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Pr="00D76BA0">
        <w:rPr>
          <w:color w:val="212121"/>
        </w:rPr>
        <w:t xml:space="preserve">муниципальных программ </w:t>
      </w:r>
      <w:r w:rsidR="00A00E5C" w:rsidRPr="00D76BA0">
        <w:rPr>
          <w:color w:val="212121"/>
        </w:rPr>
        <w:t>Невьянского городского округа</w:t>
      </w:r>
      <w:r w:rsidR="00904C47" w:rsidRPr="00D76BA0">
        <w:rPr>
          <w:color w:val="212121"/>
        </w:rPr>
        <w:t>.</w:t>
      </w:r>
    </w:p>
    <w:p w:rsidR="00F20051" w:rsidRPr="00F20051" w:rsidRDefault="00F20051" w:rsidP="00415B2B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D76BA0">
        <w:rPr>
          <w:color w:val="212121"/>
          <w:sz w:val="28"/>
          <w:szCs w:val="28"/>
        </w:rPr>
        <w:t xml:space="preserve">При наличии разногласий по проекту перечня налоговых расходов </w:t>
      </w:r>
      <w:r w:rsidR="00061A9F" w:rsidRPr="00D76BA0">
        <w:rPr>
          <w:color w:val="212121"/>
          <w:sz w:val="28"/>
          <w:szCs w:val="28"/>
        </w:rPr>
        <w:t xml:space="preserve">Финансовое управление </w:t>
      </w:r>
      <w:r w:rsidRPr="00D76BA0">
        <w:rPr>
          <w:color w:val="212121"/>
          <w:sz w:val="28"/>
          <w:szCs w:val="28"/>
        </w:rPr>
        <w:t xml:space="preserve"> обеспечивает проведение согласительных совещаний с ответственными исполнителями муниципальных программ</w:t>
      </w:r>
      <w:r w:rsidR="00990660">
        <w:rPr>
          <w:color w:val="212121"/>
          <w:sz w:val="28"/>
          <w:szCs w:val="28"/>
        </w:rPr>
        <w:t xml:space="preserve">Невьянского городского округа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 до </w:t>
      </w:r>
      <w:r w:rsidR="00D76BA0" w:rsidRPr="00D76BA0">
        <w:rPr>
          <w:color w:val="212121"/>
          <w:sz w:val="28"/>
          <w:szCs w:val="28"/>
        </w:rPr>
        <w:t>10 августа, а в последующие годы – до 20</w:t>
      </w:r>
      <w:r w:rsidRPr="00D76BA0">
        <w:rPr>
          <w:color w:val="212121"/>
          <w:sz w:val="28"/>
          <w:szCs w:val="28"/>
        </w:rPr>
        <w:t xml:space="preserve"> апреля. Разногласия, не урегулированные по результатам таких совещаний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до </w:t>
      </w:r>
      <w:r w:rsidR="00D76BA0" w:rsidRPr="00D76BA0">
        <w:rPr>
          <w:color w:val="212121"/>
          <w:sz w:val="28"/>
          <w:szCs w:val="28"/>
        </w:rPr>
        <w:t xml:space="preserve">20 августа, а в последующие годы </w:t>
      </w:r>
      <w:r w:rsidR="00936611">
        <w:rPr>
          <w:color w:val="212121"/>
          <w:sz w:val="28"/>
          <w:szCs w:val="28"/>
        </w:rPr>
        <w:t xml:space="preserve">–до </w:t>
      </w:r>
      <w:r w:rsidRPr="00D76BA0">
        <w:rPr>
          <w:color w:val="212121"/>
          <w:sz w:val="28"/>
          <w:szCs w:val="28"/>
        </w:rPr>
        <w:t>30 апреля, рассматриваются</w:t>
      </w:r>
      <w:r w:rsidR="00CA0EEE" w:rsidRPr="00D76BA0">
        <w:rPr>
          <w:color w:val="212121"/>
          <w:sz w:val="28"/>
          <w:szCs w:val="28"/>
        </w:rPr>
        <w:t xml:space="preserve"> Г</w:t>
      </w:r>
      <w:r w:rsidR="004C0FEE" w:rsidRPr="00D76BA0">
        <w:rPr>
          <w:color w:val="212121"/>
          <w:sz w:val="28"/>
          <w:szCs w:val="28"/>
        </w:rPr>
        <w:t>лавой администрации</w:t>
      </w:r>
      <w:r w:rsidR="00061A9F" w:rsidRPr="00D76BA0">
        <w:rPr>
          <w:color w:val="212121"/>
          <w:sz w:val="28"/>
          <w:szCs w:val="28"/>
        </w:rPr>
        <w:t xml:space="preserve"> Невьянского городского округа</w:t>
      </w:r>
      <w:r w:rsidRPr="00D76BA0">
        <w:rPr>
          <w:color w:val="212121"/>
          <w:sz w:val="28"/>
          <w:szCs w:val="28"/>
        </w:rPr>
        <w:t>.</w:t>
      </w:r>
    </w:p>
    <w:p w:rsidR="004C0FEE" w:rsidRDefault="00B56C43" w:rsidP="00415B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F20051" w:rsidRPr="00D76BA0">
        <w:rPr>
          <w:color w:val="212121"/>
          <w:sz w:val="28"/>
          <w:szCs w:val="28"/>
        </w:rPr>
        <w:t xml:space="preserve">. </w:t>
      </w:r>
      <w:r w:rsidR="004C0FEE" w:rsidRPr="00D76BA0">
        <w:rPr>
          <w:sz w:val="28"/>
          <w:szCs w:val="28"/>
        </w:rPr>
        <w:t xml:space="preserve">В срок, не позднее </w:t>
      </w:r>
      <w:r w:rsidR="00D76BA0" w:rsidRPr="00D76BA0">
        <w:rPr>
          <w:sz w:val="28"/>
          <w:szCs w:val="28"/>
        </w:rPr>
        <w:t>10</w:t>
      </w:r>
      <w:r w:rsidR="004C0FEE" w:rsidRPr="00D76BA0">
        <w:rPr>
          <w:sz w:val="28"/>
          <w:szCs w:val="28"/>
        </w:rPr>
        <w:t xml:space="preserve"> рабочих дней после завершения процедур, установленных в пункте </w:t>
      </w:r>
      <w:r>
        <w:rPr>
          <w:sz w:val="28"/>
          <w:szCs w:val="28"/>
        </w:rPr>
        <w:t>8</w:t>
      </w:r>
      <w:r w:rsidR="004C0FEE" w:rsidRPr="00D76BA0">
        <w:rPr>
          <w:sz w:val="28"/>
          <w:szCs w:val="28"/>
        </w:rPr>
        <w:t xml:space="preserve"> настоящего Порядка, перечень налоговых расходов </w:t>
      </w:r>
      <w:r w:rsidR="00A00E5C" w:rsidRPr="00D76BA0">
        <w:rPr>
          <w:sz w:val="28"/>
          <w:szCs w:val="28"/>
        </w:rPr>
        <w:t>Невьянского городского округа</w:t>
      </w:r>
      <w:r w:rsidR="004C0FEE" w:rsidRPr="00D76BA0">
        <w:rPr>
          <w:sz w:val="28"/>
          <w:szCs w:val="28"/>
        </w:rPr>
        <w:t xml:space="preserve"> размещается на официальном сайте администрации Невьянского городского округа в информационно-телекоммуникационной сети «Интернет».</w:t>
      </w:r>
    </w:p>
    <w:p w:rsidR="00F20051" w:rsidRPr="00F7030A" w:rsidRDefault="00B56C43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</w:t>
      </w:r>
      <w:r w:rsidR="00F20051" w:rsidRPr="00266A8A">
        <w:rPr>
          <w:color w:val="212121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 </w:t>
      </w:r>
      <w:r w:rsidR="004C0FEE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 xml:space="preserve">, </w:t>
      </w:r>
      <w:r w:rsidRPr="00441596">
        <w:rPr>
          <w:sz w:val="28"/>
          <w:szCs w:val="28"/>
        </w:rPr>
        <w:t>структурных элементов муниципальных программ Невьянского городского округ</w:t>
      </w:r>
      <w:r w:rsidR="00FA43A5">
        <w:rPr>
          <w:sz w:val="28"/>
          <w:szCs w:val="28"/>
        </w:rPr>
        <w:t>о</w:t>
      </w:r>
      <w:r w:rsidR="00F20051" w:rsidRPr="00266A8A">
        <w:rPr>
          <w:color w:val="212121"/>
          <w:sz w:val="28"/>
          <w:szCs w:val="28"/>
        </w:rPr>
        <w:t>всвязи с которыми возникает необходимость внесения изменений в перечень налоговых рас</w:t>
      </w:r>
      <w:r w:rsidR="004C0FEE" w:rsidRPr="00266A8A">
        <w:rPr>
          <w:color w:val="212121"/>
          <w:sz w:val="28"/>
          <w:szCs w:val="28"/>
        </w:rPr>
        <w:t>ходов</w:t>
      </w:r>
      <w:r w:rsidR="00D76BA0" w:rsidRPr="00266A8A">
        <w:rPr>
          <w:color w:val="212121"/>
          <w:sz w:val="28"/>
          <w:szCs w:val="28"/>
        </w:rPr>
        <w:t xml:space="preserve"> Невьянского </w:t>
      </w:r>
      <w:r w:rsidR="004C0FEE" w:rsidRPr="00266A8A">
        <w:rPr>
          <w:color w:val="212121"/>
          <w:sz w:val="28"/>
          <w:szCs w:val="28"/>
        </w:rPr>
        <w:t>городского округа,</w:t>
      </w:r>
      <w:r w:rsidR="00F20051" w:rsidRPr="00266A8A">
        <w:rPr>
          <w:color w:val="212121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 в </w:t>
      </w:r>
      <w:r w:rsidR="004046F7" w:rsidRPr="00266A8A">
        <w:rPr>
          <w:color w:val="212121"/>
          <w:sz w:val="28"/>
          <w:szCs w:val="28"/>
        </w:rPr>
        <w:t>Финансовое управление</w:t>
      </w:r>
      <w:r w:rsidR="00F20051" w:rsidRPr="00266A8A">
        <w:rPr>
          <w:color w:val="212121"/>
          <w:sz w:val="28"/>
          <w:szCs w:val="28"/>
        </w:rPr>
        <w:t xml:space="preserve"> соответствующую информацию для уточнения </w:t>
      </w:r>
      <w:r w:rsidR="00D76BA0" w:rsidRPr="00266A8A">
        <w:rPr>
          <w:color w:val="212121"/>
          <w:sz w:val="28"/>
          <w:szCs w:val="28"/>
        </w:rPr>
        <w:t>Финансовым управлением</w:t>
      </w:r>
      <w:r w:rsidR="00F20051" w:rsidRPr="00266A8A">
        <w:rPr>
          <w:color w:val="212121"/>
          <w:sz w:val="28"/>
          <w:szCs w:val="28"/>
        </w:rPr>
        <w:t xml:space="preserve">перечня налоговых расходов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>.</w:t>
      </w:r>
    </w:p>
    <w:p w:rsidR="00F20051" w:rsidRPr="00F7030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266A8A">
        <w:rPr>
          <w:color w:val="212121"/>
          <w:sz w:val="28"/>
          <w:szCs w:val="28"/>
        </w:rPr>
        <w:t>1</w:t>
      </w:r>
      <w:r w:rsidR="00B56C43">
        <w:rPr>
          <w:color w:val="212121"/>
          <w:sz w:val="28"/>
          <w:szCs w:val="28"/>
        </w:rPr>
        <w:t>1</w:t>
      </w:r>
      <w:r w:rsidRPr="00266A8A">
        <w:rPr>
          <w:color w:val="212121"/>
          <w:sz w:val="28"/>
          <w:szCs w:val="28"/>
        </w:rPr>
        <w:t xml:space="preserve">. Перечень налоговых расходов </w:t>
      </w:r>
      <w:r w:rsidR="00A00E5C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с внесенными в него изменениями формируется до 1 октября (в случае уточнения структурных элементов муниципальных программ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формирования проекта решения о бюджете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на очередной финансовый год и плановый период) и до 15 декабря (в случае уточнения структурных элементов муниципальных программ</w:t>
      </w:r>
      <w:r w:rsidR="00B56C43">
        <w:rPr>
          <w:color w:val="212121"/>
          <w:sz w:val="28"/>
          <w:szCs w:val="28"/>
        </w:rPr>
        <w:t xml:space="preserve"> 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рассмотрения и утверждения проекта решения обюджете на очередной финансовый год и плановый период).</w:t>
      </w:r>
    </w:p>
    <w:p w:rsidR="00415B2B" w:rsidRDefault="00415B2B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325" w:rsidRDefault="00513325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  <w:r w:rsidRPr="00FA7524">
        <w:rPr>
          <w:b/>
          <w:sz w:val="28"/>
          <w:szCs w:val="28"/>
        </w:rPr>
        <w:lastRenderedPageBreak/>
        <w:t xml:space="preserve">III. Порядок оценки налоговых расходов </w:t>
      </w:r>
      <w:r w:rsidR="00A00E5C" w:rsidRPr="00FA7524">
        <w:rPr>
          <w:b/>
          <w:sz w:val="28"/>
          <w:szCs w:val="28"/>
        </w:rPr>
        <w:t>Невьянского городского округа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 xml:space="preserve">12. В целях оценки эффективности налоговых расходов </w:t>
      </w:r>
      <w:r w:rsidR="00CB6215" w:rsidRPr="00472F61">
        <w:rPr>
          <w:sz w:val="28"/>
          <w:szCs w:val="28"/>
        </w:rPr>
        <w:t>Невьянского городского округа</w:t>
      </w:r>
      <w:r w:rsidR="00A00E5C" w:rsidRPr="00472F61">
        <w:rPr>
          <w:sz w:val="28"/>
          <w:szCs w:val="28"/>
        </w:rPr>
        <w:t>Финансовое управление</w:t>
      </w:r>
      <w:r w:rsidRPr="00472F61">
        <w:rPr>
          <w:sz w:val="28"/>
          <w:szCs w:val="28"/>
        </w:rPr>
        <w:t xml:space="preserve"> формирует и направляет ежегодно, до</w:t>
      </w:r>
      <w:r w:rsidR="00FA7524" w:rsidRPr="00472F61">
        <w:rPr>
          <w:sz w:val="28"/>
          <w:szCs w:val="28"/>
        </w:rPr>
        <w:t xml:space="preserve"> 20</w:t>
      </w:r>
      <w:r w:rsidRPr="00472F61">
        <w:rPr>
          <w:sz w:val="28"/>
          <w:szCs w:val="28"/>
        </w:rPr>
        <w:t xml:space="preserve"> сентября текущего финансового года, кураторам налоговых расходов оценку фактических</w:t>
      </w:r>
      <w:r w:rsidRPr="00FA7524">
        <w:rPr>
          <w:sz w:val="28"/>
          <w:szCs w:val="28"/>
        </w:rPr>
        <w:t xml:space="preserve"> объемов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на основании информации </w:t>
      </w:r>
      <w:r w:rsidR="00733467" w:rsidRPr="00FA7524">
        <w:rPr>
          <w:sz w:val="28"/>
          <w:szCs w:val="28"/>
        </w:rPr>
        <w:t>ИФНС №28 по Свердловской области</w:t>
      </w:r>
      <w:r w:rsidRPr="00FA7524">
        <w:rPr>
          <w:sz w:val="28"/>
          <w:szCs w:val="28"/>
        </w:rPr>
        <w:t>.</w:t>
      </w:r>
    </w:p>
    <w:p w:rsidR="004046F7" w:rsidRPr="00FA7524" w:rsidRDefault="00162428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К</w:t>
      </w:r>
      <w:r w:rsidR="004046F7" w:rsidRPr="006B64EA">
        <w:rPr>
          <w:sz w:val="28"/>
          <w:szCs w:val="28"/>
        </w:rPr>
        <w:t xml:space="preserve">ураторы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на основе сформированного и размещенного в соответствии с пунктом </w:t>
      </w:r>
      <w:r w:rsidRPr="006B64EA">
        <w:rPr>
          <w:sz w:val="28"/>
          <w:szCs w:val="28"/>
        </w:rPr>
        <w:t>9</w:t>
      </w:r>
      <w:r w:rsidR="004046F7" w:rsidRPr="006B64EA">
        <w:rPr>
          <w:sz w:val="28"/>
          <w:szCs w:val="28"/>
        </w:rPr>
        <w:t xml:space="preserve"> настоящего Порядка перечня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информации, указанной в абзаце </w:t>
      </w:r>
      <w:r w:rsidRPr="006B64EA">
        <w:rPr>
          <w:sz w:val="28"/>
          <w:szCs w:val="28"/>
        </w:rPr>
        <w:t xml:space="preserve">первом </w:t>
      </w:r>
      <w:r w:rsidR="004046F7" w:rsidRPr="006B64EA">
        <w:rPr>
          <w:sz w:val="28"/>
          <w:szCs w:val="28"/>
        </w:rPr>
        <w:t xml:space="preserve">настоящего пункта, формируют паспорта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в срок до 1 октября текущего финансового года направляют их в </w:t>
      </w:r>
      <w:r w:rsidR="00A00E5C" w:rsidRPr="006B64EA">
        <w:rPr>
          <w:sz w:val="28"/>
          <w:szCs w:val="28"/>
        </w:rPr>
        <w:t>Финансовое управление</w:t>
      </w:r>
      <w:r w:rsidR="004046F7" w:rsidRPr="006B64EA">
        <w:rPr>
          <w:sz w:val="28"/>
          <w:szCs w:val="28"/>
        </w:rPr>
        <w:t>.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 xml:space="preserve">Оценка эффективности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 xml:space="preserve">а)оценку целесообразности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>;</w:t>
      </w:r>
    </w:p>
    <w:p w:rsidR="004046F7" w:rsidRPr="006F3120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 xml:space="preserve">б)оценку результативности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>.</w:t>
      </w:r>
    </w:p>
    <w:p w:rsidR="004046F7" w:rsidRPr="00CD7B5F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0"/>
      <w:bookmarkEnd w:id="3"/>
      <w:r w:rsidRPr="00CD7B5F">
        <w:rPr>
          <w:sz w:val="28"/>
          <w:szCs w:val="28"/>
        </w:rPr>
        <w:t xml:space="preserve">13.Критериями целесообразности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являются:</w:t>
      </w:r>
    </w:p>
    <w:p w:rsidR="004046F7" w:rsidRPr="002932E2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 xml:space="preserve">а)соответствие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целям муниципальных программ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, </w:t>
      </w:r>
      <w:r w:rsidR="00162428" w:rsidRPr="00441596">
        <w:rPr>
          <w:sz w:val="28"/>
          <w:szCs w:val="28"/>
        </w:rPr>
        <w:t>структурны</w:t>
      </w:r>
      <w:r w:rsidR="00162428">
        <w:rPr>
          <w:sz w:val="28"/>
          <w:szCs w:val="28"/>
        </w:rPr>
        <w:t>м</w:t>
      </w:r>
      <w:r w:rsidR="00162428" w:rsidRPr="00441596">
        <w:rPr>
          <w:sz w:val="28"/>
          <w:szCs w:val="28"/>
        </w:rPr>
        <w:t xml:space="preserve"> элемент</w:t>
      </w:r>
      <w:r w:rsidR="00162428">
        <w:rPr>
          <w:sz w:val="28"/>
          <w:szCs w:val="28"/>
        </w:rPr>
        <w:t>ам</w:t>
      </w:r>
      <w:r w:rsidR="00162428" w:rsidRPr="00441596">
        <w:rPr>
          <w:sz w:val="28"/>
          <w:szCs w:val="28"/>
        </w:rPr>
        <w:t xml:space="preserve"> муниципальных программ Невьянского городского округа</w:t>
      </w:r>
      <w:r w:rsidRPr="00CD7B5F">
        <w:rPr>
          <w:sz w:val="28"/>
          <w:szCs w:val="28"/>
        </w:rPr>
        <w:t>и (или) целям социально-экономическо</w:t>
      </w:r>
      <w:r w:rsidR="00162428">
        <w:rPr>
          <w:sz w:val="28"/>
          <w:szCs w:val="28"/>
        </w:rPr>
        <w:t xml:space="preserve">горазвития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, не относящимся к муниципальным программам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 (в отношении непрограммных налоговых расходов);</w:t>
      </w:r>
    </w:p>
    <w:p w:rsidR="004046F7" w:rsidRPr="005C1D91" w:rsidRDefault="004046F7" w:rsidP="000E0B4E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2E2">
        <w:rPr>
          <w:sz w:val="28"/>
          <w:szCs w:val="28"/>
        </w:rPr>
        <w:t xml:space="preserve">б)востребованность плательщиками предоставленных льгот,освобождений или иных преференций, которые характеризуются </w:t>
      </w:r>
      <w:r w:rsidRPr="005C1D91">
        <w:rPr>
          <w:sz w:val="28"/>
          <w:szCs w:val="28"/>
        </w:rPr>
        <w:t>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C1D91" w:rsidRPr="006B7A7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4EE">
        <w:rPr>
          <w:sz w:val="28"/>
          <w:szCs w:val="28"/>
        </w:rPr>
        <w:t xml:space="preserve">14. В случае несоответствия налоговых расходов </w:t>
      </w:r>
      <w:r w:rsidR="00A00E5C" w:rsidRPr="00BF64EE">
        <w:rPr>
          <w:sz w:val="28"/>
          <w:szCs w:val="28"/>
        </w:rPr>
        <w:t>Невьянского городского округа</w:t>
      </w:r>
      <w:r w:rsidRPr="00BF64EE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BF64EE">
          <w:rPr>
            <w:sz w:val="28"/>
            <w:szCs w:val="28"/>
          </w:rPr>
          <w:t>пункте 13</w:t>
        </w:r>
      </w:hyperlink>
      <w:r w:rsidRPr="00BF64EE">
        <w:rPr>
          <w:sz w:val="28"/>
          <w:szCs w:val="28"/>
        </w:rPr>
        <w:t xml:space="preserve"> настоящего Порядка, куратору налогового</w:t>
      </w:r>
      <w:r w:rsidR="00E87D4E" w:rsidRPr="00BF64EE">
        <w:rPr>
          <w:sz w:val="28"/>
          <w:szCs w:val="28"/>
        </w:rPr>
        <w:t xml:space="preserve"> расхода надлежит представить в Финансовое управление </w:t>
      </w:r>
      <w:r w:rsidRPr="00BF64EE">
        <w:rPr>
          <w:sz w:val="28"/>
          <w:szCs w:val="28"/>
        </w:rPr>
        <w:t xml:space="preserve">предложения </w:t>
      </w:r>
      <w:r w:rsidR="005C1D91" w:rsidRPr="00BF64EE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05">
        <w:rPr>
          <w:sz w:val="28"/>
          <w:szCs w:val="28"/>
        </w:rPr>
        <w:t xml:space="preserve">15. В качестве критерия результативности налогового расхода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 xml:space="preserve"> определяется </w:t>
      </w:r>
      <w:r w:rsidR="006B7A79" w:rsidRPr="00E80305">
        <w:rPr>
          <w:sz w:val="28"/>
          <w:szCs w:val="28"/>
        </w:rPr>
        <w:t>как минимум  один</w:t>
      </w:r>
      <w:r w:rsidRPr="00E80305">
        <w:rPr>
          <w:sz w:val="28"/>
          <w:szCs w:val="28"/>
        </w:rPr>
        <w:t xml:space="preserve"> показател</w:t>
      </w:r>
      <w:r w:rsidR="006B7A79" w:rsidRPr="00E80305">
        <w:rPr>
          <w:sz w:val="28"/>
          <w:szCs w:val="28"/>
        </w:rPr>
        <w:t>ь</w:t>
      </w:r>
      <w:r w:rsidRPr="00E80305">
        <w:rPr>
          <w:sz w:val="28"/>
          <w:szCs w:val="28"/>
        </w:rPr>
        <w:t xml:space="preserve"> (индикатора) достижения целей муниципальной программы</w:t>
      </w:r>
      <w:r w:rsidR="006B7A79" w:rsidRPr="00E80305">
        <w:rPr>
          <w:sz w:val="28"/>
          <w:szCs w:val="28"/>
        </w:rPr>
        <w:t xml:space="preserve"> Невьянского городского округа</w:t>
      </w:r>
      <w:r w:rsidR="00BF64EE">
        <w:rPr>
          <w:sz w:val="28"/>
          <w:szCs w:val="28"/>
        </w:rPr>
        <w:t xml:space="preserve">, </w:t>
      </w:r>
      <w:r w:rsidR="00BF64EE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Pr="00E80305">
        <w:rPr>
          <w:sz w:val="28"/>
          <w:szCs w:val="28"/>
        </w:rPr>
        <w:t xml:space="preserve"> и (или) целей социально-экономическо</w:t>
      </w:r>
      <w:r w:rsidR="00BF64EE">
        <w:rPr>
          <w:sz w:val="28"/>
          <w:szCs w:val="28"/>
        </w:rPr>
        <w:t xml:space="preserve">горазвития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>, не относящихся к муниципальным программам</w:t>
      </w:r>
      <w:r w:rsidR="00230739">
        <w:rPr>
          <w:sz w:val="28"/>
          <w:szCs w:val="28"/>
        </w:rPr>
        <w:t xml:space="preserve"> Невьянского городского </w:t>
      </w:r>
      <w:r w:rsidR="00230739">
        <w:rPr>
          <w:sz w:val="28"/>
          <w:szCs w:val="28"/>
        </w:rPr>
        <w:lastRenderedPageBreak/>
        <w:t>округа</w:t>
      </w:r>
      <w:r w:rsidRPr="00E80305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>.</w:t>
      </w:r>
    </w:p>
    <w:p w:rsidR="00690095" w:rsidRPr="0041581D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16. Оценка результативности налоговых расходов Невьянского городского округа включает оценку бюджетной эффективности налоговых расходов Невьянского городского округа.</w:t>
      </w:r>
    </w:p>
    <w:p w:rsidR="00690095" w:rsidRPr="00690095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Оценке подлежит вклад предусмотренных</w:t>
      </w:r>
      <w:r>
        <w:rPr>
          <w:sz w:val="28"/>
          <w:szCs w:val="28"/>
        </w:rPr>
        <w:t xml:space="preserve"> для плательщиков льгот  изменение значения показателя (индикатора) достижения целей муниципальной  программы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  и (или) целей социально-экономическо</w:t>
      </w:r>
      <w:r w:rsidR="005B3CC1">
        <w:rPr>
          <w:sz w:val="28"/>
          <w:szCs w:val="28"/>
        </w:rPr>
        <w:t>горазвития</w:t>
      </w:r>
      <w:r>
        <w:rPr>
          <w:sz w:val="28"/>
          <w:szCs w:val="28"/>
        </w:rPr>
        <w:t xml:space="preserve"> Невьянского городского округа, не относящихся к муниципальным  программам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</w:t>
      </w:r>
      <w:r w:rsidRPr="00690095">
        <w:rPr>
          <w:sz w:val="28"/>
          <w:szCs w:val="28"/>
        </w:rPr>
        <w:t>показателя (индикатора) без учета льгот.</w:t>
      </w:r>
    </w:p>
    <w:p w:rsidR="0041581D" w:rsidRDefault="0073346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95">
        <w:rPr>
          <w:sz w:val="28"/>
          <w:szCs w:val="28"/>
        </w:rPr>
        <w:t>1</w:t>
      </w:r>
      <w:r w:rsidR="00690095">
        <w:rPr>
          <w:sz w:val="28"/>
          <w:szCs w:val="28"/>
        </w:rPr>
        <w:t>7</w:t>
      </w:r>
      <w:r w:rsidRPr="00690095">
        <w:rPr>
          <w:sz w:val="28"/>
          <w:szCs w:val="28"/>
        </w:rPr>
        <w:t xml:space="preserve">. </w:t>
      </w:r>
      <w:r w:rsidR="00690095">
        <w:rPr>
          <w:sz w:val="28"/>
          <w:szCs w:val="28"/>
        </w:rPr>
        <w:t>В целях проведения оценки бюджетной эффективности налоговых расходов Невьянского городского округа осуществля</w:t>
      </w:r>
      <w:r w:rsidR="00800232">
        <w:rPr>
          <w:sz w:val="28"/>
          <w:szCs w:val="28"/>
        </w:rPr>
        <w:t>е</w:t>
      </w:r>
      <w:r w:rsidR="00690095">
        <w:rPr>
          <w:sz w:val="28"/>
          <w:szCs w:val="28"/>
        </w:rPr>
        <w:t>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 w:rsidR="0041581D">
        <w:rPr>
          <w:sz w:val="28"/>
          <w:szCs w:val="28"/>
        </w:rPr>
        <w:t>горазвития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муниципальным  программам Невьянского городского округа</w:t>
      </w:r>
      <w:r w:rsidR="00FB0ADB">
        <w:rPr>
          <w:sz w:val="28"/>
          <w:szCs w:val="28"/>
        </w:rPr>
        <w:t>.</w:t>
      </w:r>
    </w:p>
    <w:p w:rsidR="00690095" w:rsidRDefault="0041581D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</w:t>
      </w:r>
      <w:r w:rsidR="0069009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 xml:space="preserve">ет </w:t>
      </w:r>
      <w:r w:rsidR="00690095">
        <w:rPr>
          <w:sz w:val="28"/>
          <w:szCs w:val="28"/>
        </w:rPr>
        <w:t>сравнение объемов расходов местного бюджета в случае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>
        <w:rPr>
          <w:sz w:val="28"/>
          <w:szCs w:val="28"/>
        </w:rPr>
        <w:t>го 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</w:t>
      </w:r>
      <w:r w:rsidR="00510447">
        <w:rPr>
          <w:sz w:val="28"/>
          <w:szCs w:val="28"/>
        </w:rPr>
        <w:t xml:space="preserve">муниципальным </w:t>
      </w:r>
      <w:r w:rsidR="00690095">
        <w:rPr>
          <w:sz w:val="28"/>
          <w:szCs w:val="28"/>
        </w:rPr>
        <w:t xml:space="preserve">программам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, и объемов предоставленных льгот в случае предоставления и (или) планируемого предоставления льгот (расчет прироста показателя (индикатора) дости</w:t>
      </w:r>
      <w:r w:rsidR="00510447">
        <w:rPr>
          <w:sz w:val="28"/>
          <w:szCs w:val="28"/>
        </w:rPr>
        <w:t xml:space="preserve">жения целей муниципальной </w:t>
      </w:r>
      <w:r w:rsidR="0069009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 и (или) целей социально-экономическо</w:t>
      </w:r>
      <w:r>
        <w:rPr>
          <w:sz w:val="28"/>
          <w:szCs w:val="28"/>
        </w:rPr>
        <w:t xml:space="preserve">го развития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, не относящихся к </w:t>
      </w:r>
      <w:r w:rsidR="00510447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Невьянского городского округа</w:t>
      </w:r>
      <w:r w:rsidR="00690095">
        <w:rPr>
          <w:sz w:val="28"/>
          <w:szCs w:val="28"/>
        </w:rPr>
        <w:t xml:space="preserve">, на 1 рубль налоговых расходов </w:t>
      </w:r>
      <w:r w:rsidR="00510447">
        <w:rPr>
          <w:sz w:val="28"/>
          <w:szCs w:val="28"/>
        </w:rPr>
        <w:t xml:space="preserve">Невьянского городского округа </w:t>
      </w:r>
      <w:r w:rsidR="00690095">
        <w:rPr>
          <w:sz w:val="28"/>
          <w:szCs w:val="28"/>
        </w:rPr>
        <w:t xml:space="preserve"> и на 1 рубль расходов </w:t>
      </w:r>
      <w:r w:rsidR="00510447">
        <w:rPr>
          <w:sz w:val="28"/>
          <w:szCs w:val="28"/>
        </w:rPr>
        <w:t xml:space="preserve">местного </w:t>
      </w:r>
      <w:r w:rsidR="00690095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механизмов, а также оценк</w:t>
      </w:r>
      <w:r w:rsidR="008E19F5">
        <w:rPr>
          <w:sz w:val="28"/>
          <w:szCs w:val="28"/>
        </w:rPr>
        <w:t>у</w:t>
      </w:r>
      <w:r w:rsidR="00690095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.</w:t>
      </w:r>
    </w:p>
    <w:p w:rsidR="004046F7" w:rsidRPr="00510447" w:rsidRDefault="004046F7" w:rsidP="00CB3F8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 xml:space="preserve">18.В качестве альтернативных механизмов достижения целей муниципальной программы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и (или) целей социально-экономическо</w:t>
      </w:r>
      <w:r w:rsidR="00936611">
        <w:rPr>
          <w:sz w:val="28"/>
          <w:szCs w:val="28"/>
        </w:rPr>
        <w:t>горазвития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, не относящихся к муниципальным программам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>, могут учитываться в том числе: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 xml:space="preserve">б) предоставление муниципальных гарантий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6B2">
        <w:rPr>
          <w:sz w:val="28"/>
          <w:szCs w:val="28"/>
        </w:rPr>
        <w:t>19.</w:t>
      </w:r>
      <w:r w:rsidRPr="00A3132C">
        <w:rPr>
          <w:sz w:val="28"/>
          <w:szCs w:val="28"/>
        </w:rPr>
        <w:t xml:space="preserve">Оценка совокупного бюджетного эффекта (самоокупаемости)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</w:t>
      </w:r>
      <w:r w:rsidR="00510447" w:rsidRPr="00A3132C">
        <w:rPr>
          <w:sz w:val="28"/>
          <w:szCs w:val="28"/>
        </w:rPr>
        <w:t xml:space="preserve">оты по нескольким видам налогов </w:t>
      </w:r>
      <w:r w:rsidRPr="00A3132C">
        <w:rPr>
          <w:sz w:val="28"/>
          <w:szCs w:val="28"/>
        </w:rPr>
        <w:t xml:space="preserve"> оценка совокупного бюджетного эффекта </w:t>
      </w:r>
      <w:r w:rsidR="00733467" w:rsidRPr="00A3132C">
        <w:rPr>
          <w:sz w:val="28"/>
          <w:szCs w:val="28"/>
        </w:rPr>
        <w:t>стимулирующих налоговых расходов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в целом в отношении соответствующей категории плательщиков, имеющих льготы.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20.Оценка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(E) по следующей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7" w:rsidRPr="00F235CB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i - порядковый номер года, имеющий значение от 1 до 5;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m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575F6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j - порядковый номер плательщика, имеющий значение от 1 до m;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g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номинальный темп прироста доходов бюджета Невьянского городского округа в i-м году по отношению к базовому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ij</w:t>
      </w:r>
      <w:r w:rsidRPr="00A3132C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 j-м плательщиком в i-м году.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, оцениваются (прогнозируются) по данным кураторов налоговых расходов и </w:t>
      </w:r>
      <w:r w:rsidR="00A3132C">
        <w:rPr>
          <w:sz w:val="28"/>
          <w:szCs w:val="28"/>
        </w:rPr>
        <w:t>Финансового управления</w:t>
      </w:r>
      <w:r w:rsidRPr="00A3132C">
        <w:rPr>
          <w:sz w:val="28"/>
          <w:szCs w:val="28"/>
        </w:rPr>
        <w:t>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базовый объем налогов, сборов, задекларированных для уплаты в местный бюджет   j-м плательщиком в базовом году;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номинальный темп прироста доходов местного бюджета в i-м году по отношению к базовому году.</w:t>
      </w:r>
    </w:p>
    <w:p w:rsidR="00881FD6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Номинальный темп прироста доходов бюджетов бюджетной системы Российской Федерации от уплаты налогов, сборов, таможенных платежей и страховых взносов на обязательное социальное страхование определяется Министерством финансов Российской Федерации</w:t>
      </w:r>
      <w:r w:rsidR="00881FD6">
        <w:rPr>
          <w:sz w:val="28"/>
          <w:szCs w:val="28"/>
        </w:rPr>
        <w:t>.</w:t>
      </w:r>
    </w:p>
    <w:p w:rsidR="00A3132C" w:rsidRDefault="00A3132C" w:rsidP="0077078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 - расчетная стоимость среднесрочных рыночных заимствований</w:t>
      </w:r>
      <w:r w:rsidR="00881FD6">
        <w:rPr>
          <w:sz w:val="28"/>
          <w:szCs w:val="28"/>
        </w:rPr>
        <w:t xml:space="preserve"> определяется в соответствии с постановлением </w:t>
      </w:r>
      <w:r w:rsidR="00881FD6" w:rsidRPr="00AC6031">
        <w:rPr>
          <w:sz w:val="28"/>
          <w:szCs w:val="28"/>
        </w:rPr>
        <w:t xml:space="preserve">Правительства Российской Федерации от 22.06.2019 № 796 «Об общих требованиях к оценке налоговых </w:t>
      </w:r>
      <w:r w:rsidR="00881FD6" w:rsidRPr="00AC6031">
        <w:rPr>
          <w:sz w:val="28"/>
          <w:szCs w:val="28"/>
        </w:rPr>
        <w:lastRenderedPageBreak/>
        <w:t xml:space="preserve">расходов субъектов  Российской Федерации и муниципальных образований», </w:t>
      </w:r>
      <w:r>
        <w:rPr>
          <w:sz w:val="28"/>
          <w:szCs w:val="28"/>
        </w:rPr>
        <w:t xml:space="preserve"> принимае</w:t>
      </w:r>
      <w:r w:rsidR="00881F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на уровне 7,5 процента.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21.</w:t>
      </w:r>
      <w:r w:rsidR="00F03651" w:rsidRPr="00A3132C">
        <w:rPr>
          <w:sz w:val="28"/>
          <w:szCs w:val="28"/>
        </w:rPr>
        <w:t xml:space="preserve">Базовый объем налогов, </w:t>
      </w:r>
      <w:r w:rsidR="004046F7" w:rsidRPr="00A3132C">
        <w:rPr>
          <w:sz w:val="28"/>
          <w:szCs w:val="28"/>
        </w:rPr>
        <w:t xml:space="preserve">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="004046F7" w:rsidRPr="00A3132C">
        <w:rPr>
          <w:sz w:val="28"/>
          <w:szCs w:val="28"/>
        </w:rPr>
        <w:t xml:space="preserve"> j-м плательщиком в базовом году (B</w:t>
      </w:r>
      <w:r w:rsidR="004046F7" w:rsidRPr="00A3132C">
        <w:rPr>
          <w:sz w:val="28"/>
          <w:szCs w:val="28"/>
          <w:vertAlign w:val="subscript"/>
        </w:rPr>
        <w:t>0j</w:t>
      </w:r>
      <w:r w:rsidR="004046F7" w:rsidRPr="00A3132C">
        <w:rPr>
          <w:sz w:val="28"/>
          <w:szCs w:val="28"/>
        </w:rPr>
        <w:t>), рассчитывается по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sz w:val="28"/>
          <w:szCs w:val="28"/>
        </w:rPr>
        <w:t>B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= 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+ 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>,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j-м плательщиком в базовом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Под базовым годом 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936611">
        <w:rPr>
          <w:sz w:val="28"/>
          <w:szCs w:val="28"/>
        </w:rPr>
        <w:t>2</w:t>
      </w:r>
      <w:r w:rsidRPr="00A3132C">
        <w:rPr>
          <w:sz w:val="28"/>
          <w:szCs w:val="28"/>
        </w:rPr>
        <w:t xml:space="preserve">. Куратор налогового расхода в рамках </w:t>
      </w:r>
      <w:r w:rsidR="006B64EA">
        <w:rPr>
          <w:sz w:val="28"/>
          <w:szCs w:val="28"/>
        </w:rPr>
        <w:t xml:space="preserve">порядка </w:t>
      </w:r>
      <w:r w:rsidR="00936611">
        <w:rPr>
          <w:sz w:val="28"/>
          <w:szCs w:val="28"/>
        </w:rPr>
        <w:t xml:space="preserve"> оценки эффективности налоговых расходов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>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1D78DC">
        <w:rPr>
          <w:sz w:val="28"/>
          <w:szCs w:val="28"/>
        </w:rPr>
        <w:t>3</w:t>
      </w:r>
      <w:r w:rsidRPr="00A3132C">
        <w:rPr>
          <w:sz w:val="28"/>
          <w:szCs w:val="28"/>
        </w:rPr>
        <w:t xml:space="preserve">. По итогам оценки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>: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 xml:space="preserve">-о значимости вклада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в достижение соответствующих показателей (индикаторов);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2</w:t>
      </w:r>
      <w:r w:rsidR="001D78DC">
        <w:rPr>
          <w:sz w:val="28"/>
          <w:szCs w:val="28"/>
        </w:rPr>
        <w:t>4</w:t>
      </w:r>
      <w:r w:rsidRPr="006B64EA">
        <w:rPr>
          <w:sz w:val="28"/>
          <w:szCs w:val="28"/>
        </w:rPr>
        <w:t>. По</w:t>
      </w:r>
      <w:r w:rsidRPr="004354E9">
        <w:rPr>
          <w:sz w:val="28"/>
          <w:szCs w:val="28"/>
        </w:rPr>
        <w:t xml:space="preserve"> результатам оценки эффективности соответствующих налоговых расходов куратор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4046F7" w:rsidRDefault="006B64E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Р</w:t>
      </w:r>
      <w:r w:rsidR="004046F7" w:rsidRPr="00472F61">
        <w:rPr>
          <w:sz w:val="28"/>
          <w:szCs w:val="28"/>
        </w:rPr>
        <w:t xml:space="preserve">езультаты оценки эффективности налоговых расходов </w:t>
      </w:r>
      <w:r w:rsidR="00A00E5C" w:rsidRPr="00472F61">
        <w:rPr>
          <w:sz w:val="28"/>
          <w:szCs w:val="28"/>
        </w:rPr>
        <w:t>Невьянского городского округа</w:t>
      </w:r>
      <w:r w:rsidR="004046F7" w:rsidRPr="00472F61">
        <w:rPr>
          <w:sz w:val="28"/>
          <w:szCs w:val="28"/>
        </w:rPr>
        <w:t xml:space="preserve">, рекомендации по результатам указанной оценки </w:t>
      </w:r>
      <w:r w:rsidR="00770783" w:rsidRPr="00472F61">
        <w:rPr>
          <w:sz w:val="28"/>
          <w:szCs w:val="28"/>
        </w:rPr>
        <w:t xml:space="preserve">направляются </w:t>
      </w:r>
      <w:r w:rsidR="004046F7" w:rsidRPr="00472F61">
        <w:rPr>
          <w:sz w:val="28"/>
          <w:szCs w:val="28"/>
        </w:rPr>
        <w:t xml:space="preserve">кураторами налоговых расходов в </w:t>
      </w:r>
      <w:r w:rsidR="00F235CB" w:rsidRPr="00472F61">
        <w:rPr>
          <w:sz w:val="28"/>
          <w:szCs w:val="28"/>
        </w:rPr>
        <w:t>Финансовое управление</w:t>
      </w:r>
      <w:r w:rsidR="004046F7" w:rsidRPr="00472F61">
        <w:rPr>
          <w:sz w:val="28"/>
          <w:szCs w:val="28"/>
        </w:rPr>
        <w:t xml:space="preserve"> ежегодно, до 1 ок</w:t>
      </w:r>
      <w:r w:rsidR="00472F61" w:rsidRPr="00472F61">
        <w:rPr>
          <w:sz w:val="28"/>
          <w:szCs w:val="28"/>
        </w:rPr>
        <w:t>тября текущего финансового года</w:t>
      </w:r>
      <w:r w:rsidR="00770783" w:rsidRPr="00472F61">
        <w:rPr>
          <w:sz w:val="28"/>
          <w:szCs w:val="28"/>
        </w:rPr>
        <w:t>,  по макету согласно приложению № 3 к настоящему Порядку</w:t>
      </w:r>
      <w:r w:rsidR="004046F7" w:rsidRPr="00472F61">
        <w:rPr>
          <w:sz w:val="28"/>
          <w:szCs w:val="28"/>
        </w:rPr>
        <w:t>.</w:t>
      </w:r>
    </w:p>
    <w:p w:rsidR="004354E9" w:rsidRDefault="004354E9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8DC">
        <w:rPr>
          <w:sz w:val="28"/>
          <w:szCs w:val="28"/>
        </w:rPr>
        <w:t>5</w:t>
      </w:r>
      <w:r>
        <w:rPr>
          <w:sz w:val="28"/>
          <w:szCs w:val="28"/>
        </w:rPr>
        <w:t>. Финансовое управление обобщает результаты оценки налоговых расходов Невьянского городского округа и представляет их для рассмотрения  Главе Нев</w:t>
      </w:r>
      <w:r w:rsidR="006B64EA">
        <w:rPr>
          <w:sz w:val="28"/>
          <w:szCs w:val="28"/>
        </w:rPr>
        <w:t>ьянского городского округа и в Д</w:t>
      </w:r>
      <w:r>
        <w:rPr>
          <w:sz w:val="28"/>
          <w:szCs w:val="28"/>
        </w:rPr>
        <w:t>уму Невьянского городского округа.</w:t>
      </w:r>
    </w:p>
    <w:p w:rsidR="0018141A" w:rsidRDefault="004354E9" w:rsidP="0015578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Результаты рассмотрения оценки налоговых расходов </w:t>
      </w:r>
      <w:r w:rsidR="006B64EA">
        <w:rPr>
          <w:sz w:val="28"/>
          <w:szCs w:val="28"/>
        </w:rPr>
        <w:t>Н</w:t>
      </w:r>
      <w:r>
        <w:rPr>
          <w:sz w:val="28"/>
          <w:szCs w:val="28"/>
        </w:rPr>
        <w:t xml:space="preserve">евьянского городского округа  учитываются при формировании основных направлений бюджетной и налоговой  политики Невьянского городского округа, а также при проведении оценки эффективности реализации муниципальных </w:t>
      </w:r>
      <w:r w:rsidR="006B64E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Невьянского городского округа.</w:t>
      </w: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3"/>
          <w:headerReference w:type="first" r:id="rId14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D730F3">
        <w:trPr>
          <w:trHeight w:val="1147"/>
        </w:trPr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C71CF4" w:rsidRPr="00C71CF4" w:rsidRDefault="00C71CF4" w:rsidP="00C71CF4">
            <w:pPr>
              <w:rPr>
                <w:rFonts w:ascii="PT Astra Serif" w:hAnsi="PT Astra Serif"/>
              </w:rPr>
            </w:pPr>
            <w:r w:rsidRPr="00C71CF4">
              <w:rPr>
                <w:rFonts w:ascii="PT Astra Serif" w:hAnsi="PT Astra Serif"/>
              </w:rPr>
              <w:t>Приложение № 1</w:t>
            </w:r>
          </w:p>
          <w:p w:rsidR="00C71CF4" w:rsidRPr="00C71CF4" w:rsidRDefault="00C71CF4" w:rsidP="00C71CF4">
            <w:pPr>
              <w:rPr>
                <w:rFonts w:ascii="PT Astra Serif" w:hAnsi="PT Astra Serif"/>
              </w:rPr>
            </w:pPr>
            <w:r w:rsidRPr="00C71CF4">
              <w:rPr>
                <w:rFonts w:ascii="PT Astra Serif" w:hAnsi="PT Astra Serif"/>
              </w:rPr>
              <w:t xml:space="preserve">к Порядку формирования перечня </w:t>
            </w:r>
          </w:p>
          <w:p w:rsidR="00D730F3" w:rsidRDefault="00D730F3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налоговых расходов Невьянского </w:t>
            </w:r>
          </w:p>
          <w:p w:rsidR="00B7483C" w:rsidRDefault="00D730F3" w:rsidP="00D730F3">
            <w:pPr>
              <w:ind w:left="3635" w:hanging="363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городского округа  </w:t>
            </w:r>
            <w:r w:rsidR="00C71CF4" w:rsidRPr="00C71CF4">
              <w:rPr>
                <w:rFonts w:ascii="PT Astra Serif" w:hAnsi="PT Astra Serif"/>
              </w:rPr>
              <w:t xml:space="preserve">и оценки  </w:t>
            </w:r>
            <w:r>
              <w:rPr>
                <w:rFonts w:ascii="PT Astra Serif" w:hAnsi="PT Astra Serif"/>
              </w:rPr>
              <w:t xml:space="preserve">налоговых </w:t>
            </w:r>
          </w:p>
          <w:p w:rsidR="00C71CF4" w:rsidRPr="00330CF0" w:rsidRDefault="00D730F3" w:rsidP="00D730F3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расходов Невьянского городского округа                                       </w:t>
            </w:r>
          </w:p>
        </w:tc>
      </w:tr>
    </w:tbl>
    <w:p w:rsidR="00C71CF4" w:rsidRPr="00ED2F42" w:rsidRDefault="00C71CF4" w:rsidP="00C71CF4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 xml:space="preserve">налоговых расходов Невьянского городского округа </w:t>
      </w:r>
    </w:p>
    <w:p w:rsidR="00C71CF4" w:rsidRPr="00330CF0" w:rsidRDefault="00C71CF4" w:rsidP="00C71CF4">
      <w:pPr>
        <w:jc w:val="center"/>
        <w:rPr>
          <w:rFonts w:ascii="PT Astra Serif" w:hAnsi="PT Astra Serif"/>
          <w:b/>
          <w:highlight w:val="yellow"/>
        </w:rPr>
      </w:pPr>
    </w:p>
    <w:tbl>
      <w:tblPr>
        <w:tblStyle w:val="a6"/>
        <w:tblW w:w="157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79"/>
        <w:gridCol w:w="2693"/>
        <w:gridCol w:w="2644"/>
        <w:gridCol w:w="1678"/>
        <w:gridCol w:w="1762"/>
        <w:gridCol w:w="2013"/>
      </w:tblGrid>
      <w:tr w:rsidR="00ED2F42" w:rsidRPr="00330CF0" w:rsidTr="00ED2F42">
        <w:trPr>
          <w:trHeight w:val="3744"/>
          <w:jc w:val="center"/>
        </w:trPr>
        <w:tc>
          <w:tcPr>
            <w:tcW w:w="704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№ п/п</w:t>
            </w:r>
          </w:p>
        </w:tc>
        <w:tc>
          <w:tcPr>
            <w:tcW w:w="4279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Наименование налогового расхода по категориям налогоплательщиков</w:t>
            </w:r>
          </w:p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Наименование муниципальной программы Невьянского городского округа</w:t>
            </w:r>
            <w:r w:rsidRPr="00515637">
              <w:t>, в целях реализации которой предоставляются налоговые льготы, освобождения и иные преференции</w:t>
            </w:r>
          </w:p>
        </w:tc>
        <w:tc>
          <w:tcPr>
            <w:tcW w:w="2644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t>Наименования структурных элементов муниципальной программы Невьянского городского округа,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678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Целевая категория налоговых расходов</w:t>
            </w:r>
          </w:p>
        </w:tc>
        <w:tc>
          <w:tcPr>
            <w:tcW w:w="1762" w:type="dxa"/>
            <w:vAlign w:val="center"/>
          </w:tcPr>
          <w:p w:rsidR="00ED2F42" w:rsidRPr="00515637" w:rsidRDefault="00ED2F42" w:rsidP="00ED2F42">
            <w:pPr>
              <w:autoSpaceDE w:val="0"/>
              <w:autoSpaceDN w:val="0"/>
              <w:adjustRightInd w:val="0"/>
              <w:jc w:val="center"/>
            </w:pPr>
            <w:r w:rsidRPr="00515637">
              <w:t>Цели предоставления налоговых расходов</w:t>
            </w:r>
          </w:p>
        </w:tc>
        <w:tc>
          <w:tcPr>
            <w:tcW w:w="2013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1</w:t>
            </w:r>
          </w:p>
        </w:tc>
        <w:tc>
          <w:tcPr>
            <w:tcW w:w="4279" w:type="dxa"/>
          </w:tcPr>
          <w:p w:rsidR="00ED2F42" w:rsidRPr="00515637" w:rsidRDefault="00ED2F42" w:rsidP="00EE3EB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3</w:t>
            </w:r>
          </w:p>
        </w:tc>
        <w:tc>
          <w:tcPr>
            <w:tcW w:w="2644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4</w:t>
            </w:r>
          </w:p>
        </w:tc>
        <w:tc>
          <w:tcPr>
            <w:tcW w:w="1678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5</w:t>
            </w:r>
          </w:p>
        </w:tc>
        <w:tc>
          <w:tcPr>
            <w:tcW w:w="1762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6</w:t>
            </w:r>
          </w:p>
        </w:tc>
        <w:tc>
          <w:tcPr>
            <w:tcW w:w="2013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7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1.</w:t>
            </w:r>
          </w:p>
        </w:tc>
        <w:tc>
          <w:tcPr>
            <w:tcW w:w="15069" w:type="dxa"/>
            <w:gridSpan w:val="6"/>
          </w:tcPr>
          <w:p w:rsidR="00ED2F42" w:rsidRPr="00ED2F42" w:rsidRDefault="00ED2F42" w:rsidP="005D1FE2">
            <w:pPr>
              <w:tabs>
                <w:tab w:val="left" w:pos="346"/>
              </w:tabs>
              <w:jc w:val="center"/>
              <w:rPr>
                <w:rFonts w:ascii="PT Astra Serif" w:hAnsi="PT Astra Serif"/>
                <w:b/>
              </w:rPr>
            </w:pPr>
            <w:r w:rsidRPr="00ED2F42">
              <w:rPr>
                <w:sz w:val="28"/>
                <w:szCs w:val="28"/>
              </w:rPr>
              <w:t>Налоговые расходы по налогу на имущество физических лиц в соответствии с решением Думы Невьянского городского округа от</w:t>
            </w:r>
            <w:r w:rsidR="005D1FE2">
              <w:rPr>
                <w:sz w:val="28"/>
                <w:szCs w:val="28"/>
              </w:rPr>
              <w:t>_______  № ____</w:t>
            </w:r>
            <w:r w:rsidRPr="00ED2F42">
              <w:rPr>
                <w:sz w:val="28"/>
                <w:szCs w:val="28"/>
              </w:rPr>
              <w:t xml:space="preserve"> «</w:t>
            </w:r>
            <w:r w:rsidR="005D1FE2">
              <w:rPr>
                <w:sz w:val="28"/>
                <w:szCs w:val="28"/>
              </w:rPr>
              <w:t>…</w:t>
            </w:r>
            <w:r w:rsidRPr="00ED2F42">
              <w:rPr>
                <w:sz w:val="28"/>
                <w:szCs w:val="28"/>
              </w:rPr>
              <w:t>»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2.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3.</w:t>
            </w:r>
          </w:p>
        </w:tc>
        <w:tc>
          <w:tcPr>
            <w:tcW w:w="15069" w:type="dxa"/>
            <w:gridSpan w:val="6"/>
          </w:tcPr>
          <w:p w:rsidR="00ED2F42" w:rsidRPr="00ED2F42" w:rsidRDefault="00ED2F42" w:rsidP="00ED2F4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D2F42">
              <w:rPr>
                <w:b w:val="0"/>
                <w:sz w:val="28"/>
                <w:szCs w:val="28"/>
              </w:rPr>
              <w:t xml:space="preserve">Налоговые расходы по земельному налогу в соответствии  с решением Думы Невьянского городского округа </w:t>
            </w:r>
            <w:r w:rsidR="003E201B" w:rsidRPr="00ED2F42">
              <w:rPr>
                <w:b w:val="0"/>
                <w:sz w:val="28"/>
                <w:szCs w:val="28"/>
              </w:rPr>
              <w:fldChar w:fldCharType="begin"/>
            </w:r>
            <w:r w:rsidRPr="00ED2F42">
              <w:rPr>
                <w:b w:val="0"/>
                <w:sz w:val="28"/>
                <w:szCs w:val="28"/>
              </w:rPr>
              <w:instrText xml:space="preserve"> FILLIN  "О чем решение?" \d "О чём-то, наверное, очень важном..." \o  \* MERGEFORMAT </w:instrText>
            </w:r>
            <w:r w:rsidR="003E201B" w:rsidRPr="00ED2F42">
              <w:rPr>
                <w:b w:val="0"/>
                <w:sz w:val="28"/>
                <w:szCs w:val="28"/>
              </w:rPr>
              <w:fldChar w:fldCharType="separate"/>
            </w:r>
          </w:p>
          <w:p w:rsidR="00ED2F42" w:rsidRPr="00ED2F42" w:rsidRDefault="005D1FE2" w:rsidP="005D1FE2">
            <w:pPr>
              <w:tabs>
                <w:tab w:val="left" w:pos="0"/>
                <w:tab w:val="left" w:pos="1276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______</w:t>
            </w:r>
            <w:r w:rsidR="00ED2F42" w:rsidRPr="00ED2F4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______ </w:t>
            </w:r>
            <w:r w:rsidR="00ED2F42" w:rsidRPr="00ED2F4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……</w:t>
            </w:r>
            <w:r w:rsidR="00ED2F42" w:rsidRPr="00ED2F42">
              <w:rPr>
                <w:rStyle w:val="FontStyle15"/>
                <w:rFonts w:eastAsia="Calibri"/>
                <w:b w:val="0"/>
                <w:sz w:val="28"/>
                <w:szCs w:val="28"/>
              </w:rPr>
              <w:t>»</w:t>
            </w:r>
            <w:r w:rsidR="003E201B" w:rsidRPr="00ED2F42">
              <w:rPr>
                <w:sz w:val="28"/>
                <w:szCs w:val="28"/>
              </w:rPr>
              <w:fldChar w:fldCharType="end"/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…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</w:tbl>
    <w:p w:rsidR="001F39EF" w:rsidRDefault="001F39EF" w:rsidP="008C543A">
      <w:pPr>
        <w:autoSpaceDE w:val="0"/>
        <w:autoSpaceDN w:val="0"/>
        <w:adjustRightInd w:val="0"/>
        <w:jc w:val="center"/>
        <w:outlineLvl w:val="1"/>
      </w:pPr>
    </w:p>
    <w:p w:rsidR="00A8768E" w:rsidRDefault="00A8768E" w:rsidP="008C543A">
      <w:pPr>
        <w:autoSpaceDE w:val="0"/>
        <w:autoSpaceDN w:val="0"/>
        <w:adjustRightInd w:val="0"/>
        <w:jc w:val="center"/>
        <w:outlineLvl w:val="1"/>
        <w:sectPr w:rsidR="00A8768E" w:rsidSect="00C71CF4">
          <w:pgSz w:w="16838" w:h="11906" w:orient="landscape"/>
          <w:pgMar w:top="709" w:right="993" w:bottom="707" w:left="851" w:header="708" w:footer="708" w:gutter="0"/>
          <w:cols w:space="708"/>
          <w:titlePg/>
          <w:docGrid w:linePitch="381"/>
        </w:sectPr>
      </w:pPr>
    </w:p>
    <w:p w:rsidR="00F235CB" w:rsidRPr="004816C7" w:rsidRDefault="00B7483C" w:rsidP="008C543A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</w:t>
      </w:r>
      <w:r w:rsidR="00F235CB" w:rsidRPr="004816C7">
        <w:t>Приложение</w:t>
      </w:r>
      <w:r>
        <w:t xml:space="preserve"> </w:t>
      </w:r>
      <w:r w:rsidR="004816C7" w:rsidRPr="004816C7">
        <w:t>№ 2</w:t>
      </w:r>
    </w:p>
    <w:p w:rsidR="00A42755" w:rsidRDefault="00B7483C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</w:t>
      </w:r>
      <w:r w:rsidR="00F235CB" w:rsidRPr="004816C7">
        <w:t xml:space="preserve">к Порядку формирования перечня  </w:t>
      </w:r>
    </w:p>
    <w:p w:rsidR="00F235CB" w:rsidRPr="004816C7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налоговых расходов Невьянского </w:t>
      </w:r>
    </w:p>
    <w:p w:rsidR="00F235CB" w:rsidRPr="004816C7" w:rsidRDefault="00A42755" w:rsidP="00A42755">
      <w:pPr>
        <w:autoSpaceDE w:val="0"/>
        <w:autoSpaceDN w:val="0"/>
        <w:adjustRightInd w:val="0"/>
        <w:ind w:left="5387" w:hanging="5387"/>
      </w:pPr>
      <w:r>
        <w:t xml:space="preserve">                                                                                          городского округа </w:t>
      </w:r>
      <w:r w:rsidR="00F235CB" w:rsidRPr="004816C7">
        <w:t xml:space="preserve">и оценки </w:t>
      </w:r>
      <w:r>
        <w:t xml:space="preserve"> налоговых                                                                                                                                                                   </w:t>
      </w:r>
      <w:r w:rsidR="00F235CB" w:rsidRPr="004816C7">
        <w:t>расходов Невьянско</w:t>
      </w:r>
      <w:r>
        <w:t>го</w:t>
      </w:r>
      <w:r w:rsidR="00F235CB" w:rsidRPr="004816C7">
        <w:t xml:space="preserve"> городско</w:t>
      </w:r>
      <w:r>
        <w:t>го</w:t>
      </w:r>
      <w:r w:rsidR="00F235CB" w:rsidRPr="004816C7">
        <w:t xml:space="preserve"> округ</w:t>
      </w:r>
      <w:r>
        <w:t>а</w:t>
      </w:r>
    </w:p>
    <w:p w:rsidR="00F235CB" w:rsidRPr="00A77E85" w:rsidRDefault="00F235CB" w:rsidP="00F235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A77E85">
        <w:rPr>
          <w:b/>
          <w:sz w:val="28"/>
          <w:szCs w:val="28"/>
        </w:rPr>
        <w:t>Перечень информации,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>включаемой в паспорт налогового расхода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 xml:space="preserve"> Невьянско</w:t>
      </w:r>
      <w:r w:rsidR="008C543A" w:rsidRPr="00A77E85">
        <w:rPr>
          <w:b/>
          <w:sz w:val="28"/>
          <w:szCs w:val="28"/>
        </w:rPr>
        <w:t xml:space="preserve">го </w:t>
      </w:r>
      <w:r w:rsidRPr="00A77E85">
        <w:rPr>
          <w:b/>
          <w:sz w:val="28"/>
          <w:szCs w:val="28"/>
        </w:rPr>
        <w:t>городско</w:t>
      </w:r>
      <w:r w:rsidR="008C543A" w:rsidRPr="00A77E85">
        <w:rPr>
          <w:b/>
          <w:sz w:val="28"/>
          <w:szCs w:val="28"/>
        </w:rPr>
        <w:t>го</w:t>
      </w:r>
      <w:r w:rsidRPr="00A77E85">
        <w:rPr>
          <w:b/>
          <w:sz w:val="28"/>
          <w:szCs w:val="28"/>
        </w:rPr>
        <w:t xml:space="preserve"> округ</w:t>
      </w:r>
      <w:r w:rsidR="008C543A" w:rsidRPr="00A77E85">
        <w:rPr>
          <w:b/>
          <w:sz w:val="28"/>
          <w:szCs w:val="28"/>
        </w:rPr>
        <w:t>а</w:t>
      </w:r>
    </w:p>
    <w:p w:rsidR="00F235CB" w:rsidRPr="004816C7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F235CB" w:rsidRPr="004816C7" w:rsidTr="00F235CB">
        <w:trPr>
          <w:trHeight w:val="324"/>
        </w:trPr>
        <w:tc>
          <w:tcPr>
            <w:tcW w:w="6408" w:type="dxa"/>
            <w:gridSpan w:val="2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Источник данных</w:t>
            </w:r>
          </w:p>
        </w:tc>
      </w:tr>
      <w:tr w:rsidR="00F235CB" w:rsidRPr="004816C7" w:rsidTr="00F235CB">
        <w:trPr>
          <w:trHeight w:val="320"/>
        </w:trPr>
        <w:tc>
          <w:tcPr>
            <w:tcW w:w="9787" w:type="dxa"/>
            <w:gridSpan w:val="3"/>
          </w:tcPr>
          <w:p w:rsidR="00F235CB" w:rsidRPr="00A77E85" w:rsidRDefault="00F235CB" w:rsidP="004816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</w:p>
        </w:tc>
      </w:tr>
      <w:tr w:rsidR="00F235CB" w:rsidRPr="00334901" w:rsidTr="00F235CB">
        <w:trPr>
          <w:trHeight w:val="894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1137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932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892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710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237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328"/>
        </w:trPr>
        <w:tc>
          <w:tcPr>
            <w:tcW w:w="50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12"/>
        </w:trPr>
        <w:tc>
          <w:tcPr>
            <w:tcW w:w="9787" w:type="dxa"/>
            <w:gridSpan w:val="3"/>
            <w:vAlign w:val="center"/>
          </w:tcPr>
          <w:p w:rsidR="00F235CB" w:rsidRPr="00334901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80769F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80769F" w:rsidRPr="00334901" w:rsidTr="00ED2F42">
        <w:trPr>
          <w:trHeight w:val="456"/>
        </w:trPr>
        <w:tc>
          <w:tcPr>
            <w:tcW w:w="50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9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80769F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636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9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F235CB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3595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социально-экономической </w:t>
            </w:r>
            <w:r w:rsidR="0080769F" w:rsidRPr="00A77E85">
              <w:rPr>
                <w:sz w:val="28"/>
                <w:szCs w:val="28"/>
              </w:rPr>
              <w:t>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относящиеся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 (</w:t>
            </w:r>
            <w:r w:rsidRPr="00A77E85">
              <w:rPr>
                <w:sz w:val="28"/>
                <w:szCs w:val="28"/>
              </w:rPr>
              <w:t>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1272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1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  <w:r w:rsidR="000E46DE" w:rsidRPr="00A77E85">
              <w:rPr>
                <w:sz w:val="28"/>
                <w:szCs w:val="28"/>
              </w:rPr>
              <w:t>и данные куратора налогового расхода</w:t>
            </w:r>
          </w:p>
        </w:tc>
      </w:tr>
      <w:tr w:rsidR="00F235CB" w:rsidRPr="00334901" w:rsidTr="00F235CB">
        <w:trPr>
          <w:trHeight w:val="3286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2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80769F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и (или</w:t>
            </w:r>
            <w:r w:rsidR="0080769F" w:rsidRPr="00A77E85">
              <w:rPr>
                <w:sz w:val="28"/>
                <w:szCs w:val="28"/>
              </w:rPr>
              <w:t>) целей социально-экономического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454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80769F" w:rsidRPr="00A77E85">
              <w:rPr>
                <w:sz w:val="28"/>
                <w:szCs w:val="28"/>
              </w:rPr>
              <w:t>3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80769F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З</w:t>
            </w:r>
            <w:r w:rsidR="00F235CB" w:rsidRPr="00A77E85">
              <w:rPr>
                <w:sz w:val="28"/>
                <w:szCs w:val="28"/>
              </w:rPr>
              <w:t>начения показателей (индикаторов) достижения целей муниципальных программ</w:t>
            </w:r>
            <w:r w:rsidRPr="00A77E85">
              <w:rPr>
                <w:sz w:val="28"/>
                <w:szCs w:val="28"/>
              </w:rPr>
              <w:t xml:space="preserve"> Невьянского городского округа </w:t>
            </w:r>
            <w:r w:rsidR="00F235CB"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="00F235CB"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Pr="00A77E85">
              <w:rPr>
                <w:sz w:val="28"/>
                <w:szCs w:val="28"/>
              </w:rPr>
              <w:t>Невьянского городского округа</w:t>
            </w:r>
            <w:r w:rsidR="00F235CB"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819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4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0E46DE"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0E46DE">
        <w:trPr>
          <w:trHeight w:val="342"/>
        </w:trPr>
        <w:tc>
          <w:tcPr>
            <w:tcW w:w="9787" w:type="dxa"/>
            <w:gridSpan w:val="3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F235CB" w:rsidRPr="00334901" w:rsidTr="00F235CB">
        <w:trPr>
          <w:trHeight w:val="1324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5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F235CB" w:rsidRPr="00A77E85" w:rsidRDefault="001F39EF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</w:t>
            </w:r>
            <w:r w:rsidR="00F235CB" w:rsidRPr="00A77E85">
              <w:rPr>
                <w:sz w:val="28"/>
                <w:szCs w:val="28"/>
              </w:rPr>
              <w:t>,</w:t>
            </w:r>
            <w:r w:rsidR="00334901" w:rsidRPr="00A77E85">
              <w:rPr>
                <w:sz w:val="28"/>
                <w:szCs w:val="28"/>
              </w:rPr>
              <w:t xml:space="preserve"> Финансовое управление</w:t>
            </w:r>
          </w:p>
        </w:tc>
      </w:tr>
      <w:tr w:rsidR="00F235CB" w:rsidRPr="00334901" w:rsidTr="00F235CB">
        <w:trPr>
          <w:trHeight w:val="164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6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F235CB" w:rsidRPr="00A77E85" w:rsidRDefault="00334901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Финансовое управление</w:t>
            </w:r>
          </w:p>
        </w:tc>
      </w:tr>
      <w:tr w:rsidR="00F235CB" w:rsidRPr="00334901" w:rsidTr="00F235CB">
        <w:trPr>
          <w:trHeight w:val="108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7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496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8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935"/>
        </w:trPr>
        <w:tc>
          <w:tcPr>
            <w:tcW w:w="509" w:type="dxa"/>
          </w:tcPr>
          <w:p w:rsidR="00F235CB" w:rsidRPr="00A77E85" w:rsidRDefault="00F235CB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1F39EF" w:rsidRPr="00A77E85">
              <w:rPr>
                <w:sz w:val="28"/>
                <w:szCs w:val="28"/>
              </w:rPr>
              <w:t>9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334901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6F3120" w:rsidTr="001F39EF">
        <w:trPr>
          <w:trHeight w:val="2298"/>
        </w:trPr>
        <w:tc>
          <w:tcPr>
            <w:tcW w:w="509" w:type="dxa"/>
          </w:tcPr>
          <w:p w:rsidR="00F235CB" w:rsidRPr="00A77E85" w:rsidRDefault="001F39EF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Объем налогов, сборов задекларированный для уплаты в уплаты в бюджет </w:t>
            </w:r>
            <w:r w:rsidR="00334901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</w:tbl>
    <w:p w:rsidR="00F235CB" w:rsidRDefault="00F235CB" w:rsidP="00F23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5CB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Pr="0084704A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Default="00032376" w:rsidP="00032376">
      <w:pPr>
        <w:jc w:val="center"/>
        <w:rPr>
          <w:rFonts w:ascii="PT Astra Serif" w:hAnsi="PT Astra Serif"/>
          <w:b/>
        </w:rPr>
        <w:sectPr w:rsidR="00032376" w:rsidSect="00A42755">
          <w:pgSz w:w="11906" w:h="16838"/>
          <w:pgMar w:top="993" w:right="424" w:bottom="851" w:left="1701" w:header="708" w:footer="708" w:gutter="0"/>
          <w:cols w:space="708"/>
          <w:titlePg/>
          <w:docGrid w:linePitch="381"/>
        </w:sectPr>
      </w:pPr>
    </w:p>
    <w:p w:rsidR="00A42755" w:rsidRPr="004816C7" w:rsidRDefault="00B7483C" w:rsidP="00B7483C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</w:t>
      </w:r>
      <w:r w:rsidR="00A42755" w:rsidRPr="004816C7">
        <w:t>Приложение</w:t>
      </w:r>
      <w:r>
        <w:t xml:space="preserve"> </w:t>
      </w:r>
      <w:r w:rsidR="00A42755" w:rsidRPr="004816C7">
        <w:t xml:space="preserve">№ </w:t>
      </w:r>
      <w:r w:rsidR="00A42755">
        <w:t>3</w:t>
      </w:r>
    </w:p>
    <w:p w:rsidR="00A42755" w:rsidRDefault="00B7483C" w:rsidP="00B7483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  <w:r w:rsidR="00A42755" w:rsidRPr="004816C7">
        <w:t xml:space="preserve">к Порядку формирования перечня  </w:t>
      </w:r>
    </w:p>
    <w:p w:rsidR="00A42755" w:rsidRPr="004816C7" w:rsidRDefault="00B7483C" w:rsidP="00B7483C">
      <w:pPr>
        <w:autoSpaceDE w:val="0"/>
        <w:autoSpaceDN w:val="0"/>
        <w:adjustRightInd w:val="0"/>
      </w:pPr>
      <w:r>
        <w:t xml:space="preserve">                                                                                   </w:t>
      </w:r>
      <w:r w:rsidR="00A42755">
        <w:t xml:space="preserve">налоговых расходов Невьянского </w:t>
      </w:r>
    </w:p>
    <w:p w:rsidR="00A42755" w:rsidRPr="004816C7" w:rsidRDefault="00B7483C" w:rsidP="00B7483C">
      <w:pPr>
        <w:autoSpaceDE w:val="0"/>
        <w:autoSpaceDN w:val="0"/>
        <w:adjustRightInd w:val="0"/>
        <w:ind w:left="4962" w:hanging="4962"/>
        <w:jc w:val="center"/>
      </w:pPr>
      <w:r>
        <w:t xml:space="preserve">                                                                               </w:t>
      </w:r>
      <w:r w:rsidR="00A42755">
        <w:t xml:space="preserve">городского округа </w:t>
      </w:r>
      <w:r w:rsidR="00A42755" w:rsidRPr="004816C7">
        <w:t xml:space="preserve">и оценки </w:t>
      </w:r>
      <w:r w:rsidR="00A42755">
        <w:t xml:space="preserve">налоговых                                                                                                                          </w:t>
      </w:r>
      <w:r w:rsidR="00A42755" w:rsidRPr="004816C7">
        <w:t>расходов Невьянско</w:t>
      </w:r>
      <w:r w:rsidR="00A42755">
        <w:t>го</w:t>
      </w:r>
      <w:r w:rsidR="00A42755" w:rsidRPr="004816C7">
        <w:t xml:space="preserve"> городско</w:t>
      </w:r>
      <w:r w:rsidR="00A42755">
        <w:t>гоок</w:t>
      </w:r>
      <w:r w:rsidR="00A42755" w:rsidRPr="004816C7">
        <w:t>руг</w:t>
      </w:r>
      <w:r w:rsidR="00A42755">
        <w:t>а</w:t>
      </w:r>
    </w:p>
    <w:p w:rsidR="00032376" w:rsidRDefault="00032376" w:rsidP="00032376">
      <w:pPr>
        <w:jc w:val="center"/>
        <w:rPr>
          <w:rFonts w:ascii="PT Astra Serif" w:hAnsi="PT Astra Serif"/>
          <w:b/>
        </w:rPr>
      </w:pPr>
    </w:p>
    <w:p w:rsidR="00E91002" w:rsidRPr="00E91002" w:rsidRDefault="00E91002" w:rsidP="00E9100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оценки эффективности налогового расхода </w:t>
      </w:r>
    </w:p>
    <w:p w:rsidR="00B97401" w:rsidRDefault="00B97401" w:rsidP="00B7483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Невьянского городского округа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эффективности налогового расхода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за _____ год</w:t>
      </w:r>
    </w:p>
    <w:p w:rsidR="00B97401" w:rsidRDefault="00B97401" w:rsidP="00B97401">
      <w:pPr>
        <w:autoSpaceDE w:val="0"/>
        <w:ind w:firstLine="684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характеристики налогового расхода.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налога, по которому предусматривается налоговая льгота.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 Реквизиты решения Думы Невьянского городского округа  с указанием структурной единицы, в соответствии с которым предусматривается налоговая льгота.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3</w:t>
      </w:r>
      <w:r>
        <w:rPr>
          <w:sz w:val="28"/>
          <w:szCs w:val="28"/>
        </w:rPr>
        <w:t>. Наименование налоговой льготы, освобождения, иных преференций (далее – налоговая льгота).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4</w:t>
      </w:r>
      <w:r>
        <w:rPr>
          <w:sz w:val="28"/>
          <w:szCs w:val="28"/>
        </w:rPr>
        <w:t>. Вид налоговой льготы.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5</w:t>
      </w:r>
      <w:r>
        <w:rPr>
          <w:sz w:val="28"/>
          <w:szCs w:val="28"/>
        </w:rPr>
        <w:t>. Наименование куратора налогового расхода.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Целевые характеристики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2.1. Целевая категория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2.2. Цели предоставления налоговой льготы.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2.3. </w:t>
      </w:r>
      <w:r w:rsidR="008B19C5" w:rsidRPr="00472F61">
        <w:rPr>
          <w:sz w:val="28"/>
          <w:szCs w:val="28"/>
        </w:rPr>
        <w:t>Наименование и реквизиты правового</w:t>
      </w:r>
      <w:r w:rsidRPr="00472F61">
        <w:rPr>
          <w:sz w:val="28"/>
          <w:szCs w:val="28"/>
        </w:rPr>
        <w:t xml:space="preserve"> акт</w:t>
      </w:r>
      <w:r w:rsidR="008B19C5" w:rsidRPr="00472F61">
        <w:rPr>
          <w:sz w:val="28"/>
          <w:szCs w:val="28"/>
        </w:rPr>
        <w:t>аНевьянского городского округа</w:t>
      </w:r>
      <w:r w:rsidRPr="00472F61">
        <w:rPr>
          <w:sz w:val="28"/>
          <w:szCs w:val="28"/>
        </w:rPr>
        <w:t>, утверждающ</w:t>
      </w:r>
      <w:r w:rsidR="008B19C5" w:rsidRPr="00472F61">
        <w:rPr>
          <w:sz w:val="28"/>
          <w:szCs w:val="28"/>
        </w:rPr>
        <w:t xml:space="preserve">егомуниципальную </w:t>
      </w:r>
      <w:r w:rsidRPr="00472F61">
        <w:rPr>
          <w:sz w:val="28"/>
          <w:szCs w:val="28"/>
        </w:rPr>
        <w:t>программ</w:t>
      </w:r>
      <w:r w:rsidR="008B19C5" w:rsidRPr="00472F61">
        <w:rPr>
          <w:sz w:val="28"/>
          <w:szCs w:val="28"/>
        </w:rPr>
        <w:t xml:space="preserve">у Невьянского городского округа </w:t>
      </w:r>
      <w:r w:rsidRPr="00472F61">
        <w:rPr>
          <w:sz w:val="28"/>
          <w:szCs w:val="28"/>
        </w:rPr>
        <w:t xml:space="preserve"> и (или) направления деятельности, не относящиеся к </w:t>
      </w:r>
      <w:r w:rsidR="008B19C5" w:rsidRPr="00472F61">
        <w:rPr>
          <w:sz w:val="28"/>
          <w:szCs w:val="28"/>
        </w:rPr>
        <w:t>муниципальной программе Невьянского городского округа</w:t>
      </w:r>
      <w:r w:rsidRPr="00472F61">
        <w:rPr>
          <w:sz w:val="28"/>
          <w:szCs w:val="28"/>
        </w:rPr>
        <w:t>, определяющие цели социально-экономическо</w:t>
      </w:r>
      <w:r w:rsidR="008B19C5" w:rsidRPr="00472F61">
        <w:rPr>
          <w:sz w:val="28"/>
          <w:szCs w:val="28"/>
        </w:rPr>
        <w:t>го развития Невьянского городского округа</w:t>
      </w:r>
      <w:r w:rsidRPr="00472F61">
        <w:rPr>
          <w:sz w:val="28"/>
          <w:szCs w:val="28"/>
        </w:rPr>
        <w:t>, для достижения которых предоставлена налоговая льгота.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 xml:space="preserve">2.4. Наименование показателей (индикаторов) достижения целей </w:t>
      </w:r>
      <w:r w:rsidR="008B19C5" w:rsidRPr="00472F61">
        <w:rPr>
          <w:sz w:val="28"/>
          <w:szCs w:val="28"/>
        </w:rPr>
        <w:t xml:space="preserve">муниципальной программы Невьянского городского округа </w:t>
      </w:r>
      <w:r w:rsidRPr="00472F61">
        <w:rPr>
          <w:sz w:val="28"/>
          <w:szCs w:val="28"/>
        </w:rPr>
        <w:t xml:space="preserve"> и (ил</w:t>
      </w:r>
      <w:r w:rsidR="008B19C5" w:rsidRPr="00472F61">
        <w:rPr>
          <w:sz w:val="28"/>
          <w:szCs w:val="28"/>
        </w:rPr>
        <w:t>и) целей социально-экономического развития Невьянского городского округа</w:t>
      </w:r>
      <w:r w:rsidRPr="00472F61">
        <w:rPr>
          <w:sz w:val="28"/>
          <w:szCs w:val="28"/>
        </w:rPr>
        <w:t xml:space="preserve">, не относящихся к </w:t>
      </w:r>
      <w:r w:rsidR="008B19C5" w:rsidRPr="00472F61">
        <w:rPr>
          <w:sz w:val="28"/>
          <w:szCs w:val="28"/>
        </w:rPr>
        <w:t>муниципальным программам Невьянского городского округа</w:t>
      </w:r>
      <w:r w:rsidRPr="00472F61">
        <w:rPr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2.5. Критерии целесообразности налогового расхода.</w:t>
      </w:r>
    </w:p>
    <w:p w:rsidR="00B9740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2.6. Критерии результативности налогового расхода.</w:t>
      </w:r>
    </w:p>
    <w:p w:rsidR="00B7483C" w:rsidRDefault="00B7483C" w:rsidP="00B97401">
      <w:pPr>
        <w:autoSpaceDE w:val="0"/>
        <w:jc w:val="both"/>
        <w:rPr>
          <w:b/>
          <w:sz w:val="28"/>
          <w:szCs w:val="28"/>
        </w:rPr>
      </w:pPr>
    </w:p>
    <w:p w:rsidR="003C4749" w:rsidRDefault="003C4749" w:rsidP="00B97401">
      <w:pPr>
        <w:autoSpaceDE w:val="0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Фискальные характеристики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3.1. Количество плательщиков, воспользовавшихся льготами</w:t>
      </w:r>
      <w:r>
        <w:rPr>
          <w:rStyle w:val="FootnoteAnchor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3.2. Суммы выпадающих доходов  бюджета </w:t>
      </w:r>
      <w:r w:rsidR="008B19C5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 по налоговому расходу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Оценка совокупного бюджетного эффекта (самоокупаемости) </w:t>
      </w:r>
      <w:r>
        <w:rPr>
          <w:sz w:val="28"/>
          <w:szCs w:val="28"/>
        </w:rPr>
        <w:br/>
        <w:t>в отношении стимулирующих налоговых расходов.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оценки эффективности налогового расхода.</w:t>
      </w:r>
    </w:p>
    <w:p w:rsidR="00B97401" w:rsidRDefault="00B97401" w:rsidP="00472F61">
      <w:pPr>
        <w:autoSpaceDE w:val="0"/>
        <w:ind w:firstLine="709"/>
        <w:rPr>
          <w:sz w:val="28"/>
          <w:szCs w:val="28"/>
        </w:rPr>
      </w:pPr>
      <w:r w:rsidRPr="00472F61">
        <w:rPr>
          <w:sz w:val="28"/>
          <w:szCs w:val="28"/>
        </w:rPr>
        <w:t>4.1. Результаты оценки целесообразности налогового расхода.</w:t>
      </w:r>
    </w:p>
    <w:p w:rsid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72F61">
        <w:rPr>
          <w:sz w:val="28"/>
          <w:szCs w:val="28"/>
        </w:rPr>
        <w:t xml:space="preserve">Результаты оценки </w:t>
      </w:r>
      <w:r w:rsidRPr="00CD7B5F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CD7B5F">
        <w:rPr>
          <w:sz w:val="28"/>
          <w:szCs w:val="28"/>
        </w:rPr>
        <w:t xml:space="preserve"> налоговых расходов  целям</w:t>
      </w:r>
      <w:r>
        <w:rPr>
          <w:sz w:val="28"/>
          <w:szCs w:val="28"/>
        </w:rPr>
        <w:t>.</w:t>
      </w:r>
    </w:p>
    <w:p w:rsidR="00472F61" w:rsidRP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472F61">
        <w:rPr>
          <w:sz w:val="28"/>
          <w:szCs w:val="28"/>
        </w:rPr>
        <w:t>Результаты оценки</w:t>
      </w:r>
      <w:r>
        <w:rPr>
          <w:sz w:val="28"/>
          <w:szCs w:val="28"/>
        </w:rPr>
        <w:t xml:space="preserve"> востребованности</w:t>
      </w:r>
      <w:r w:rsidRPr="002932E2">
        <w:rPr>
          <w:sz w:val="28"/>
          <w:szCs w:val="28"/>
        </w:rPr>
        <w:t xml:space="preserve"> плательщиками предоставленных льгот</w:t>
      </w:r>
      <w:r>
        <w:rPr>
          <w:sz w:val="28"/>
          <w:szCs w:val="28"/>
        </w:rPr>
        <w:t>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 Результаты оценки результативности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4.2.1. Результаты оценки бюджетной эффективности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4.2.2. Результаты оценки совокупного бюджетного эффекта (самоокупаемости) (для стимулирующего налогового расхода).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5.1. Достижение целевых характеристик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5.2. Вклад налогового расхода в достижение целей соответствующего направления </w:t>
      </w:r>
      <w:r w:rsidR="004E2E78">
        <w:rPr>
          <w:sz w:val="28"/>
          <w:szCs w:val="28"/>
        </w:rPr>
        <w:t>налоговой политики Невьянского городского округа</w:t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5.3. Наличие или отсутствие более результативных (менее затратных для </w:t>
      </w:r>
      <w:r w:rsidR="004E2E7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альтернативных механизмов достижения целей соответствующего направления </w:t>
      </w:r>
      <w:r w:rsidR="004E2E78">
        <w:rPr>
          <w:sz w:val="28"/>
          <w:szCs w:val="28"/>
        </w:rPr>
        <w:t>налоговой политики Невьянского городского округа</w:t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5.4. Необходимость сохранения (уточнения, отмены) налоговой льготы иной преференции.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5211"/>
        <w:gridCol w:w="4642"/>
      </w:tblGrid>
      <w:tr w:rsidR="00B97401" w:rsidTr="008B19C5">
        <w:tc>
          <w:tcPr>
            <w:tcW w:w="5211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(должность)</w:t>
            </w: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  <w:vertAlign w:val="subscript"/>
              </w:rPr>
            </w:pP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Исполнитель </w:t>
            </w:r>
            <w:r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(ФИО, тел.)</w:t>
            </w:r>
          </w:p>
        </w:tc>
        <w:tc>
          <w:tcPr>
            <w:tcW w:w="4642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(подпись)                                   (ФИО)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(дата)</w:t>
            </w:r>
          </w:p>
        </w:tc>
      </w:tr>
    </w:tbl>
    <w:p w:rsidR="00032376" w:rsidRPr="00B97401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sectPr w:rsidR="00032376" w:rsidRPr="00B97401" w:rsidSect="00A42755">
      <w:pgSz w:w="11906" w:h="16838"/>
      <w:pgMar w:top="851" w:right="99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A9" w:rsidRDefault="008165A9">
      <w:r>
        <w:separator/>
      </w:r>
    </w:p>
  </w:endnote>
  <w:endnote w:type="continuationSeparator" w:id="0">
    <w:p w:rsidR="008165A9" w:rsidRDefault="0081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A9" w:rsidRDefault="008165A9">
      <w:r>
        <w:separator/>
      </w:r>
    </w:p>
  </w:footnote>
  <w:footnote w:type="continuationSeparator" w:id="0">
    <w:p w:rsidR="008165A9" w:rsidRDefault="008165A9">
      <w:r>
        <w:continuationSeparator/>
      </w:r>
    </w:p>
  </w:footnote>
  <w:footnote w:id="1">
    <w:p w:rsidR="00B7483C" w:rsidRDefault="00B7483C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  <w:footnote w:id="2">
    <w:p w:rsidR="00B7483C" w:rsidRDefault="00B7483C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849105"/>
      <w:docPartObj>
        <w:docPartGallery w:val="Page Numbers (Top of Page)"/>
        <w:docPartUnique/>
      </w:docPartObj>
    </w:sdtPr>
    <w:sdtEndPr/>
    <w:sdtContent>
      <w:p w:rsidR="00B7483C" w:rsidRDefault="000918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9732"/>
      <w:docPartObj>
        <w:docPartGallery w:val="Page Numbers (Top of Page)"/>
        <w:docPartUnique/>
      </w:docPartObj>
    </w:sdtPr>
    <w:sdtEndPr/>
    <w:sdtContent>
      <w:p w:rsidR="00B7483C" w:rsidRDefault="000918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0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7483C" w:rsidRDefault="00B748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2AFB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0BD8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18D7"/>
    <w:rsid w:val="0009294D"/>
    <w:rsid w:val="00093CDB"/>
    <w:rsid w:val="00096ACA"/>
    <w:rsid w:val="00097387"/>
    <w:rsid w:val="000A0355"/>
    <w:rsid w:val="000A1E54"/>
    <w:rsid w:val="000A271C"/>
    <w:rsid w:val="000A4AF4"/>
    <w:rsid w:val="000A5873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66F4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4381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3DD9"/>
    <w:rsid w:val="002349F5"/>
    <w:rsid w:val="00234C5E"/>
    <w:rsid w:val="00235423"/>
    <w:rsid w:val="00235B79"/>
    <w:rsid w:val="00235EB0"/>
    <w:rsid w:val="00236B0C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7E6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8F7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4D3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49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01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B2B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2E78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540"/>
    <w:rsid w:val="00510ACE"/>
    <w:rsid w:val="00511AD5"/>
    <w:rsid w:val="005129B5"/>
    <w:rsid w:val="0051332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0F4B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25AA"/>
    <w:rsid w:val="00584313"/>
    <w:rsid w:val="00584BF4"/>
    <w:rsid w:val="00585453"/>
    <w:rsid w:val="00586111"/>
    <w:rsid w:val="00586273"/>
    <w:rsid w:val="0058669F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555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274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1DAD"/>
    <w:rsid w:val="00712826"/>
    <w:rsid w:val="00712C09"/>
    <w:rsid w:val="007143E1"/>
    <w:rsid w:val="0071551C"/>
    <w:rsid w:val="00716FDD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5F1D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0232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165A9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76C27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4F0D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422C"/>
    <w:rsid w:val="00A8616C"/>
    <w:rsid w:val="00A866BF"/>
    <w:rsid w:val="00A8768E"/>
    <w:rsid w:val="00A90B1D"/>
    <w:rsid w:val="00A91480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A7C01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483C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57E4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331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2EFC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9CD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C88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3F81"/>
    <w:rsid w:val="00CB5F12"/>
    <w:rsid w:val="00CB6215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086A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77B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3644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74A2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08B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3A5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ADB"/>
    <w:rsid w:val="00FB0E05"/>
    <w:rsid w:val="00FB111D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3A58A"/>
  <w15:docId w15:val="{CC51F717-B8AC-4FB5-BE17-27A8ABF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6324D948EA4055B784BDBE9C8123903855B0CC8C8FD21ADAE953FDFF5FC7B921382E769BFD04A686772742C3EE71ECE27CB0427F8514nF0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9E3A-85FA-4545-86A0-7DC2A10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Olga B. Korukova</cp:lastModifiedBy>
  <cp:revision>4</cp:revision>
  <cp:lastPrinted>2020-05-28T08:15:00Z</cp:lastPrinted>
  <dcterms:created xsi:type="dcterms:W3CDTF">2020-05-29T04:32:00Z</dcterms:created>
  <dcterms:modified xsi:type="dcterms:W3CDTF">2020-09-16T04:37:00Z</dcterms:modified>
</cp:coreProperties>
</file>