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3E" w:rsidRPr="008D00DB" w:rsidRDefault="005B3A3E" w:rsidP="008D00DB">
      <w:pPr>
        <w:jc w:val="right"/>
      </w:pPr>
      <w:r w:rsidRPr="008D00DB">
        <w:t>Приложение</w:t>
      </w:r>
      <w:r w:rsidR="00404D65">
        <w:t xml:space="preserve"> №</w:t>
      </w:r>
      <w:r w:rsidRPr="008D00DB">
        <w:t xml:space="preserve"> 1</w:t>
      </w:r>
    </w:p>
    <w:p w:rsidR="005B3A3E" w:rsidRDefault="005B3A3E" w:rsidP="008B728C">
      <w:pPr>
        <w:jc w:val="right"/>
      </w:pPr>
      <w:r w:rsidRPr="008D00DB">
        <w:t xml:space="preserve"> к </w:t>
      </w:r>
      <w:r w:rsidR="008B728C">
        <w:t>муниципальному контракту</w:t>
      </w:r>
    </w:p>
    <w:p w:rsidR="008B728C" w:rsidRDefault="008B728C" w:rsidP="008B728C">
      <w:pPr>
        <w:jc w:val="right"/>
      </w:pPr>
      <w:r>
        <w:t xml:space="preserve">на управление многоквартирными домами </w:t>
      </w:r>
    </w:p>
    <w:p w:rsidR="008B728C" w:rsidRPr="008D00DB" w:rsidRDefault="008B728C" w:rsidP="008B728C">
      <w:pPr>
        <w:jc w:val="right"/>
      </w:pPr>
      <w:r w:rsidRPr="00ED74C6">
        <w:t xml:space="preserve">от 18.02.2019 № </w:t>
      </w:r>
      <w:r w:rsidR="00ED74C6" w:rsidRPr="00ED74C6">
        <w:t>20</w:t>
      </w:r>
      <w:r w:rsidRPr="00ED74C6">
        <w:t>/19</w:t>
      </w:r>
    </w:p>
    <w:p w:rsidR="005B3A3E" w:rsidRPr="008D00DB" w:rsidRDefault="005B3A3E" w:rsidP="008D00DB">
      <w:pPr>
        <w:tabs>
          <w:tab w:val="left" w:pos="7243"/>
        </w:tabs>
      </w:pPr>
      <w:r w:rsidRPr="008D00DB">
        <w:t xml:space="preserve">                                                                                                                               </w:t>
      </w:r>
    </w:p>
    <w:p w:rsidR="005B3A3E" w:rsidRDefault="005B3A3E" w:rsidP="008D00DB">
      <w:pPr>
        <w:jc w:val="center"/>
        <w:rPr>
          <w:b/>
          <w:u w:val="single"/>
        </w:rPr>
      </w:pPr>
      <w:r w:rsidRPr="008D00DB">
        <w:rPr>
          <w:b/>
          <w:u w:val="single"/>
        </w:rPr>
        <w:t>АКТ № 1</w:t>
      </w:r>
    </w:p>
    <w:p w:rsidR="005B3A3E" w:rsidRPr="008D00DB" w:rsidRDefault="005B3A3E" w:rsidP="008D00DB">
      <w:pPr>
        <w:jc w:val="center"/>
      </w:pPr>
      <w:r w:rsidRPr="008D00DB">
        <w:t>о состоянии общего имущества собственников</w:t>
      </w:r>
    </w:p>
    <w:p w:rsidR="005B3A3E" w:rsidRPr="008D00DB" w:rsidRDefault="005B3A3E" w:rsidP="008D00DB">
      <w:pPr>
        <w:jc w:val="center"/>
      </w:pPr>
      <w:r w:rsidRPr="008D00DB">
        <w:t>помещений в многоквартирном доме, являющегося объектом конкурса</w:t>
      </w: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Общие сведения о многоквартирном доме</w:t>
      </w:r>
    </w:p>
    <w:p w:rsidR="005B3A3E" w:rsidRPr="008D00DB" w:rsidRDefault="005B3A3E" w:rsidP="008D00DB"/>
    <w:p w:rsidR="008D00DB" w:rsidRP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Адрес многоквартирного дома - 628125, </w:t>
      </w:r>
      <w:r w:rsidR="008D00DB" w:rsidRPr="008D00DB">
        <w:rPr>
          <w:rFonts w:ascii="Times New Roman" w:hAnsi="Times New Roman"/>
          <w:sz w:val="24"/>
          <w:szCs w:val="24"/>
        </w:rPr>
        <w:t>Российская Федерация</w:t>
      </w:r>
      <w:r w:rsidRPr="008D00DB">
        <w:rPr>
          <w:rFonts w:ascii="Times New Roman" w:hAnsi="Times New Roman"/>
          <w:sz w:val="24"/>
          <w:szCs w:val="24"/>
        </w:rPr>
        <w:t>, ХМАО-Югра</w:t>
      </w:r>
      <w:r w:rsidR="008D00DB" w:rsidRPr="008D00DB">
        <w:rPr>
          <w:rFonts w:ascii="Times New Roman" w:hAnsi="Times New Roman"/>
          <w:sz w:val="24"/>
          <w:szCs w:val="24"/>
        </w:rPr>
        <w:t xml:space="preserve">, </w:t>
      </w:r>
      <w:r w:rsidRPr="008D00DB">
        <w:rPr>
          <w:rFonts w:ascii="Times New Roman" w:hAnsi="Times New Roman"/>
          <w:sz w:val="24"/>
          <w:szCs w:val="24"/>
        </w:rPr>
        <w:t>Октябрьский район, гп. Андра, мкр. Центральный, дом № 19б/3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многоквартирного дома - 86:07:0103007:1328</w:t>
      </w:r>
    </w:p>
    <w:p w:rsidR="008D00DB" w:rsidRP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D00DB">
        <w:rPr>
          <w:rFonts w:ascii="Times New Roman" w:hAnsi="Times New Roman"/>
          <w:sz w:val="24"/>
        </w:rPr>
        <w:t>Серия, тип постройки – кирпичные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постройки - 1996 г.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износа по данным государственного технического учета - 9 %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Степень фактического износа - 30 % 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последнего капитального ремонта - 2006 г.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Реквизиты правового акта о признании многоквартирного дома аварийным и        подлежащим сносу: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этажей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2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подвала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да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цокольного этажа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мансарды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мезонина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Количество квартир - 26 (двадцать шесть)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нежилых помещений, не входящих в состав общего имущества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0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 Реквизиты правового акты о признаниях всех жилых помещений в многоквартирном </w:t>
      </w:r>
      <w:r w:rsidR="008D00DB" w:rsidRPr="008D00DB">
        <w:rPr>
          <w:rFonts w:ascii="Times New Roman" w:hAnsi="Times New Roman"/>
          <w:sz w:val="24"/>
          <w:szCs w:val="24"/>
        </w:rPr>
        <w:t>доме непригодными</w:t>
      </w:r>
      <w:r w:rsidRPr="008D00DB">
        <w:rPr>
          <w:rFonts w:ascii="Times New Roman" w:hAnsi="Times New Roman"/>
          <w:sz w:val="24"/>
          <w:szCs w:val="24"/>
        </w:rPr>
        <w:t xml:space="preserve"> для проживания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       проживания)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Строительный объем - 6382 куб.м.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а) площадь многоквартирного дома с лоджиями, балконами, шкафами, коридорами </w:t>
      </w:r>
      <w:r w:rsidR="008D00DB">
        <w:rPr>
          <w:rFonts w:ascii="Times New Roman" w:hAnsi="Times New Roman"/>
          <w:sz w:val="24"/>
          <w:szCs w:val="24"/>
        </w:rPr>
        <w:t>и</w:t>
      </w:r>
      <w:r w:rsidRPr="008D00DB">
        <w:rPr>
          <w:rFonts w:ascii="Times New Roman" w:hAnsi="Times New Roman"/>
          <w:sz w:val="24"/>
          <w:szCs w:val="24"/>
        </w:rPr>
        <w:t xml:space="preserve">        лестничными клетками – 1326.5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б) жилых помещений (общая площадь квартир) – 1079.3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в) нежилых помещений. (общая площадь нежилых помещений, не входит в состав общего имущества в многоквартирном доме) – 0.0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г) помещений общего пользования (общая площадь нежилых помещений, входящих в          состав общего имущества в многоквартирном доме) – 395.4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лестниц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4</w:t>
      </w:r>
    </w:p>
    <w:p w:rsidR="008D00DB" w:rsidRDefault="008D00DB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A3E" w:rsidRPr="008D00DB">
        <w:rPr>
          <w:rFonts w:ascii="Times New Roman" w:hAnsi="Times New Roman"/>
          <w:sz w:val="24"/>
          <w:szCs w:val="24"/>
        </w:rPr>
        <w:t>борочная площадь лестниц (включая межквартирные лестничные площадки) - 7.7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3E" w:rsidRPr="008D00DB">
        <w:rPr>
          <w:rFonts w:ascii="Times New Roman" w:hAnsi="Times New Roman"/>
          <w:sz w:val="24"/>
          <w:szCs w:val="24"/>
        </w:rPr>
        <w:t>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общих коридоров - 241.7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других помещений общего пользования (включая технические        этажи, чердаки, технические подвалы) – 146 кв.м.</w:t>
      </w:r>
    </w:p>
    <w:p w:rsid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Площадь земельного участка, входящего в состав общего имущества многоквартирного дома - 6022 кв.м. </w:t>
      </w:r>
    </w:p>
    <w:p w:rsidR="005B3A3E" w:rsidRPr="008D00DB" w:rsidRDefault="005B3A3E" w:rsidP="008D00DB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земельного участка - 86:07:0103007:2516</w:t>
      </w:r>
    </w:p>
    <w:p w:rsidR="005B3A3E" w:rsidRPr="008D00DB" w:rsidRDefault="005B3A3E" w:rsidP="008D00DB">
      <w:pPr>
        <w:jc w:val="both"/>
      </w:pPr>
    </w:p>
    <w:p w:rsidR="005B3A3E" w:rsidRPr="008D00DB" w:rsidRDefault="005B3A3E" w:rsidP="008D00DB">
      <w:pPr>
        <w:pStyle w:val="a3"/>
        <w:spacing w:after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00DB">
        <w:rPr>
          <w:rFonts w:ascii="Times New Roman" w:hAnsi="Times New Roman"/>
          <w:b/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№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Описание элементов (материал, конструкция или система,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Техническое состояние элементов общего имущества многоквартирного дома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Наружные и внутренние    </w:t>
            </w:r>
          </w:p>
          <w:p w:rsidR="005B3A3E" w:rsidRPr="008D00DB" w:rsidRDefault="005B3A3E" w:rsidP="008D00DB">
            <w:r w:rsidRPr="008D00DB">
              <w:t xml:space="preserve">    капитальные стены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кирпичные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кирпичные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  <w:p w:rsidR="005B3A3E" w:rsidRPr="008D00DB" w:rsidRDefault="005B3A3E" w:rsidP="008D00DB"/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15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>Перекрытия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</w:pPr>
            <w:r w:rsidRPr="008D00DB">
              <w:t>чердачные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междуэтажные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подвальные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железобетонные плиты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340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Лестницы и входы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бетонные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42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дощатые по лагам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Проемы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 w:after="240"/>
              <w:rPr>
                <w:rFonts w:eastAsia="Calibri"/>
                <w:lang w:eastAsia="en-US"/>
              </w:rPr>
            </w:pPr>
            <w:r w:rsidRPr="008D00DB">
              <w:rPr>
                <w:rFonts w:eastAsia="Calibri"/>
                <w:lang w:eastAsia="en-US"/>
              </w:rPr>
              <w:t>оконные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двойные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двухстворчатые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158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spacing w:before="120" w:after="120"/>
              <w:ind w:left="113" w:right="113"/>
              <w:jc w:val="center"/>
            </w:pPr>
            <w:r w:rsidRPr="008D00D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наружная  </w:t>
            </w:r>
          </w:p>
          <w:p w:rsidR="005B3A3E" w:rsidRPr="008D00DB" w:rsidRDefault="005B3A3E" w:rsidP="008D00DB">
            <w:r w:rsidRPr="008D00DB">
              <w:t xml:space="preserve">    отделка </w:t>
            </w:r>
          </w:p>
          <w:p w:rsidR="005B3A3E" w:rsidRPr="008D00DB" w:rsidRDefault="005B3A3E" w:rsidP="008D00DB">
            <w:r w:rsidRPr="008D00DB">
              <w:t xml:space="preserve">б) внутренняя </w:t>
            </w:r>
          </w:p>
          <w:p w:rsidR="005B3A3E" w:rsidRPr="008D00DB" w:rsidRDefault="005B3A3E" w:rsidP="008D00DB">
            <w:r w:rsidRPr="008D00D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обшит сайдингом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 xml:space="preserve"> покраска, обои, плитка, линолеум, штукатурка</w:t>
            </w:r>
          </w:p>
        </w:tc>
        <w:tc>
          <w:tcPr>
            <w:tcW w:w="2426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4152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Внутридомовые инженерные коммуникации </w:t>
            </w:r>
          </w:p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и оборудование для предоставления </w:t>
            </w:r>
          </w:p>
          <w:p w:rsidR="005B3A3E" w:rsidRPr="008D00DB" w:rsidRDefault="005B3A3E" w:rsidP="008D00DB">
            <w:pPr>
              <w:spacing w:after="240"/>
              <w:ind w:left="113" w:right="113"/>
              <w:jc w:val="center"/>
            </w:pPr>
            <w:r w:rsidRPr="008D00DB">
              <w:t>коммунальных услуг:</w:t>
            </w:r>
          </w:p>
          <w:p w:rsidR="005B3A3E" w:rsidRPr="008D00DB" w:rsidRDefault="005B3A3E" w:rsidP="008D00DB">
            <w:pPr>
              <w:spacing w:before="120" w:after="120"/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теплоснабжение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электроснабжение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электроплиты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телефонизация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водопровод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горячее водоснабжение</w:t>
            </w:r>
          </w:p>
          <w:p w:rsidR="005B3A3E" w:rsidRPr="008D00DB" w:rsidRDefault="005B3A3E" w:rsidP="008D00DB">
            <w:pPr>
              <w:spacing w:before="120" w:after="120"/>
            </w:pPr>
            <w:r w:rsidRPr="008D00DB">
              <w:t>ванны с горячим водоснабжением</w:t>
            </w:r>
          </w:p>
          <w:p w:rsidR="005B3A3E" w:rsidRPr="008D00DB" w:rsidRDefault="005B3A3E" w:rsidP="008D00DB">
            <w:pPr>
              <w:spacing w:before="120"/>
            </w:pPr>
            <w:r w:rsidRPr="008D00DB"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проводка скрытая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центральный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</w:p>
          <w:p w:rsidR="005B3A3E" w:rsidRPr="008D00DB" w:rsidRDefault="005B3A3E" w:rsidP="008D00DB">
            <w:pPr>
              <w:spacing w:after="36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12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хорошее</w:t>
            </w:r>
          </w:p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хорошее</w:t>
            </w:r>
          </w:p>
        </w:tc>
      </w:tr>
      <w:tr w:rsidR="005B3A3E" w:rsidRPr="008D00DB" w:rsidTr="003B0FC8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  <w:jc w:val="right"/>
            </w:pPr>
            <w:r w:rsidRPr="008D00DB"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 xml:space="preserve">Крыльцо, отмостка, навесы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хорошее</w:t>
            </w:r>
          </w:p>
        </w:tc>
      </w:tr>
    </w:tbl>
    <w:p w:rsidR="005B3A3E" w:rsidRPr="008D00DB" w:rsidRDefault="005B3A3E" w:rsidP="008D00DB">
      <w:pPr>
        <w:ind w:left="360"/>
        <w:jc w:val="center"/>
        <w:rPr>
          <w:b/>
          <w:u w:val="single"/>
        </w:rPr>
      </w:pPr>
      <w:r w:rsidRPr="008D00DB">
        <w:rPr>
          <w:b/>
          <w:u w:val="single"/>
        </w:rPr>
        <w:lastRenderedPageBreak/>
        <w:t>АКТ № 2</w:t>
      </w:r>
    </w:p>
    <w:p w:rsidR="005B3A3E" w:rsidRPr="008D00DB" w:rsidRDefault="005B3A3E" w:rsidP="008D00DB">
      <w:pPr>
        <w:jc w:val="center"/>
      </w:pPr>
      <w:r w:rsidRPr="008D00DB">
        <w:t>о состоянии общего имущества собственников</w:t>
      </w:r>
    </w:p>
    <w:p w:rsidR="005B3A3E" w:rsidRPr="008D00DB" w:rsidRDefault="005B3A3E" w:rsidP="008D00DB">
      <w:pPr>
        <w:jc w:val="center"/>
      </w:pPr>
      <w:r w:rsidRPr="008D00DB">
        <w:t>помещений в многоквартирном доме, являющегося объектом конкурса.</w:t>
      </w:r>
    </w:p>
    <w:p w:rsidR="005B3A3E" w:rsidRPr="008D00DB" w:rsidRDefault="005B3A3E" w:rsidP="008D00DB">
      <w:pPr>
        <w:jc w:val="center"/>
      </w:pPr>
    </w:p>
    <w:p w:rsidR="005B3A3E" w:rsidRPr="008D00DB" w:rsidRDefault="005B3A3E" w:rsidP="008D00D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Общие сведения о многоквартирном доме</w:t>
      </w:r>
    </w:p>
    <w:p w:rsidR="008D00DB" w:rsidRDefault="008D00DB" w:rsidP="008D00DB">
      <w:pPr>
        <w:jc w:val="both"/>
      </w:pP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</w:rPr>
        <w:t xml:space="preserve">Адрес многоквартирного дома - 628125, </w:t>
      </w:r>
      <w:r w:rsidR="008D00DB" w:rsidRPr="008D00DB">
        <w:rPr>
          <w:rFonts w:ascii="Times New Roman" w:hAnsi="Times New Roman"/>
          <w:sz w:val="24"/>
        </w:rPr>
        <w:t>Российская Федерация</w:t>
      </w:r>
      <w:r w:rsidRPr="008D00DB">
        <w:rPr>
          <w:rFonts w:ascii="Times New Roman" w:hAnsi="Times New Roman"/>
          <w:sz w:val="24"/>
        </w:rPr>
        <w:t>, ХМАО-Югра,</w:t>
      </w:r>
      <w:r w:rsidR="008D00DB">
        <w:rPr>
          <w:rFonts w:ascii="Times New Roman" w:hAnsi="Times New Roman"/>
          <w:sz w:val="24"/>
        </w:rPr>
        <w:t xml:space="preserve"> Октябрьский</w:t>
      </w:r>
      <w:r w:rsidRPr="008D00DB">
        <w:rPr>
          <w:rFonts w:ascii="Times New Roman" w:hAnsi="Times New Roman"/>
          <w:sz w:val="24"/>
          <w:szCs w:val="24"/>
        </w:rPr>
        <w:t xml:space="preserve"> район, гп. Андра, мкр. Западный, дом № 49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многоквартирного дома - 86:07:0103007:1264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Серия, тип постройки – брусовые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Год постройки - 1997 г.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износа по данным государственного технического учета - 0 %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Степень фактического износа – 40 %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Год последнего капитального ремонта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Реквизиты правового акта о признании многоквартирного дома аварийным и         подлежащим сносу: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этажей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2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подвала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цокольного этажа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мансарды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Наличие мезонина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Количество квартир – 16 (шестнадцать)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нежилых помещений, не входящих в состав общего имущества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0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 Реквизиты правового акты о признаниях всех жилых помещений в многоквартирном доме непригодными для проживания -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       проживания)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Строительный объем – 3415 куб.м.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а) площадь многоквартирного дома с лоджиями, балконами, шкафами, коридорами и             лестничными клетками – 995.4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б) жилых помещений (общая площадь квартир) – 85</w:t>
      </w:r>
      <w:r w:rsidR="00170B75">
        <w:rPr>
          <w:rFonts w:ascii="Times New Roman" w:hAnsi="Times New Roman"/>
          <w:sz w:val="24"/>
          <w:szCs w:val="24"/>
        </w:rPr>
        <w:t>4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9</w:t>
      </w:r>
      <w:r w:rsidRPr="008D00DB">
        <w:rPr>
          <w:rFonts w:ascii="Times New Roman" w:hAnsi="Times New Roman"/>
          <w:sz w:val="24"/>
          <w:szCs w:val="24"/>
        </w:rPr>
        <w:t xml:space="preserve"> кв.м.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в) нежилых помещений (общая площадь нежилых помещений, не входит в состав общего            имущества в многоквартирном доме) - 0.0 кв.</w:t>
      </w:r>
    </w:p>
    <w:p w:rsidR="008D00DB" w:rsidRDefault="005B3A3E" w:rsidP="008D00DB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г) помещений общего пользования (общая площадь нежилых помещений, входящих в          состав общего имущества в многоквартирном доме) – 14</w:t>
      </w:r>
      <w:r w:rsidR="00170B75">
        <w:rPr>
          <w:rFonts w:ascii="Times New Roman" w:hAnsi="Times New Roman"/>
          <w:sz w:val="24"/>
          <w:szCs w:val="24"/>
        </w:rPr>
        <w:t>0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5</w:t>
      </w:r>
      <w:r w:rsidRPr="008D00DB">
        <w:rPr>
          <w:rFonts w:ascii="Times New Roman" w:hAnsi="Times New Roman"/>
          <w:sz w:val="24"/>
          <w:szCs w:val="24"/>
        </w:rPr>
        <w:t xml:space="preserve"> кв.м.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Количество лестниц </w:t>
      </w:r>
      <w:r w:rsidR="008D00DB">
        <w:rPr>
          <w:rFonts w:ascii="Times New Roman" w:hAnsi="Times New Roman"/>
          <w:sz w:val="24"/>
          <w:szCs w:val="24"/>
        </w:rPr>
        <w:t>–</w:t>
      </w:r>
      <w:r w:rsidRPr="008D00DB">
        <w:rPr>
          <w:rFonts w:ascii="Times New Roman" w:hAnsi="Times New Roman"/>
          <w:sz w:val="24"/>
          <w:szCs w:val="24"/>
        </w:rPr>
        <w:t xml:space="preserve"> 4</w:t>
      </w:r>
    </w:p>
    <w:p w:rsidR="008D00DB" w:rsidRDefault="008D00DB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B3A3E" w:rsidRPr="008D00DB">
        <w:rPr>
          <w:rFonts w:ascii="Times New Roman" w:hAnsi="Times New Roman"/>
          <w:sz w:val="24"/>
          <w:szCs w:val="24"/>
        </w:rPr>
        <w:t xml:space="preserve">борочная площадь лестниц (включая межквартирные лестничные площадки) – 19.38 кв.м.  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общих коридоров - 12</w:t>
      </w:r>
      <w:r w:rsidR="00170B75">
        <w:rPr>
          <w:rFonts w:ascii="Times New Roman" w:hAnsi="Times New Roman"/>
          <w:sz w:val="24"/>
          <w:szCs w:val="24"/>
        </w:rPr>
        <w:t>1</w:t>
      </w:r>
      <w:r w:rsidRPr="008D00DB">
        <w:rPr>
          <w:rFonts w:ascii="Times New Roman" w:hAnsi="Times New Roman"/>
          <w:sz w:val="24"/>
          <w:szCs w:val="24"/>
        </w:rPr>
        <w:t>.</w:t>
      </w:r>
      <w:r w:rsidR="00170B75">
        <w:rPr>
          <w:rFonts w:ascii="Times New Roman" w:hAnsi="Times New Roman"/>
          <w:sz w:val="24"/>
          <w:szCs w:val="24"/>
        </w:rPr>
        <w:t>1</w:t>
      </w:r>
      <w:r w:rsidRPr="008D00DB">
        <w:rPr>
          <w:rFonts w:ascii="Times New Roman" w:hAnsi="Times New Roman"/>
          <w:sz w:val="24"/>
          <w:szCs w:val="24"/>
        </w:rPr>
        <w:t>2 кв.м.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Уборочная площадь других помещений общего пользования (включая технические       этажи, чердаки, технические подвалы) – нет</w:t>
      </w:r>
    </w:p>
    <w:p w:rsidR="008D00DB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 xml:space="preserve">Площадь земельного участка, входящего в состав общего имущества многоквартирного дома - 840 кв.м. </w:t>
      </w:r>
    </w:p>
    <w:p w:rsidR="005B3A3E" w:rsidRDefault="005B3A3E" w:rsidP="008D00DB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00DB">
        <w:rPr>
          <w:rFonts w:ascii="Times New Roman" w:hAnsi="Times New Roman"/>
          <w:sz w:val="24"/>
          <w:szCs w:val="24"/>
        </w:rPr>
        <w:t>Кадастровый номер земельного участка – отсутствует.</w:t>
      </w: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Default="00170B75" w:rsidP="00170B75">
      <w:pPr>
        <w:tabs>
          <w:tab w:val="left" w:pos="993"/>
        </w:tabs>
        <w:spacing w:after="120"/>
        <w:jc w:val="both"/>
      </w:pPr>
    </w:p>
    <w:p w:rsidR="00170B75" w:rsidRPr="00170B75" w:rsidRDefault="00170B75" w:rsidP="00170B75">
      <w:pPr>
        <w:tabs>
          <w:tab w:val="left" w:pos="993"/>
        </w:tabs>
        <w:spacing w:after="120"/>
        <w:jc w:val="both"/>
      </w:pPr>
    </w:p>
    <w:p w:rsidR="005B3A3E" w:rsidRPr="008D00DB" w:rsidRDefault="005B3A3E" w:rsidP="008D00DB">
      <w:pPr>
        <w:spacing w:after="120"/>
        <w:jc w:val="both"/>
        <w:rPr>
          <w:b/>
        </w:rPr>
      </w:pPr>
    </w:p>
    <w:p w:rsidR="005B3A3E" w:rsidRPr="008D00DB" w:rsidRDefault="005B3A3E" w:rsidP="008D00DB">
      <w:pPr>
        <w:pStyle w:val="a3"/>
        <w:spacing w:after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D00DB">
        <w:rPr>
          <w:rFonts w:ascii="Times New Roman" w:hAnsi="Times New Roman"/>
          <w:b/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2693"/>
        <w:gridCol w:w="2426"/>
      </w:tblGrid>
      <w:tr w:rsidR="005B3A3E" w:rsidRPr="008D00DB" w:rsidTr="003B0FC8">
        <w:trPr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№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п/п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Описание элементов (материал, конструкция или система, 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Техническое состояние элементов общего имущества многоквартирного дома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бетонный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90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 xml:space="preserve">а) Наружные и внутренние    </w:t>
            </w:r>
          </w:p>
          <w:p w:rsidR="005B3A3E" w:rsidRPr="008D00DB" w:rsidRDefault="005B3A3E" w:rsidP="008D00DB">
            <w:r w:rsidRPr="008D00DB">
              <w:t xml:space="preserve">    капитальные стены</w:t>
            </w:r>
          </w:p>
          <w:p w:rsidR="005B3A3E" w:rsidRPr="008D00DB" w:rsidRDefault="005B3A3E" w:rsidP="008D00DB">
            <w:r w:rsidRPr="008D00D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брусчатые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деревянные 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/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брусчатые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Крыша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шиферная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397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B3A3E" w:rsidRPr="008D00DB" w:rsidRDefault="005B3A3E" w:rsidP="008D00DB">
            <w:r w:rsidRPr="008D00D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 xml:space="preserve">дощатые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964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Проемы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  <w:rPr>
                <w:rFonts w:eastAsia="Calibri"/>
                <w:lang w:eastAsia="en-US"/>
              </w:rPr>
            </w:pPr>
            <w:r w:rsidRPr="008D00DB">
              <w:rPr>
                <w:rFonts w:eastAsia="Calibri"/>
                <w:lang w:eastAsia="en-US"/>
              </w:rPr>
              <w:t>оконные</w:t>
            </w:r>
          </w:p>
          <w:p w:rsidR="005B3A3E" w:rsidRPr="008D00DB" w:rsidRDefault="005B3A3E" w:rsidP="008D00DB">
            <w:pPr>
              <w:jc w:val="center"/>
              <w:rPr>
                <w:rFonts w:eastAsia="Calibri"/>
                <w:lang w:eastAsia="en-US"/>
              </w:rPr>
            </w:pPr>
          </w:p>
          <w:p w:rsidR="005B3A3E" w:rsidRPr="008D00DB" w:rsidRDefault="005B3A3E" w:rsidP="008D00DB">
            <w:pPr>
              <w:jc w:val="center"/>
            </w:pPr>
            <w:r w:rsidRPr="008D00D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двойные створчатые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простые филенчатые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1531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5B3A3E" w:rsidRPr="008D00DB" w:rsidRDefault="005B3A3E" w:rsidP="008D00DB">
            <w:pPr>
              <w:spacing w:before="120"/>
            </w:pPr>
            <w:r w:rsidRPr="008D00DB">
              <w:t xml:space="preserve">а) наружная  </w:t>
            </w:r>
          </w:p>
          <w:p w:rsidR="005B3A3E" w:rsidRPr="008D00DB" w:rsidRDefault="005B3A3E" w:rsidP="008D00DB">
            <w:r w:rsidRPr="008D00DB">
              <w:t xml:space="preserve">    отделка </w:t>
            </w:r>
          </w:p>
          <w:p w:rsidR="005B3A3E" w:rsidRPr="008D00DB" w:rsidRDefault="005B3A3E" w:rsidP="008D00DB">
            <w:r w:rsidRPr="008D00DB">
              <w:t xml:space="preserve">б) внутренняя </w:t>
            </w:r>
          </w:p>
          <w:p w:rsidR="005B3A3E" w:rsidRPr="008D00DB" w:rsidRDefault="005B3A3E" w:rsidP="008D00DB">
            <w:r w:rsidRPr="008D00D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вагонка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 xml:space="preserve"> сухая штукатурка, обои, линолеум, покраска, побелка</w:t>
            </w:r>
          </w:p>
        </w:tc>
        <w:tc>
          <w:tcPr>
            <w:tcW w:w="2426" w:type="dxa"/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cantSplit/>
          <w:trHeight w:val="3685"/>
          <w:jc w:val="right"/>
        </w:trPr>
        <w:tc>
          <w:tcPr>
            <w:tcW w:w="846" w:type="dxa"/>
            <w:shd w:val="clear" w:color="auto" w:fill="auto"/>
            <w:vAlign w:val="center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Внутридомовые инженерные коммуникации</w:t>
            </w:r>
          </w:p>
          <w:p w:rsidR="005B3A3E" w:rsidRPr="008D00DB" w:rsidRDefault="005B3A3E" w:rsidP="008D00DB">
            <w:pPr>
              <w:ind w:left="113" w:right="113"/>
              <w:jc w:val="center"/>
            </w:pPr>
            <w:r w:rsidRPr="008D00DB">
              <w:t xml:space="preserve">и оборудование для предоставления </w:t>
            </w:r>
          </w:p>
          <w:p w:rsidR="005B3A3E" w:rsidRPr="008D00DB" w:rsidRDefault="005B3A3E" w:rsidP="008D00DB">
            <w:pPr>
              <w:spacing w:after="120"/>
              <w:ind w:left="113" w:right="113"/>
              <w:jc w:val="center"/>
            </w:pPr>
            <w:r w:rsidRPr="008D00DB">
              <w:t>коммунальных услуг:</w:t>
            </w:r>
          </w:p>
          <w:p w:rsidR="005B3A3E" w:rsidRPr="008D00DB" w:rsidRDefault="005B3A3E" w:rsidP="008D00DB">
            <w:pPr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</w:pPr>
            <w:r w:rsidRPr="008D00DB">
              <w:t>теплоснабжение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электроснабжение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газоснабжение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телефонизация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водопровод</w:t>
            </w:r>
          </w:p>
          <w:p w:rsidR="005B3A3E" w:rsidRPr="008D00DB" w:rsidRDefault="005B3A3E" w:rsidP="008D00DB">
            <w:pPr>
              <w:spacing w:after="120"/>
            </w:pPr>
            <w:r w:rsidRPr="008D00DB">
              <w:t>горячее водоснабжение</w:t>
            </w:r>
          </w:p>
          <w:p w:rsidR="005B3A3E" w:rsidRPr="008D00DB" w:rsidRDefault="005B3A3E" w:rsidP="008D00DB">
            <w:r w:rsidRPr="008D00DB">
              <w:t>канализация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проводка открытая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сетевое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есть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центральный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центральное</w:t>
            </w:r>
          </w:p>
          <w:p w:rsidR="005B3A3E" w:rsidRPr="008D00DB" w:rsidRDefault="005B3A3E" w:rsidP="008D00DB">
            <w:pPr>
              <w:jc w:val="center"/>
            </w:pPr>
          </w:p>
          <w:p w:rsidR="005B3A3E" w:rsidRPr="008D00DB" w:rsidRDefault="005B3A3E" w:rsidP="008D00DB">
            <w:pPr>
              <w:jc w:val="center"/>
            </w:pPr>
            <w:r w:rsidRPr="008D00DB">
              <w:t>центральная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360"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12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spacing w:after="360"/>
              <w:jc w:val="center"/>
            </w:pPr>
            <w:r w:rsidRPr="008D00DB">
              <w:t>удовлетворительное</w:t>
            </w:r>
          </w:p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  <w:tr w:rsidR="005B3A3E" w:rsidRPr="008D00DB" w:rsidTr="003B0FC8">
        <w:trPr>
          <w:trHeight w:val="519"/>
          <w:jc w:val="right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 w:after="120"/>
            </w:pPr>
            <w:r w:rsidRPr="008D00DB">
              <w:t>Крыльцо, отмостка, навесы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B3A3E" w:rsidRPr="008D00DB" w:rsidRDefault="005B3A3E" w:rsidP="008D00DB">
            <w:pPr>
              <w:spacing w:before="120"/>
              <w:jc w:val="center"/>
            </w:pPr>
            <w:r w:rsidRPr="008D00DB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A3E" w:rsidRPr="008D00DB" w:rsidRDefault="005B3A3E" w:rsidP="008D00DB">
            <w:pPr>
              <w:jc w:val="center"/>
            </w:pPr>
            <w:r w:rsidRPr="008D00DB">
              <w:t>удовлетворительное</w:t>
            </w:r>
          </w:p>
        </w:tc>
      </w:tr>
    </w:tbl>
    <w:p w:rsidR="005B3A3E" w:rsidRPr="008D00DB" w:rsidRDefault="005B3A3E" w:rsidP="008D00DB">
      <w:pPr>
        <w:ind w:left="360"/>
        <w:jc w:val="both"/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74C6" w:rsidTr="00E40A0D">
        <w:tc>
          <w:tcPr>
            <w:tcW w:w="4813" w:type="dxa"/>
          </w:tcPr>
          <w:p w:rsidR="00ED74C6" w:rsidRDefault="00ED74C6" w:rsidP="00E40A0D">
            <w:pPr>
              <w:spacing w:before="120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Администрация 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городского поселения Андра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</w:p>
          <w:p w:rsidR="00ED74C6" w:rsidRDefault="00ED74C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Глава городского поселения Андра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</w:p>
          <w:p w:rsidR="00ED74C6" w:rsidRDefault="00ED74C6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 xml:space="preserve">_______________ / </w:t>
            </w:r>
            <w:r>
              <w:rPr>
                <w:b/>
                <w:bCs/>
                <w:spacing w:val="1"/>
              </w:rPr>
              <w:t>Н. В. Жук</w:t>
            </w:r>
            <w:r w:rsidRPr="00143F16">
              <w:rPr>
                <w:bCs/>
                <w:spacing w:val="1"/>
              </w:rPr>
              <w:t xml:space="preserve"> /</w:t>
            </w:r>
            <w:r w:rsidRPr="00143F16">
              <w:rPr>
                <w:b/>
                <w:spacing w:val="1"/>
              </w:rPr>
              <w:tab/>
            </w:r>
          </w:p>
          <w:p w:rsidR="00ED74C6" w:rsidRDefault="00ED74C6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  <w:tc>
          <w:tcPr>
            <w:tcW w:w="4814" w:type="dxa"/>
          </w:tcPr>
          <w:p w:rsidR="00ED74C6" w:rsidRDefault="00ED74C6" w:rsidP="00E40A0D">
            <w:pPr>
              <w:spacing w:before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Управляющая организация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</w:p>
          <w:p w:rsidR="00ED74C6" w:rsidRDefault="00ED74C6" w:rsidP="00E40A0D">
            <w:pPr>
              <w:rPr>
                <w:b/>
                <w:spacing w:val="1"/>
              </w:rPr>
            </w:pPr>
          </w:p>
          <w:p w:rsidR="00ED74C6" w:rsidRDefault="00ED74C6" w:rsidP="00E40A0D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Руководитель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</w:p>
          <w:p w:rsidR="00ED74C6" w:rsidRDefault="00ED74C6" w:rsidP="00E40A0D">
            <w:pPr>
              <w:spacing w:after="120"/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______________ / М. М. Горячук /</w:t>
            </w:r>
          </w:p>
          <w:p w:rsidR="00ED74C6" w:rsidRDefault="00ED74C6" w:rsidP="00E40A0D">
            <w:pPr>
              <w:rPr>
                <w:b/>
                <w:spacing w:val="1"/>
              </w:rPr>
            </w:pPr>
            <w:r w:rsidRPr="00143F16">
              <w:rPr>
                <w:b/>
                <w:spacing w:val="1"/>
              </w:rPr>
              <w:t>М. П.</w:t>
            </w:r>
            <w:r>
              <w:rPr>
                <w:b/>
                <w:spacing w:val="1"/>
              </w:rPr>
              <w:t xml:space="preserve">                                                                                     </w:t>
            </w:r>
          </w:p>
        </w:tc>
      </w:tr>
    </w:tbl>
    <w:p w:rsidR="00154322" w:rsidRPr="008D00DB" w:rsidRDefault="00154322" w:rsidP="008D00DB">
      <w:bookmarkStart w:id="0" w:name="_GoBack"/>
      <w:bookmarkEnd w:id="0"/>
    </w:p>
    <w:sectPr w:rsidR="00154322" w:rsidRPr="008D00DB" w:rsidSect="008D00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3C"/>
    <w:multiLevelType w:val="hybridMultilevel"/>
    <w:tmpl w:val="228A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21EFD"/>
    <w:multiLevelType w:val="hybridMultilevel"/>
    <w:tmpl w:val="2356DD6C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0D19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B6698"/>
    <w:multiLevelType w:val="hybridMultilevel"/>
    <w:tmpl w:val="3468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3F"/>
    <w:rsid w:val="00154322"/>
    <w:rsid w:val="00170B75"/>
    <w:rsid w:val="00404D65"/>
    <w:rsid w:val="005B3A3E"/>
    <w:rsid w:val="007A103F"/>
    <w:rsid w:val="008B728C"/>
    <w:rsid w:val="008D00DB"/>
    <w:rsid w:val="00E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24D3"/>
  <w15:chartTrackingRefBased/>
  <w15:docId w15:val="{5EA2AF8C-783A-471C-A7BA-4FAD9A49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D7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74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7</cp:revision>
  <cp:lastPrinted>2019-02-18T07:00:00Z</cp:lastPrinted>
  <dcterms:created xsi:type="dcterms:W3CDTF">2019-01-11T11:19:00Z</dcterms:created>
  <dcterms:modified xsi:type="dcterms:W3CDTF">2019-02-18T07:00:00Z</dcterms:modified>
</cp:coreProperties>
</file>