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1" w:rsidRPr="003D6131" w:rsidRDefault="003D6131" w:rsidP="003D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21AAF" wp14:editId="343650F7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131" w:rsidRPr="003D6131" w:rsidRDefault="003D6131" w:rsidP="003D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3D6131" w:rsidRPr="003D6131" w:rsidTr="004B582E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31" w:rsidRPr="003D6131" w:rsidTr="004B582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7F052D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7F052D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7F052D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D6131" w:rsidRPr="003D6131" w:rsidTr="004B582E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3D6131" w:rsidRDefault="003D6131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31" w:rsidRDefault="003F64EF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материальном стимулировании граждан, </w:t>
      </w:r>
    </w:p>
    <w:p w:rsidR="003D6131" w:rsidRDefault="003F64EF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деятельности добровольных </w:t>
      </w:r>
    </w:p>
    <w:p w:rsidR="003D6131" w:rsidRDefault="003F64EF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формирований населения по охране общественного </w:t>
      </w:r>
    </w:p>
    <w:p w:rsidR="003F64EF" w:rsidRDefault="003F64EF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на территории городского поселения </w:t>
      </w:r>
      <w:r w:rsidR="003D6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905" w:rsidRDefault="00D50905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05" w:rsidRPr="003F64EF" w:rsidRDefault="00D50905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EF" w:rsidRDefault="003F64EF" w:rsidP="003D61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14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 2003 </w:t>
      </w:r>
      <w:hyperlink r:id="rId6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131-ФЗ "Об общих принципах организации местного самоуправления в Российской Федерации"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7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02.04.2014 N 44-ФЗ "Об участии граждан в охране общественного порядка"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</w:t>
      </w:r>
      <w:r w:rsidR="008B7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hyperlink r:id="rId8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19.11.2014 N 95-оз "О регулировании отдельных вопросов участия граждан в охране общественного порядка в Ханты-Мансийском автономном округе-Югре, уставом городского поселения </w:t>
        </w:r>
        <w:r w:rsidR="003D6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Андра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решением Совета депутатов городского поселения </w:t>
        </w:r>
        <w:r w:rsidR="00D50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Андра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29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</w:t>
        </w:r>
        <w:r w:rsidR="00D50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50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установлении границ территории, на которой может быть создана добровольная народная дружина"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условий для деятельности добровольных формирований населения по охране</w:t>
      </w:r>
      <w:r w:rsidR="003D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на территории городского поселения </w:t>
      </w:r>
      <w:r w:rsidR="003D6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131" w:rsidRPr="003F64EF" w:rsidRDefault="003D6131" w:rsidP="00D509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EF" w:rsidRPr="003F64EF" w:rsidRDefault="003F64EF" w:rsidP="00D509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</w:t>
        </w:r>
        <w:r w:rsidR="00D50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Андра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D50905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3F64EF" w:rsidRPr="003F64EF" w:rsidRDefault="003F64EF" w:rsidP="00D509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расходов производить в пределах средств, предусмотренных в бюджете городского поселения </w:t>
      </w:r>
      <w:r w:rsidR="00D50905" w:rsidRPr="00D5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EF" w:rsidRPr="003F64EF" w:rsidRDefault="00D50905" w:rsidP="00D509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0905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0" w:history="1"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50905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D50905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3F64EF" w:rsidRPr="003F64EF" w:rsidRDefault="00D50905" w:rsidP="00D5090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после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3F64EF" w:rsidRPr="003F64EF" w:rsidRDefault="00D50905" w:rsidP="00D509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выполнением постановления возложить на заместителя главы администрации городского поселения </w:t>
      </w:r>
      <w:r w:rsidRPr="00D5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52D" w:rsidRDefault="007F052D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D" w:rsidRPr="007F052D" w:rsidRDefault="007F052D" w:rsidP="007F05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2D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</w:t>
      </w:r>
      <w:r w:rsidRPr="007F052D">
        <w:rPr>
          <w:rFonts w:ascii="Times New Roman" w:hAnsi="Times New Roman" w:cs="Times New Roman"/>
          <w:sz w:val="24"/>
          <w:szCs w:val="24"/>
        </w:rPr>
        <w:tab/>
      </w:r>
      <w:r w:rsidRPr="007F0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052D">
        <w:rPr>
          <w:rFonts w:ascii="Times New Roman" w:hAnsi="Times New Roman" w:cs="Times New Roman"/>
          <w:sz w:val="24"/>
          <w:szCs w:val="24"/>
        </w:rPr>
        <w:t xml:space="preserve"> Н.В. Жук</w:t>
      </w:r>
    </w:p>
    <w:p w:rsidR="003F64EF" w:rsidRPr="003F64EF" w:rsidRDefault="003F64EF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03A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83A1B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C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C2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3F64EF" w:rsidRPr="003F64EF" w:rsidRDefault="003F64EF" w:rsidP="003F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 разработано в соответствии со </w:t>
      </w:r>
      <w:hyperlink r:id="rId11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14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02.04.2014 44-ФЗ "Об участии граждан в охране общественного порядка", законом </w:t>
      </w:r>
      <w:r w:rsidR="008B7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hyperlink r:id="rId12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19.11.2014 N 95-оз "О регулировании отдельных вопросов участия граждан в охране общественного порядка в Ханты-Мансийском автономном округе-Югре, </w:t>
        </w:r>
        <w:r w:rsidR="0028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ставом городского поселения </w:t>
        </w:r>
        <w:r w:rsidR="0028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Андра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решением Совета депутатов городского поселения </w:t>
        </w:r>
        <w:r w:rsidR="0028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Андра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</w:t>
        </w:r>
        <w:r w:rsidR="0028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8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B71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установлении границ территории, на которой может быть создана добровольная народная дружина"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стимулирования граждан, участвующих в охране общественного порядка и являющихся членами народной дружины и определяет условия, порядок и размер материального стимулирования.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материального стимулирования граждан, участвующих в деятельности народных дружин на территории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активизация участия граждан в мероприятиях по охране общественного порядка на территории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дружинник (далее - дружинник) - гражданин Российской Федерации, являющийся членом народной дружины и принимающий в ее составе участие в охране общественного порядка на территории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Дружинники, активно участвующие в борьбе с правонарушениями, поощряются главой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Советом депутатов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4EF" w:rsidRPr="003F64EF" w:rsidRDefault="003F64EF" w:rsidP="00283A1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объявлением благодарности;</w:t>
      </w:r>
    </w:p>
    <w:p w:rsidR="003F64EF" w:rsidRPr="003F64EF" w:rsidRDefault="003F64EF" w:rsidP="00283A1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награждением Почетной грамотой или Благодарственным письмом;</w:t>
      </w:r>
    </w:p>
    <w:p w:rsidR="003F64EF" w:rsidRPr="003F64EF" w:rsidRDefault="003F64EF" w:rsidP="00283A1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премией или ценным подарком к профессиональным праздникам МВД России.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денежной премии, приобретение ценного подарка осуществляется администрацией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средств, предусмотренных в бюджете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выплате премии, награждении оформляется муниципальным правовым актом.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иные формы материального стимулирования, не противоречащие федеральному законодательству.</w:t>
      </w:r>
    </w:p>
    <w:p w:rsidR="003F64EF" w:rsidRPr="003F64EF" w:rsidRDefault="003F64EF" w:rsidP="00283A1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Материальным стимулированием Дружинников является денежное вознаграждение, выплачиваемое в размере, установленном настоящим Положением. Денежное вознаграждение Дружинникам выплачивается за счет средств бюджета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межбюджетных трансфертов в пределах суммы, предусмотренной на материальное стимулирование Дружинников.</w:t>
      </w:r>
    </w:p>
    <w:p w:rsidR="003F64EF" w:rsidRPr="003F64EF" w:rsidRDefault="003F64EF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Денежное вознаграждение выплачивается ежегодно администрацией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отработанному времени. Продолжительность дежурства дружинников по охране общественного порядка составляет не более 3 (трех) часов в сутки. Дежурства 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отражаются в соответствии с утвержденным графиком согласно </w:t>
      </w:r>
      <w:hyperlink r:id="rId13" w:history="1">
        <w:r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график обязательно согласовывается с ответственным лицом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России </w:t>
      </w:r>
      <w:r w:rsidR="00336CC4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Октябрьскому </w:t>
      </w:r>
      <w:r w:rsidR="00336CC4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охраны общественного порядка на территории городского поселения 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народной дружины ведет табель учета выхода дружинников на охрану общественного порядка согласно </w:t>
      </w:r>
      <w:hyperlink r:id="rId14" w:history="1">
        <w:r w:rsidR="003F64EF" w:rsidRPr="003F6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По истечении календарного месяца табель учета выхода дружинников на охрану общественного порядка подписывается руководителем Дружины.</w:t>
      </w:r>
    </w:p>
    <w:p w:rsidR="00336CC4" w:rsidRDefault="003F64EF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 учета выхода дружинников на охрану общественного порядка с пояснительной запиской об итогах работы за истекший месяц направляется руководителем народной дружины в администрацию городского поселения 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материального стимулирования. Документы учета выхода на дежурство по охране общественного порядка предоставляется ежемесячно в срок до 20 числа следующего календарного месяца.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одного часа выхода на дежурство подлежит регулированию исходя из средств, предусмотренных на материальное стимулирование дружинников, на соответствующий финансовый год.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денежного вознаграждения дружинникам осуществляется администрацией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ходатайства, пояснительной записки народной дружины и табеля учета выхода дружинников на охрану общественного порядка. Решение о выплате денежного поощрения дружинникам оформляется распоряжением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единовременной денежной выплаты осуществляется на счет получателя, открытый в кредитно-финансовой организации.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округа, бюджета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336CC4" w:rsidRDefault="00336CC4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личное страхование народных дружинников на период их участия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бюджету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бюджета Ханты-Мансийского автономного округа в порядке, установленном Правительством Ханты-Мансийского автономного округа - Югры.</w:t>
      </w:r>
    </w:p>
    <w:p w:rsidR="003F64EF" w:rsidRPr="003F64EF" w:rsidRDefault="003F64EF" w:rsidP="00336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законодательством.</w:t>
      </w: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D" w:rsidRDefault="007F052D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F64EF" w:rsidP="00336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N 1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Положению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материальном стимулировании </w:t>
      </w:r>
    </w:p>
    <w:p w:rsidR="003F64EF" w:rsidRDefault="00336CC4" w:rsidP="00336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участвующих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добровольных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формирований населения по охране общественного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порядка на территории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CC4" w:rsidRPr="003F64EF" w:rsidRDefault="00336CC4" w:rsidP="00336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EF" w:rsidRPr="003F64EF" w:rsidRDefault="003F64EF" w:rsidP="003F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выхода членов добровольных формирований населения, участвующих в охране общественного порядка </w:t>
      </w:r>
    </w:p>
    <w:p w:rsidR="003F64EF" w:rsidRPr="003F64EF" w:rsidRDefault="003F64EF" w:rsidP="003F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20____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581"/>
        <w:gridCol w:w="2068"/>
        <w:gridCol w:w="3013"/>
      </w:tblGrid>
      <w:tr w:rsidR="003F64EF" w:rsidRPr="003F64EF" w:rsidTr="003F64EF">
        <w:trPr>
          <w:trHeight w:val="15"/>
          <w:tblCellSpacing w:w="15" w:type="dxa"/>
        </w:trPr>
        <w:tc>
          <w:tcPr>
            <w:tcW w:w="754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ДНД ______________________________</w:t>
      </w:r>
    </w:p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F64EF" w:rsidRPr="003F64EF" w:rsidRDefault="00336CC4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Октябрьскому </w:t>
      </w:r>
      <w:r w:rsidR="003F64EF"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не более 3 часов в сутки.</w:t>
      </w:r>
    </w:p>
    <w:p w:rsidR="00336CC4" w:rsidRDefault="003F64EF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C4" w:rsidRDefault="00336CC4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EF" w:rsidRPr="003F64EF" w:rsidRDefault="003F64EF" w:rsidP="003F64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материальном стимулировании </w:t>
      </w:r>
      <w:proofErr w:type="gramStart"/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участвующих</w:t>
      </w:r>
      <w:proofErr w:type="gramEnd"/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добровольных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формирований населения по охране общественного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порядка на территории городского поселения </w:t>
      </w:r>
      <w:r w:rsidR="0033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4EF" w:rsidRPr="003F64EF" w:rsidRDefault="003F64EF" w:rsidP="003F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 учета времени выхода членов добровольных формирований населения, участвующих в охране общественного порядка </w:t>
      </w:r>
    </w:p>
    <w:p w:rsidR="003F64EF" w:rsidRPr="003F64EF" w:rsidRDefault="003F64EF" w:rsidP="003F6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92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83"/>
        <w:gridCol w:w="282"/>
        <w:gridCol w:w="17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66"/>
        <w:gridCol w:w="624"/>
      </w:tblGrid>
      <w:tr w:rsidR="003F64EF" w:rsidRPr="003F64EF" w:rsidTr="003F64EF">
        <w:trPr>
          <w:trHeight w:val="15"/>
          <w:tblCellSpacing w:w="15" w:type="dxa"/>
        </w:trPr>
        <w:tc>
          <w:tcPr>
            <w:tcW w:w="49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</w:t>
            </w: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</w:t>
            </w:r>
          </w:p>
        </w:tc>
        <w:tc>
          <w:tcPr>
            <w:tcW w:w="0" w:type="auto"/>
            <w:gridSpan w:val="31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Отработано часов по дням месяца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часов </w:t>
            </w: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EF" w:rsidRPr="003F64EF" w:rsidTr="003F64EF">
        <w:trPr>
          <w:tblCellSpacing w:w="15" w:type="dxa"/>
        </w:trPr>
        <w:tc>
          <w:tcPr>
            <w:tcW w:w="0" w:type="auto"/>
            <w:hideMark/>
          </w:tcPr>
          <w:p w:rsidR="003F64EF" w:rsidRPr="003F64EF" w:rsidRDefault="003F64EF" w:rsidP="003F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64EF" w:rsidRPr="003F64EF" w:rsidRDefault="003F64EF" w:rsidP="003F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ДНД ______________________________</w:t>
      </w:r>
    </w:p>
    <w:p w:rsidR="003F64EF" w:rsidRPr="003F64EF" w:rsidRDefault="003F64EF" w:rsidP="003F64E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3F64EF" w:rsidRPr="003F64EF" w:rsidRDefault="003F64EF" w:rsidP="003F64EF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Время-часы, не более 3 часов в сутки, не более 12 часов в месяц. ".:</w:t>
      </w:r>
    </w:p>
    <w:p w:rsidR="008575A2" w:rsidRDefault="008575A2"/>
    <w:sectPr w:rsidR="008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B"/>
    <w:rsid w:val="00283A1B"/>
    <w:rsid w:val="00336CC4"/>
    <w:rsid w:val="003D6131"/>
    <w:rsid w:val="003F64EF"/>
    <w:rsid w:val="007F052D"/>
    <w:rsid w:val="008575A2"/>
    <w:rsid w:val="008B7181"/>
    <w:rsid w:val="008F210B"/>
    <w:rsid w:val="00B03AC2"/>
    <w:rsid w:val="00D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6677-CC07-413A-B58D-6B3D36C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550311&amp;prevdoc=546266655" TargetMode="External"/><Relationship Id="rId13" Type="http://schemas.openxmlformats.org/officeDocument/2006/relationships/hyperlink" Target="kodeks://link/d?nd=546266655&amp;prevdoc=546266655&amp;point=mark=1SEMHRL000003A000002D00000061KCS1SE000000A1MRHGQ02AG2L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99086123&amp;prevdoc=546266655" TargetMode="External"/><Relationship Id="rId12" Type="http://schemas.openxmlformats.org/officeDocument/2006/relationships/hyperlink" Target="kodeks://link/d?nd=543550311&amp;prevdoc=5462666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6266655" TargetMode="External"/><Relationship Id="rId11" Type="http://schemas.openxmlformats.org/officeDocument/2006/relationships/hyperlink" Target="kodeks://link/d?nd=901876063&amp;prevdoc=546266655&amp;point=mark=000000000000000000000000000000000000000000000000007EA0KG" TargetMode="External"/><Relationship Id="rId5" Type="http://schemas.openxmlformats.org/officeDocument/2006/relationships/hyperlink" Target="kodeks://link/d?nd=901876063&amp;prevdoc=546266655&amp;point=mark=000000000000000000000000000000000000000000000000007EA0K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dra-mo.ru" TargetMode="External"/><Relationship Id="rId4" Type="http://schemas.openxmlformats.org/officeDocument/2006/relationships/image" Target="media/image1.png"/><Relationship Id="rId9" Type="http://schemas.openxmlformats.org/officeDocument/2006/relationships/hyperlink" Target="kodeks://link/d?nd=546266655&amp;prevdoc=546266655&amp;point=mark=1KCS1RL000000A1MRHGQ02AG2LLG257RS3H0GLH6TD3VVVVVU28C7O34" TargetMode="External"/><Relationship Id="rId14" Type="http://schemas.openxmlformats.org/officeDocument/2006/relationships/hyperlink" Target="kodeks://link/d?nd=546266655&amp;prevdoc=546266655&amp;point=mark=1SEMHRL000003A000002E00000061KCS1SE000000A1MRHGQ02AG2L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Diana</cp:lastModifiedBy>
  <cp:revision>7</cp:revision>
  <cp:lastPrinted>2019-05-07T11:06:00Z</cp:lastPrinted>
  <dcterms:created xsi:type="dcterms:W3CDTF">2019-03-21T10:37:00Z</dcterms:created>
  <dcterms:modified xsi:type="dcterms:W3CDTF">2019-11-25T10:24:00Z</dcterms:modified>
</cp:coreProperties>
</file>