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0" w:rsidRDefault="009B0E30" w:rsidP="009B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0E30" w:rsidRPr="009B0E30" w:rsidRDefault="009B0E30" w:rsidP="009B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E30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9B0E30" w:rsidRPr="009B0E30" w:rsidRDefault="009B0E30" w:rsidP="009B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E30">
        <w:rPr>
          <w:rFonts w:ascii="Times New Roman" w:eastAsia="Times New Roman" w:hAnsi="Times New Roman" w:cs="Times New Roman"/>
          <w:b/>
          <w:sz w:val="32"/>
          <w:szCs w:val="32"/>
        </w:rPr>
        <w:t>МАХНЁВСКОГО МУНИЦИПАЛЬНОГО ОБРАЗОВАНИЯ</w:t>
      </w:r>
    </w:p>
    <w:p w:rsidR="009B0E30" w:rsidRPr="009B0E30" w:rsidRDefault="009B0E30" w:rsidP="009B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E30" w:rsidRPr="009B0E30" w:rsidRDefault="009B0E30" w:rsidP="009B0E30">
      <w:pPr>
        <w:tabs>
          <w:tab w:val="left" w:pos="3000"/>
          <w:tab w:val="left" w:pos="5497"/>
        </w:tabs>
        <w:spacing w:after="0" w:line="240" w:lineRule="auto"/>
        <w:jc w:val="center"/>
        <w:rPr>
          <w:rFonts w:ascii="Calibri" w:eastAsia="Times New Roman" w:hAnsi="Calibri" w:cs="Times New Roman"/>
          <w:b/>
          <w:shadow/>
          <w:spacing w:val="12"/>
          <w:sz w:val="40"/>
          <w:szCs w:val="40"/>
        </w:rPr>
      </w:pPr>
      <w:r w:rsidRPr="009B0E30">
        <w:rPr>
          <w:rFonts w:ascii="Times New Roman" w:eastAsia="Times New Roman" w:hAnsi="Times New Roman" w:cs="Times New Roman"/>
          <w:b/>
          <w:shadow/>
          <w:spacing w:val="12"/>
          <w:sz w:val="40"/>
          <w:szCs w:val="40"/>
        </w:rPr>
        <w:t>ПОСТАНОВЛЕНИЕ</w:t>
      </w:r>
    </w:p>
    <w:p w:rsidR="009B0E30" w:rsidRPr="009B0E30" w:rsidRDefault="009B0E30" w:rsidP="009B0E30">
      <w:pPr>
        <w:tabs>
          <w:tab w:val="left" w:pos="3000"/>
          <w:tab w:val="left" w:pos="5497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-18"/>
          <w:sz w:val="36"/>
          <w:szCs w:val="36"/>
        </w:rPr>
      </w:pPr>
      <w:r w:rsidRPr="009B0E30">
        <w:rPr>
          <w:rFonts w:ascii="Calibri" w:eastAsia="Times New Roman" w:hAnsi="Calibri" w:cs="Times New Roman"/>
          <w:b/>
          <w:spacing w:val="-18"/>
          <w:sz w:val="36"/>
          <w:szCs w:val="36"/>
        </w:rPr>
        <w:pict>
          <v:rect id="_x0000_i1025" style="width:510.3pt;height:2.25pt" o:hralign="center" o:hrstd="t" o:hrnoshade="t" o:hr="t" fillcolor="black" stroked="f"/>
        </w:pict>
      </w:r>
    </w:p>
    <w:p w:rsidR="009B0E30" w:rsidRPr="009B0E30" w:rsidRDefault="009B0E30" w:rsidP="009B0E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B0E30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1pt;margin-top:.8pt;width:508.2pt;height:0;z-index:251660288" o:connectortype="straight"/>
        </w:pict>
      </w:r>
    </w:p>
    <w:p w:rsidR="009B0E30" w:rsidRPr="009B0E30" w:rsidRDefault="009B0E30" w:rsidP="009B0E30">
      <w:pPr>
        <w:spacing w:after="0" w:line="240" w:lineRule="auto"/>
        <w:rPr>
          <w:rFonts w:ascii="True Type" w:eastAsia="Times New Roman" w:hAnsi="True Type" w:cs="Times New Roman"/>
          <w:spacing w:val="-2"/>
          <w:sz w:val="28"/>
          <w:szCs w:val="28"/>
          <w:u w:val="single"/>
        </w:rPr>
      </w:pPr>
      <w:r w:rsidRPr="009B0E3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E30">
        <w:rPr>
          <w:rFonts w:ascii="Times New Roman" w:eastAsia="Times New Roman" w:hAnsi="Times New Roman" w:cs="Times New Roman"/>
          <w:sz w:val="28"/>
          <w:szCs w:val="28"/>
        </w:rPr>
        <w:t xml:space="preserve"> апреля 2009 г.  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9B0E30" w:rsidRPr="009B0E30" w:rsidRDefault="009B0E30" w:rsidP="009B0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30">
        <w:rPr>
          <w:rFonts w:ascii="Times New Roman" w:eastAsia="Times New Roman" w:hAnsi="Times New Roman" w:cs="Times New Roman"/>
          <w:sz w:val="28"/>
          <w:szCs w:val="28"/>
        </w:rPr>
        <w:t>п.г.т. Махнёво</w:t>
      </w:r>
    </w:p>
    <w:p w:rsidR="005A223F" w:rsidRPr="005A223F" w:rsidRDefault="005A223F" w:rsidP="005A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3F" w:rsidRPr="005A223F" w:rsidRDefault="00360D60" w:rsidP="005A22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</w:t>
      </w:r>
      <w:r w:rsidR="005A223F" w:rsidRPr="005A223F">
        <w:rPr>
          <w:rFonts w:ascii="Times New Roman" w:hAnsi="Times New Roman" w:cs="Times New Roman"/>
          <w:b/>
          <w:i/>
          <w:sz w:val="28"/>
          <w:szCs w:val="28"/>
        </w:rPr>
        <w:t>етодики</w:t>
      </w:r>
      <w:r w:rsidR="005A223F" w:rsidRPr="005A223F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проведения антикоррупционной экспертизы нормативных</w:t>
      </w:r>
      <w:r w:rsidR="005A223F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</w:t>
      </w:r>
      <w:r w:rsidR="005A223F" w:rsidRPr="005A223F">
        <w:rPr>
          <w:rFonts w:ascii="TimesNewRoman,Bold" w:hAnsi="TimesNewRoman,Bold" w:cs="TimesNewRoman,Bold"/>
          <w:b/>
          <w:bCs/>
          <w:i/>
          <w:sz w:val="28"/>
          <w:szCs w:val="28"/>
        </w:rPr>
        <w:t>правовых актов Махнёвского муниципального образования и проектов нормативных</w:t>
      </w:r>
      <w:r w:rsidR="005A223F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</w:t>
      </w:r>
      <w:r w:rsidR="005A223F" w:rsidRPr="005A223F">
        <w:rPr>
          <w:rFonts w:ascii="TimesNewRoman,Bold" w:hAnsi="TimesNewRoman,Bold" w:cs="TimesNewRoman,Bold"/>
          <w:b/>
          <w:bCs/>
          <w:i/>
          <w:sz w:val="28"/>
          <w:szCs w:val="28"/>
        </w:rPr>
        <w:t>правовых актов Махнёвского муниципального образования</w:t>
      </w:r>
    </w:p>
    <w:p w:rsidR="005A223F" w:rsidRPr="005A223F" w:rsidRDefault="005A223F" w:rsidP="005A22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223F" w:rsidRDefault="00454FD0" w:rsidP="009B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>В</w:t>
      </w:r>
      <w:r w:rsidR="00360D60">
        <w:rPr>
          <w:rFonts w:ascii="Times New Roman" w:hAnsi="Times New Roman" w:cs="Times New Roman"/>
          <w:sz w:val="28"/>
          <w:szCs w:val="28"/>
        </w:rPr>
        <w:t xml:space="preserve"> </w:t>
      </w:r>
      <w:r w:rsidRPr="004C32EC">
        <w:rPr>
          <w:rFonts w:ascii="Times New Roman" w:hAnsi="Times New Roman" w:cs="Times New Roman"/>
          <w:sz w:val="28"/>
          <w:szCs w:val="28"/>
        </w:rPr>
        <w:t>целях реализации Федерального закона  от 25 декабря 2008 года № 273-ФЗ «О противодействии коррупции», Национального плана противодействия коррупции, утверждённого Президентом Российской Федерации</w:t>
      </w:r>
      <w:r w:rsidR="004C32EC" w:rsidRPr="004C32EC">
        <w:rPr>
          <w:rFonts w:ascii="Times New Roman" w:hAnsi="Times New Roman" w:cs="Times New Roman"/>
          <w:sz w:val="28"/>
          <w:szCs w:val="28"/>
        </w:rPr>
        <w:t xml:space="preserve"> 31 июля 2008 года Пр-1568, Закона </w:t>
      </w:r>
      <w:r w:rsidR="00360D60" w:rsidRPr="004C32EC">
        <w:rPr>
          <w:rFonts w:ascii="Times New Roman" w:hAnsi="Times New Roman" w:cs="Times New Roman"/>
          <w:sz w:val="28"/>
          <w:szCs w:val="28"/>
        </w:rPr>
        <w:t>Свердловской</w:t>
      </w:r>
      <w:r w:rsidR="004C32EC" w:rsidRPr="004C32EC">
        <w:rPr>
          <w:rFonts w:ascii="Times New Roman" w:hAnsi="Times New Roman" w:cs="Times New Roman"/>
          <w:sz w:val="28"/>
          <w:szCs w:val="28"/>
        </w:rPr>
        <w:t xml:space="preserve"> области от 20 февраля 2009 года № 2 – ОЗ «О противодействии коррупции в Свердловской области» и Плана противодействия коррупции в Свердловской области на 2008-2009 годы, утверждённого Губернатором Свердловской о</w:t>
      </w:r>
      <w:r w:rsidR="00360D60">
        <w:rPr>
          <w:rFonts w:ascii="Times New Roman" w:hAnsi="Times New Roman" w:cs="Times New Roman"/>
          <w:sz w:val="28"/>
          <w:szCs w:val="28"/>
        </w:rPr>
        <w:t>бласти 26 сентября 2008 года,</w:t>
      </w:r>
    </w:p>
    <w:p w:rsidR="009B0E30" w:rsidRPr="004C32EC" w:rsidRDefault="009B0E30" w:rsidP="009B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23F" w:rsidRDefault="004C32EC" w:rsidP="005A2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0E30" w:rsidRPr="004C32EC" w:rsidRDefault="009B0E30" w:rsidP="005A2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2EC" w:rsidRDefault="004C32EC" w:rsidP="009B0E30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>Утвердить Методику проведения антикоррупционной экспертизы нормативных правовых актов Махнёвского муниципального образования и проектов нормативных правовых актов Махнёвского муниципального образования</w:t>
      </w:r>
      <w:r w:rsidR="00694C2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C32EC">
        <w:rPr>
          <w:rFonts w:ascii="Times New Roman" w:hAnsi="Times New Roman" w:cs="Times New Roman"/>
          <w:sz w:val="28"/>
          <w:szCs w:val="28"/>
        </w:rPr>
        <w:t>.</w:t>
      </w:r>
    </w:p>
    <w:p w:rsidR="009B0E30" w:rsidRPr="009B0E30" w:rsidRDefault="009B0E30" w:rsidP="009B0E30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C32EC" w:rsidRDefault="004C32EC" w:rsidP="004C32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>Разъяснить начальникам отделов, фу</w:t>
      </w:r>
      <w:r w:rsidR="007314A4">
        <w:rPr>
          <w:rFonts w:ascii="Times New Roman" w:hAnsi="Times New Roman" w:cs="Times New Roman"/>
          <w:sz w:val="28"/>
          <w:szCs w:val="28"/>
        </w:rPr>
        <w:t>нкциональных и отраслевых органов</w:t>
      </w:r>
      <w:r w:rsidRPr="004C32EC">
        <w:rPr>
          <w:rFonts w:ascii="Times New Roman" w:hAnsi="Times New Roman" w:cs="Times New Roman"/>
          <w:sz w:val="28"/>
          <w:szCs w:val="28"/>
        </w:rPr>
        <w:t>,  главам территориальных органов</w:t>
      </w:r>
      <w:r w:rsidR="00360D60">
        <w:rPr>
          <w:rFonts w:ascii="Times New Roman" w:hAnsi="Times New Roman" w:cs="Times New Roman"/>
          <w:sz w:val="28"/>
          <w:szCs w:val="28"/>
        </w:rPr>
        <w:t xml:space="preserve"> и территориальных структурных подразделений</w:t>
      </w:r>
      <w:r w:rsidRPr="004C32EC">
        <w:rPr>
          <w:rFonts w:ascii="Times New Roman" w:hAnsi="Times New Roman" w:cs="Times New Roman"/>
          <w:sz w:val="28"/>
          <w:szCs w:val="28"/>
        </w:rPr>
        <w:t xml:space="preserve"> местной Администрации при принятии нормативных правовых актов и при разработке проектов нормативно правовых актов руководствоваться данной Методикой.</w:t>
      </w:r>
      <w:r w:rsidR="005A223F" w:rsidRPr="004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30" w:rsidRPr="009B0E30" w:rsidRDefault="009B0E30" w:rsidP="009B0E30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A223F" w:rsidRPr="004C32EC" w:rsidRDefault="005A223F" w:rsidP="004C32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EC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 возложить на </w:t>
      </w:r>
      <w:r w:rsidR="004C32EC">
        <w:rPr>
          <w:rFonts w:ascii="Times New Roman" w:hAnsi="Times New Roman" w:cs="Times New Roman"/>
          <w:sz w:val="28"/>
          <w:szCs w:val="28"/>
        </w:rPr>
        <w:t>начальника юридического отдела местной Администрации Е.В. Шарифзянову.</w:t>
      </w:r>
      <w:r w:rsidRPr="004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3F" w:rsidRPr="005A223F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3F" w:rsidRPr="005A223F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3F" w:rsidRPr="005A223F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3F" w:rsidRPr="005A223F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3F" w:rsidRPr="005A223F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60" w:rsidRDefault="005A223F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3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A223F" w:rsidRPr="005A223F" w:rsidRDefault="00360D60" w:rsidP="005A2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</w:t>
      </w:r>
      <w:r w:rsidR="005A223F" w:rsidRPr="005A223F">
        <w:rPr>
          <w:rFonts w:ascii="Times New Roman" w:hAnsi="Times New Roman" w:cs="Times New Roman"/>
          <w:sz w:val="28"/>
          <w:szCs w:val="28"/>
        </w:rPr>
        <w:tab/>
      </w:r>
      <w:r w:rsidR="005A223F" w:rsidRPr="005A223F">
        <w:rPr>
          <w:rFonts w:ascii="Times New Roman" w:hAnsi="Times New Roman" w:cs="Times New Roman"/>
          <w:sz w:val="28"/>
          <w:szCs w:val="28"/>
        </w:rPr>
        <w:tab/>
      </w:r>
      <w:r w:rsidR="005A223F" w:rsidRPr="005A223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223F" w:rsidRPr="005A223F">
        <w:rPr>
          <w:rFonts w:ascii="Times New Roman" w:hAnsi="Times New Roman" w:cs="Times New Roman"/>
          <w:sz w:val="28"/>
          <w:szCs w:val="28"/>
        </w:rPr>
        <w:t>Н.Д. Бузань</w:t>
      </w:r>
    </w:p>
    <w:p w:rsidR="005A223F" w:rsidRDefault="005A223F" w:rsidP="005A223F">
      <w:pPr>
        <w:jc w:val="both"/>
        <w:rPr>
          <w:sz w:val="28"/>
          <w:szCs w:val="28"/>
        </w:rPr>
      </w:pPr>
    </w:p>
    <w:p w:rsidR="005A223F" w:rsidRDefault="005A223F" w:rsidP="00C12D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910D7" w:rsidRDefault="008910D7" w:rsidP="00C12D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УТВЕРЖДЕНА</w:t>
      </w:r>
    </w:p>
    <w:p w:rsidR="00700C12" w:rsidRDefault="0085662E" w:rsidP="00C12D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</w:t>
      </w:r>
      <w:r w:rsidR="008910D7">
        <w:rPr>
          <w:rFonts w:ascii="TimesNewRomanPSMT" w:hAnsi="TimesNewRomanPSMT" w:cs="TimesNewRomanPSMT"/>
          <w:sz w:val="28"/>
          <w:szCs w:val="28"/>
        </w:rPr>
        <w:t>ем</w:t>
      </w:r>
      <w:r>
        <w:rPr>
          <w:rFonts w:ascii="TimesNewRomanPSMT" w:hAnsi="TimesNewRomanPSMT" w:cs="TimesNewRomanPSMT"/>
          <w:sz w:val="28"/>
          <w:szCs w:val="28"/>
        </w:rPr>
        <w:t xml:space="preserve"> Администрации</w:t>
      </w:r>
    </w:p>
    <w:p w:rsidR="0085662E" w:rsidRPr="00C12D40" w:rsidRDefault="0085662E" w:rsidP="00C12D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Махнёвского муниципального образования</w:t>
      </w:r>
    </w:p>
    <w:p w:rsidR="00700C12" w:rsidRDefault="00700C12" w:rsidP="00C12D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 w:rsidR="009B0E30">
        <w:rPr>
          <w:rFonts w:ascii="TimesNewRomanPSMT" w:hAnsi="TimesNewRomanPSMT" w:cs="TimesNewRomanPSMT"/>
          <w:sz w:val="28"/>
          <w:szCs w:val="28"/>
        </w:rPr>
        <w:t>21.04.2009 г. №100</w:t>
      </w:r>
    </w:p>
    <w:p w:rsidR="00C12D40" w:rsidRPr="00F812C8" w:rsidRDefault="00C12D40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12D40" w:rsidRPr="00C12D40" w:rsidRDefault="00F812C8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МЕТОДИКА</w:t>
      </w:r>
      <w:r w:rsidR="00700C1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700C12" w:rsidRDefault="00700C12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проведения антикоррупционной экспертизы нормативных</w:t>
      </w:r>
    </w:p>
    <w:p w:rsidR="00700C12" w:rsidRDefault="00700C12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правовых актов </w:t>
      </w:r>
      <w:r w:rsidR="001D5E68">
        <w:rPr>
          <w:rFonts w:ascii="TimesNewRoman,Bold" w:hAnsi="TimesNewRoman,Bold" w:cs="TimesNewRoman,Bold"/>
          <w:b/>
          <w:bCs/>
          <w:sz w:val="28"/>
          <w:szCs w:val="28"/>
        </w:rPr>
        <w:t xml:space="preserve">Махнёвского муниципального образования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и проектов нормативных</w:t>
      </w:r>
      <w:r w:rsidR="00694C2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правовых актов </w:t>
      </w:r>
      <w:r w:rsidR="001D5E68">
        <w:rPr>
          <w:rFonts w:ascii="TimesNewRoman,Bold" w:hAnsi="TimesNewRoman,Bold" w:cs="TimesNewRoman,Bold"/>
          <w:b/>
          <w:bCs/>
          <w:sz w:val="28"/>
          <w:szCs w:val="28"/>
        </w:rPr>
        <w:t>Махнёвского муниципального образования</w:t>
      </w:r>
    </w:p>
    <w:p w:rsidR="00F812C8" w:rsidRPr="006D27F9" w:rsidRDefault="00F812C8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00C12" w:rsidRDefault="00700C12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Глава 1. Общие положения</w:t>
      </w:r>
    </w:p>
    <w:p w:rsidR="009B0E30" w:rsidRPr="009B0E30" w:rsidRDefault="009B0E30" w:rsidP="00C12D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700C12" w:rsidRDefault="00F812C8" w:rsidP="009D7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9D7B35"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Настоящей Методикой наряду с предусмотренными Законом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Свердловской области «О противодействии коррупции в Свердловской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области» основными признаками несовершенства правовых норм, которые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создают условия для совершения коррупционных правонарушений,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устанавливаются дополнительные признаки несовершенства правовых норм,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которые создают условия для совершения коррупционных правонарушений, а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также определяется порядок выявления в нормативных правовых актах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CE11A5" w:rsidRPr="00CE11A5">
        <w:rPr>
          <w:rFonts w:ascii="TimesNewRomanPSMT" w:hAnsi="TimesNewRomanPSMT" w:cs="TimesNewRomanPSMT"/>
          <w:sz w:val="28"/>
          <w:szCs w:val="28"/>
        </w:rPr>
        <w:t xml:space="preserve">  </w:t>
      </w:r>
      <w:r w:rsidR="009D7B35">
        <w:rPr>
          <w:rFonts w:ascii="TimesNewRomanPSMT" w:hAnsi="TimesNewRomanPSMT" w:cs="TimesNewRomanPSMT"/>
          <w:sz w:val="28"/>
          <w:szCs w:val="28"/>
        </w:rPr>
        <w:t>Махнёвского муниципального образования (далее – муниципальное образование)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 и проектах нормативных правовых актов </w:t>
      </w:r>
      <w:r w:rsidR="009D7B35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 признаков несовершенства правовых норм, которые создают условия</w:t>
      </w:r>
      <w:r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для совершения коррупционных правонарушений.</w:t>
      </w:r>
    </w:p>
    <w:p w:rsidR="00700C12" w:rsidRDefault="009D7B35" w:rsidP="009D7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Осуществление выявления в нормативных правовых актах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 и проектах нормативных правовых актов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700C12">
        <w:rPr>
          <w:rFonts w:ascii="TimesNewRomanPSMT" w:hAnsi="TimesNewRomanPSMT" w:cs="TimesNewRomanPSMT"/>
          <w:sz w:val="28"/>
          <w:szCs w:val="28"/>
        </w:rPr>
        <w:t>признаков несовершенства правовых норм, которые создают условия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для совершения коррупционных правонарушений, в соответствии с Законом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Свердловской области «О противодействии коррупции в Свердловской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области» является проведение антикоррупционной экспертизы нормативных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правовых актов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700C12">
        <w:rPr>
          <w:rFonts w:ascii="TimesNewRomanPSMT" w:hAnsi="TimesNewRomanPSMT" w:cs="TimesNewRomanPSMT"/>
          <w:sz w:val="28"/>
          <w:szCs w:val="28"/>
        </w:rPr>
        <w:t>и проектов нормативных правовых</w:t>
      </w:r>
      <w:r w:rsidR="00F812C8" w:rsidRPr="00F812C8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актов </w:t>
      </w:r>
      <w:r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>.</w:t>
      </w:r>
    </w:p>
    <w:p w:rsidR="00700C12" w:rsidRDefault="00F812C8" w:rsidP="009D7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9D7B35"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Настоящая Методика применяется при проведении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антикоррупционной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экспертизы нормативных правовых актов </w:t>
      </w:r>
      <w:r w:rsidR="00F603C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>,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составляющих в соответствии с Областным законом «О правовых актах в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Свердловской области» законодательство </w:t>
      </w:r>
      <w:r w:rsidR="00F603C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>, а именно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нормативных правовых актов </w:t>
      </w:r>
      <w:r w:rsidR="00F603C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>, принимаемых на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F603CE">
        <w:rPr>
          <w:rFonts w:ascii="TimesNewRomanPSMT" w:hAnsi="TimesNewRomanPSMT" w:cs="TimesNewRomanPSMT"/>
          <w:sz w:val="28"/>
          <w:szCs w:val="28"/>
        </w:rPr>
        <w:t xml:space="preserve">местном 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референдуме </w:t>
      </w:r>
      <w:r w:rsidR="00F603CE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, </w:t>
      </w:r>
      <w:r w:rsidR="00F603CE">
        <w:rPr>
          <w:rFonts w:ascii="TimesNewRomanPSMT" w:hAnsi="TimesNewRomanPSMT" w:cs="TimesNewRomanPSMT"/>
          <w:sz w:val="28"/>
          <w:szCs w:val="28"/>
        </w:rPr>
        <w:t>Думой 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, </w:t>
      </w:r>
      <w:r w:rsidR="002D5F29">
        <w:rPr>
          <w:rFonts w:ascii="TimesNewRomanPSMT" w:hAnsi="TimesNewRomanPSMT" w:cs="TimesNewRomanPSMT"/>
          <w:sz w:val="28"/>
          <w:szCs w:val="28"/>
        </w:rPr>
        <w:t>Главой Муниципального об</w:t>
      </w:r>
      <w:r w:rsidR="00F603CE">
        <w:rPr>
          <w:rFonts w:ascii="TimesNewRomanPSMT" w:hAnsi="TimesNewRomanPSMT" w:cs="TimesNewRomanPSMT"/>
          <w:sz w:val="28"/>
          <w:szCs w:val="28"/>
        </w:rPr>
        <w:t>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, </w:t>
      </w:r>
      <w:r w:rsidR="00F603CE">
        <w:rPr>
          <w:rFonts w:ascii="TimesNewRomanPSMT" w:hAnsi="TimesNewRomanPSMT" w:cs="TimesNewRomanPSMT"/>
          <w:sz w:val="28"/>
          <w:szCs w:val="28"/>
        </w:rPr>
        <w:t>Администрацией 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 xml:space="preserve">, </w:t>
      </w:r>
      <w:r w:rsidR="00F603CE">
        <w:rPr>
          <w:rFonts w:ascii="TimesNewRomanPSMT" w:hAnsi="TimesNewRomanPSMT" w:cs="TimesNewRomanPSMT"/>
          <w:sz w:val="28"/>
          <w:szCs w:val="28"/>
        </w:rPr>
        <w:t>отраслевыми, функциональными и территориальными органами Администрации Муниципального образования</w:t>
      </w:r>
      <w:r w:rsidR="00700C12">
        <w:rPr>
          <w:rFonts w:ascii="TimesNewRomanPSMT" w:hAnsi="TimesNewRomanPSMT" w:cs="TimesNewRomanPSMT"/>
          <w:sz w:val="28"/>
          <w:szCs w:val="28"/>
        </w:rPr>
        <w:t>, а также при проведении антикоррупционной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экспертизы проектов таких нормативных правовых актов.</w:t>
      </w:r>
    </w:p>
    <w:p w:rsidR="009D7B35" w:rsidRDefault="009D7B35" w:rsidP="009D7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Глава 2. Признаки несовершенства правовых норм, которые создают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условия для совершения коррупционных правонарушений</w:t>
      </w:r>
    </w:p>
    <w:p w:rsidR="009B0E30" w:rsidRDefault="009B0E30" w:rsidP="009D7B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D7B35" w:rsidRDefault="00700C12" w:rsidP="009D7B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="009D7B35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В ходе проведения антикоррупционной экспертизы нормативных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правовых актов </w:t>
      </w:r>
      <w:r w:rsidR="00F603CE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>и проектов нормативных правовых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актов </w:t>
      </w:r>
      <w:r w:rsidR="00F603CE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>в соответствии с Законом Свердловской области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 противодействии коррупции в Свердловской области» выявляются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следующие основные признаки несовершенства правовых норм, которые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создают условия для совершения коррупционных правонарушений:</w:t>
      </w:r>
      <w:r w:rsidR="009D7B3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D7B35" w:rsidRDefault="009D7B35" w:rsidP="009D7B3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отсутствие исчерпывающего перечня документов, представление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которых необходимо для реализации субъективного права гражданина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организации, либо критериев определения такого перечня;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D7B35" w:rsidRDefault="009D7B35" w:rsidP="009D7B3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отсутствие порядка принятия решения органом местного самоуправления муниципального образования, лицом, замещающим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муниципальную должность, муниципальным служащим (далее – субъект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правоприменения) либо указания на нормативный правовой акт, которым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устанавливается такой порядок;</w:t>
      </w:r>
    </w:p>
    <w:p w:rsidR="009D7B35" w:rsidRDefault="009D7B35" w:rsidP="009D7B3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отсутствие исчерпывающего перечня решений, которые субъект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правоприменения вправе принять;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00C12" w:rsidRDefault="009D7B35" w:rsidP="009D7B3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</w:t>
      </w:r>
      <w:r>
        <w:rPr>
          <w:rFonts w:ascii="TimesNewRomanPSMT" w:hAnsi="TimesNewRomanPSMT" w:cs="TimesNewRomanPSMT"/>
          <w:sz w:val="28"/>
          <w:szCs w:val="28"/>
        </w:rPr>
        <w:tab/>
      </w:r>
      <w:r w:rsidR="00700C12">
        <w:rPr>
          <w:rFonts w:ascii="TimesNewRomanPSMT" w:hAnsi="TimesNewRomanPSMT" w:cs="TimesNewRomanPSMT"/>
          <w:sz w:val="28"/>
          <w:szCs w:val="28"/>
        </w:rPr>
        <w:t>отсутствие исчерпывающего перечня оснований для отказа в реализации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00C12">
        <w:rPr>
          <w:rFonts w:ascii="TimesNewRomanPSMT" w:hAnsi="TimesNewRomanPSMT" w:cs="TimesNewRomanPSMT"/>
          <w:sz w:val="28"/>
          <w:szCs w:val="28"/>
        </w:rPr>
        <w:t>субъективного права гражданина или организации.</w:t>
      </w:r>
    </w:p>
    <w:p w:rsidR="00700C12" w:rsidRDefault="00700C12" w:rsidP="000A23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 w:rsidR="009D7B35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Наряду с основными признаками, указанными в пункте 4 настоящей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Методики, в ходе проведения антикоррупционной экспертизы нормативных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правовых актов 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>и проектов нормативных правовых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актов </w:t>
      </w:r>
      <w:r w:rsidR="000A2346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выявляются следующие дополнительные признаки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несовершенства правовых норм, которые создают условия для совершения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коррупционных правонарушений: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определение компетенции по формуле «вправе»;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злоупотребление правом заявителя;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выборочное изменение объёма прав;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чрезмерная свобода подзаконного нормотворчества;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юридико-лингвистическая коррупциогенность;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6) принятие нормативного правового акта органом </w:t>
      </w:r>
      <w:r w:rsidR="000A2346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«сверх компетенции»;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заполнение законодательных пробелов при помощи нормативного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правового акта </w:t>
      </w:r>
      <w:r w:rsidR="000A2346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 наличие пробела в правовом регулировании;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отсутствие административных процедур;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10) отсутствие конкурсных (аукционных) процедур;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 отсутствие запретов и ограничений в конкретной сфере деятельности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муниципальных служащих;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отсутствие ответственности субъекта правоприменения за совершение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правонарушений;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13) отсутствие контроля, в том числе общественного, за деятельностью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 правоприменения;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14) нарушение режима прозрачности информации (отсутствие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информации);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нормативные коллизии.</w:t>
      </w:r>
    </w:p>
    <w:p w:rsidR="000A2346" w:rsidRDefault="000A2346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00C12" w:rsidRDefault="00700C12" w:rsidP="000A23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>Глава 3. Порядок выявления в нормативных правовых актах</w:t>
      </w:r>
      <w:r w:rsidR="000A2346"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0A2346" w:rsidRPr="000A2346">
        <w:rPr>
          <w:rFonts w:ascii="TimesNewRomanPSMT" w:hAnsi="TimesNewRomanPSMT" w:cs="TimesNewRomanPSMT"/>
          <w:b/>
          <w:sz w:val="28"/>
          <w:szCs w:val="28"/>
        </w:rPr>
        <w:t>Муниципального образования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и проектах нормативных правовых</w:t>
      </w:r>
      <w:r w:rsidR="000A2346"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актов </w:t>
      </w:r>
      <w:r w:rsidR="000A2346" w:rsidRPr="000A2346">
        <w:rPr>
          <w:rFonts w:ascii="TimesNewRomanPSMT" w:hAnsi="TimesNewRomanPSMT" w:cs="TimesNewRomanPSMT"/>
          <w:b/>
          <w:sz w:val="28"/>
          <w:szCs w:val="28"/>
        </w:rPr>
        <w:t>Муниципального образования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признаков несовершенства</w:t>
      </w:r>
      <w:r w:rsidR="000A2346"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>правовых норм, которые создают условия для совершения</w:t>
      </w:r>
      <w:r w:rsidR="000A2346"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коррупционных </w:t>
      </w:r>
      <w:r w:rsidR="000A2346" w:rsidRPr="000A2346">
        <w:rPr>
          <w:rFonts w:ascii="TimesNewRoman,Bold" w:hAnsi="TimesNewRoman,Bold" w:cs="TimesNewRoman,Bold"/>
          <w:b/>
          <w:bCs/>
          <w:sz w:val="28"/>
          <w:szCs w:val="28"/>
        </w:rPr>
        <w:t xml:space="preserve"> п</w:t>
      </w:r>
      <w:r w:rsidRPr="000A2346">
        <w:rPr>
          <w:rFonts w:ascii="TimesNewRoman,Bold" w:hAnsi="TimesNewRoman,Bold" w:cs="TimesNewRoman,Bold"/>
          <w:b/>
          <w:bCs/>
          <w:sz w:val="28"/>
          <w:szCs w:val="28"/>
        </w:rPr>
        <w:t>равонарушений</w:t>
      </w:r>
    </w:p>
    <w:p w:rsidR="009B0E30" w:rsidRPr="000A2346" w:rsidRDefault="009B0E30" w:rsidP="000A23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00C12" w:rsidRDefault="00700C12" w:rsidP="000A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</w:t>
      </w:r>
      <w:r w:rsidR="000A2346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 проведении антикоррупционной экспертизы осуществляется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анализ норм права, содержащихся в нормативном правовом акте 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 xml:space="preserve">или проекте нормативного правового акта </w:t>
      </w:r>
      <w:r w:rsidR="00476C18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включающий оценку предмета правового регулирования анализируемого акта,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целей и задач и направленный на выявление основных и дополнительных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признаков несовершенства правовых норм, которые создают условия для</w:t>
      </w:r>
      <w:r w:rsidR="000A23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совершения коррупционных правонарушений.</w:t>
      </w:r>
    </w:p>
    <w:p w:rsidR="00700C12" w:rsidRDefault="00700C12" w:rsidP="00476C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</w:t>
      </w:r>
      <w:r w:rsidR="00476C18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Выводы о наличии или отсутствии в нормативном правовом акте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 xml:space="preserve">или проекте нормативного правового акта </w:t>
      </w:r>
      <w:r w:rsidR="00476C18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 xml:space="preserve"> признаков несовершенства правовых норм, которые создают условия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совершения коррупционных правонарушений, делаются на основании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характеристик каждого из таких признаков:</w:t>
      </w:r>
    </w:p>
    <w:p w:rsidR="00700C12" w:rsidRDefault="00700C12" w:rsidP="00476C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</w:t>
      </w:r>
      <w:r w:rsidR="00476C18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«отсутствие исчерпывающего перечня документов,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представление которых необходимо для реализации субъективного права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гражданина или организации, либо критериев определения такого перечня» может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быть выявлен при анализе акта, регулирующего реализацию субъектом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правоприменения разрешительных и регистрационных полномочий и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содержащего перечень требований к заявителю. О наличии признака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свидетельствует: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открытый перечень документов, требований или условий, то есть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включающий «другие документы» или «дополнительные» требования без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указания, в каком правовом акте устанавливаются случаи, в которых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предоставляются те или иные документы, либо определяется их дополнительный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перечень;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включение в перечень заведомо трудновыполнимых и обременительных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требований либо их обозначение с использованием субъективно-оценочных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формулировок, например, требуется предоставление «документов,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подтверждающих» тот или иной факт либо осуществление тех или иных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действий без указания вида либо формы таких документов, а также «копий»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документов без указания необходимости заверения этих копий и требований к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такому заверению;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 в перечне указания на период времени, за который требуемые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сведения должны подтверждаться представляемыми документами;</w:t>
      </w:r>
    </w:p>
    <w:p w:rsidR="00700C12" w:rsidRDefault="00700C12" w:rsidP="00476C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</w:t>
      </w:r>
      <w:r w:rsidR="00476C18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«отсутствие порядка принятия решения субъектом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правоприменения либо указания на нормативный правовой акт, которым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устанавливается такой порядок», характеризуется (в случае установления порядка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решения в анализируемом акте):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наличием неконкретных норм, содержащих отсылку к «мнимым»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порядкам, например, «в случае необходимости», «при наличии достаточных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оснований», «согласно установленному порядку»;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условий, при которых субъект правоприменения правомочен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принимать определённые решения;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сроков принятия решения или неопределённостью сроков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решения с использованием таких формулировок, как «в течение» или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«не позднее» при установлении широкого временного диапазона;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наличием одних и тех же полномочий у различных органов без их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разграничения, например, у органов государственной власти Свердловской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области и органов местного самоуправления;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возможностью принятия определённых решений различными субъектами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правоприменения без разграничения их компетенции, например,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предусматривается принятие решения </w:t>
      </w:r>
      <w:r>
        <w:rPr>
          <w:rFonts w:ascii="TimesNewRomanPSMT" w:hAnsi="TimesNewRomanPSMT" w:cs="TimesNewRomanPSMT"/>
          <w:sz w:val="28"/>
          <w:szCs w:val="28"/>
        </w:rPr>
        <w:lastRenderedPageBreak/>
        <w:t>«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Администрацией Муниципального образования </w:t>
      </w:r>
      <w:r>
        <w:rPr>
          <w:rFonts w:ascii="TimesNewRomanPSMT" w:hAnsi="TimesNewRomanPSMT" w:cs="TimesNewRomanPSMT"/>
          <w:sz w:val="28"/>
          <w:szCs w:val="28"/>
        </w:rPr>
        <w:t xml:space="preserve">или уполномоченным органом </w:t>
      </w:r>
      <w:r w:rsidR="00F2531C">
        <w:rPr>
          <w:rFonts w:ascii="TimesNewRomanPSMT" w:hAnsi="TimesNewRomanPSMT" w:cs="TimesNewRomanPSMT"/>
          <w:sz w:val="28"/>
          <w:szCs w:val="28"/>
        </w:rPr>
        <w:t>Администрацией Муниципального образования</w:t>
      </w:r>
      <w:r>
        <w:rPr>
          <w:rFonts w:ascii="TimesNewRomanPSMT" w:hAnsi="TimesNewRomanPSMT" w:cs="TimesNewRomanPSMT"/>
          <w:sz w:val="28"/>
          <w:szCs w:val="28"/>
        </w:rPr>
        <w:t>»;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использованием формулировок, допускающих расширительное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толкование компетенции субъекта правоприменения при принятии решения,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«принимает решения по отдельным вопросам», «по ряду вопросов</w:t>
      </w:r>
      <w:r w:rsidR="00476C1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вправе принимать решения единолично», «обладает иными полномочиями»;</w:t>
      </w:r>
    </w:p>
    <w:p w:rsidR="00700C12" w:rsidRDefault="00700C12" w:rsidP="00F253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</w:t>
      </w:r>
      <w:r w:rsidR="00F2531C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«отсутствие исчерпывающего перечня решений, которые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 правоприменения вправе принять», как правило, выявляется вместе с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признаком, предусмотренным в подпункте 2 настоящего пункта, и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характеризуется: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возможностью субъекта правоприменения принять «иное решение» помимо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перечисленных вариантов;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чёткого определения случаев, оснований или условий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каждого из вариантов решений;</w:t>
      </w:r>
    </w:p>
    <w:p w:rsidR="00700C12" w:rsidRDefault="00700C12" w:rsidP="00F2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 </w:t>
      </w:r>
      <w:r w:rsidR="00F2531C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«отсутствие исчерпывающего перечня оснований для отказа в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реализации субъективного права гражданина или организации» может быть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выявлен, так же как и признак, указанный в подпункте 1 настоящего пункта, при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анализе акта, регулирующего реализацию субъектом правоприменения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разрешительных и регистрационных полномочий и содержащего перечень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оснований для отказа заявителю. О наличии признака свидетельствует: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открытый перечень оснований для отказа, то есть включающий «другие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случаи» без указания, в каком правовом акте они устанавливаются;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обозначение основания для отказа в реализации права с использованием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расплывчатых, субъективно-оценочных формулировок, например,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«предоставление сведений не в полном объёме» без конкретизации сведений,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 которых исключает положительное решение вопроса, или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«предоставление сведений, не соответствующих действительности» без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указания на порядок их проверки, который должен быть очевиден для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заявителя, то есть, для устранения этого признака в акте возможно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предусмотреть, что представленные сведения проверяются в течение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определённого в этом же акте срока путём направления запросов в органы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налоговой службы или правоохранительные органы;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определении оснований используются отсылки к основаниям для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отказа, установленным в других нормативных правовых актах, например,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подзаконного характера или регулирующих отношения в других сферах;</w:t>
      </w:r>
    </w:p>
    <w:p w:rsidR="00700C12" w:rsidRDefault="00700C12" w:rsidP="00F2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5) </w:t>
      </w:r>
      <w:r w:rsidR="00F2531C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«определение компетенции по формуле «вправе» выявляется в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актах, определяющих полномочия субъектов правоприменения, и может быть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связан с выявлением признаков, указанных в подпунктах 2 и 3 настоящего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пункта. Наличие признака характеризуется: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подменой при формулировании полномочий терминов, обозначающих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одновременно возможность и обязательность действий субъекта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правоприменения (таких, как «осуществляет», «рассматривает», «принимает»),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терминами, отражающими одну лишь возможность действия (такими, как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«может», «вправе», «реализует своё право на» что-либо);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чёткой корреспонденции между предусмотренными в акте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правами гражданина или организации и соответствующими обязанностями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 правоприменения, что может повлечь необоснованный отказ в</w:t>
      </w:r>
      <w:r w:rsidR="00F2531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реализации права под предлогом отсутствия соответствующих полномочий;</w:t>
      </w:r>
    </w:p>
    <w:p w:rsidR="00700C12" w:rsidRDefault="00700C12" w:rsidP="00FE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6) </w:t>
      </w:r>
      <w:r w:rsidR="00FE76A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«злоупотребление правом заявителя» может быть выявлен в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актах, предусматривающих возможность выбора заявителем того или иного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варианта действий по собственному усмотрению.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Признак может присутствовать, если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нормами акта предусмотрено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предоставление заявителю права выбирать способ или сроки совершения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действия в рамках начавшейся административной процедуры без установления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случаев для совершения таких действий и соответствующих этим действиям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решений, принимаемых субъектом правоприменения.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данный признак присутствует, если порядком подачи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документов (заявок) для участия в конкурсе заявителю после направления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основного пакета документов предоставляется право представить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дополнительные документы или внести исправления в представленные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документы по собственному усмотрению. Такая норма создаёт условия для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совершения коррупционных правонарушений, поскольку после истечения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срока подачи документов одному заявителю может быть отказано в их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рассмотрении в связи с некомплектностью, а другому заявителю служащим,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осуществляющим приём этих документов, из корыстных побуждений, может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быть предложено дополнить пакет документов или изменить информацию в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них таким образом, чтобы оказаться в выигрышном положении по сравнению с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уже известными участниками конкурса;</w:t>
      </w:r>
    </w:p>
    <w:p w:rsidR="00700C12" w:rsidRDefault="00700C12" w:rsidP="00FE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</w:t>
      </w:r>
      <w:r w:rsidR="00FE76A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«выборочное изменение объёма прав» выявляется, как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правило, в сочетании с признаками, указанными в подпунктах 2, 4, 5 и 9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пункта, и его наличие характеризуется предусмотренной в акте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возможностью установления для граждан и организаций исключений из общего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правила или общего порядка по усмотрению субъекта правоприменения, то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есть нормами акта предусматривается: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установление общего правила или запрета, за исключением «отдельных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случаев»;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предписание действовать определённым образом, если «не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предусмотрено иное»;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возможность предоставления для граждан и организаций привилегий без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регламентации условий такого предоставления;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установление для граждан и организаций запретов и ограничений без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указания на основания такого установления;</w:t>
      </w:r>
    </w:p>
    <w:p w:rsidR="00FE76A0" w:rsidRDefault="00700C12" w:rsidP="00FE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8)</w:t>
      </w:r>
      <w:r w:rsidR="00FE76A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«чрезмерная свобода подзаконного нормотворчества»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характеризуется наличием в анализируемом акте бланкетных норм, что приводит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 принятию подзаконных актов, вторгающихся в компетенцию законодателя.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Признак присутствует, если в акте: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имеется отсылка к норме, которая в свою очередь, отсылает к другой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норме либо к ещё не принятым нормативным правовым актам;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предусматривается возможность регулирования отношений на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подзаконном уровне, и при этом речь идёт не только о детализации порядка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применения норм закона, но и о принятии подзаконных актов, содержащих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нормы права и устанавливающих общеобязательные правила поведения;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установлен порядок регулирования отношений с указанием, что этот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порядок аналогичен порядку регулирования отношений в иной сфере;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E76A0" w:rsidRDefault="00700C12" w:rsidP="00FE7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</w:t>
      </w:r>
      <w:r w:rsidR="00FE76A0"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признак «юридико-лингвистическая коррупциогенность»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характеризуется нарушением общепризнанных правил юридической техники, в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 числе употреблением в тексте анализируемого акта: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слов и выражений в значении, не обеспечивающем их точное понимание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единство с терминологией, применяемой в федеральном законодательстве;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понятий, не используемых федеральным законодательством и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допускающих различное или неоднозначное толкование;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неустоявшихся, двусмысленных терминов, понятий и формулировок;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категорий оценочного характера с неясным, неопределённым</w:t>
      </w:r>
      <w:r w:rsidR="00FE76A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содержанием;</w:t>
      </w:r>
    </w:p>
    <w:p w:rsidR="002E22AF" w:rsidRPr="00CB6772" w:rsidRDefault="00700C12" w:rsidP="00CB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F33A8F">
        <w:rPr>
          <w:rFonts w:ascii="TimesNewRomanPSMT" w:hAnsi="TimesNewRomanPSMT" w:cs="TimesNewRomanPSMT"/>
          <w:sz w:val="28"/>
          <w:szCs w:val="28"/>
        </w:rPr>
        <w:lastRenderedPageBreak/>
        <w:t>10)</w:t>
      </w:r>
      <w:r w:rsidR="00FE76A0" w:rsidRPr="00F33A8F">
        <w:rPr>
          <w:rFonts w:ascii="TimesNewRomanPSMT" w:hAnsi="TimesNewRomanPSMT" w:cs="TimesNewRomanPSMT"/>
          <w:sz w:val="28"/>
          <w:szCs w:val="28"/>
        </w:rPr>
        <w:tab/>
      </w:r>
      <w:r w:rsidRPr="00F33A8F">
        <w:rPr>
          <w:rFonts w:ascii="TimesNewRomanPSMT" w:hAnsi="TimesNewRomanPSMT" w:cs="TimesNewRomanPSMT"/>
          <w:sz w:val="28"/>
          <w:szCs w:val="28"/>
        </w:rPr>
        <w:t>признак «принятие нормативного правового акта органом</w:t>
      </w:r>
      <w:r w:rsidR="00F33A8F" w:rsidRPr="00F33A8F">
        <w:rPr>
          <w:rFonts w:ascii="TimesNewRomanPSMT" w:hAnsi="TimesNewRomanPSMT" w:cs="TimesNewRomanPSMT"/>
          <w:sz w:val="28"/>
          <w:szCs w:val="28"/>
        </w:rPr>
        <w:t xml:space="preserve"> </w:t>
      </w:r>
      <w:r w:rsidR="003F246A" w:rsidRPr="00F33A8F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Pr="00F33A8F">
        <w:rPr>
          <w:rFonts w:ascii="TimesNewRomanPSMT" w:hAnsi="TimesNewRomanPSMT" w:cs="TimesNewRomanPSMT"/>
          <w:sz w:val="28"/>
          <w:szCs w:val="28"/>
        </w:rPr>
        <w:t>«сверх компетенции» может</w:t>
      </w:r>
      <w:r w:rsidR="00F33A8F" w:rsidRPr="00F33A8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33A8F">
        <w:rPr>
          <w:rFonts w:ascii="TimesNewRomanPSMT" w:hAnsi="TimesNewRomanPSMT" w:cs="TimesNewRomanPSMT"/>
          <w:sz w:val="28"/>
          <w:szCs w:val="28"/>
        </w:rPr>
        <w:t>выявляться вместе с признаком, указанным в подпункте 19 настоящего пункта,</w:t>
      </w:r>
      <w:r w:rsidR="00F33A8F" w:rsidRPr="00F33A8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33A8F">
        <w:rPr>
          <w:rFonts w:ascii="TimesNewRomanPSMT" w:hAnsi="TimesNewRomanPSMT" w:cs="TimesNewRomanPSMT"/>
          <w:sz w:val="28"/>
          <w:szCs w:val="28"/>
        </w:rPr>
        <w:t>отсутствует, если выявлен признак</w:t>
      </w:r>
      <w:r w:rsidR="001041B7">
        <w:rPr>
          <w:rFonts w:ascii="TimesNewRomanPSMT" w:hAnsi="TimesNewRomanPSMT" w:cs="TimesNewRomanPSMT"/>
          <w:sz w:val="28"/>
          <w:szCs w:val="28"/>
        </w:rPr>
        <w:t xml:space="preserve">, предусмотренный в подпункте 11 </w:t>
      </w:r>
      <w:r w:rsidRPr="00F33A8F">
        <w:rPr>
          <w:rFonts w:ascii="TimesNewRomanPSMT" w:hAnsi="TimesNewRomanPSMT" w:cs="TimesNewRomanPSMT"/>
          <w:sz w:val="28"/>
          <w:szCs w:val="28"/>
        </w:rPr>
        <w:t>настоящего пункта, и присутствует, если:</w:t>
      </w:r>
      <w:r w:rsidR="00F33A8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отношения урегулированы </w:t>
      </w:r>
      <w:r w:rsidR="001041B7">
        <w:rPr>
          <w:rFonts w:ascii="TimesNewRomanPSMT" w:hAnsi="TimesNewRomanPSMT" w:cs="TimesNewRomanPSMT"/>
          <w:sz w:val="28"/>
          <w:szCs w:val="28"/>
        </w:rPr>
        <w:t>нормативно-</w:t>
      </w:r>
      <w:r w:rsidR="00F33A8F" w:rsidRPr="00CB6772">
        <w:rPr>
          <w:rFonts w:ascii="TimesNewRomanPSMT" w:hAnsi="TimesNewRomanPSMT" w:cs="TimesNewRomanPSMT"/>
          <w:sz w:val="28"/>
          <w:szCs w:val="28"/>
        </w:rPr>
        <w:t>правовым актом Муниципального образования</w:t>
      </w:r>
      <w:r w:rsidRPr="00CB6772">
        <w:rPr>
          <w:rFonts w:ascii="TimesNewRomanPSMT" w:hAnsi="TimesNewRomanPSMT" w:cs="TimesNewRomanPSMT"/>
          <w:sz w:val="28"/>
          <w:szCs w:val="28"/>
        </w:rPr>
        <w:t>, тогда как в</w:t>
      </w:r>
      <w:r w:rsidR="00F33A8F" w:rsidRP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соответствии с </w:t>
      </w:r>
      <w:r w:rsidR="00F33A8F" w:rsidRPr="00CB6772">
        <w:rPr>
          <w:rFonts w:ascii="TimesNewRomanPSMT" w:hAnsi="TimesNewRomanPSMT" w:cs="TimesNewRomanPSMT"/>
          <w:sz w:val="28"/>
          <w:szCs w:val="28"/>
        </w:rPr>
        <w:t>Ф</w:t>
      </w:r>
      <w:r w:rsidRPr="00CB6772">
        <w:rPr>
          <w:rFonts w:ascii="TimesNewRomanPSMT" w:hAnsi="TimesNewRomanPSMT" w:cs="TimesNewRomanPSMT"/>
          <w:sz w:val="28"/>
          <w:szCs w:val="28"/>
        </w:rPr>
        <w:t>едеральным законодательством регулирование данных</w:t>
      </w:r>
      <w:r w:rsidR="00F33A8F" w:rsidRP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>отношений отнесено к компетенции исполнительных органов государственной</w:t>
      </w:r>
      <w:r w:rsidR="00F33A8F" w:rsidRP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>власти Свердловской области;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отношения урегулированы нормативным правовым актом 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="00CB6772" w:rsidRPr="00CB6772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, принятым органом </w:t>
      </w:r>
      <w:r w:rsidR="00CB6772" w:rsidRPr="00CB6772"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Pr="00CB6772">
        <w:rPr>
          <w:rFonts w:ascii="TimesNewRomanPSMT" w:hAnsi="TimesNewRomanPSMT" w:cs="TimesNewRomanPSMT"/>
          <w:sz w:val="28"/>
          <w:szCs w:val="28"/>
        </w:rPr>
        <w:t>с превышением компетенции этого органа,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определённой в </w:t>
      </w:r>
      <w:r w:rsidR="00CB6772" w:rsidRPr="00CB6772">
        <w:rPr>
          <w:rFonts w:ascii="TimesNewRomanPSMT" w:hAnsi="TimesNewRomanPSMT" w:cs="TimesNewRomanPSMT"/>
          <w:sz w:val="28"/>
          <w:szCs w:val="28"/>
        </w:rPr>
        <w:t xml:space="preserve">Федеральном </w:t>
      </w:r>
      <w:r w:rsidRPr="00CB6772">
        <w:rPr>
          <w:rFonts w:ascii="TimesNewRomanPSMT" w:hAnsi="TimesNewRomanPSMT" w:cs="TimesNewRomanPSMT"/>
          <w:sz w:val="28"/>
          <w:szCs w:val="28"/>
        </w:rPr>
        <w:t xml:space="preserve">законе </w:t>
      </w:r>
      <w:r w:rsidR="00CB6772" w:rsidRPr="00CB6772">
        <w:rPr>
          <w:rFonts w:ascii="TimesNewRomanPSMT" w:hAnsi="TimesNewRomanPSMT" w:cs="TimesNewRomanPSMT"/>
          <w:sz w:val="28"/>
          <w:szCs w:val="28"/>
        </w:rPr>
        <w:t xml:space="preserve">«Об общих принципах организации местного самоуправления в РФ </w:t>
      </w:r>
      <w:r w:rsidRPr="00CB6772">
        <w:rPr>
          <w:rFonts w:ascii="TimesNewRomanPSMT" w:hAnsi="TimesNewRomanPSMT" w:cs="TimesNewRomanPSMT"/>
          <w:sz w:val="28"/>
          <w:szCs w:val="28"/>
        </w:rPr>
        <w:t>и (или) в положении о данном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>органе, то есть указанные отношения в соответствии с федеральным и (или)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>областным законодательством должны регулироваться законом Свердловской</w:t>
      </w:r>
      <w:r w:rsidR="00CB67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B6772">
        <w:rPr>
          <w:rFonts w:ascii="TimesNewRomanPSMT" w:hAnsi="TimesNewRomanPSMT" w:cs="TimesNewRomanPSMT"/>
          <w:sz w:val="28"/>
          <w:szCs w:val="28"/>
        </w:rPr>
        <w:t>области либо нормативным правовым актом другого органа;</w:t>
      </w:r>
    </w:p>
    <w:p w:rsidR="00700C12" w:rsidRPr="0085662E" w:rsidRDefault="00700C12" w:rsidP="002E2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85662E">
        <w:rPr>
          <w:rFonts w:ascii="TimesNewRomanPSMT" w:hAnsi="TimesNewRomanPSMT" w:cs="TimesNewRomanPSMT"/>
          <w:sz w:val="28"/>
          <w:szCs w:val="28"/>
        </w:rPr>
        <w:t>11) признак «заполнение законодательных пробелов при помощи</w:t>
      </w:r>
      <w:r w:rsidR="002E22AF" w:rsidRPr="008566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662E">
        <w:rPr>
          <w:rFonts w:ascii="TimesNewRomanPSMT" w:hAnsi="TimesNewRomanPSMT" w:cs="TimesNewRomanPSMT"/>
          <w:sz w:val="28"/>
          <w:szCs w:val="28"/>
        </w:rPr>
        <w:t xml:space="preserve">нормативного правового акта </w:t>
      </w:r>
      <w:r w:rsidR="002F3B0B" w:rsidRPr="0085662E">
        <w:rPr>
          <w:rFonts w:ascii="TimesNewRomanPSMT" w:hAnsi="TimesNewRomanPSMT" w:cs="TimesNewRomanPSMT"/>
          <w:sz w:val="28"/>
          <w:szCs w:val="28"/>
        </w:rPr>
        <w:t>органа местного самоуправления</w:t>
      </w:r>
      <w:r w:rsidRPr="0085662E">
        <w:rPr>
          <w:rFonts w:ascii="TimesNewRomanPSMT" w:hAnsi="TimesNewRomanPSMT" w:cs="TimesNewRomanPSMT"/>
          <w:sz w:val="28"/>
          <w:szCs w:val="28"/>
        </w:rPr>
        <w:t>» отсутствует, если выявлен признак, предусмотренный в</w:t>
      </w:r>
      <w:r w:rsidR="002E22AF" w:rsidRPr="008566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662E">
        <w:rPr>
          <w:rFonts w:ascii="TimesNewRomanPSMT" w:hAnsi="TimesNewRomanPSMT" w:cs="TimesNewRomanPSMT"/>
          <w:sz w:val="28"/>
          <w:szCs w:val="28"/>
        </w:rPr>
        <w:t>подпункте 10 настоящего пункта, и может быть выявлен, если в условиях</w:t>
      </w:r>
      <w:r w:rsidR="002E22AF" w:rsidRPr="008566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662E">
        <w:rPr>
          <w:rFonts w:ascii="TimesNewRomanPSMT" w:hAnsi="TimesNewRomanPSMT" w:cs="TimesNewRomanPSMT"/>
          <w:sz w:val="28"/>
          <w:szCs w:val="28"/>
        </w:rPr>
        <w:t>отсутствия закона Свердловской области общеобязательные правила поведения</w:t>
      </w:r>
      <w:r w:rsidR="002E22AF" w:rsidRPr="0085662E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662E">
        <w:rPr>
          <w:rFonts w:ascii="TimesNewRomanPSMT" w:hAnsi="TimesNewRomanPSMT" w:cs="TimesNewRomanPSMT"/>
          <w:sz w:val="28"/>
          <w:szCs w:val="28"/>
        </w:rPr>
        <w:t>устанавливаются анализируемым актом подзаконного характера;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12) признак «наличие пробела в правовом регулировании» может быть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выявлен при признании утратившими силу нормативных правовых актов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 w:rsidR="00A51562" w:rsidRPr="00CB6772">
        <w:rPr>
          <w:rFonts w:ascii="TimesNewRomanPSMT" w:hAnsi="TimesNewRomanPSMT" w:cs="TimesNewRomanPSMT"/>
          <w:sz w:val="28"/>
          <w:szCs w:val="28"/>
        </w:rPr>
        <w:t>Муниципального образования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их отдельных положений, а также характеризуется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в анализируемом акте: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норм, регулирующих отдельные отношения, входящие в предмет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правового регулирования анализируемого акта;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норм, касающихся порядка реализации закрепленных за органом 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местного самоуправления </w:t>
      </w:r>
      <w:r>
        <w:rPr>
          <w:rFonts w:ascii="TimesNewRomanPSMT" w:hAnsi="TimesNewRomanPSMT" w:cs="TimesNewRomanPSMT"/>
          <w:sz w:val="28"/>
          <w:szCs w:val="28"/>
        </w:rPr>
        <w:t>полномочий либо указания, каким иным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правовым актом будут урегулированы эти вопросы;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13) признак «отсутствие административных процедур» является частным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случаем признака, указанного в подпункте 12 настоящего пункта, и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характеризуется отсутствием в анализируемом акте процедурной регламентации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совершения субъектами правоприменения того или иного действия либо одного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 элементов такой процедуры, которая должна быть заранее известной из</w:t>
      </w:r>
      <w:r w:rsidR="00A515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текста акта как субъекту правоприменения, так гражданам и организациям.</w:t>
      </w:r>
      <w:r w:rsidR="00BB0B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этом следует учитывать, что административные процедуры</w:t>
      </w:r>
      <w:r w:rsidR="00BB0B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составляют содержание административных регламентов исполнения</w:t>
      </w:r>
      <w:r w:rsidR="00BB0B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функций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органа местного самоуправления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и административных регламентов предоставления</w:t>
      </w:r>
      <w:r w:rsidR="00BB0BF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государственных услуг, которые должны быть приняты в органах 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местного самоуправления </w:t>
      </w:r>
      <w:r>
        <w:rPr>
          <w:rFonts w:ascii="TimesNewRomanPSMT" w:hAnsi="TimesNewRomanPSMT" w:cs="TimesNewRomanPSMT"/>
          <w:sz w:val="28"/>
          <w:szCs w:val="28"/>
        </w:rPr>
        <w:t>Свердловской области;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14) признак «отсутствие конкурсных (аукционных) процедур» является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частным случаем признака, указанного в подпункте 12 настоящего пункта, и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быть выявлен в актах, регулирующих осуществление полномочий,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связанных с </w:t>
      </w:r>
      <w:r w:rsidR="000D6478">
        <w:rPr>
          <w:rFonts w:ascii="TimesNewRomanPSMT" w:hAnsi="TimesNewRomanPSMT" w:cs="TimesNewRomanPSMT"/>
          <w:sz w:val="28"/>
          <w:szCs w:val="28"/>
        </w:rPr>
        <w:t>решением вопросов местного значения муниципального образования и осуществлением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0D6478">
        <w:rPr>
          <w:rFonts w:ascii="TimesNewRomanPSMT" w:hAnsi="TimesNewRomanPSMT" w:cs="TimesNewRomanPSMT"/>
          <w:sz w:val="28"/>
          <w:szCs w:val="28"/>
        </w:rPr>
        <w:t>некоторых государственных функций</w:t>
      </w:r>
      <w:r>
        <w:rPr>
          <w:rFonts w:ascii="TimesNewRomanPSMT" w:hAnsi="TimesNewRomanPSMT" w:cs="TimesNewRomanPSMT"/>
          <w:sz w:val="28"/>
          <w:szCs w:val="28"/>
        </w:rPr>
        <w:t>, и иных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полномочий, реализация которых предполагает наличие нескольких граждан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или организаций, претендующих на предоставление конкретного права (права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аренды </w:t>
      </w:r>
      <w:r w:rsidR="000D6478">
        <w:rPr>
          <w:rFonts w:ascii="TimesNewRomanPSMT" w:hAnsi="TimesNewRomanPSMT" w:cs="TimesNewRomanPSMT"/>
          <w:sz w:val="28"/>
          <w:szCs w:val="28"/>
        </w:rPr>
        <w:t>муниципального</w:t>
      </w:r>
      <w:r>
        <w:rPr>
          <w:rFonts w:ascii="TimesNewRomanPSMT" w:hAnsi="TimesNewRomanPSMT" w:cs="TimesNewRomanPSMT"/>
          <w:sz w:val="28"/>
          <w:szCs w:val="28"/>
        </w:rPr>
        <w:t xml:space="preserve"> имущества,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права заключения договора на поставку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товара для нужд 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органа местного самоуправления </w:t>
      </w:r>
      <w:r>
        <w:rPr>
          <w:rFonts w:ascii="TimesNewRomanPSMT" w:hAnsi="TimesNewRomanPSMT" w:cs="TimesNewRomanPSMT"/>
          <w:sz w:val="28"/>
          <w:szCs w:val="28"/>
        </w:rPr>
        <w:t>и прочее). Признак присутствует, если в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анализируемом акте: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регламентирован порядок выбора (отбора) правополучателей;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закреплен такой порядок осуществления действий, связанных с выбором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претендента на предоставление конкретного права, который позволяет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субъекту правоприменения принимать решение произвольно или пристрастно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своему усмотрению;</w:t>
      </w:r>
    </w:p>
    <w:p w:rsidR="00892116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15) признак «отсутствие запретов и ограничений в конкретной сфере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ятельности для 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муниципальных служащих</w:t>
      </w:r>
      <w:r w:rsidR="000D6478">
        <w:rPr>
          <w:rFonts w:ascii="TimesNewRomanPSMT" w:hAnsi="TimesNewRomanPSMT" w:cs="TimesNewRomanPSMT"/>
          <w:sz w:val="28"/>
          <w:szCs w:val="28"/>
        </w:rPr>
        <w:t xml:space="preserve"> органа местного самоуправления</w:t>
      </w:r>
      <w:r>
        <w:rPr>
          <w:rFonts w:ascii="TimesNewRomanPSMT" w:hAnsi="TimesNewRomanPSMT" w:cs="TimesNewRomanPSMT"/>
          <w:sz w:val="28"/>
          <w:szCs w:val="28"/>
        </w:rPr>
        <w:t>» является частным случаем признака,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в подпункте 12 настоящего пункта, и подразумевает отсутствие в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анализируемом акте специальных детализированных запретов и ограничений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антикоррупционной направленности для лиц, занятых в конкретных сферах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деятельности, наиболее подверженных риску коррупции. В актах,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регулирующих отношения в указанных сферах, рекомендуется воспроизводить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установленные федеральными законами запреты и ограничения (хотя бы путём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отсылочной нормы), а также детализировать их в установленных федеральным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пределах;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16) признак «отсутствие ответственности субъекта правоприменения за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совершение правонарушений» является частным случаем признака, указанного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подпункте 12 настоящего пункта, может быть выявлен в актах,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регламентирующих исполнение </w:t>
      </w:r>
      <w:r w:rsidR="00892116">
        <w:rPr>
          <w:rFonts w:ascii="TimesNewRomanPSMT" w:hAnsi="TimesNewRomanPSMT" w:cs="TimesNewRomanPSMT"/>
          <w:sz w:val="28"/>
          <w:szCs w:val="28"/>
        </w:rPr>
        <w:t>органоном местного самоуправления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функций и предоставление услуг, осуществление разрешительных действий и проведение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контрольных мероприятий, а также в иных актах, содержащих предписания,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устанавливающие обязанности субъекта правоприменения, и характеризуется: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в анализируемом акте норм о юридической ответственности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 правоприменения;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определением ответственности с использованием выражения «несёт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ответственность в установленном законом порядке», поскольку положения акта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ответственности субъекта правоприменения должны быть соотнесены с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соответствующими нормами, установленными в уголовном, административном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трудовом законодательстве, в законодательстве о государственной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гражданской службе, муниципальной службе, специальными нормами о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служебном поведении и дисциплинарной ответственности, и по возможности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меры ответственности должны быть дифференцированы с указанием, какому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виду нарушения, какой вид ответственности соответствует;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в анализируемом акте норм об обжаловании действий или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решений субъекта правоприменения либо ссылок на соответствующие нормы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законодательства, устанавливающие порядок обжалования этих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действий или решений, процедуру рассмотрения таких заявлений, основания и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процедуру пересмотра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или отмены</w:t>
      </w:r>
      <w:r>
        <w:rPr>
          <w:rFonts w:ascii="TimesNewRomanPSMT" w:hAnsi="TimesNewRomanPSMT" w:cs="TimesNewRomanPSMT"/>
          <w:sz w:val="28"/>
          <w:szCs w:val="28"/>
        </w:rPr>
        <w:t xml:space="preserve"> решения субъекта правоприменения </w:t>
      </w:r>
      <w:r w:rsidR="00892116">
        <w:rPr>
          <w:rFonts w:ascii="TimesNewRomanPSMT" w:hAnsi="TimesNewRomanPSMT" w:cs="TimesNewRomanPSMT"/>
          <w:sz w:val="28"/>
          <w:szCs w:val="28"/>
        </w:rPr>
        <w:t>органом местного самоуправления, органами</w:t>
      </w:r>
      <w:r>
        <w:rPr>
          <w:rFonts w:ascii="TimesNewRomanPSMT" w:hAnsi="TimesNewRomanPSMT" w:cs="TimesNewRomanPSMT"/>
          <w:sz w:val="28"/>
          <w:szCs w:val="28"/>
        </w:rPr>
        <w:t xml:space="preserve"> государственной власти Свердловской области в случае несогласия</w:t>
      </w:r>
      <w:r w:rsidR="0089211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гражданина или организации с принятым решением;</w:t>
      </w:r>
    </w:p>
    <w:p w:rsidR="002F3B0B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17) признак «отсутствие контроля, в том числе общественного, за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деятельностью субъекта правоприменения» является частным случаем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признака, указанного в подпункте 12 настоящего пункта, и характеризуется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отсутствием в анализируемом акте норм, обеспечивающих возможность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осуществления контроля, в том числе общественного, за действиями субъекта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правоприменения, например, таких норм, которые предусматривают: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информационную открытость деятельности субъектов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правоприменения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(к примеру, путём размещения материалов в средствах массовой информации,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оформления тематических стендов, выпуска буклетов и брошюр);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 информационных технологий для освящения деятельности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субъектов правоприменения (к примеру, путём регулярного обновления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информационных сообщений на сайте в сети Интернет, использования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интерактивных форм взаимодействия с гражданами и организациями, в том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числе путём предоставления возможности заполнения заявлений на сайте);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отчётность субъекта правоприменения перед вышестоящими органами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власти Свердловской области, населением или перед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соответствующими профессиональными и иными сообществами (например,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путём опубликования ежегодных отчётов о деятельности);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00C12" w:rsidRDefault="00700C12" w:rsidP="009D7B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18) признак «нарушение режима прозрачности информации (отсутствие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информации)» является частным случаем признака, указанного в подпункте 12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пункта, и характеризуется отсутствием в анализируемом акте норм о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 предоставления по запросам граждан и организаций информации о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деятельности субъекта правоприменения, в том числе о принимаемых им</w:t>
      </w:r>
      <w:r w:rsidR="002F3B0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правовых актах;</w:t>
      </w:r>
    </w:p>
    <w:p w:rsidR="009970B2" w:rsidRDefault="00700C12" w:rsidP="009970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19) признак «нормативные коллизии» может быть выявлен при проверке</w:t>
      </w:r>
      <w:r w:rsidR="001D5E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соответствия норм анализируемого акта федеральному и областному</w:t>
      </w:r>
      <w:r w:rsidR="001D5E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законодательству в сферах регулирования отношений в соответствующей</w:t>
      </w:r>
      <w:r w:rsidR="001D5E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отрасли и регулирования таких отношений в смежных отраслях. На наличие</w:t>
      </w:r>
      <w:r w:rsidR="001D5E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данного признака указывает любой вид коллизии, если возможность её</w:t>
      </w:r>
      <w:r w:rsidR="001D5E6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разрешения зависит от волевого решения субъекта правоприменения</w:t>
      </w:r>
      <w:r w:rsidR="002F3B0B">
        <w:rPr>
          <w:rFonts w:ascii="TimesNewRomanPSMT" w:hAnsi="TimesNewRomanPSMT" w:cs="TimesNewRomanPSMT"/>
          <w:sz w:val="28"/>
          <w:szCs w:val="28"/>
        </w:rPr>
        <w:t>.</w:t>
      </w:r>
      <w:r w:rsidR="009970B2" w:rsidRPr="009970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70B2" w:rsidSect="00D95FD8">
      <w:headerReference w:type="default" r:id="rId8"/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C6" w:rsidRDefault="00A053C6" w:rsidP="0085662E">
      <w:pPr>
        <w:spacing w:after="0" w:line="240" w:lineRule="auto"/>
      </w:pPr>
      <w:r>
        <w:separator/>
      </w:r>
    </w:p>
  </w:endnote>
  <w:endnote w:type="continuationSeparator" w:id="1">
    <w:p w:rsidR="00A053C6" w:rsidRDefault="00A053C6" w:rsidP="0085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C6" w:rsidRDefault="00A053C6" w:rsidP="0085662E">
      <w:pPr>
        <w:spacing w:after="0" w:line="240" w:lineRule="auto"/>
      </w:pPr>
      <w:r>
        <w:separator/>
      </w:r>
    </w:p>
  </w:footnote>
  <w:footnote w:type="continuationSeparator" w:id="1">
    <w:p w:rsidR="00A053C6" w:rsidRDefault="00A053C6" w:rsidP="0085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313"/>
      <w:docPartObj>
        <w:docPartGallery w:val="Page Numbers (Top of Page)"/>
        <w:docPartUnique/>
      </w:docPartObj>
    </w:sdtPr>
    <w:sdtContent>
      <w:p w:rsidR="00D95FD8" w:rsidRDefault="00D95FD8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95FD8" w:rsidRDefault="00D9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4B33"/>
    <w:multiLevelType w:val="hybridMultilevel"/>
    <w:tmpl w:val="14008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12"/>
    <w:rsid w:val="000A2346"/>
    <w:rsid w:val="000D6478"/>
    <w:rsid w:val="001041B7"/>
    <w:rsid w:val="001C0FD5"/>
    <w:rsid w:val="001C3B71"/>
    <w:rsid w:val="001D5E68"/>
    <w:rsid w:val="00260D9F"/>
    <w:rsid w:val="0028491C"/>
    <w:rsid w:val="002D5F29"/>
    <w:rsid w:val="002E22AF"/>
    <w:rsid w:val="002E7421"/>
    <w:rsid w:val="002F3B0B"/>
    <w:rsid w:val="00360D60"/>
    <w:rsid w:val="003F246A"/>
    <w:rsid w:val="003F71A0"/>
    <w:rsid w:val="00454FD0"/>
    <w:rsid w:val="00476C18"/>
    <w:rsid w:val="0048275A"/>
    <w:rsid w:val="004A033E"/>
    <w:rsid w:val="004C32EC"/>
    <w:rsid w:val="005A223F"/>
    <w:rsid w:val="00694C2E"/>
    <w:rsid w:val="006D27F9"/>
    <w:rsid w:val="00700C12"/>
    <w:rsid w:val="007314A4"/>
    <w:rsid w:val="0078252C"/>
    <w:rsid w:val="00784B9C"/>
    <w:rsid w:val="007D4128"/>
    <w:rsid w:val="008255DA"/>
    <w:rsid w:val="0085662E"/>
    <w:rsid w:val="008910D7"/>
    <w:rsid w:val="00892116"/>
    <w:rsid w:val="008967B9"/>
    <w:rsid w:val="009462D3"/>
    <w:rsid w:val="009970B2"/>
    <w:rsid w:val="009B0E30"/>
    <w:rsid w:val="009B65FF"/>
    <w:rsid w:val="009D7B35"/>
    <w:rsid w:val="00A053C6"/>
    <w:rsid w:val="00A25892"/>
    <w:rsid w:val="00A51562"/>
    <w:rsid w:val="00A57F17"/>
    <w:rsid w:val="00B363FB"/>
    <w:rsid w:val="00B42C2D"/>
    <w:rsid w:val="00B65F96"/>
    <w:rsid w:val="00BB0BF9"/>
    <w:rsid w:val="00C12D40"/>
    <w:rsid w:val="00CB6772"/>
    <w:rsid w:val="00CC5B52"/>
    <w:rsid w:val="00CE11A5"/>
    <w:rsid w:val="00D40C0B"/>
    <w:rsid w:val="00D95FD8"/>
    <w:rsid w:val="00DA467A"/>
    <w:rsid w:val="00F2531C"/>
    <w:rsid w:val="00F279D1"/>
    <w:rsid w:val="00F33A8F"/>
    <w:rsid w:val="00F603CE"/>
    <w:rsid w:val="00F812C8"/>
    <w:rsid w:val="00FD1C66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62E"/>
  </w:style>
  <w:style w:type="paragraph" w:styleId="a5">
    <w:name w:val="footer"/>
    <w:basedOn w:val="a"/>
    <w:link w:val="a6"/>
    <w:uiPriority w:val="99"/>
    <w:semiHidden/>
    <w:unhideWhenUsed/>
    <w:rsid w:val="0085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62E"/>
  </w:style>
  <w:style w:type="paragraph" w:styleId="a7">
    <w:name w:val="List Paragraph"/>
    <w:basedOn w:val="a"/>
    <w:uiPriority w:val="34"/>
    <w:qFormat/>
    <w:rsid w:val="004C32EC"/>
    <w:pPr>
      <w:ind w:left="720"/>
      <w:contextualSpacing/>
    </w:pPr>
  </w:style>
  <w:style w:type="paragraph" w:customStyle="1" w:styleId="ConsPlusNormal">
    <w:name w:val="ConsPlusNormal"/>
    <w:next w:val="a"/>
    <w:rsid w:val="009970B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8">
    <w:name w:val="Содержимое таблицы"/>
    <w:basedOn w:val="a"/>
    <w:rsid w:val="009970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99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D95FD8"/>
  </w:style>
  <w:style w:type="paragraph" w:styleId="ab">
    <w:name w:val="Balloon Text"/>
    <w:basedOn w:val="a"/>
    <w:link w:val="ac"/>
    <w:uiPriority w:val="99"/>
    <w:semiHidden/>
    <w:unhideWhenUsed/>
    <w:rsid w:val="00D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C146-D1DA-4944-80CD-4D282D03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2009-04-21T06:41:00Z</cp:lastPrinted>
  <dcterms:created xsi:type="dcterms:W3CDTF">2009-03-31T10:12:00Z</dcterms:created>
  <dcterms:modified xsi:type="dcterms:W3CDTF">2009-04-21T06:41:00Z</dcterms:modified>
</cp:coreProperties>
</file>