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9C" w14:textId="59C3B98F" w:rsidR="009C6F53" w:rsidRPr="00A33B97" w:rsidRDefault="00D12AF0" w:rsidP="0018411B">
      <w:pPr>
        <w:spacing w:after="0"/>
        <w:ind w:right="-42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18411B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</w:rPr>
        <w:t>АДМИНИСТРАЦИЯ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</w:p>
    <w:p w14:paraId="121CBC9D" w14:textId="77777777"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D12AF0">
        <w:rPr>
          <w:rFonts w:ascii="Times New Roman" w:hAnsi="Times New Roman" w:cs="Times New Roman"/>
          <w:b/>
          <w:sz w:val="28"/>
        </w:rPr>
        <w:t>ТУНДРИНО</w:t>
      </w:r>
    </w:p>
    <w:p w14:paraId="737C81A3" w14:textId="77777777"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8"/>
        </w:rPr>
      </w:pPr>
      <w:r w:rsidRPr="00D12AF0">
        <w:rPr>
          <w:rFonts w:ascii="Times New Roman" w:hAnsi="Times New Roman" w:cs="Times New Roman"/>
          <w:bCs/>
          <w:sz w:val="28"/>
        </w:rPr>
        <w:t>Сургутского района</w:t>
      </w:r>
    </w:p>
    <w:p w14:paraId="0A8649AC" w14:textId="77777777"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8"/>
        </w:rPr>
      </w:pPr>
      <w:r w:rsidRPr="00D12AF0">
        <w:rPr>
          <w:rFonts w:ascii="Times New Roman" w:hAnsi="Times New Roman" w:cs="Times New Roman"/>
          <w:bCs/>
          <w:sz w:val="28"/>
        </w:rPr>
        <w:t>Ханты-мансийского автономного округа-Югры</w:t>
      </w:r>
    </w:p>
    <w:p w14:paraId="5CC4FDE9" w14:textId="77777777" w:rsidR="009C6F53" w:rsidRPr="00D12AF0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Cs/>
          <w:sz w:val="24"/>
        </w:rPr>
      </w:pPr>
    </w:p>
    <w:p w14:paraId="0C4DB6DA" w14:textId="77777777"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14:paraId="1C6C8F8E" w14:textId="77777777"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14:paraId="0BCC0392" w14:textId="2D431A39" w:rsidR="009C6F53" w:rsidRPr="00D909B2" w:rsidRDefault="009B1E0F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8411B">
        <w:rPr>
          <w:rFonts w:ascii="Times New Roman" w:hAnsi="Times New Roman"/>
          <w:sz w:val="28"/>
          <w:szCs w:val="28"/>
        </w:rPr>
        <w:t>22</w:t>
      </w:r>
      <w:r w:rsidR="00F34B86">
        <w:rPr>
          <w:rFonts w:ascii="Times New Roman" w:hAnsi="Times New Roman"/>
          <w:sz w:val="28"/>
          <w:szCs w:val="28"/>
        </w:rPr>
        <w:t>»</w:t>
      </w:r>
      <w:r w:rsidR="0018411B">
        <w:rPr>
          <w:rFonts w:ascii="Times New Roman" w:hAnsi="Times New Roman"/>
          <w:sz w:val="28"/>
          <w:szCs w:val="28"/>
        </w:rPr>
        <w:t xml:space="preserve"> апреля 2021</w:t>
      </w:r>
      <w:r w:rsidR="009C6F53" w:rsidRPr="00D909B2">
        <w:rPr>
          <w:rFonts w:ascii="Times New Roman" w:hAnsi="Times New Roman"/>
          <w:sz w:val="28"/>
          <w:szCs w:val="28"/>
        </w:rPr>
        <w:t xml:space="preserve">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F34B86"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>№</w:t>
      </w:r>
      <w:r w:rsidR="0018411B">
        <w:rPr>
          <w:rFonts w:ascii="Times New Roman" w:hAnsi="Times New Roman"/>
          <w:sz w:val="28"/>
          <w:szCs w:val="28"/>
        </w:rPr>
        <w:t xml:space="preserve"> 23</w:t>
      </w:r>
      <w:r w:rsidR="009C6F53">
        <w:rPr>
          <w:rFonts w:ascii="Times New Roman" w:hAnsi="Times New Roman"/>
          <w:sz w:val="28"/>
          <w:szCs w:val="28"/>
        </w:rPr>
        <w:t xml:space="preserve"> </w:t>
      </w:r>
    </w:p>
    <w:p w14:paraId="2CB1A85F" w14:textId="77777777"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п. </w:t>
      </w:r>
      <w:r w:rsidR="00D12AF0">
        <w:rPr>
          <w:rFonts w:ascii="Times New Roman" w:hAnsi="Times New Roman"/>
          <w:sz w:val="24"/>
          <w:szCs w:val="24"/>
        </w:rPr>
        <w:t>Высокий Мыс</w:t>
      </w:r>
    </w:p>
    <w:p w14:paraId="3694FE0F" w14:textId="77777777"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34C1C" w14:textId="77777777"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6EB8CAA" w14:textId="77777777"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14:paraId="15801BF8" w14:textId="77777777"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14:paraId="6EBDB422" w14:textId="77777777"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</w:p>
    <w:p w14:paraId="7EB481A5" w14:textId="77777777"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14:paraId="6DDE9C89" w14:textId="77777777"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14:paraId="10282EE1" w14:textId="77777777"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14:paraId="709B31FF" w14:textId="77777777"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14:paraId="0CD9EFB0" w14:textId="77777777" w:rsidR="0019608A" w:rsidRPr="0019608A" w:rsidRDefault="000B5AFE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F53" w:rsidRPr="0019608A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14:paraId="1FCCE3B8" w14:textId="77777777" w:rsidR="009C6F53" w:rsidRPr="0019608A" w:rsidRDefault="000B5AFE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F53" w:rsidRPr="0019608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1248C6D7" w14:textId="77777777"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14:paraId="0D00D40A" w14:textId="77777777"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14:paraId="73D3445E" w14:textId="72F01E27" w:rsidR="009C6F53" w:rsidRPr="0019608A" w:rsidRDefault="009C6F53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262B8">
        <w:rPr>
          <w:rFonts w:ascii="Times New Roman" w:hAnsi="Times New Roman" w:cs="Times New Roman"/>
          <w:sz w:val="28"/>
          <w:szCs w:val="28"/>
        </w:rPr>
        <w:t>Тундрино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411B">
        <w:rPr>
          <w:rFonts w:ascii="Times New Roman" w:hAnsi="Times New Roman" w:cs="Times New Roman"/>
          <w:sz w:val="28"/>
          <w:szCs w:val="28"/>
        </w:rPr>
        <w:t xml:space="preserve"> </w:t>
      </w:r>
      <w:r w:rsidRPr="0019608A">
        <w:rPr>
          <w:rFonts w:ascii="Times New Roman" w:hAnsi="Times New Roman" w:cs="Times New Roman"/>
          <w:sz w:val="28"/>
          <w:szCs w:val="28"/>
        </w:rPr>
        <w:t xml:space="preserve">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</w:t>
      </w:r>
      <w:r w:rsidR="00B262B8"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0AF2C7F5" w14:textId="77777777" w:rsidR="009B1E0F" w:rsidRPr="004458D4" w:rsidRDefault="003433F1" w:rsidP="004458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  <w:r w:rsidR="009C6F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DB495" w14:textId="77777777" w:rsidR="009C6F53" w:rsidRPr="0019104F" w:rsidRDefault="009B1E0F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03582E9" w14:textId="77777777"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62B8">
        <w:rPr>
          <w:rFonts w:ascii="Times New Roman" w:hAnsi="Times New Roman" w:cs="Times New Roman"/>
          <w:sz w:val="24"/>
          <w:szCs w:val="24"/>
        </w:rPr>
        <w:t>Тундрино</w:t>
      </w:r>
    </w:p>
    <w:p w14:paraId="3FEBE2C3" w14:textId="5C060C3E"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1E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04F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</w:rPr>
        <w:t>«</w:t>
      </w:r>
      <w:r w:rsidR="0018411B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»</w:t>
      </w:r>
      <w:r w:rsidR="0018411B">
        <w:rPr>
          <w:rFonts w:ascii="Times New Roman" w:hAnsi="Times New Roman" w:cs="Times New Roman"/>
          <w:sz w:val="24"/>
        </w:rPr>
        <w:t xml:space="preserve"> апреля 2021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18411B">
        <w:rPr>
          <w:rFonts w:ascii="Times New Roman" w:hAnsi="Times New Roman" w:cs="Times New Roman"/>
          <w:sz w:val="24"/>
        </w:rPr>
        <w:t xml:space="preserve"> 23</w:t>
      </w:r>
      <w:r w:rsidR="009B1E0F">
        <w:rPr>
          <w:rFonts w:ascii="Times New Roman" w:hAnsi="Times New Roman" w:cs="Times New Roman"/>
          <w:sz w:val="24"/>
        </w:rPr>
        <w:t xml:space="preserve"> </w:t>
      </w:r>
    </w:p>
    <w:p w14:paraId="57671C91" w14:textId="77777777"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29BFDCB1" w14:textId="77777777" w:rsidR="0032483B" w:rsidRDefault="0032483B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822900" w14:textId="77777777"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14:paraId="5C6BAF67" w14:textId="77777777"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14:paraId="2A34EA6C" w14:textId="77777777"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11E935" w14:textId="77777777"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14:paraId="092C6408" w14:textId="77777777"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064F37" w14:textId="77777777"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14:paraId="1819AF53" w14:textId="77777777"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2C67BB6D" w14:textId="77777777"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</w:t>
      </w:r>
      <w:r w:rsidR="00B262B8">
        <w:rPr>
          <w:rFonts w:eastAsiaTheme="minorHAnsi"/>
          <w:sz w:val="24"/>
          <w:szCs w:val="24"/>
          <w:lang w:eastAsia="en-US"/>
        </w:rPr>
        <w:t>Тундрино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14:paraId="228E07E3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14:paraId="3DD14749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 обслуживанию дорог и инженерных сетей в их охранных зонах;</w:t>
      </w:r>
    </w:p>
    <w:p w14:paraId="20A8A1B9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14:paraId="005106C2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14:paraId="3F7CFE11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14:paraId="392BB7DB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14:paraId="5D392114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14:paraId="73B6D1E8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14:paraId="479FA2B9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на им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14:paraId="52326D58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14:paraId="7399B683" w14:textId="77777777" w:rsidR="00CC712E" w:rsidRDefault="00CC712E" w:rsidP="004458D4">
      <w:pPr>
        <w:pStyle w:val="formattext"/>
        <w:spacing w:before="0" w:beforeAutospacing="0" w:after="0" w:afterAutospacing="0"/>
        <w:jc w:val="both"/>
      </w:pPr>
    </w:p>
    <w:p w14:paraId="6AFBAEDB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14:paraId="546FFDB8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14:paraId="676566EA" w14:textId="77777777"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13) при разрушении корневой системой деревьев фундаментов зданий, строений, сооружений, асфальтовых покрытий тротуаров и проезжей части автомобильных дорог.</w:t>
      </w:r>
    </w:p>
    <w:p w14:paraId="382A0E80" w14:textId="77777777" w:rsidR="00E62182" w:rsidRPr="0019608A" w:rsidRDefault="00091E18" w:rsidP="00216E5E">
      <w:pPr>
        <w:pStyle w:val="formattext"/>
        <w:spacing w:before="0" w:beforeAutospacing="0" w:after="0" w:afterAutospacing="0"/>
        <w:ind w:firstLine="567"/>
        <w:jc w:val="both"/>
      </w:pPr>
      <w:r>
        <w:t xml:space="preserve">  </w:t>
      </w:r>
      <w:r w:rsidR="00E62182" w:rsidRPr="0019608A">
        <w:t xml:space="preserve">3. Оформление </w:t>
      </w:r>
      <w:r w:rsidR="00E62182" w:rsidRPr="0019608A">
        <w:rPr>
          <w:rStyle w:val="match"/>
        </w:rPr>
        <w:t>разрешения</w:t>
      </w:r>
      <w:r w:rsidR="00E62182" w:rsidRPr="0019608A">
        <w:t xml:space="preserve"> на </w:t>
      </w:r>
      <w:r w:rsidR="00E62182" w:rsidRPr="0019608A">
        <w:rPr>
          <w:rStyle w:val="match"/>
        </w:rPr>
        <w:t>снос</w:t>
      </w:r>
      <w:r w:rsidR="00E62182" w:rsidRPr="0019608A">
        <w:t xml:space="preserve"> </w:t>
      </w:r>
      <w:r w:rsidR="00E62182" w:rsidRPr="0019608A">
        <w:rPr>
          <w:rStyle w:val="match"/>
        </w:rPr>
        <w:t>зеленых</w:t>
      </w:r>
      <w:r w:rsidR="00E62182" w:rsidRPr="0019608A">
        <w:t xml:space="preserve"> </w:t>
      </w:r>
      <w:r w:rsidR="00E62182" w:rsidRPr="0019608A">
        <w:rPr>
          <w:rStyle w:val="match"/>
        </w:rPr>
        <w:t>насаждений</w:t>
      </w:r>
      <w:r w:rsidR="00E62182" w:rsidRPr="0019608A">
        <w:t xml:space="preserve"> не требуется при производстве </w:t>
      </w:r>
      <w:r w:rsidR="00E62182" w:rsidRPr="0019608A">
        <w:rPr>
          <w:rStyle w:val="match"/>
        </w:rPr>
        <w:t>работ</w:t>
      </w:r>
      <w:r w:rsidR="00E62182"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14:paraId="407B2921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5AEA7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14:paraId="396A2A70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AE880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</w:t>
      </w:r>
      <w:r w:rsidR="00B262B8">
        <w:rPr>
          <w:rFonts w:eastAsia="Calibri"/>
          <w:sz w:val="24"/>
          <w:szCs w:val="24"/>
        </w:rPr>
        <w:t>Тундрино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14:paraId="26E639DD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6921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535EC4F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B7C877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</w:t>
      </w:r>
      <w:r w:rsidR="00B262B8">
        <w:rPr>
          <w:rFonts w:eastAsia="Calibri"/>
          <w:sz w:val="24"/>
          <w:szCs w:val="24"/>
          <w:lang w:eastAsia="en-US"/>
        </w:rPr>
        <w:t>Тундрино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14:paraId="26928407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14:paraId="5DDFD1B0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14:paraId="6E7C4246" w14:textId="77777777" w:rsidR="003433F1" w:rsidRPr="00B262B8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в форме мультиме</w:t>
      </w:r>
      <w:r w:rsidR="00D1172B" w:rsidRPr="0019608A">
        <w:rPr>
          <w:rFonts w:ascii="Times New Roman" w:hAnsi="Times New Roman"/>
          <w:sz w:val="24"/>
          <w:szCs w:val="24"/>
        </w:rPr>
        <w:t xml:space="preserve">дийных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46D9E">
        <w:rPr>
          <w:rFonts w:ascii="Times New Roman" w:hAnsi="Times New Roman"/>
          <w:sz w:val="24"/>
          <w:szCs w:val="24"/>
        </w:rPr>
        <w:t>www.gosuslugi.ru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446D9E">
        <w:rPr>
          <w:rFonts w:ascii="Times New Roman" w:hAnsi="Times New Roman"/>
          <w:sz w:val="24"/>
          <w:szCs w:val="24"/>
        </w:rPr>
        <w:t>http://86.gosuslugi.ru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>администрации поселения</w:t>
      </w:r>
      <w:r w:rsidR="00B2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B262B8" w:rsidRPr="00B262B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adm.tundrino@yandex.ru</w:t>
        </w:r>
      </w:hyperlink>
      <w:r w:rsidR="00B2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72B" w:rsidRPr="00B262B8">
        <w:rPr>
          <w:rFonts w:ascii="Times New Roman" w:hAnsi="Times New Roman" w:cs="Times New Roman"/>
          <w:sz w:val="24"/>
          <w:szCs w:val="24"/>
        </w:rPr>
        <w:t>(далее – официальный сайт).</w:t>
      </w:r>
    </w:p>
    <w:p w14:paraId="30076281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14:paraId="265AB812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устной (при личном обращении или по телефону);</w:t>
      </w:r>
    </w:p>
    <w:p w14:paraId="01544FC7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14:paraId="1A85327A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14:paraId="02EE3A1B" w14:textId="77777777"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0837DD3D" w14:textId="77777777"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14:paraId="622F2A91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14:paraId="4680D4BF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14:paraId="576E6EB0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14:paraId="429944D5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14:paraId="0CF272A1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C243665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14:paraId="2447AB77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446D9E">
        <w:rPr>
          <w:sz w:val="24"/>
          <w:szCs w:val="24"/>
        </w:rPr>
        <w:t>www.nalog.ru</w:t>
      </w:r>
      <w:r w:rsidRPr="0019608A">
        <w:rPr>
          <w:sz w:val="24"/>
          <w:szCs w:val="24"/>
        </w:rPr>
        <w:t>.</w:t>
      </w:r>
    </w:p>
    <w:p w14:paraId="6C89C7D9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r w:rsidRPr="00446D9E">
        <w:rPr>
          <w:sz w:val="24"/>
          <w:szCs w:val="24"/>
        </w:rPr>
        <w:t>www.rosreestr.ru</w:t>
      </w:r>
      <w:r w:rsidRPr="0019608A">
        <w:rPr>
          <w:sz w:val="24"/>
          <w:szCs w:val="24"/>
        </w:rPr>
        <w:t xml:space="preserve">. </w:t>
      </w:r>
    </w:p>
    <w:p w14:paraId="7CC4C4F1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446D9E">
        <w:rPr>
          <w:sz w:val="24"/>
          <w:szCs w:val="24"/>
        </w:rPr>
        <w:t>https://hantymansiysk.roskazna.ru</w:t>
      </w:r>
      <w:r w:rsidRPr="0019608A">
        <w:rPr>
          <w:sz w:val="24"/>
          <w:szCs w:val="24"/>
        </w:rPr>
        <w:t xml:space="preserve">. </w:t>
      </w:r>
    </w:p>
    <w:p w14:paraId="23C44E29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14:paraId="3CF73111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14:paraId="72223F86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14:paraId="26EBFC88" w14:textId="77777777"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14:paraId="4643A2D4" w14:textId="77777777"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14:paraId="2BCA8C6A" w14:textId="77777777" w:rsidR="004458D4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14:paraId="1479797B" w14:textId="77777777" w:rsidR="003433F1" w:rsidRPr="0019608A" w:rsidRDefault="003433F1" w:rsidP="004458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</w:p>
    <w:p w14:paraId="1336154A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14:paraId="1CDB74CD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B262B8">
        <w:rPr>
          <w:rFonts w:ascii="Times New Roman" w:hAnsi="Times New Roman"/>
          <w:sz w:val="24"/>
          <w:szCs w:val="24"/>
        </w:rPr>
        <w:t>Тундрино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14:paraId="2A1CA9CD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</w:p>
    <w:p w14:paraId="28AAE255" w14:textId="77777777"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B9ADF2" w14:textId="77777777"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14:paraId="7452F94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32D764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14:paraId="6F7DD7B0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87C43" w14:textId="77777777"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14:paraId="2B5403F6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28C43D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14:paraId="23FD4A21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11920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Лямина.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14:paraId="081BFFAC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14:paraId="352C16E4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14:paraId="77770583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14:paraId="2C1B66E1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14:paraId="32469BFB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DAC8A5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</w:p>
    <w:p w14:paraId="3950415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E6EFC2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14:paraId="7488C0D0" w14:textId="77777777"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</w:t>
      </w:r>
      <w:r w:rsidR="001F21AC">
        <w:rPr>
          <w:rFonts w:ascii="Times New Roman" w:hAnsi="Times New Roman"/>
          <w:bCs/>
          <w:sz w:val="24"/>
          <w:szCs w:val="24"/>
        </w:rPr>
        <w:t>Тундрино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14:paraId="3D59D583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</w:t>
      </w:r>
      <w:r w:rsidR="001F21AC">
        <w:rPr>
          <w:rFonts w:ascii="Times New Roman" w:hAnsi="Times New Roman"/>
          <w:bCs/>
          <w:sz w:val="24"/>
          <w:szCs w:val="24"/>
        </w:rPr>
        <w:t>Тундрино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14:paraId="3A60D66F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0F43FB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14:paraId="54AFBDFD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18698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14:paraId="449538FC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14:paraId="2BB7E667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14:paraId="490EC280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14:paraId="5648947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14:paraId="3974B5FB" w14:textId="77777777"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7637B9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14:paraId="4B44905E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63500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14:paraId="1D01C2E9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79F181E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14:paraId="5D6D2EEF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AE603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14:paraId="7CADEC34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14:paraId="374B7902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14:paraId="656E0DC7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14:paraId="4A137325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14:paraId="673522D6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14:paraId="7C86681F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14:paraId="4B555B2E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14:paraId="2497DF8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схема, отображающая расположение зеленых насаждений, подлежащих сносу или пересадке;</w:t>
      </w:r>
    </w:p>
    <w:p w14:paraId="71674CDB" w14:textId="77777777"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14:paraId="22FC4F5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14:paraId="447C9818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14:paraId="7AE3A23D" w14:textId="77777777" w:rsidR="00D657D7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lastRenderedPageBreak/>
        <w:t xml:space="preserve">материалы топографической съемки территории земельного участка на бумажном или электронном носителях (в масштабе 1:500 при площади участка до 1 га; </w:t>
      </w:r>
    </w:p>
    <w:p w14:paraId="09D3EFFB" w14:textId="77777777"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14:paraId="22AA205D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14:paraId="73A861C1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14:paraId="1DBB1E61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14:paraId="2E892D0E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14:paraId="5F92464E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предписание или иной обязательный к исполнению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14:paraId="099FFE79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14:paraId="59F21D28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14:paraId="38556006" w14:textId="77777777"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14:paraId="3E518D83" w14:textId="77777777"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14:paraId="59AEB16E" w14:textId="77777777"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14:paraId="1DD9B6CF" w14:textId="77777777"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14:paraId="4446E19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14:paraId="6E4A29A3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14:paraId="2E2C37BE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14:paraId="716352A8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14:paraId="0A66E0AF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14:paraId="27C6518C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14:paraId="7E3335A2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14:paraId="0D9D7686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14:paraId="6CD8B118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14:paraId="500ECB52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14:paraId="629AEE51" w14:textId="77777777" w:rsidR="003433F1" w:rsidRPr="0019608A" w:rsidRDefault="00091E18" w:rsidP="00091E1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="003433F1"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10 Административного регламента);</w:t>
      </w:r>
    </w:p>
    <w:p w14:paraId="6CB577FC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11 Административного регламента);</w:t>
      </w:r>
    </w:p>
    <w:p w14:paraId="08C8E13B" w14:textId="77777777"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</w:p>
    <w:p w14:paraId="1D755074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14:paraId="389C3893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14:paraId="5C332F59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14:paraId="32AC6244" w14:textId="77777777" w:rsidR="003433F1" w:rsidRPr="0019608A" w:rsidRDefault="003433F1" w:rsidP="00371C0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C0571" w:rsidRPr="0019608A">
        <w:rPr>
          <w:rFonts w:ascii="Times New Roman" w:hAnsi="Times New Roman"/>
          <w:sz w:val="24"/>
          <w:szCs w:val="24"/>
          <w:lang w:eastAsia="ar-SA"/>
        </w:rPr>
        <w:t>требованиями части</w:t>
      </w:r>
      <w:r w:rsidRPr="0019608A">
        <w:rPr>
          <w:rFonts w:ascii="Times New Roman" w:hAnsi="Times New Roman"/>
          <w:sz w:val="24"/>
          <w:szCs w:val="24"/>
        </w:rPr>
        <w:t xml:space="preserve"> 1 статьи 7 Федерального закона № 210-ФЗ запрещается требовать от заявителей:</w:t>
      </w:r>
    </w:p>
    <w:p w14:paraId="1A42AAFD" w14:textId="77777777" w:rsidR="003433F1" w:rsidRPr="0019608A" w:rsidRDefault="003433F1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A66F0D" w14:textId="77777777" w:rsidR="00CC712E" w:rsidRDefault="003433F1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>2)</w:t>
      </w:r>
      <w:r w:rsidRPr="00371C04">
        <w:rPr>
          <w:rFonts w:ascii="Times New Roman" w:hAnsi="Times New Roman" w:cs="Times New Roman"/>
          <w:sz w:val="24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</w:t>
      </w:r>
    </w:p>
    <w:p w14:paraId="2DFEEF9C" w14:textId="77777777" w:rsidR="003433F1" w:rsidRPr="00371C04" w:rsidRDefault="003433F1" w:rsidP="004458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>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14:paraId="283AFBC1" w14:textId="77777777" w:rsidR="00D657D7" w:rsidRDefault="003433F1" w:rsidP="00371C0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C04">
        <w:rPr>
          <w:rFonts w:ascii="Times New Roman" w:hAnsi="Times New Roman" w:cs="Times New Roman"/>
          <w:sz w:val="24"/>
          <w:szCs w:val="24"/>
        </w:rPr>
        <w:t>3)</w:t>
      </w:r>
      <w:r w:rsidRPr="00371C04">
        <w:rPr>
          <w:rFonts w:ascii="Times New Roman" w:hAnsi="Times New Roman" w:cs="Times New Roman"/>
          <w:sz w:val="24"/>
          <w:szCs w:val="24"/>
        </w:rPr>
        <w:tab/>
      </w:r>
      <w:r w:rsidR="00371C04" w:rsidRPr="00371C04">
        <w:rPr>
          <w:rFonts w:ascii="Times New Roman" w:hAnsi="Times New Roman" w:cs="Times New Roman"/>
          <w:color w:val="000000"/>
          <w:shd w:val="clear" w:color="auto" w:fill="FFFFFF"/>
        </w:rPr>
        <w:t>осуществления действий, в том числе согласований, необходимых для получения</w:t>
      </w:r>
    </w:p>
    <w:p w14:paraId="79D8EAE9" w14:textId="77777777" w:rsidR="00371C04" w:rsidRPr="00371C04" w:rsidRDefault="00371C04" w:rsidP="00D657D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371C04">
        <w:rPr>
          <w:rFonts w:ascii="Times New Roman" w:hAnsi="Times New Roman" w:cs="Times New Roman"/>
          <w:sz w:val="24"/>
          <w:szCs w:val="24"/>
          <w:lang w:eastAsia="ar-SA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Pr="00371C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Pr="00371C04">
        <w:rPr>
          <w:rFonts w:ascii="Times New Roman" w:hAnsi="Times New Roman" w:cs="Times New Roman"/>
          <w:sz w:val="24"/>
          <w:szCs w:val="24"/>
        </w:rPr>
        <w:t>Совета депутатов сельского поселения Тундрино от 13.06.2012 № 122 «</w:t>
      </w:r>
      <w:r w:rsidRPr="00371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Pr="00371C04">
        <w:rPr>
          <w:rFonts w:ascii="Times New Roman" w:hAnsi="Times New Roman" w:cs="Times New Roman"/>
          <w:sz w:val="24"/>
          <w:szCs w:val="24"/>
        </w:rPr>
        <w:t>.</w:t>
      </w:r>
    </w:p>
    <w:p w14:paraId="11B8D7A5" w14:textId="77777777" w:rsidR="003433F1" w:rsidRPr="00371C04" w:rsidRDefault="00371C04" w:rsidP="00371C0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4) </w:t>
      </w:r>
      <w:r w:rsidR="003433F1" w:rsidRPr="00371C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</w:t>
      </w:r>
      <w:r w:rsidR="00E2121F" w:rsidRPr="00371C04">
        <w:rPr>
          <w:rFonts w:ascii="Times New Roman" w:hAnsi="Times New Roman" w:cs="Times New Roman"/>
          <w:sz w:val="24"/>
          <w:szCs w:val="24"/>
        </w:rPr>
        <w:t xml:space="preserve">лись при первоначальном отказе </w:t>
      </w:r>
      <w:r w:rsidR="003433F1" w:rsidRPr="00371C0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B35971A" w14:textId="77777777"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433F1" w:rsidRPr="00371C0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1F2A932" w14:textId="77777777"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б) </w:t>
      </w:r>
      <w:r w:rsidR="003433F1" w:rsidRPr="00371C0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371C04">
        <w:rPr>
          <w:rFonts w:ascii="Times New Roman" w:hAnsi="Times New Roman" w:cs="Times New Roman"/>
          <w:sz w:val="24"/>
          <w:szCs w:val="24"/>
        </w:rPr>
        <w:t xml:space="preserve">ипальной услуги и не включенных </w:t>
      </w:r>
      <w:r w:rsidR="003433F1" w:rsidRPr="00371C04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14:paraId="6551BA9A" w14:textId="77777777"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hAnsi="Times New Roman" w:cs="Times New Roman"/>
          <w:sz w:val="24"/>
          <w:szCs w:val="24"/>
        </w:rPr>
        <w:t xml:space="preserve">в) </w:t>
      </w:r>
      <w:r w:rsidR="003433F1" w:rsidRPr="00371C0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70A52D" w14:textId="77777777" w:rsidR="003433F1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1C04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3433F1" w:rsidRPr="00371C04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371C04">
        <w:rPr>
          <w:rFonts w:ascii="Times New Roman" w:eastAsia="Times New Roman" w:hAnsi="Times New Roman" w:cs="Times New Roman"/>
          <w:sz w:val="24"/>
          <w:szCs w:val="24"/>
        </w:rPr>
        <w:t xml:space="preserve"> приеме документов, необходимых </w:t>
      </w:r>
      <w:r w:rsidR="003433F1" w:rsidRPr="00371C04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B7D7328" w14:textId="77777777" w:rsidR="00371C04" w:rsidRPr="00371C04" w:rsidRDefault="00371C04" w:rsidP="00371C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C0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  предоставления на бумажном носителе документов и информации, электронные образы которых ранее были заверены в соответствии </w:t>
      </w:r>
      <w:r w:rsidRPr="00D657D7">
        <w:rPr>
          <w:rFonts w:ascii="Times New Roman" w:hAnsi="Times New Roman" w:cs="Times New Roman"/>
          <w:shd w:val="clear" w:color="auto" w:fill="FFFFFF"/>
        </w:rPr>
        <w:t>с </w:t>
      </w:r>
      <w:hyperlink r:id="rId9" w:history="1">
        <w:r w:rsidRPr="00D657D7">
          <w:rPr>
            <w:rFonts w:ascii="Times New Roman" w:hAnsi="Times New Roman" w:cs="Times New Roman"/>
          </w:rPr>
          <w:t>пунктом 7</w:t>
        </w:r>
        <w:r w:rsidR="00BC0571" w:rsidRPr="00D657D7">
          <w:rPr>
            <w:rFonts w:ascii="Times New Roman" w:hAnsi="Times New Roman" w:cs="Times New Roman"/>
          </w:rPr>
          <w:t>.</w:t>
        </w:r>
        <w:r w:rsidRPr="00D657D7">
          <w:rPr>
            <w:rFonts w:ascii="Times New Roman" w:hAnsi="Times New Roman" w:cs="Times New Roman"/>
          </w:rPr>
          <w:t>2 части 1 статьи 16  Федерального закона</w:t>
        </w:r>
      </w:hyperlink>
      <w:r w:rsidR="00BC0571" w:rsidRPr="00D657D7">
        <w:rPr>
          <w:rFonts w:ascii="Times New Roman" w:hAnsi="Times New Roman" w:cs="Times New Roman"/>
        </w:rPr>
        <w:t xml:space="preserve"> № 210-ФЗ</w:t>
      </w:r>
      <w:r w:rsidRPr="00D657D7">
        <w:rPr>
          <w:rFonts w:ascii="Times New Roman" w:hAnsi="Times New Roman" w:cs="Times New Roman"/>
          <w:shd w:val="clear" w:color="auto" w:fill="FFFFFF"/>
        </w:rPr>
        <w:t>,</w:t>
      </w:r>
      <w:r w:rsidRPr="00371C04">
        <w:rPr>
          <w:rFonts w:ascii="Times New Roman" w:hAnsi="Times New Roman" w:cs="Times New Roman"/>
          <w:color w:val="000000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6B7AE22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A017B5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BBA4DE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4C486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14:paraId="2A825FF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A7C085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4C91A6F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14:paraId="0ABEA30E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14:paraId="4E81FD58" w14:textId="77777777" w:rsidR="00091E18" w:rsidRPr="00091E18" w:rsidRDefault="003433F1" w:rsidP="00091E18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14:paraId="6BE0E7B7" w14:textId="77777777"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14:paraId="2E265403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14:paraId="0F71CCBC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</w:t>
      </w:r>
      <w:r w:rsidR="001F21AC" w:rsidRPr="0019608A">
        <w:rPr>
          <w:rFonts w:ascii="Times New Roman" w:hAnsi="Times New Roman"/>
          <w:sz w:val="24"/>
          <w:szCs w:val="24"/>
        </w:rPr>
        <w:t>заявителем документов с нарушением,</w:t>
      </w:r>
      <w:r w:rsidRPr="0019608A">
        <w:rPr>
          <w:rFonts w:ascii="Times New Roman" w:hAnsi="Times New Roman"/>
          <w:sz w:val="24"/>
          <w:szCs w:val="24"/>
        </w:rPr>
        <w:t xml:space="preserve"> установленных пунктами 24, 25 Административного регламента к ним требованиям;</w:t>
      </w:r>
    </w:p>
    <w:p w14:paraId="1BC81361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14:paraId="659C23DD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14:paraId="3218B4E5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14:paraId="78E08656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14:paraId="588E8694" w14:textId="77777777"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="003433F1"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="003433F1" w:rsidRPr="0019608A">
        <w:rPr>
          <w:rFonts w:ascii="Times New Roman" w:hAnsi="Times New Roman"/>
          <w:sz w:val="24"/>
          <w:szCs w:val="24"/>
        </w:rPr>
        <w:t>;</w:t>
      </w:r>
    </w:p>
    <w:p w14:paraId="6ECDC6FC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14:paraId="6757AEFA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E0895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14:paraId="26024E6A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14:paraId="4186F0A1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14:paraId="70CA2C33" w14:textId="77777777" w:rsidR="003433F1" w:rsidRPr="000B5AFE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5AFE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0B5AFE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м</w:t>
      </w:r>
      <w:r w:rsidR="007158C7" w:rsidRPr="000B5AFE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 w:rsidR="001F21AC" w:rsidRPr="000B5AFE">
        <w:rPr>
          <w:rFonts w:ascii="Times New Roman" w:eastAsia="Times New Roman" w:hAnsi="Times New Roman"/>
          <w:sz w:val="24"/>
          <w:szCs w:val="24"/>
        </w:rPr>
        <w:t>Тундрино</w:t>
      </w:r>
      <w:r w:rsidR="00032A08" w:rsidRPr="000B5AF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от</w:t>
      </w:r>
      <w:r w:rsidR="000B5AFE" w:rsidRPr="000B5AFE">
        <w:rPr>
          <w:rFonts w:ascii="Times New Roman" w:eastAsia="Times New Roman" w:hAnsi="Times New Roman"/>
          <w:sz w:val="24"/>
          <w:szCs w:val="24"/>
        </w:rPr>
        <w:t xml:space="preserve"> «10» марта 2021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B5AFE" w:rsidRPr="000B5AFE">
        <w:rPr>
          <w:rFonts w:ascii="Times New Roman" w:eastAsia="Times New Roman" w:hAnsi="Times New Roman"/>
          <w:sz w:val="24"/>
          <w:szCs w:val="24"/>
        </w:rPr>
        <w:t xml:space="preserve">15 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«О ставках платы за снос зеленых насаждений на территории сельского поселения</w:t>
      </w:r>
      <w:r w:rsidR="001F21AC" w:rsidRPr="000B5AFE">
        <w:rPr>
          <w:rFonts w:ascii="Times New Roman" w:eastAsia="Times New Roman" w:hAnsi="Times New Roman"/>
          <w:sz w:val="24"/>
          <w:szCs w:val="24"/>
        </w:rPr>
        <w:t xml:space="preserve"> Тундрино</w:t>
      </w:r>
      <w:r w:rsidR="00032A08" w:rsidRPr="000B5AFE">
        <w:rPr>
          <w:rFonts w:ascii="Times New Roman" w:eastAsia="Times New Roman" w:hAnsi="Times New Roman"/>
          <w:sz w:val="24"/>
          <w:szCs w:val="24"/>
        </w:rPr>
        <w:t>»</w:t>
      </w:r>
      <w:r w:rsidRPr="000B5AFE">
        <w:rPr>
          <w:rFonts w:ascii="Times New Roman" w:eastAsia="Times New Roman" w:hAnsi="Times New Roman"/>
          <w:sz w:val="24"/>
          <w:szCs w:val="24"/>
        </w:rPr>
        <w:t>.</w:t>
      </w:r>
    </w:p>
    <w:p w14:paraId="170E86F5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14:paraId="235C242C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14:paraId="20E4642F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4E41B6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6DFBADA2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4105AD" w14:textId="77777777"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14:paraId="3883B85B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44544D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14:paraId="4862CE4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18FB456" w14:textId="77777777"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14:paraId="51061278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70FF6D84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14:paraId="12195EB0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14:paraId="7252319E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14:paraId="564676A1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14:paraId="6841DE9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14:paraId="42065553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14:paraId="080429A5" w14:textId="77777777"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2BE6646" w14:textId="77777777"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14:paraId="7D666245" w14:textId="77777777"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14:paraId="5BD4DEE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14:paraId="10787593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7843559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A36EC0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14:paraId="380A8E1B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07FA846B" w14:textId="77777777"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14:paraId="30B6B1D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14:paraId="6BD1956A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5DFD90" w14:textId="77777777" w:rsidR="00091E18" w:rsidRDefault="00091E18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D57978" w14:textId="77777777" w:rsidR="00091E18" w:rsidRDefault="00091E18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AA1C99B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14:paraId="2BC0376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1AE44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14:paraId="0AB5556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14:paraId="699A6526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14:paraId="632751FF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14:paraId="768192C1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14:paraId="63E7DE4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14:paraId="51469CC3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14:paraId="1CF8B850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14:paraId="0CC395E1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14:paraId="465990C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14:paraId="751443C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787A64" w14:textId="77777777"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14:paraId="19FC0D32" w14:textId="77777777"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92F9D9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14:paraId="2287ED00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14:paraId="539BD385" w14:textId="77777777"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14:paraId="1C0E69D7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14:paraId="6FFF0C62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14:paraId="268AFD0B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14:paraId="3D1A692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9402AE6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14:paraId="6DBA8275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72BB89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14:paraId="53555CE2" w14:textId="77777777"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CD936C0" w14:textId="77777777"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14:paraId="041625C4" w14:textId="77777777"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60B384A7" w14:textId="77777777"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14:paraId="61F4DA33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963C71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14:paraId="53D8D0A2" w14:textId="77777777" w:rsidR="003433F1" w:rsidRPr="0019608A" w:rsidRDefault="004458D4" w:rsidP="0044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33F1"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3433F1"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="003433F1" w:rsidRPr="0019608A">
        <w:rPr>
          <w:rFonts w:ascii="Times New Roman" w:hAnsi="Times New Roman"/>
          <w:sz w:val="24"/>
          <w:szCs w:val="24"/>
        </w:rPr>
        <w:t>;</w:t>
      </w:r>
    </w:p>
    <w:p w14:paraId="3FC8C18D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14:paraId="13B60AE1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14:paraId="49CC063F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14:paraId="331874AE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14:paraId="4C41103A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14:paraId="771852D0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14:paraId="7B2DFC48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3446C6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14:paraId="268BF412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F1DB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14:paraId="5EC40B1C" w14:textId="77777777"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14:paraId="21EB274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14:paraId="554DF301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14:paraId="2A705A0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3339E71A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14:paraId="4F63AB42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14:paraId="3DADE283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14:paraId="52D785C5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</w:p>
    <w:p w14:paraId="3133A9AA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14:paraId="2600A318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7D9C60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14:paraId="4AE4BB62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57465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14:paraId="3A7F2B2C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14:paraId="3BA800B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14:paraId="37303C21" w14:textId="77777777"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14:paraId="507F9B0C" w14:textId="77777777"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14:paraId="4A6C0C20" w14:textId="77777777"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</w:t>
      </w:r>
      <w:r w:rsidRPr="0019608A">
        <w:rPr>
          <w:rFonts w:ascii="Times New Roman" w:hAnsi="Times New Roman"/>
          <w:sz w:val="24"/>
          <w:szCs w:val="24"/>
        </w:rPr>
        <w:lastRenderedPageBreak/>
        <w:t>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14:paraId="2E1A0FA0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14:paraId="38D64B76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14:paraId="1019BBA5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14:paraId="4640713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14:paraId="3145629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DE4197D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B2BA0F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14:paraId="5D98AFA2" w14:textId="77777777"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14:paraId="4596C00E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14:paraId="4352A9A2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14:paraId="55428FCE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14:paraId="7593B783" w14:textId="77777777"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14:paraId="3EF40916" w14:textId="77777777"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14:paraId="330D6B6F" w14:textId="77777777"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14:paraId="24DF3E05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14:paraId="235AFE3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14:paraId="74D83B61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14:paraId="266AF48C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14:paraId="70345F85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</w:t>
      </w:r>
      <w:r w:rsidRPr="0019608A">
        <w:rPr>
          <w:rFonts w:ascii="Times New Roman" w:eastAsia="Times New Roman" w:hAnsi="Times New Roman"/>
          <w:sz w:val="24"/>
          <w:szCs w:val="24"/>
        </w:rPr>
        <w:lastRenderedPageBreak/>
        <w:t xml:space="preserve">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14:paraId="24416828" w14:textId="77777777"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457D4D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14:paraId="10E4EAB6" w14:textId="77777777"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0D05C9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14:paraId="43A3B64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14:paraId="7A95905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14:paraId="56CF8125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14:paraId="719A47F9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14:paraId="46C80C00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14:paraId="03812F40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14:paraId="0DFE5629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14:paraId="713C274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количества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14:paraId="2BBCAEF5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14:paraId="0090BBC2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14:paraId="4B7FB14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</w:t>
      </w:r>
      <w:r w:rsidR="004458D4" w:rsidRPr="0019608A">
        <w:rPr>
          <w:rFonts w:ascii="Times New Roman" w:eastAsia="Times New Roman" w:hAnsi="Times New Roman"/>
          <w:sz w:val="24"/>
          <w:szCs w:val="24"/>
        </w:rPr>
        <w:t>в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14:paraId="7CC0ECA6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38B47" w14:textId="77777777" w:rsidR="00091E18" w:rsidRDefault="00091E18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A42D6B9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14:paraId="413425F6" w14:textId="77777777"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14:paraId="08A1356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14:paraId="2B8A342A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14:paraId="70000C3E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14:paraId="4CE29052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14:paraId="2AC785EA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14:paraId="4369199B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14:paraId="3208209B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14:paraId="7CD7B737" w14:textId="77777777"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14:paraId="7A9CC22C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14:paraId="6AD2024D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14:paraId="15AF289B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14:paraId="7BB573A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14:paraId="7B23F54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14:paraId="2D86D7E7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14:paraId="29158AAB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14:paraId="3A757C1E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75501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14:paraId="27F4D37E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2513A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14:paraId="34D310B6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14:paraId="2034ECA9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выявление оснований для отказа в предоставлении муниципальной услуги в процессе ее оказания в соответствии с подпунктом 1 пункта 54, подпунктом 3 пункта 60, подпунктом 5 пункта 66, подпунктом 4 пункта 73 Административного регламента.</w:t>
      </w:r>
    </w:p>
    <w:p w14:paraId="2967E15E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113DA20D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14:paraId="047E8A78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1F21AC">
        <w:rPr>
          <w:rFonts w:ascii="Times New Roman" w:hAnsi="Times New Roman"/>
          <w:color w:val="000000"/>
          <w:sz w:val="24"/>
          <w:szCs w:val="24"/>
        </w:rPr>
        <w:t>Тундрино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14:paraId="0592C47C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1F21AC">
        <w:rPr>
          <w:rFonts w:ascii="Times New Roman" w:hAnsi="Times New Roman"/>
          <w:color w:val="000000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14:paraId="6A8886EF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14:paraId="12AD8061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14:paraId="2522BEE4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14:paraId="4101E667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14:paraId="00F0D264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14:paraId="31C3F90E" w14:textId="77777777"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14:paraId="463666CD" w14:textId="77777777"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14:paraId="3012AE3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14:paraId="57B226C8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14:paraId="6886A65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14:paraId="10A82FB9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14:paraId="1F3B9710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14:paraId="4C1F05E5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14:paraId="5D320E29" w14:textId="77777777"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563148" w14:textId="77777777" w:rsidR="00091E18" w:rsidRDefault="00091E18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AD70B2" w14:textId="77777777"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14:paraId="6DC938D3" w14:textId="77777777"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95E08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14:paraId="1FD367D9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0C43AA48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14:paraId="1AE83359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14:paraId="590690BB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14:paraId="6BEB46F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14:paraId="3C0FA88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14:paraId="3FC07771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55B2F95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14:paraId="4E13C5BC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14:paraId="67959C4E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14:paraId="719A4276" w14:textId="77777777"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14:paraId="45F498CF" w14:textId="77777777"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97256C" w14:textId="77777777"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14:paraId="68839379" w14:textId="77777777"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BD70BC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14:paraId="709AA5B9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D4AAB5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>екущий контроль за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>.</w:t>
      </w:r>
    </w:p>
    <w:bookmarkEnd w:id="13"/>
    <w:p w14:paraId="34A5CF60" w14:textId="77777777" w:rsidR="004458D4" w:rsidRDefault="004458D4" w:rsidP="004458D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581165D3" w14:textId="77777777" w:rsidR="003433F1" w:rsidRPr="0019608A" w:rsidRDefault="004458D4" w:rsidP="004458D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433F1"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="003433F1"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="003433F1"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14:paraId="2E7C223A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39C4F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 xml:space="preserve">на основании годовых </w:t>
      </w:r>
      <w:r w:rsidRPr="0019608A">
        <w:rPr>
          <w:rFonts w:ascii="Times New Roman" w:hAnsi="Times New Roman"/>
          <w:sz w:val="24"/>
          <w:szCs w:val="24"/>
        </w:rPr>
        <w:lastRenderedPageBreak/>
        <w:t>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22470769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14:paraId="19F41765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14:paraId="443245C6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</w:t>
      </w:r>
      <w:r w:rsidR="00E06439" w:rsidRPr="0019608A">
        <w:rPr>
          <w:rFonts w:ascii="Times New Roman" w:hAnsi="Times New Roman"/>
          <w:sz w:val="24"/>
          <w:szCs w:val="24"/>
        </w:rPr>
        <w:t>в соответствии с постановлением</w:t>
      </w:r>
      <w:r w:rsidR="00083093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1F21AC">
        <w:rPr>
          <w:rFonts w:ascii="Times New Roman" w:hAnsi="Times New Roman"/>
          <w:sz w:val="24"/>
          <w:szCs w:val="24"/>
        </w:rPr>
        <w:t>Тундрино</w:t>
      </w:r>
      <w:r w:rsidR="00083093" w:rsidRPr="0019608A">
        <w:rPr>
          <w:rFonts w:ascii="Times New Roman" w:hAnsi="Times New Roman"/>
          <w:sz w:val="24"/>
          <w:szCs w:val="24"/>
        </w:rPr>
        <w:t>.</w:t>
      </w:r>
    </w:p>
    <w:p w14:paraId="57AB8CBA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14:paraId="6B42A691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14:paraId="76FCF133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14:paraId="60BE1A5A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7805CD07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14:paraId="119779AF" w14:textId="77777777"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14:paraId="7B23F707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C8BA2F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14:paraId="089B739F" w14:textId="77777777"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AF465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14:paraId="352B796A" w14:textId="77777777"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14:paraId="5FDD953F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14:paraId="52B38580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563C1" w14:textId="77777777"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10" w:history="1"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</w:p>
    <w:p w14:paraId="6BA0BE4C" w14:textId="77777777"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B16BF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14:paraId="01887E7D" w14:textId="77777777"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14:paraId="6C693003" w14:textId="77777777"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1F21AC">
        <w:rPr>
          <w:rStyle w:val="af5"/>
          <w:rFonts w:ascii="Times New Roman" w:hAnsi="Times New Roman"/>
          <w:b w:val="0"/>
          <w:sz w:val="24"/>
          <w:szCs w:val="24"/>
        </w:rPr>
        <w:t>Тундрино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14:paraId="1A63E28C" w14:textId="77777777"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14:paraId="04F6D2D4" w14:textId="77777777"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0C02CAD0" w14:textId="77777777"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14:paraId="622B3F17" w14:textId="77777777"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14:paraId="302031AB" w14:textId="77777777"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14:paraId="5E1E3E91" w14:textId="77777777" w:rsidR="00083093" w:rsidRPr="00463E2A" w:rsidRDefault="00083093" w:rsidP="00216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"/>
      <w:r w:rsidRPr="00463E2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1F21AC" w:rsidRPr="00463E2A">
        <w:rPr>
          <w:rFonts w:ascii="Times New Roman" w:eastAsia="Calibri" w:hAnsi="Times New Roman" w:cs="Times New Roman"/>
          <w:sz w:val="24"/>
          <w:szCs w:val="24"/>
        </w:rPr>
        <w:t>Тундрино</w:t>
      </w:r>
      <w:r w:rsidRPr="00463E2A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C55061" w:rsidRPr="0046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>«</w:t>
      </w:r>
      <w:r w:rsidR="00C55061" w:rsidRPr="00463E2A">
        <w:rPr>
          <w:rFonts w:ascii="Times New Roman" w:eastAsia="Calibri" w:hAnsi="Times New Roman" w:cs="Times New Roman"/>
          <w:sz w:val="24"/>
          <w:szCs w:val="24"/>
        </w:rPr>
        <w:t>1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 xml:space="preserve">9» ноября 2013 </w:t>
      </w:r>
      <w:r w:rsidRPr="00463E2A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463E2A" w:rsidRPr="00463E2A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r w:rsidRPr="00463E2A">
        <w:rPr>
          <w:rFonts w:ascii="Times New Roman" w:eastAsia="Calibri" w:hAnsi="Times New Roman" w:cs="Times New Roman"/>
          <w:sz w:val="24"/>
          <w:szCs w:val="24"/>
        </w:rPr>
        <w:t>«</w:t>
      </w:r>
      <w:r w:rsidRPr="00463E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подачи и рассмотрения жалоб на решения и действия (бездействие) администрации сельского поселения </w:t>
      </w:r>
      <w:r w:rsidR="001F21AC" w:rsidRPr="00463E2A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463E2A">
        <w:rPr>
          <w:rFonts w:ascii="Times New Roman" w:hAnsi="Times New Roman" w:cs="Times New Roman"/>
          <w:bCs/>
          <w:sz w:val="24"/>
          <w:szCs w:val="24"/>
        </w:rPr>
        <w:t xml:space="preserve"> и муниципальных служащих администрации сельского поселения </w:t>
      </w:r>
      <w:r w:rsidR="001F21AC" w:rsidRPr="00463E2A">
        <w:rPr>
          <w:rFonts w:ascii="Times New Roman" w:hAnsi="Times New Roman" w:cs="Times New Roman"/>
          <w:bCs/>
          <w:sz w:val="24"/>
          <w:szCs w:val="24"/>
        </w:rPr>
        <w:t>Тундрино</w:t>
      </w:r>
      <w:r w:rsidRPr="00463E2A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9532B86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14:paraId="16B98E45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14:paraId="6793B7B1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14:paraId="28FAFE35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14:paraId="3FF7093A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14:paraId="0329C4F9" w14:textId="77777777"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14:paraId="74764232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7D66BC7" w14:textId="77777777"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14:paraId="77F1AC8C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14:paraId="0D756F6C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14:paraId="6D403FC0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14:paraId="54DA8775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проживающего по </w:t>
      </w:r>
      <w:r w:rsidR="001F21AC" w:rsidRPr="0019608A">
        <w:rPr>
          <w:rFonts w:ascii="Times New Roman" w:hAnsi="Times New Roman"/>
          <w:sz w:val="24"/>
          <w:szCs w:val="24"/>
        </w:rPr>
        <w:t>адресу:</w:t>
      </w:r>
      <w:r w:rsidR="001F21AC" w:rsidRPr="0019608A">
        <w:rPr>
          <w:rFonts w:ascii="Times New Roman" w:hAnsi="Times New Roman"/>
          <w:i/>
          <w:sz w:val="24"/>
          <w:szCs w:val="24"/>
        </w:rPr>
        <w:t xml:space="preserve"> _</w:t>
      </w:r>
      <w:r w:rsidRPr="0019608A">
        <w:rPr>
          <w:rFonts w:ascii="Times New Roman" w:hAnsi="Times New Roman"/>
          <w:i/>
          <w:sz w:val="24"/>
          <w:szCs w:val="24"/>
        </w:rPr>
        <w:t>__________________</w:t>
      </w:r>
    </w:p>
    <w:p w14:paraId="5E8B841F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14:paraId="29587354" w14:textId="77777777"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14:paraId="414D1DBB" w14:textId="77777777"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7A5BF6" w14:textId="77777777"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26BBB7" w14:textId="77777777"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14:paraId="6BFC4307" w14:textId="77777777"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464CB" w14:textId="77777777"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адресу:___________________________________________,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14:paraId="08BBA654" w14:textId="77777777"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1E88B2E" w14:textId="77777777"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30330F" w14:textId="77777777"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23AE00" w14:textId="77777777"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7110A" w14:textId="77777777"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14:paraId="45B57AB5" w14:textId="77777777"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14:paraId="5E3155EE" w14:textId="77777777"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14:paraId="25BA860C" w14:textId="77777777"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FB53420" w14:textId="77777777"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14:paraId="659DB18C" w14:textId="77777777"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DB146DC" w14:textId="77777777"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4F8618E" w14:textId="77777777"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14:paraId="07C35357" w14:textId="77777777"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14:paraId="6B60E068" w14:textId="77777777" w:rsidR="0025297D" w:rsidRPr="0019608A" w:rsidRDefault="0025297D">
      <w:pPr>
        <w:rPr>
          <w:sz w:val="24"/>
          <w:szCs w:val="24"/>
        </w:rPr>
      </w:pPr>
    </w:p>
    <w:p w14:paraId="7E8DF1A2" w14:textId="77777777" w:rsidR="00083093" w:rsidRDefault="00083093"/>
    <w:p w14:paraId="267BDDCC" w14:textId="77777777" w:rsidR="00083093" w:rsidRDefault="00083093"/>
    <w:p w14:paraId="78F89E04" w14:textId="77777777" w:rsidR="00083093" w:rsidRDefault="00083093"/>
    <w:p w14:paraId="74D30785" w14:textId="77777777" w:rsidR="00083093" w:rsidRDefault="00083093"/>
    <w:p w14:paraId="5ED4741F" w14:textId="77777777" w:rsidR="00083093" w:rsidRDefault="00083093"/>
    <w:p w14:paraId="1777BE61" w14:textId="77777777" w:rsidR="00083093" w:rsidRDefault="00083093"/>
    <w:p w14:paraId="67CF3F0A" w14:textId="77777777" w:rsidR="00083093" w:rsidRDefault="00083093"/>
    <w:p w14:paraId="14B25E7E" w14:textId="77777777" w:rsidR="006C1C8E" w:rsidRDefault="006C1C8E"/>
    <w:p w14:paraId="19DFC4EB" w14:textId="77777777" w:rsidR="00BA1322" w:rsidRPr="00805993" w:rsidRDefault="002D0C52" w:rsidP="002D0C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BA1322" w:rsidRPr="00805993">
        <w:rPr>
          <w:rFonts w:ascii="Times New Roman" w:hAnsi="Times New Roman"/>
          <w:bCs/>
          <w:sz w:val="20"/>
          <w:szCs w:val="20"/>
        </w:rPr>
        <w:t>Приложение</w:t>
      </w:r>
      <w:r w:rsidR="00BA1322">
        <w:rPr>
          <w:rFonts w:ascii="Times New Roman" w:hAnsi="Times New Roman"/>
          <w:bCs/>
          <w:sz w:val="20"/>
          <w:szCs w:val="20"/>
        </w:rPr>
        <w:t xml:space="preserve"> 2</w:t>
      </w:r>
    </w:p>
    <w:p w14:paraId="3892273D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14:paraId="59F82E05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14:paraId="210A4E02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14:paraId="235F748D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14:paraId="20070630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14:paraId="4885256C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 xml:space="preserve">от ________________ </w:t>
      </w:r>
      <w:r w:rsidR="001F21AC">
        <w:rPr>
          <w:color w:val="000000"/>
        </w:rPr>
        <w:t>№</w:t>
      </w:r>
      <w:r w:rsidRPr="0019608A">
        <w:rPr>
          <w:color w:val="000000"/>
        </w:rPr>
        <w:t xml:space="preserve"> ___________</w:t>
      </w:r>
    </w:p>
    <w:p w14:paraId="36F96CBD" w14:textId="77777777"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14:paraId="19CD5399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50CCC40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14:paraId="7FE0530B" w14:textId="77777777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14:paraId="0704B1E2" w14:textId="77777777"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14:paraId="5A28DDA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14:paraId="6CCD26F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14:paraId="155D9C6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14:paraId="4345722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5A3858F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3EB9FB09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797AFC47" w14:textId="77777777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BDED7D6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F0B1CEA" w14:textId="77777777"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3860ED4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29663A38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E2D20EE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455557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8BC1AE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3601E7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97E082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0BDE90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0037C2DA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1D42C37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3B12AD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EC4A94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99E2330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2B8DCF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901416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0923AE4C" w14:textId="77777777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63AC6E9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14:paraId="47EDCECF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36066AA7" w14:textId="77777777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8E25DF2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F3AD990" w14:textId="77777777"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B9628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6EE6C565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F3661C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451283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87FBC0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75D961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C549F2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56A024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11A44406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62F9ED7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BED6E5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AF612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92E71E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5D38960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F49EA09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1E467D80" w14:textId="77777777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5D24B1B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14:paraId="4F983C19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5BFB9866" w14:textId="77777777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14958FE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5E7B24F" w14:textId="77777777"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B056B7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5116C76A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E126CC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3E4D5F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CF0D78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E89CA89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72BB7E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3B9D8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64799DD6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1ED0E16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42675E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48440E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0BB1A97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4F7D49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2A2A3F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39570FD0" w14:textId="77777777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8A909DD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14:paraId="77EC251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46C676F1" w14:textId="77777777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C06642B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C3DBC01" w14:textId="77777777"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62724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50A9FF17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6CDC60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F32E98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F3520CE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4384CF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EE4AB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6B45EE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265FBFB6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4ABE528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182F42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7DDD7C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4ABFC7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501D8F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2EC82B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3411D8BE" w14:textId="77777777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24A6E0D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14:paraId="3C6CC6C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512C7714" w14:textId="77777777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BB4C9D1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1AF13C4" w14:textId="77777777"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9632E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2FC64844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1E110F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25466EA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AFCE5A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3038F9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AA9403E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A126C00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17EF3A7F" w14:textId="77777777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4CF33BD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C00CE1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5EF794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F0BD3A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3C2D4F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4706C1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A3DE19" w14:textId="77777777" w:rsidR="00083093" w:rsidRPr="0019608A" w:rsidRDefault="00083093" w:rsidP="0050757F">
      <w:pPr>
        <w:pStyle w:val="formattext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55"/>
        <w:gridCol w:w="2858"/>
        <w:gridCol w:w="355"/>
        <w:gridCol w:w="3079"/>
      </w:tblGrid>
      <w:tr w:rsidR="00083093" w:rsidRPr="0019608A" w14:paraId="3E47CEB5" w14:textId="77777777" w:rsidTr="0019608A">
        <w:trPr>
          <w:trHeight w:val="15"/>
        </w:trPr>
        <w:tc>
          <w:tcPr>
            <w:tcW w:w="3276" w:type="dxa"/>
            <w:vAlign w:val="center"/>
            <w:hideMark/>
          </w:tcPr>
          <w:p w14:paraId="5C8C354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14:paraId="09E3E61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14:paraId="06FED447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14:paraId="79226C0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14:paraId="38981AC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7717F5D7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3D1D91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482DB78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B2A4B5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098D35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1EFC9A7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5F2403D0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D3F21B4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9FCE61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614936A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E68422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0BE49DA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14:paraId="3972064E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3B337AE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D6BBE0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96574F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4444B6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B0E2A1B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765BC2B8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668B686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A2F2AD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E8C479C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6A4180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03A4452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14:paraId="174D83E7" w14:textId="77777777" w:rsidTr="0019608A">
        <w:trPr>
          <w:trHeight w:val="15"/>
        </w:trPr>
        <w:tc>
          <w:tcPr>
            <w:tcW w:w="3276" w:type="dxa"/>
            <w:vAlign w:val="center"/>
            <w:hideMark/>
          </w:tcPr>
          <w:p w14:paraId="394A113E" w14:textId="77777777"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844FDD" w14:textId="77777777"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F8B10C" w14:textId="77777777"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6ACD214" w14:textId="77777777" w:rsidR="0050757F" w:rsidRDefault="0050757F" w:rsidP="001960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F04365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14:paraId="0FA6533F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14:paraId="7AD45A0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14:paraId="3F8F671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14:paraId="7B73749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4779C5ED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3C9F8E2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65D9FE9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0CC9520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3819A2F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E04C155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6CD2008F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5AAEC3E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935C38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E9A7340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6441EFD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E65A75B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14:paraId="2C5493FD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F6C581F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A7D85F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C881884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C2128A3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F20E741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17FA5684" w14:textId="77777777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3BE0FA0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D6A483C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1622135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CA0A806" w14:textId="77777777"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A5AC9BE" w14:textId="77777777"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79D5CD48" w14:textId="77777777"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14:paraId="1A31405D" w14:textId="77777777"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E7EF757" w14:textId="77777777"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7E3B05B" w14:textId="77777777"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4F14E54" w14:textId="77777777"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856B9FF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22A1813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3EA395E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BA781EC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430231D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5BFC410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8D159F3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274ABB4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0EBC593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0076030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601C55E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0CFD55E8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DD565F1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EB4C563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8054419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2D126AD2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698B7CE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BD0388C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E161D1E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167BB99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394C329" w14:textId="77777777"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4D0FC8EC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19BD515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24A6E2F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C71B5BF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15654D4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8011DE9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DE545C4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FB24D0B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1642547F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9B05A24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D7ECDED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4AED571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23F0973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75A3980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B5CAA3B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CFB8542" w14:textId="77777777" w:rsid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4833F723" w14:textId="77777777" w:rsidR="00BA1322" w:rsidRPr="002D0C52" w:rsidRDefault="002D0C52" w:rsidP="001F21A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BA1322" w:rsidRPr="00805993">
        <w:rPr>
          <w:rFonts w:ascii="Times New Roman" w:hAnsi="Times New Roman"/>
          <w:bCs/>
          <w:sz w:val="20"/>
          <w:szCs w:val="20"/>
        </w:rPr>
        <w:t>Приложение</w:t>
      </w:r>
      <w:r w:rsidR="00BA1322">
        <w:rPr>
          <w:rFonts w:ascii="Times New Roman" w:hAnsi="Times New Roman"/>
          <w:bCs/>
          <w:sz w:val="20"/>
          <w:szCs w:val="20"/>
        </w:rPr>
        <w:t xml:space="preserve"> 3</w:t>
      </w:r>
    </w:p>
    <w:p w14:paraId="0C9CE278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14:paraId="79A8C685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14:paraId="5AD4CD9B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14:paraId="30E0A5BA" w14:textId="77777777"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14:paraId="3542920F" w14:textId="77777777"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14:paraId="55EA19D9" w14:textId="77777777"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14:paraId="10EE6FDA" w14:textId="77777777"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14:paraId="2645C5C1" w14:textId="77777777" w:rsidR="0019608A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с.п. </w:t>
      </w:r>
      <w:r w:rsidR="00F85C92">
        <w:rPr>
          <w:sz w:val="22"/>
          <w:szCs w:val="22"/>
        </w:rPr>
        <w:t>Тундрино</w:t>
      </w:r>
    </w:p>
    <w:p w14:paraId="5DC0427F" w14:textId="77777777"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3C3E39F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14:paraId="7D000A4C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14:paraId="05980704" w14:textId="77777777"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14:paraId="3451CC3E" w14:textId="77777777"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 xml:space="preserve">утствии заинтересованного </w:t>
      </w:r>
      <w:r w:rsidR="009533CA" w:rsidRPr="0019608A">
        <w:rPr>
          <w:sz w:val="22"/>
          <w:szCs w:val="22"/>
        </w:rPr>
        <w:t>лица: _</w:t>
      </w:r>
      <w:r w:rsidRPr="0019608A">
        <w:rPr>
          <w:sz w:val="22"/>
          <w:szCs w:val="22"/>
        </w:rPr>
        <w:t>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="00BA1322" w:rsidRPr="0019608A">
        <w:rPr>
          <w:sz w:val="22"/>
          <w:szCs w:val="22"/>
        </w:rPr>
        <w:t xml:space="preserve"> </w:t>
      </w:r>
      <w:r w:rsidR="009533CA" w:rsidRPr="0019608A">
        <w:rPr>
          <w:sz w:val="22"/>
          <w:szCs w:val="22"/>
        </w:rPr>
        <w:t xml:space="preserve">  (</w:t>
      </w:r>
      <w:proofErr w:type="gramEnd"/>
      <w:r w:rsidRPr="0019608A">
        <w:rPr>
          <w:sz w:val="22"/>
          <w:szCs w:val="22"/>
        </w:rPr>
        <w:t>фамилия, имя, отчество, должность,</w:t>
      </w:r>
    </w:p>
    <w:p w14:paraId="41152B4F" w14:textId="77777777"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14:paraId="642B45CC" w14:textId="77777777"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14:paraId="6B21839D" w14:textId="77777777"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14:paraId="7FC31C70" w14:textId="77777777"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14:paraId="7B26DF02" w14:textId="77777777"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14:paraId="1D464657" w14:textId="77777777"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C053FC3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14:paraId="606BF29B" w14:textId="77777777"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14:paraId="28470B30" w14:textId="77777777"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14:paraId="4884F2F9" w14:textId="77777777"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14:paraId="2F6A1FB0" w14:textId="77777777" w:rsidR="00083093" w:rsidRPr="0019608A" w:rsidRDefault="0018411B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11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14:paraId="154E65A0" w14:textId="77777777"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55"/>
        <w:gridCol w:w="2863"/>
        <w:gridCol w:w="355"/>
        <w:gridCol w:w="2522"/>
      </w:tblGrid>
      <w:tr w:rsidR="00083093" w:rsidRPr="0019608A" w14:paraId="5D35F7F3" w14:textId="77777777" w:rsidTr="0019608A">
        <w:trPr>
          <w:trHeight w:val="15"/>
        </w:trPr>
        <w:tc>
          <w:tcPr>
            <w:tcW w:w="2992" w:type="dxa"/>
            <w:vAlign w:val="center"/>
            <w:hideMark/>
          </w:tcPr>
          <w:p w14:paraId="7B9D77EC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14:paraId="630E9FE7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14:paraId="431954D5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14:paraId="3DD84925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14:paraId="2D7ADB25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7B8BCB3F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A76197D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FBCC60D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8069B18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078AE4E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0C39DDB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46EF2077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D013748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2B2A7AF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AD7DF4E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69EA18E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EA8A5D8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14:paraId="1938AEBD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EBD5CA1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1977FCE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C0ECA37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E708BA6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EAA602E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0056784A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E943D09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7F65AD7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107920C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A7A82B7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8F594B2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14:paraId="191ED042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05159AC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BE9C419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214C628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202DF19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3359194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14:paraId="4246FE45" w14:textId="77777777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E282042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46A6B3A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1A07573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3C68D79" w14:textId="77777777"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32E4CDA" w14:textId="77777777"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389563F3" w14:textId="77777777" w:rsidR="00083093" w:rsidRDefault="00083093" w:rsidP="00BA1322">
      <w:pPr>
        <w:spacing w:after="0"/>
      </w:pPr>
    </w:p>
    <w:p w14:paraId="562834AC" w14:textId="77777777" w:rsidR="00446D9E" w:rsidRDefault="00446D9E" w:rsidP="00BA1322">
      <w:pPr>
        <w:spacing w:after="0"/>
      </w:pPr>
    </w:p>
    <w:p w14:paraId="5F798AB1" w14:textId="77777777" w:rsidR="00446D9E" w:rsidRDefault="00446D9E" w:rsidP="00BA1322">
      <w:pPr>
        <w:spacing w:after="0"/>
      </w:pPr>
    </w:p>
    <w:p w14:paraId="54CA8AD5" w14:textId="77777777" w:rsidR="00446D9E" w:rsidRDefault="00446D9E" w:rsidP="00BA1322">
      <w:pPr>
        <w:spacing w:after="0"/>
      </w:pPr>
    </w:p>
    <w:p w14:paraId="793CE1BF" w14:textId="77777777" w:rsidR="00446D9E" w:rsidRDefault="00446D9E" w:rsidP="00BA1322">
      <w:pPr>
        <w:spacing w:after="0"/>
      </w:pPr>
    </w:p>
    <w:p w14:paraId="2FAD4A75" w14:textId="4DBBA7B7" w:rsidR="00446D9E" w:rsidRDefault="00446D9E" w:rsidP="00BA1322">
      <w:pPr>
        <w:spacing w:after="0"/>
      </w:pPr>
    </w:p>
    <w:sectPr w:rsidR="00446D9E" w:rsidSect="004458D4">
      <w:headerReference w:type="first" r:id="rId12"/>
      <w:pgSz w:w="11905" w:h="16838"/>
      <w:pgMar w:top="851" w:right="1276" w:bottom="993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28CF" w14:textId="77777777" w:rsidR="0018411B" w:rsidRDefault="0018411B" w:rsidP="003433F1">
      <w:pPr>
        <w:spacing w:after="0" w:line="240" w:lineRule="auto"/>
      </w:pPr>
      <w:r>
        <w:separator/>
      </w:r>
    </w:p>
  </w:endnote>
  <w:endnote w:type="continuationSeparator" w:id="0">
    <w:p w14:paraId="437EA78E" w14:textId="77777777" w:rsidR="0018411B" w:rsidRDefault="0018411B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3DE7" w14:textId="77777777" w:rsidR="0018411B" w:rsidRDefault="0018411B" w:rsidP="003433F1">
      <w:pPr>
        <w:spacing w:after="0" w:line="240" w:lineRule="auto"/>
      </w:pPr>
      <w:r>
        <w:separator/>
      </w:r>
    </w:p>
  </w:footnote>
  <w:footnote w:type="continuationSeparator" w:id="0">
    <w:p w14:paraId="697D9B5E" w14:textId="77777777" w:rsidR="0018411B" w:rsidRDefault="0018411B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CD28" w14:textId="77777777" w:rsidR="0018411B" w:rsidRDefault="0018411B">
    <w:pPr>
      <w:pStyle w:val="a4"/>
      <w:jc w:val="center"/>
    </w:pPr>
  </w:p>
  <w:p w14:paraId="799B42D5" w14:textId="77777777" w:rsidR="0018411B" w:rsidRDefault="001841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1A3CF75E"/>
    <w:lvl w:ilvl="0" w:tplc="4F1A0856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F1"/>
    <w:rsid w:val="00023DF2"/>
    <w:rsid w:val="00032A08"/>
    <w:rsid w:val="00083093"/>
    <w:rsid w:val="00091E18"/>
    <w:rsid w:val="000B5AFE"/>
    <w:rsid w:val="000D181C"/>
    <w:rsid w:val="00127CDC"/>
    <w:rsid w:val="0018411B"/>
    <w:rsid w:val="0019608A"/>
    <w:rsid w:val="001F21AC"/>
    <w:rsid w:val="00216E5E"/>
    <w:rsid w:val="0025297D"/>
    <w:rsid w:val="0028103C"/>
    <w:rsid w:val="002D0C52"/>
    <w:rsid w:val="002E1315"/>
    <w:rsid w:val="002E6BB5"/>
    <w:rsid w:val="0032483B"/>
    <w:rsid w:val="003433F1"/>
    <w:rsid w:val="00371C04"/>
    <w:rsid w:val="0038287A"/>
    <w:rsid w:val="003D0443"/>
    <w:rsid w:val="003F6C7C"/>
    <w:rsid w:val="004458D4"/>
    <w:rsid w:val="00446D9E"/>
    <w:rsid w:val="00454E81"/>
    <w:rsid w:val="00463E2A"/>
    <w:rsid w:val="0048105A"/>
    <w:rsid w:val="004B5E2D"/>
    <w:rsid w:val="0050757F"/>
    <w:rsid w:val="005D76DD"/>
    <w:rsid w:val="00624FAD"/>
    <w:rsid w:val="0066502F"/>
    <w:rsid w:val="00695715"/>
    <w:rsid w:val="006C1C8E"/>
    <w:rsid w:val="00701CC2"/>
    <w:rsid w:val="007039CB"/>
    <w:rsid w:val="00705253"/>
    <w:rsid w:val="007158C7"/>
    <w:rsid w:val="007B7D0E"/>
    <w:rsid w:val="00855896"/>
    <w:rsid w:val="00866356"/>
    <w:rsid w:val="008B43B3"/>
    <w:rsid w:val="009533CA"/>
    <w:rsid w:val="00960068"/>
    <w:rsid w:val="009B1E0F"/>
    <w:rsid w:val="009C6F53"/>
    <w:rsid w:val="009F210C"/>
    <w:rsid w:val="00A16BA3"/>
    <w:rsid w:val="00A7217E"/>
    <w:rsid w:val="00B262B8"/>
    <w:rsid w:val="00BA1322"/>
    <w:rsid w:val="00BC0571"/>
    <w:rsid w:val="00BF5E7B"/>
    <w:rsid w:val="00C00BD7"/>
    <w:rsid w:val="00C30EEC"/>
    <w:rsid w:val="00C43FA4"/>
    <w:rsid w:val="00C55061"/>
    <w:rsid w:val="00CC712E"/>
    <w:rsid w:val="00D1172B"/>
    <w:rsid w:val="00D12AF0"/>
    <w:rsid w:val="00D13920"/>
    <w:rsid w:val="00D274B9"/>
    <w:rsid w:val="00D657D7"/>
    <w:rsid w:val="00DC543A"/>
    <w:rsid w:val="00DD6145"/>
    <w:rsid w:val="00E06439"/>
    <w:rsid w:val="00E2121F"/>
    <w:rsid w:val="00E33896"/>
    <w:rsid w:val="00E40DB1"/>
    <w:rsid w:val="00E62182"/>
    <w:rsid w:val="00F34B86"/>
    <w:rsid w:val="00F36BEB"/>
    <w:rsid w:val="00F85C92"/>
    <w:rsid w:val="00FB0C5B"/>
    <w:rsid w:val="00FB44BC"/>
    <w:rsid w:val="00FC4F72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BC0D3"/>
  <w15:docId w15:val="{49A37288-9C83-44E3-A544-AADBCC8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B26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undrin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F24C-BD47-4FED-A1DF-D4FA4712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9894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Приёмная</cp:lastModifiedBy>
  <cp:revision>34</cp:revision>
  <cp:lastPrinted>2021-04-22T11:44:00Z</cp:lastPrinted>
  <dcterms:created xsi:type="dcterms:W3CDTF">2020-06-08T13:53:00Z</dcterms:created>
  <dcterms:modified xsi:type="dcterms:W3CDTF">2021-04-22T11:45:00Z</dcterms:modified>
</cp:coreProperties>
</file>