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D1" w:rsidRDefault="007564D1" w:rsidP="007564D1">
      <w:pPr>
        <w:pStyle w:val="headertext"/>
        <w:jc w:val="center"/>
      </w:pPr>
      <w:r>
        <w:t xml:space="preserve">СОВЕТ ДЕПУТАТОВ СЕЛЬСКОГО ПОСЕЛЕНИЯ </w:t>
      </w:r>
      <w:r>
        <w:rPr>
          <w:rStyle w:val="match"/>
        </w:rPr>
        <w:t>ТУНДРИНО</w:t>
      </w:r>
      <w:r>
        <w:t xml:space="preserve"> СУРГУТСКОГО РАЙОНА ХАНТЫ-МАНСИЙСКОГО АВТОНОМНОГО ОКРУГА - ЮГРЫ </w:t>
      </w:r>
    </w:p>
    <w:p w:rsidR="007564D1" w:rsidRDefault="007564D1" w:rsidP="007564D1">
      <w:pPr>
        <w:pStyle w:val="headertext"/>
        <w:jc w:val="center"/>
      </w:pPr>
      <w:r>
        <w:t xml:space="preserve">РЕШЕНИЕ </w:t>
      </w:r>
    </w:p>
    <w:p w:rsidR="007564D1" w:rsidRDefault="007564D1" w:rsidP="007564D1">
      <w:pPr>
        <w:pStyle w:val="headertext"/>
        <w:jc w:val="center"/>
      </w:pPr>
      <w:r>
        <w:t xml:space="preserve">от 28 мая 2020 года N 67 </w:t>
      </w:r>
      <w:r>
        <w:br/>
        <w:t> </w:t>
      </w:r>
      <w:bookmarkStart w:id="0" w:name="_GoBack"/>
      <w:bookmarkEnd w:id="0"/>
    </w:p>
    <w:p w:rsidR="007564D1" w:rsidRDefault="007564D1" w:rsidP="007564D1">
      <w:pPr>
        <w:pStyle w:val="headertext"/>
        <w:jc w:val="center"/>
      </w:pPr>
      <w:r>
        <w:t xml:space="preserve">О земельном налоге </w:t>
      </w:r>
    </w:p>
    <w:p w:rsidR="007564D1" w:rsidRDefault="007564D1" w:rsidP="007564D1">
      <w:pPr>
        <w:pStyle w:val="formattext"/>
        <w:jc w:val="center"/>
      </w:pPr>
      <w:r>
        <w:t xml:space="preserve">(С изменениями, внесенными решением Совета депутатов </w:t>
      </w:r>
      <w:hyperlink r:id="rId4" w:history="1">
        <w:r>
          <w:rPr>
            <w:rStyle w:val="a3"/>
          </w:rPr>
          <w:t>от 25.01.2021 N 101</w:t>
        </w:r>
      </w:hyperlink>
      <w:r>
        <w:t xml:space="preserve">) </w:t>
      </w:r>
    </w:p>
    <w:p w:rsidR="007564D1" w:rsidRDefault="007564D1" w:rsidP="007564D1">
      <w:pPr>
        <w:pStyle w:val="formattext"/>
        <w:jc w:val="center"/>
      </w:pP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В соответствии с </w:t>
      </w:r>
      <w:hyperlink r:id="rId5" w:history="1">
        <w:r>
          <w:rPr>
            <w:rStyle w:val="a3"/>
          </w:rPr>
          <w:t>главой 31 Налогового кодекса Российской Федерации</w:t>
        </w:r>
      </w:hyperlink>
      <w:r>
        <w:t xml:space="preserve">, </w:t>
      </w:r>
      <w:hyperlink r:id="rId6" w:history="1">
        <w:r>
          <w:rPr>
            <w:rStyle w:val="a3"/>
          </w:rPr>
          <w:t>Земельным кодексом Российской Федерации</w:t>
        </w:r>
      </w:hyperlink>
      <w:r>
        <w:t xml:space="preserve"> Совет депутатов сельского поселения </w:t>
      </w:r>
      <w:r>
        <w:rPr>
          <w:rStyle w:val="match"/>
        </w:rPr>
        <w:t>Тундрино</w:t>
      </w:r>
      <w:r>
        <w:t xml:space="preserve"> решил: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1. Установить и ввести в действие на территории сельского поселения </w:t>
      </w:r>
      <w:r>
        <w:rPr>
          <w:rStyle w:val="match"/>
        </w:rPr>
        <w:t>Тундрино</w:t>
      </w:r>
      <w:r>
        <w:t xml:space="preserve"> земельный налог.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2.Утвердить на территории сельского поселения </w:t>
      </w:r>
      <w:r>
        <w:rPr>
          <w:rStyle w:val="match"/>
        </w:rPr>
        <w:t>Тундрино</w:t>
      </w:r>
      <w:r>
        <w:t xml:space="preserve"> следующие налоговые ставки: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2.1. 0,3 процента в отношении земельных участков: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history="1">
        <w:r>
          <w:rPr>
            <w:rStyle w:val="a3"/>
          </w:rPr>
  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2.2. 1,5 процента в отношении прочих земельных участков.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3. Установить, что налогоплательщики - организации уплачивают налог четырьмя равными долями: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lastRenderedPageBreak/>
        <w:t>- авансовые платежи по истечении отчетных периодов;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- налог, определяемый как разница между суммой налога исчисленного и суммами авансовых платежей.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4. Освободить от уплаты налога в размере 100%: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1) организации-в отношении земельных участков предоставленных для оказания услуг в сфере, образования, культуры и спорта, молодежной политики и социальной политики;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2) органы местного самоуправления сельского поселения </w:t>
      </w:r>
      <w:r>
        <w:rPr>
          <w:rStyle w:val="match"/>
        </w:rPr>
        <w:t>Тундрино</w:t>
      </w:r>
      <w:r>
        <w:t>-в отношении земельных участков, используемых ими для непосредственного выполнения возложенных на них функций;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3) организации, осуществляющие организацию строительства, капитальный ремонт и реконструкцию объектов капитального строительства, финансируемых за счет средств бюджета </w:t>
      </w:r>
      <w:proofErr w:type="spellStart"/>
      <w:r>
        <w:t>Сургутского</w:t>
      </w:r>
      <w:proofErr w:type="spellEnd"/>
      <w:r>
        <w:t xml:space="preserve"> района и (или) бюджета сельского поселения </w:t>
      </w:r>
      <w:r>
        <w:rPr>
          <w:rStyle w:val="match"/>
        </w:rPr>
        <w:t>Тундрино</w:t>
      </w:r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4) ветеранов и инвалидов Великой Отечественной войны;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5) организации, зарегистрированные на территории сельского поселения </w:t>
      </w:r>
      <w:r>
        <w:rPr>
          <w:rStyle w:val="match"/>
        </w:rPr>
        <w:t>Тундрино</w:t>
      </w:r>
      <w:r>
        <w:t xml:space="preserve"> после 1 января 2019 года, в отношении земельных участков, подлежащих налогообложению по налоговой ставке, установленной подпунктом 2.2 пункта 2 настоящего решения.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Налоговая льгота по уплате земельного налога предоставляется при условии исчисленного и уплаченного в бюджет сельского поселения </w:t>
      </w:r>
      <w:r>
        <w:rPr>
          <w:rStyle w:val="match"/>
        </w:rPr>
        <w:t>Тундрино</w:t>
      </w:r>
      <w:r>
        <w:t xml:space="preserve"> налоговым агентом налога на доходы физических лиц за налоговый период в сумме не менее 2,0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Размер налоговой льготы не может превышать 20 % от суммы исчисленного и уплаченного в бюджет сельского поселения </w:t>
      </w:r>
      <w:r>
        <w:rPr>
          <w:rStyle w:val="match"/>
        </w:rPr>
        <w:t>Тундрино</w:t>
      </w:r>
      <w:r>
        <w:t xml:space="preserve"> налоговым агентом налога на доходы физических лиц за соответствующий налоговый период.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Налоговая льгота предоставляется за три налоговых периода после регистрации организации на территории сельского поселения </w:t>
      </w:r>
      <w:r>
        <w:rPr>
          <w:rStyle w:val="match"/>
        </w:rPr>
        <w:t>Тундрино</w:t>
      </w:r>
      <w:r>
        <w:t>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Налоговая льгота по уплате земельного налога предоставляется в отношении только одного земельного участка.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4.1. Освободить от уплаты налога в размере 50% физических лиц в отношении земельных участков, не используемых ими в предпринимательской деятельности: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(Абзац 1 пункта 4 изложен в новой редакции решением Совета депутатов </w:t>
      </w:r>
      <w:hyperlink r:id="rId8" w:history="1">
        <w:r>
          <w:rPr>
            <w:rStyle w:val="a3"/>
          </w:rPr>
          <w:t>от 25.01.2021 N 101</w:t>
        </w:r>
      </w:hyperlink>
      <w:r>
        <w:t>)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1) относящихся к категориям граждан, приравненным к ветеранам Великой Отечественной войны, а также ветеранов и инвалидов боевых действий;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lastRenderedPageBreak/>
        <w:t>2) инвалидов;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3) участников локальных войн;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4) многодетные семьи;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5) семьи, потерявшие кормильца;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6) Ветеранов труда;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7) реабилитированных лиц.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Льготы по уплате земельного налога, установленные настоящим пунктом, предоставляются в отношении только одного земельного участка.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4.2. Освободить от уплаты налога в размере 50%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4.3. Освободить от уплаты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 не более трёх лет.</w:t>
      </w:r>
    </w:p>
    <w:p w:rsidR="007564D1" w:rsidRDefault="007564D1" w:rsidP="007564D1">
      <w:pPr>
        <w:pStyle w:val="formattext"/>
        <w:ind w:firstLine="480"/>
      </w:pPr>
      <w:r>
        <w:t xml:space="preserve">(Пункт 4 дополнен пунктами 4.2, 4.3 решением Совета депутатов </w:t>
      </w:r>
      <w:hyperlink r:id="rId9" w:history="1">
        <w:r>
          <w:rPr>
            <w:rStyle w:val="a3"/>
          </w:rPr>
          <w:t>от 25.01.2021 N 101</w:t>
        </w:r>
      </w:hyperlink>
      <w:r>
        <w:t xml:space="preserve">) </w:t>
      </w:r>
    </w:p>
    <w:p w:rsidR="007564D1" w:rsidRDefault="007564D1" w:rsidP="007564D1">
      <w:pPr>
        <w:pStyle w:val="formattext"/>
      </w:pP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5. Признать утратившим силу решения Совета депутатов сельского поселения </w:t>
      </w:r>
      <w:r>
        <w:rPr>
          <w:rStyle w:val="match"/>
        </w:rPr>
        <w:t>Тундрино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0" w:history="1">
        <w:r>
          <w:rPr>
            <w:rStyle w:val="a3"/>
            <w:color w:val="BF2F1C"/>
          </w:rPr>
          <w:t>от 27 октября 2010 года N 68 "О земельном налоге"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1" w:history="1">
        <w:r>
          <w:rPr>
            <w:rStyle w:val="a3"/>
            <w:color w:val="BF2F1C"/>
          </w:rPr>
          <w:t xml:space="preserve">от 24 ноября 2010 года N 73 "О внесении изменений и дополнения в решение Совета депутатов сельского поселения </w:t>
        </w:r>
        <w:r>
          <w:rPr>
            <w:rStyle w:val="match"/>
            <w:color w:val="BF2F1C"/>
            <w:u w:val="single"/>
          </w:rPr>
          <w:t>Тундрино</w:t>
        </w:r>
        <w:r>
          <w:rPr>
            <w:rStyle w:val="a3"/>
            <w:color w:val="BF2F1C"/>
          </w:rPr>
          <w:t xml:space="preserve"> от 27.10.2010 N 68"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2" w:history="1">
        <w:r>
          <w:rPr>
            <w:rStyle w:val="a3"/>
            <w:color w:val="BF2F1C"/>
          </w:rPr>
          <w:t xml:space="preserve">от 8 ноября 2011 года N 99 "О внесении изменений в решение Совета депутатов сельского поселения </w:t>
        </w:r>
        <w:r>
          <w:rPr>
            <w:rStyle w:val="match"/>
            <w:color w:val="BF2F1C"/>
            <w:u w:val="single"/>
          </w:rPr>
          <w:t>Тундрино</w:t>
        </w:r>
        <w:r>
          <w:rPr>
            <w:rStyle w:val="a3"/>
            <w:color w:val="BF2F1C"/>
          </w:rPr>
          <w:t xml:space="preserve"> от 27.10.2010 N 68 "О земельном налоге"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3" w:history="1">
        <w:r>
          <w:rPr>
            <w:rStyle w:val="a3"/>
            <w:color w:val="BF2F1C"/>
          </w:rPr>
          <w:t xml:space="preserve">от 16 мая 2012 года N 118 "О внесении изменений в решение Совета депутатов сельского поселения </w:t>
        </w:r>
        <w:r>
          <w:rPr>
            <w:rStyle w:val="match"/>
            <w:color w:val="BF2F1C"/>
            <w:u w:val="single"/>
          </w:rPr>
          <w:t>Тундрино</w:t>
        </w:r>
        <w:r>
          <w:rPr>
            <w:rStyle w:val="a3"/>
            <w:color w:val="BF2F1C"/>
          </w:rPr>
          <w:t xml:space="preserve"> от 27.10.2010 N 68 "О земельном налоге"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4" w:history="1">
        <w:r>
          <w:rPr>
            <w:rStyle w:val="a3"/>
            <w:color w:val="BF2F1C"/>
          </w:rPr>
          <w:t xml:space="preserve">от 19 ноября 2014 года N 32 "О внесении изменений и дополнения в решение Совета депутатов сельского поселения </w:t>
        </w:r>
        <w:r>
          <w:rPr>
            <w:rStyle w:val="match"/>
            <w:color w:val="BF2F1C"/>
            <w:u w:val="single"/>
          </w:rPr>
          <w:t>Тундрино</w:t>
        </w:r>
        <w:r>
          <w:rPr>
            <w:rStyle w:val="a3"/>
            <w:color w:val="BF2F1C"/>
          </w:rPr>
          <w:t xml:space="preserve"> от 27.10.2010 N 68 "О земельном налоге"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5" w:history="1">
        <w:r>
          <w:rPr>
            <w:rStyle w:val="a3"/>
            <w:color w:val="BF2F1C"/>
          </w:rPr>
          <w:t xml:space="preserve">от 27 марта 2015 года N 52 "О внесении изменений и дополнений в решение Совета депутатов сельского поселения </w:t>
        </w:r>
        <w:r>
          <w:rPr>
            <w:rStyle w:val="match"/>
            <w:color w:val="BF2F1C"/>
            <w:u w:val="single"/>
          </w:rPr>
          <w:t>Тундрино</w:t>
        </w:r>
        <w:r>
          <w:rPr>
            <w:rStyle w:val="a3"/>
            <w:color w:val="BF2F1C"/>
          </w:rPr>
          <w:t xml:space="preserve"> от 27.10.2010 N 68 "О земельном налоге"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6" w:history="1">
        <w:r>
          <w:rPr>
            <w:rStyle w:val="a3"/>
            <w:color w:val="BF2F1C"/>
          </w:rPr>
          <w:t xml:space="preserve">от 16 февраля 2016 года N 79 "О внесении изменений в решение Совета депутатов сельского поселения </w:t>
        </w:r>
        <w:r>
          <w:rPr>
            <w:rStyle w:val="match"/>
            <w:color w:val="BF2F1C"/>
            <w:u w:val="single"/>
          </w:rPr>
          <w:t>Тундрино</w:t>
        </w:r>
        <w:r>
          <w:rPr>
            <w:rStyle w:val="a3"/>
            <w:color w:val="BF2F1C"/>
          </w:rPr>
          <w:t xml:space="preserve"> от 27.10.2010 N 68 "О земельном налоге"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7" w:history="1">
        <w:r>
          <w:rPr>
            <w:rStyle w:val="a3"/>
            <w:color w:val="BF2F1C"/>
          </w:rPr>
          <w:t xml:space="preserve">от 27 декабря 2018 года N 17 "О внесении изменений в решение Совета депутатов сельского поселения </w:t>
        </w:r>
        <w:r>
          <w:rPr>
            <w:rStyle w:val="match"/>
            <w:color w:val="BF2F1C"/>
            <w:u w:val="single"/>
          </w:rPr>
          <w:t>Тундрино</w:t>
        </w:r>
        <w:r>
          <w:rPr>
            <w:rStyle w:val="a3"/>
            <w:color w:val="BF2F1C"/>
          </w:rPr>
          <w:t xml:space="preserve"> от 27.10.2010 N 68 "О земельном налоге"</w:t>
        </w:r>
      </w:hyperlink>
      <w:r>
        <w:t>;</w:t>
      </w:r>
    </w:p>
    <w:p w:rsidR="007564D1" w:rsidRDefault="007564D1" w:rsidP="007564D1">
      <w:pPr>
        <w:pStyle w:val="formattext"/>
        <w:spacing w:after="240" w:afterAutospacing="0"/>
        <w:ind w:firstLine="480"/>
      </w:pPr>
      <w:hyperlink r:id="rId18" w:history="1">
        <w:r>
          <w:rPr>
            <w:rStyle w:val="a3"/>
            <w:color w:val="BF2F1C"/>
          </w:rPr>
          <w:t xml:space="preserve">от 15 августа 2019 года N 39 "О внесении изменения в решение Совета депутатов сельского поселения </w:t>
        </w:r>
        <w:r>
          <w:rPr>
            <w:rStyle w:val="match"/>
            <w:color w:val="BF2F1C"/>
            <w:u w:val="single"/>
          </w:rPr>
          <w:t>Тундрино</w:t>
        </w:r>
        <w:r>
          <w:rPr>
            <w:rStyle w:val="a3"/>
            <w:color w:val="BF2F1C"/>
          </w:rPr>
          <w:t xml:space="preserve"> от 27.10.2010 N 68 "О земельном налоге"</w:t>
        </w:r>
      </w:hyperlink>
      <w:r>
        <w:t>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6. Настоящее решение вступает в силу по истечении одного месяца после его официального опубликования (обнародования), и применяется на правоотношения, возникшие с 1 января 2020 года.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>7. Пункт 3 решения вступает в силу с 01 января 2021 года, но не ранее чем по истечении одного месяца со дня официального опубликования настоящего решения.</w:t>
      </w:r>
    </w:p>
    <w:p w:rsidR="007564D1" w:rsidRDefault="007564D1" w:rsidP="007564D1">
      <w:pPr>
        <w:pStyle w:val="formattext"/>
        <w:spacing w:after="240" w:afterAutospacing="0"/>
        <w:ind w:firstLine="480"/>
      </w:pPr>
      <w:r>
        <w:t xml:space="preserve">8. Контроль за выполнением решения возложить на главу сельского поселения </w:t>
      </w:r>
      <w:r>
        <w:rPr>
          <w:rStyle w:val="match"/>
        </w:rPr>
        <w:t>Тундрино</w:t>
      </w:r>
      <w:r>
        <w:t>.</w:t>
      </w:r>
    </w:p>
    <w:p w:rsidR="007564D1" w:rsidRDefault="007564D1" w:rsidP="007564D1">
      <w:pPr>
        <w:pStyle w:val="formattext"/>
        <w:jc w:val="right"/>
      </w:pPr>
      <w:r>
        <w:br/>
        <w:t xml:space="preserve">     Глава сельского поселения </w:t>
      </w:r>
      <w:r>
        <w:rPr>
          <w:rStyle w:val="match"/>
        </w:rPr>
        <w:t>Тундрино</w:t>
      </w:r>
      <w:r>
        <w:br/>
        <w:t>В.В. Самсонов</w:t>
      </w:r>
    </w:p>
    <w:p w:rsidR="00C955CB" w:rsidRDefault="007564D1"/>
    <w:sectPr w:rsidR="00C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D"/>
    <w:rsid w:val="007564D1"/>
    <w:rsid w:val="00C003BE"/>
    <w:rsid w:val="00C30982"/>
    <w:rsid w:val="00C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D736-B2B1-4127-A9CF-3BB6AFD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564D1"/>
  </w:style>
  <w:style w:type="paragraph" w:customStyle="1" w:styleId="formattext">
    <w:name w:val="formattext"/>
    <w:basedOn w:val="a"/>
    <w:rsid w:val="007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6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8265404&amp;prevdoc=570813375" TargetMode="External"/><Relationship Id="rId13" Type="http://schemas.openxmlformats.org/officeDocument/2006/relationships/hyperlink" Target="kodeks://link/d?nd=432241686&amp;prevdoc=570813375" TargetMode="External"/><Relationship Id="rId18" Type="http://schemas.openxmlformats.org/officeDocument/2006/relationships/hyperlink" Target="kodeks://link/d?nd=561509783&amp;prevdoc=570813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436753181&amp;prevdoc=570813375" TargetMode="External"/><Relationship Id="rId12" Type="http://schemas.openxmlformats.org/officeDocument/2006/relationships/hyperlink" Target="kodeks://link/d?nd=446459941&amp;prevdoc=570813375" TargetMode="External"/><Relationship Id="rId17" Type="http://schemas.openxmlformats.org/officeDocument/2006/relationships/hyperlink" Target="kodeks://link/d?nd=561509783&amp;prevdoc=570813375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561509783&amp;prevdoc=5708133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744100004&amp;prevdoc=570813375" TargetMode="External"/><Relationship Id="rId11" Type="http://schemas.openxmlformats.org/officeDocument/2006/relationships/hyperlink" Target="kodeks://link/d?nd=446459949&amp;prevdoc=570813375" TargetMode="External"/><Relationship Id="rId5" Type="http://schemas.openxmlformats.org/officeDocument/2006/relationships/hyperlink" Target="kodeks://link/d?nd=901765862&amp;prevdoc=570813375&amp;point=mark=00000000000000000000000000000000000000000000000000BT20PI" TargetMode="External"/><Relationship Id="rId15" Type="http://schemas.openxmlformats.org/officeDocument/2006/relationships/hyperlink" Target="kodeks://link/d?nd=561509783&amp;prevdoc=570813375" TargetMode="External"/><Relationship Id="rId10" Type="http://schemas.openxmlformats.org/officeDocument/2006/relationships/hyperlink" Target="kodeks://link/d?nd=561509783&amp;prevdoc=570813375" TargetMode="External"/><Relationship Id="rId19" Type="http://schemas.openxmlformats.org/officeDocument/2006/relationships/fontTable" Target="fontTable.xml"/><Relationship Id="rId4" Type="http://schemas.openxmlformats.org/officeDocument/2006/relationships/hyperlink" Target="kodeks://link/d?nd=568265404&amp;prevdoc=570813375" TargetMode="External"/><Relationship Id="rId9" Type="http://schemas.openxmlformats.org/officeDocument/2006/relationships/hyperlink" Target="kodeks://link/d?nd=568265404&amp;prevdoc=570813375" TargetMode="External"/><Relationship Id="rId14" Type="http://schemas.openxmlformats.org/officeDocument/2006/relationships/hyperlink" Target="kodeks://link/d?nd=412905247&amp;prevdoc=570813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2021-06-01T07:42:00Z</dcterms:created>
  <dcterms:modified xsi:type="dcterms:W3CDTF">2021-06-01T07:43:00Z</dcterms:modified>
</cp:coreProperties>
</file>