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9C" w:rsidRDefault="00F4019C" w:rsidP="00F4019C">
      <w:pPr>
        <w:ind w:firstLine="567"/>
        <w:jc w:val="center"/>
        <w:outlineLvl w:val="0"/>
        <w:rPr>
          <w:b/>
          <w:spacing w:val="20"/>
          <w:position w:val="-38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0D" w:rsidRDefault="00F4019C" w:rsidP="00F4019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F4019C">
        <w:rPr>
          <w:b/>
          <w:sz w:val="28"/>
          <w:szCs w:val="28"/>
        </w:rPr>
        <w:t>СЕЛЬСКИЙ СОВЕТ</w:t>
      </w:r>
    </w:p>
    <w:p w:rsidR="00F4019C" w:rsidRPr="00F4019C" w:rsidRDefault="00F4019C" w:rsidP="00F4019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F4019C">
        <w:rPr>
          <w:b/>
          <w:sz w:val="28"/>
          <w:szCs w:val="28"/>
        </w:rPr>
        <w:t xml:space="preserve"> НАХРАТОВСКОГО СЕЛЬСОВЕТА</w:t>
      </w:r>
    </w:p>
    <w:p w:rsidR="00F4019C" w:rsidRPr="00F4019C" w:rsidRDefault="00F4019C" w:rsidP="00F4019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F4019C">
        <w:rPr>
          <w:b/>
          <w:sz w:val="28"/>
          <w:szCs w:val="28"/>
        </w:rPr>
        <w:t>ВОСКРЕСЕНСКОГО МУНИЦИПАЛЬНОГО РАЙОНА</w:t>
      </w:r>
    </w:p>
    <w:p w:rsidR="00F4019C" w:rsidRDefault="00F4019C" w:rsidP="00F4019C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  <w:r w:rsidRPr="00F4019C">
        <w:rPr>
          <w:b/>
          <w:sz w:val="28"/>
          <w:szCs w:val="28"/>
        </w:rPr>
        <w:t xml:space="preserve"> НИЖЕГОРОДСКОЙ ОБЛАСТИ</w:t>
      </w:r>
    </w:p>
    <w:p w:rsidR="00F4019C" w:rsidRDefault="00F4019C" w:rsidP="00F4019C">
      <w:pPr>
        <w:ind w:firstLine="567"/>
        <w:jc w:val="center"/>
        <w:outlineLvl w:val="0"/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28"/>
        </w:rPr>
        <w:t xml:space="preserve">Р Е Ш Е Н И Е </w:t>
      </w:r>
    </w:p>
    <w:p w:rsidR="00F4019C" w:rsidRDefault="00F4019C" w:rsidP="00F4019C">
      <w:pPr>
        <w:ind w:firstLine="567"/>
        <w:rPr>
          <w:b/>
        </w:rPr>
      </w:pPr>
    </w:p>
    <w:p w:rsidR="00F4019C" w:rsidRDefault="00F4019C" w:rsidP="008B3D02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D630D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2017 года№10</w:t>
      </w:r>
      <w:r w:rsidR="008B3D02">
        <w:rPr>
          <w:sz w:val="28"/>
          <w:szCs w:val="28"/>
        </w:rPr>
        <w:tab/>
        <w:t>№10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F4019C" w:rsidTr="00F4019C">
        <w:trPr>
          <w:cantSplit/>
        </w:trPr>
        <w:tc>
          <w:tcPr>
            <w:tcW w:w="9664" w:type="dxa"/>
            <w:hideMark/>
          </w:tcPr>
          <w:p w:rsidR="003F695E" w:rsidRDefault="00F4019C" w:rsidP="003F695E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3F695E">
              <w:rPr>
                <w:b/>
                <w:bCs/>
                <w:sz w:val="28"/>
                <w:szCs w:val="28"/>
              </w:rPr>
              <w:t>б утверждении</w:t>
            </w:r>
            <w:r>
              <w:rPr>
                <w:b/>
                <w:bCs/>
                <w:sz w:val="28"/>
                <w:szCs w:val="28"/>
              </w:rPr>
              <w:t xml:space="preserve"> отчета «Об исполнении бюджета </w:t>
            </w:r>
          </w:p>
          <w:p w:rsidR="00F4019C" w:rsidRDefault="00F4019C" w:rsidP="003F695E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Нахратовского сельсовета за</w:t>
            </w:r>
            <w:r w:rsidR="008B3D0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2016 год»</w:t>
            </w:r>
          </w:p>
        </w:tc>
      </w:tr>
    </w:tbl>
    <w:p w:rsidR="00F4019C" w:rsidRDefault="00F4019C" w:rsidP="00F4019C">
      <w:pPr>
        <w:spacing w:line="240" w:lineRule="atLeast"/>
        <w:ind w:firstLine="567"/>
        <w:rPr>
          <w:sz w:val="28"/>
          <w:szCs w:val="28"/>
        </w:rPr>
      </w:pPr>
    </w:p>
    <w:p w:rsidR="00F4019C" w:rsidRDefault="00F4019C" w:rsidP="00F401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Нахратовском сельсовете, рассмотрев представленный администрацией Нахратовского сельсовета отчет об исполнении бюджета Нахратовского сельсовета за 2016 год, администрация Нахратовского сельсовета отмечает, что за 2016 года план по доходам бюджета администрации составляет</w:t>
      </w:r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6738189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 23 копейки.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12 месяцев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 налоговых и неналоговых доходов в сумме 7270332 рубля 96 копеек. 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 за 12 месяцев 2016 года: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</w:t>
      </w:r>
      <w:r w:rsidR="008B3D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75887,79 руб.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Единый с/х налог</w:t>
      </w:r>
      <w:r w:rsidR="008B3D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126,50</w:t>
      </w:r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Налог на имущество</w:t>
      </w:r>
      <w:r w:rsidR="008B3D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53281,29 руб.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  <w:r w:rsidR="008B3D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383788,35 руб.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Гос. пошлина</w:t>
      </w:r>
      <w:r w:rsidR="008B3D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2150,00 руб.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-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6800,00 руб.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Акцизы от нефтепродуктов</w:t>
      </w:r>
      <w:r w:rsidR="008B3D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2100559,80 руб.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выравнивание бюджет.обеспеченности –</w:t>
      </w:r>
      <w:r w:rsidR="008B3D02">
        <w:rPr>
          <w:sz w:val="28"/>
          <w:szCs w:val="28"/>
        </w:rPr>
        <w:t xml:space="preserve">     </w:t>
      </w:r>
      <w:r>
        <w:rPr>
          <w:sz w:val="28"/>
          <w:szCs w:val="28"/>
        </w:rPr>
        <w:t>2280588,00 руб.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Субвенции по ВУС</w:t>
      </w:r>
      <w:r w:rsidR="008B3D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81260,00 руб.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бюджетам поселений для компенсации доп.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расходов, возникших в результате решений, 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принятых органами власти другого уровня 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(Мат.помошь.ремонт мостов,опашка )</w:t>
      </w:r>
      <w:r w:rsidR="008B3D02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</w:t>
      </w:r>
      <w:r>
        <w:rPr>
          <w:sz w:val="28"/>
          <w:szCs w:val="28"/>
        </w:rPr>
        <w:t>162226,00 руб.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 -</w:t>
      </w:r>
      <w:r w:rsidR="008B3D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2129343,23 руб.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Прочие</w:t>
      </w:r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(спонсорские и население)</w:t>
      </w:r>
      <w:r w:rsidR="008B3D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94322,00 руб.</w:t>
      </w: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</w:p>
    <w:p w:rsidR="00F4019C" w:rsidRDefault="00F4019C" w:rsidP="00F4019C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Нахратовского сельсовета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12 месяцев 2016 году </w:t>
      </w:r>
      <w:r>
        <w:rPr>
          <w:b/>
          <w:sz w:val="28"/>
          <w:szCs w:val="28"/>
        </w:rPr>
        <w:t>составляет –</w:t>
      </w:r>
      <w:r w:rsidR="008B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6767792,23 руб.</w:t>
      </w:r>
    </w:p>
    <w:p w:rsidR="00AD630D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</w:t>
      </w:r>
      <w:r w:rsidR="008B3D02">
        <w:rPr>
          <w:sz w:val="28"/>
          <w:szCs w:val="28"/>
        </w:rPr>
        <w:t xml:space="preserve"> </w:t>
      </w:r>
      <w:r w:rsidR="00AD630D">
        <w:rPr>
          <w:sz w:val="28"/>
          <w:szCs w:val="28"/>
        </w:rPr>
        <w:t xml:space="preserve"> </w:t>
      </w:r>
    </w:p>
    <w:p w:rsidR="00F4019C" w:rsidRDefault="00F4019C" w:rsidP="00F401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следующие статьи расходов:</w:t>
      </w:r>
    </w:p>
    <w:p w:rsidR="00F4019C" w:rsidRDefault="00F4019C" w:rsidP="008B3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–</w:t>
      </w:r>
      <w:r w:rsidR="008B3D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1297192,54 руб.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</w:t>
      </w:r>
      <w:r w:rsidR="008B3D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–</w:t>
      </w:r>
      <w:r w:rsidR="008B3D02">
        <w:rPr>
          <w:sz w:val="28"/>
          <w:szCs w:val="28"/>
        </w:rPr>
        <w:t xml:space="preserve">       </w:t>
      </w:r>
      <w:r>
        <w:rPr>
          <w:sz w:val="28"/>
          <w:szCs w:val="28"/>
        </w:rPr>
        <w:t>81260,00 руб.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3D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1167547,27 руб.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</w:t>
      </w:r>
      <w:r w:rsidR="008B3D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–</w:t>
      </w:r>
      <w:r w:rsidR="008B3D02">
        <w:rPr>
          <w:sz w:val="28"/>
          <w:szCs w:val="28"/>
        </w:rPr>
        <w:t xml:space="preserve">     </w:t>
      </w:r>
      <w:r>
        <w:rPr>
          <w:sz w:val="28"/>
          <w:szCs w:val="28"/>
        </w:rPr>
        <w:t>1643771,00 руб.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т.ч. Зимнее содержание дорог</w:t>
      </w:r>
      <w:r w:rsidR="008B3D02">
        <w:rPr>
          <w:sz w:val="28"/>
          <w:szCs w:val="28"/>
        </w:rPr>
        <w:t xml:space="preserve">      </w:t>
      </w:r>
      <w:r>
        <w:rPr>
          <w:sz w:val="28"/>
          <w:szCs w:val="28"/>
        </w:rPr>
        <w:t>–</w:t>
      </w:r>
      <w:r w:rsidR="008B3D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361794,00 руб. 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вопросы в области 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национальной экономики(мероприятия 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стр-ва, архитектуры и градрстр-ва) -</w:t>
      </w:r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99990,00 руб.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Благоустройство всего –</w:t>
      </w:r>
      <w:r w:rsidR="008B3D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985254,42 руб.:</w:t>
      </w:r>
    </w:p>
    <w:p w:rsidR="00F4019C" w:rsidRDefault="00F4019C" w:rsidP="00AD630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т.ч. Уличное освещение</w:t>
      </w:r>
      <w:r w:rsidR="008B3D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275373,28 руб.</w:t>
      </w:r>
    </w:p>
    <w:p w:rsidR="00F4019C" w:rsidRDefault="00F4019C" w:rsidP="008B3D0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уличного освещения</w:t>
      </w:r>
      <w:bookmarkStart w:id="0" w:name="_GoBack"/>
      <w:r w:rsidR="008B3D02">
        <w:rPr>
          <w:sz w:val="28"/>
          <w:szCs w:val="28"/>
        </w:rPr>
        <w:t xml:space="preserve"> </w:t>
      </w:r>
      <w:bookmarkEnd w:id="0"/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10541,00 руб.</w:t>
      </w:r>
    </w:p>
    <w:p w:rsidR="00F4019C" w:rsidRDefault="00F4019C" w:rsidP="008B3D0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</w:t>
      </w:r>
      <w:r w:rsidR="008B3D02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184528,14 руб.</w:t>
      </w:r>
    </w:p>
    <w:p w:rsidR="00F4019C" w:rsidRDefault="00F4019C" w:rsidP="008B3D0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памятников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2000,00</w:t>
      </w:r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4019C" w:rsidRDefault="00F4019C" w:rsidP="008B3D0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Уборка мусора</w:t>
      </w:r>
      <w:r w:rsidR="008B3D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4900,00 руб.</w:t>
      </w:r>
    </w:p>
    <w:p w:rsidR="00F4019C" w:rsidRDefault="00F4019C" w:rsidP="008B3D0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Спиливание деревьев</w:t>
      </w:r>
      <w:r w:rsidR="008B3D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 </w:t>
      </w:r>
      <w:r>
        <w:rPr>
          <w:sz w:val="28"/>
          <w:szCs w:val="28"/>
        </w:rPr>
        <w:t>36300,00 руб.</w:t>
      </w:r>
    </w:p>
    <w:p w:rsidR="00F4019C" w:rsidRDefault="00F4019C" w:rsidP="00F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контейнерных площадок (</w:t>
      </w:r>
    </w:p>
    <w:p w:rsidR="00F4019C" w:rsidRDefault="00F4019C" w:rsidP="00F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местные инициативы) -</w:t>
      </w:r>
      <w:r w:rsidR="008B3D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471612,00 руб.</w:t>
      </w:r>
    </w:p>
    <w:p w:rsidR="00F4019C" w:rsidRDefault="00F4019C" w:rsidP="00F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 w:rsidR="008B3D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</w:t>
      </w:r>
      <w:r w:rsidR="008B3D02">
        <w:rPr>
          <w:sz w:val="28"/>
          <w:szCs w:val="28"/>
        </w:rPr>
        <w:t xml:space="preserve">        </w:t>
      </w:r>
      <w:r>
        <w:rPr>
          <w:sz w:val="28"/>
          <w:szCs w:val="28"/>
        </w:rPr>
        <w:t>1442885,77 руб.</w:t>
      </w:r>
    </w:p>
    <w:p w:rsidR="00F4019C" w:rsidRDefault="00F4019C" w:rsidP="00F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</w:t>
      </w:r>
      <w:r w:rsidR="008B3D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-</w:t>
      </w:r>
      <w:r w:rsidR="008B3D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22891,23 руб.</w:t>
      </w:r>
    </w:p>
    <w:p w:rsidR="00F4019C" w:rsidRDefault="00F4019C" w:rsidP="00F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населения -</w:t>
      </w:r>
      <w:r w:rsidR="008B3D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27000,00 руб.</w:t>
      </w:r>
    </w:p>
    <w:p w:rsidR="00F4019C" w:rsidRDefault="00F4019C" w:rsidP="00F4019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 РЕШИЛ:</w:t>
      </w:r>
    </w:p>
    <w:p w:rsidR="00F4019C" w:rsidRDefault="00F4019C" w:rsidP="00F4019C">
      <w:pPr>
        <w:ind w:firstLine="567"/>
        <w:jc w:val="center"/>
        <w:rPr>
          <w:sz w:val="28"/>
          <w:szCs w:val="28"/>
        </w:rPr>
      </w:pPr>
    </w:p>
    <w:p w:rsidR="00F4019C" w:rsidRDefault="00F4019C" w:rsidP="00F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Нахратовского сельсовета за 2016 года по доходам в сумме</w:t>
      </w:r>
      <w:r w:rsidR="008B3D02">
        <w:rPr>
          <w:sz w:val="28"/>
          <w:szCs w:val="28"/>
        </w:rPr>
        <w:t xml:space="preserve"> </w:t>
      </w:r>
      <w:r>
        <w:rPr>
          <w:sz w:val="28"/>
          <w:szCs w:val="28"/>
        </w:rPr>
        <w:t>7270332,96 рублей и по расходам в сумме 6767792,23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4019C" w:rsidRDefault="00F4019C" w:rsidP="00F40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в здании администрации Нахратовского сельсовета.</w:t>
      </w:r>
    </w:p>
    <w:p w:rsidR="00F4019C" w:rsidRDefault="00F4019C" w:rsidP="00F4019C">
      <w:pPr>
        <w:ind w:firstLine="567"/>
        <w:jc w:val="both"/>
      </w:pPr>
      <w:r>
        <w:rPr>
          <w:sz w:val="28"/>
          <w:szCs w:val="28"/>
        </w:rPr>
        <w:t>3.Контроль за исполнением решения возложить на главу администрации Нахратовского сельсовета Солодову С. Н.</w:t>
      </w:r>
    </w:p>
    <w:p w:rsidR="00F4019C" w:rsidRDefault="00F4019C" w:rsidP="00F4019C">
      <w:pPr>
        <w:spacing w:line="360" w:lineRule="auto"/>
        <w:ind w:firstLine="567"/>
        <w:jc w:val="both"/>
      </w:pPr>
    </w:p>
    <w:p w:rsidR="008B3D02" w:rsidRDefault="008B3D02" w:rsidP="00F4019C">
      <w:pPr>
        <w:spacing w:line="360" w:lineRule="auto"/>
        <w:ind w:firstLine="567"/>
        <w:jc w:val="both"/>
      </w:pPr>
    </w:p>
    <w:p w:rsidR="00F4019C" w:rsidRDefault="00F4019C" w:rsidP="008B3D02">
      <w:pPr>
        <w:spacing w:line="360" w:lineRule="auto"/>
        <w:jc w:val="both"/>
      </w:pPr>
      <w:r>
        <w:rPr>
          <w:sz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Л. Медведева</w:t>
      </w:r>
      <w:r>
        <w:rPr>
          <w:color w:val="FF0000"/>
          <w:sz w:val="28"/>
          <w:szCs w:val="28"/>
        </w:rPr>
        <w:tab/>
      </w:r>
    </w:p>
    <w:sectPr w:rsidR="00F4019C" w:rsidSect="008B3D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43" w:rsidRDefault="009E7D43" w:rsidP="00F4019C">
      <w:r>
        <w:separator/>
      </w:r>
    </w:p>
  </w:endnote>
  <w:endnote w:type="continuationSeparator" w:id="0">
    <w:p w:rsidR="009E7D43" w:rsidRDefault="009E7D43" w:rsidP="00F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43" w:rsidRDefault="009E7D43" w:rsidP="00F4019C">
      <w:r>
        <w:separator/>
      </w:r>
    </w:p>
  </w:footnote>
  <w:footnote w:type="continuationSeparator" w:id="0">
    <w:p w:rsidR="009E7D43" w:rsidRDefault="009E7D43" w:rsidP="00F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3"/>
    <w:rsid w:val="000F1691"/>
    <w:rsid w:val="002D44FE"/>
    <w:rsid w:val="003F695E"/>
    <w:rsid w:val="008B3D02"/>
    <w:rsid w:val="009E7D43"/>
    <w:rsid w:val="00AD630D"/>
    <w:rsid w:val="00C60C10"/>
    <w:rsid w:val="00C61753"/>
    <w:rsid w:val="00E467C7"/>
    <w:rsid w:val="00F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0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0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2017-05-31T07:34:00Z</cp:lastPrinted>
  <dcterms:created xsi:type="dcterms:W3CDTF">2017-05-26T06:11:00Z</dcterms:created>
  <dcterms:modified xsi:type="dcterms:W3CDTF">2017-05-31T07:38:00Z</dcterms:modified>
</cp:coreProperties>
</file>