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03" w:rsidRPr="00B5581E" w:rsidRDefault="00B5581E" w:rsidP="00D45B0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УТВЕРЖДАЮ</w:t>
      </w:r>
    </w:p>
    <w:p w:rsidR="00D45B03" w:rsidRPr="00D45B03" w:rsidRDefault="00D45B03" w:rsidP="00D45B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5B03"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 Хулимсунт</w:t>
      </w:r>
    </w:p>
    <w:p w:rsidR="00D45B03" w:rsidRPr="00D45B03" w:rsidRDefault="00D45B03" w:rsidP="00D45B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5B03">
        <w:rPr>
          <w:rFonts w:ascii="Times New Roman" w:hAnsi="Times New Roman" w:cs="Times New Roman"/>
          <w:color w:val="000000"/>
          <w:sz w:val="26"/>
          <w:szCs w:val="26"/>
        </w:rPr>
        <w:t>_____________ О.В. Баранова</w:t>
      </w:r>
    </w:p>
    <w:p w:rsidR="00D45B03" w:rsidRPr="00D45B03" w:rsidRDefault="00D45B03" w:rsidP="00D45B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5B03">
        <w:rPr>
          <w:rFonts w:ascii="Times New Roman" w:hAnsi="Times New Roman" w:cs="Times New Roman"/>
          <w:color w:val="000000"/>
          <w:sz w:val="26"/>
          <w:szCs w:val="26"/>
        </w:rPr>
        <w:t xml:space="preserve"> «02» ноября 2016 г.</w:t>
      </w:r>
    </w:p>
    <w:p w:rsidR="00D45B03" w:rsidRPr="00D45B03" w:rsidRDefault="00D45B03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592" w:rsidRPr="00D45B03" w:rsidRDefault="001D2439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Конкурсе</w:t>
      </w:r>
    </w:p>
    <w:p w:rsidR="00C24905" w:rsidRPr="00D45B03" w:rsidRDefault="006B6782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разработку </w:t>
      </w:r>
      <w:r w:rsidR="00BD723C"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герба </w:t>
      </w:r>
      <w:r w:rsidR="000C62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 Хулимсунт</w:t>
      </w:r>
    </w:p>
    <w:p w:rsidR="006B6782" w:rsidRPr="00D45B03" w:rsidRDefault="006B6782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ПОЛОЖЕНИЯ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Настоящее положение устанавливает порядок проведения и условия участия в конкурсе на создание </w:t>
      </w:r>
      <w:r w:rsidR="001A16F8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герба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80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Хулимсунт.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Целью проведения конкурса является 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зримого символа целостности территории </w:t>
      </w:r>
      <w:r w:rsidR="000C625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Хулимсунт, географических особенностей, единства и взаимодействия населяющих его граждан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Задачами проведения конкурса является разработка герб</w:t>
      </w:r>
      <w:r w:rsidR="00A8079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625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Хулимсунт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. Герб долж</w:t>
      </w:r>
      <w:r w:rsidR="00A8079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 соответствовать требованиям геральдики.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Участие в конкурсе является бесплатным. К участию допускаются 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жители </w:t>
      </w:r>
      <w:r w:rsidR="00A8079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достигшие </w:t>
      </w:r>
      <w:r w:rsidR="000C625E">
        <w:rPr>
          <w:rFonts w:ascii="Times New Roman" w:eastAsia="Times New Roman" w:hAnsi="Times New Roman" w:cs="Times New Roman"/>
          <w:sz w:val="27"/>
          <w:szCs w:val="27"/>
          <w:lang w:eastAsia="ru-RU"/>
        </w:rPr>
        <w:t>14 лет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Принимается одна работа от одного участника. В случае подачи коллективной заявки, ко второму этапу допускается только один представитель творческой группы. </w:t>
      </w:r>
    </w:p>
    <w:p w:rsidR="00BD723C" w:rsidRPr="00D45B03" w:rsidRDefault="00BD723C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2. ТЕРМИНЫ,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ИМПОЛЬЗУЕМЫЕ В НАСТОЯЩЕМ ПОЛОЖЕНИИ</w:t>
      </w:r>
    </w:p>
    <w:p w:rsidR="00BD723C" w:rsidRPr="00D45B03" w:rsidRDefault="00BD723C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Претендент </w:t>
      </w:r>
      <w:r w:rsidR="00DD4C5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физическое лицо, достигшее возраста 1</w:t>
      </w:r>
      <w:r w:rsidR="00D60D2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лет, желающее принять участие в Конкурсе.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Участник - Претендент, Заявка которого прошла отбор и принята к рассмотрению.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Заявка </w:t>
      </w:r>
      <w:r w:rsidR="00DD4C5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Конкурсная работа, предоставляемая Претендентом для участия в Конкурсе. </w:t>
      </w:r>
    </w:p>
    <w:p w:rsidR="000256F0" w:rsidRPr="00D45B03" w:rsidRDefault="00DD4C54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2.4. Организатор -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инистрация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Хулимсунт</w:t>
      </w:r>
    </w:p>
    <w:p w:rsidR="001D2439" w:rsidRPr="00D45B03" w:rsidRDefault="00DD4C54" w:rsidP="00DD4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-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МБУ ДО </w:t>
      </w:r>
      <w:r w:rsidR="00170B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170B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Хулимсунтская</w:t>
      </w:r>
      <w:proofErr w:type="spellEnd"/>
      <w:r w:rsidR="00170B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школа искусств»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Жюри - рабочий орган Конкурса, сформированны</w:t>
      </w:r>
      <w:r w:rsidR="007D52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решением Организатора конкурса. Жюри объединяет признанных экспертов в области 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искусства и истории</w:t>
      </w:r>
      <w:r w:rsidR="000C62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Члены Жюри назначаются и действуют в личном качестве, а не как представители организаций, членами (участниками) органов управления или работниками которых они являются. Все решения, относящиеся к компетенции Жюри, принимаются самостоятельно.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2.6. Техническое задание - развернутое описание </w:t>
      </w:r>
      <w:proofErr w:type="gram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требовании</w:t>
      </w:r>
      <w:proofErr w:type="gram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̆ Организатора Конкурса к разрабатываемым Участникам Конкурсным предложениям.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2.7. Конкурсный отбор - отбор заявок Претендентов Организатором Конкурса на предмет их соответствия предъявляемым требованиям к Заявке.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Финалист – участник, прошедший все этапы голосования и допущенный для </w:t>
      </w:r>
      <w:r w:rsidR="000256F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финального этапа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Победитель – участник, прошедший все этапы голосования и набравший большее количество голосов на финальном народном голосовании жителей </w:t>
      </w:r>
      <w:r w:rsidR="000C62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Хулимсунт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2.1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Условия конкурса – установленные правила и условия проведения Конкурса Организатором. </w:t>
      </w:r>
    </w:p>
    <w:p w:rsidR="00E637F9" w:rsidRDefault="00E637F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47C2" w:rsidRPr="00D45B03" w:rsidRDefault="001247C2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ПОРЯДОК ПРОВЕДЕНИЯ КОНКУРСА.</w:t>
      </w:r>
    </w:p>
    <w:p w:rsidR="00E637F9" w:rsidRPr="00D45B03" w:rsidRDefault="00E637F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Конкурс проводится в три этапа.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3.1.1. При проведении Первого этапа конкурса граждане </w:t>
      </w:r>
      <w:r w:rsidR="000C62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дости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гшие 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14 лет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смогут предложить свои варианты 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герба 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Профессиональное жюри отберет лучши</w:t>
      </w:r>
      <w:r w:rsidR="00191FD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</w:t>
      </w:r>
      <w:r w:rsidR="00191FD4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пригласит их авторов на 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совещание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второй этап конкурса.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3.1.2. Второй этап конкурса включает в себя проведение 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совещания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результатам которого у участников будет возможность доработать свои концепции, которые будут представлены на обозрение жюри. Из представленных работ жюри выберет 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трёх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финалистов. Выбор финалистов не осуществляется, если доработанные по результатам 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совещания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концепции не соответствуют критериям, установленным разделом 6 настоящего Положения. В данном случае победитель конкурса не определяется.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если жюри конкурса будут выбраны несколько работ (более 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трёх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которые в одинаковой степени соответствуют критериям, установленным разделом 6 настоящего Положения, участникам, подготовившим данные работы, будет предоставлен дополнительный срок для их доработки с учетом рекомендаций жюри. После чего, будут выбраны </w:t>
      </w:r>
      <w:r w:rsidR="00E637F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финалиста. В данном случае, сроки проведения второго и третьего этапа конкурса, изменяются. Решение об изменении сроков публикуется в информационно-телекоммуникационной сети Интернет.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3.1.3. Третий этап проведения конкурса включает в себя голосование жителей 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жюри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выбору победителя и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з финалистов конкурса. Общий вес голосов будет сост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>оять из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50% голосов жителей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и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50% 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голосов 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жюри. При несовпадении мнений жюри имеет право принять решение о выборе победителя.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Призовой фонд конкурса состоит из </w:t>
      </w:r>
      <w:r w:rsidR="00EC18FA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трех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частей.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C18FA" w:rsidRPr="00D45B03" w:rsidRDefault="00EC18FA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Авторы лучших работ награждаются дипломами участников.</w:t>
      </w:r>
    </w:p>
    <w:p w:rsidR="00EC18FA" w:rsidRPr="00D45B03" w:rsidRDefault="00EC18FA" w:rsidP="00EC18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Двум финалистам вручаются дипломы участников и памятные призы.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 </w:t>
      </w:r>
      <w:r w:rsidR="00EC18FA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победителя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включает: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вознаграждение победителя в виде 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диплома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вознаграждение </w:t>
      </w:r>
      <w:r w:rsidR="003E1E46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обедителя </w:t>
      </w:r>
      <w:r w:rsidR="004A095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ценным призом.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Победитель принимает на себя обязательства по доработке конкурсной работы до требований Геральдического Совета при Президенте Российской Федерации. </w:t>
      </w:r>
    </w:p>
    <w:p w:rsidR="00D75345" w:rsidRPr="00D45B03" w:rsidRDefault="00D75345" w:rsidP="00D7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D30D8A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Конкурсная работа выполняется в соответствии с методическими рекомендациями </w:t>
      </w:r>
      <w:r w:rsidR="00D30D8A" w:rsidRPr="00D45B03">
        <w:rPr>
          <w:rFonts w:ascii="Times New Roman" w:hAnsi="Times New Roman" w:cs="Times New Roman"/>
          <w:sz w:val="27"/>
          <w:szCs w:val="27"/>
        </w:rPr>
        <w:t>по разработке и использованию официальных символов муниципальных образований (приложение).</w:t>
      </w:r>
    </w:p>
    <w:p w:rsidR="00D75345" w:rsidRDefault="00D75345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В </w:t>
      </w:r>
      <w:r w:rsidR="00EC18FA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ходе проведения конкурса жюри в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праве вносить изменения в порядок проведения конкурса.</w:t>
      </w:r>
    </w:p>
    <w:p w:rsidR="00A06266" w:rsidRDefault="001247C2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3.6. Состав жюри:</w:t>
      </w:r>
    </w:p>
    <w:p w:rsidR="00A06266" w:rsidRDefault="00A0626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Председатель: </w:t>
      </w:r>
    </w:p>
    <w:p w:rsidR="00A06266" w:rsidRDefault="00A0626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Баранова О.В. – глава сельского поселения Хулимсунт</w:t>
      </w:r>
    </w:p>
    <w:p w:rsidR="00A06266" w:rsidRDefault="00F10332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A062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ураторы: </w:t>
      </w:r>
    </w:p>
    <w:p w:rsidR="00A06266" w:rsidRDefault="00A0626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Снегирева А.А. – преподаватель МБУ ДО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ШИ»;</w:t>
      </w:r>
    </w:p>
    <w:p w:rsidR="00A06266" w:rsidRDefault="00A0626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Яковенко Д.С. – специалист Администрации сельского поселения Хулимсунт</w:t>
      </w:r>
    </w:p>
    <w:p w:rsidR="00A06266" w:rsidRDefault="00A0626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жюри:</w:t>
      </w:r>
    </w:p>
    <w:p w:rsidR="00A06266" w:rsidRDefault="00F10332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Таратова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62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Альбина </w:t>
      </w:r>
      <w:proofErr w:type="spellStart"/>
      <w:r w:rsidR="00A06266">
        <w:rPr>
          <w:rFonts w:ascii="Times New Roman" w:eastAsia="Times New Roman" w:hAnsi="Times New Roman" w:cs="Times New Roman"/>
          <w:sz w:val="27"/>
          <w:szCs w:val="27"/>
          <w:lang w:eastAsia="ru-RU"/>
        </w:rPr>
        <w:t>Ксенофонтовна</w:t>
      </w:r>
      <w:proofErr w:type="spellEnd"/>
      <w:r w:rsidR="00A062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A062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</w:p>
    <w:p w:rsidR="00A06266" w:rsidRDefault="00A0626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Головина Татьяна Андреевна </w:t>
      </w:r>
      <w:r w:rsidR="00F1033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преподаватель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</w:p>
    <w:p w:rsidR="00A06266" w:rsidRDefault="00A0626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Алгадьева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Анна Николаевна </w:t>
      </w:r>
      <w:r w:rsidR="00F1033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преподаватель </w:t>
      </w:r>
      <w:proofErr w:type="spellStart"/>
      <w:r w:rsidR="00F10332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Хулимсунтской</w:t>
      </w:r>
      <w:proofErr w:type="spellEnd"/>
      <w:r w:rsidR="00F103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</w:p>
    <w:p w:rsidR="00A06266" w:rsidRDefault="00A0626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Алгадьева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Галина Константиновна </w:t>
      </w:r>
      <w:r w:rsidR="0049510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1FD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коренной житель д. Хулимсунт</w:t>
      </w:r>
    </w:p>
    <w:p w:rsidR="00F10332" w:rsidRDefault="00F10332" w:rsidP="00F10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Маслова </w:t>
      </w:r>
      <w:r w:rsidR="00A062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Надежда Константиновна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A062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преподаватель МБУ ДО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ШИ».</w:t>
      </w:r>
    </w:p>
    <w:p w:rsidR="00A06266" w:rsidRPr="00D45B03" w:rsidRDefault="00A0626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37F9" w:rsidRPr="00D45B03" w:rsidRDefault="00E637F9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ДАТЫ ПРОВЕДЕНИЯ КОНКУРСА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ОРГАНИЗАЦИЯ РАБОТЫ ЖЮРИ</w:t>
      </w:r>
    </w:p>
    <w:p w:rsidR="00E637F9" w:rsidRPr="00D45B03" w:rsidRDefault="00E637F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Первый этап конкурса. </w:t>
      </w:r>
    </w:p>
    <w:p w:rsidR="001D2439" w:rsidRPr="00D45B03" w:rsidRDefault="003E1E4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декабря 2016 года</w:t>
      </w:r>
      <w:r w:rsidR="001D2439" w:rsidRPr="00D45B0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крайний срок приема работ;</w:t>
      </w:r>
    </w:p>
    <w:p w:rsidR="001D2439" w:rsidRPr="00D45B03" w:rsidRDefault="003E1E4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191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D45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декабря 2016 года</w:t>
      </w:r>
      <w:r w:rsidR="001D2439" w:rsidRPr="00D45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="001D2439"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91FD4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 выбирает</w:t>
      </w:r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</w:t>
      </w:r>
      <w:r w:rsidR="00191FD4">
        <w:rPr>
          <w:rFonts w:ascii="Times New Roman" w:eastAsia="Times New Roman" w:hAnsi="Times New Roman" w:cs="Times New Roman"/>
          <w:sz w:val="27"/>
          <w:szCs w:val="27"/>
          <w:lang w:eastAsia="ru-RU"/>
        </w:rPr>
        <w:t>ы,</w:t>
      </w:r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набравших наибольшее количество баллов</w:t>
      </w:r>
      <w:r w:rsidR="00191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высказывает свои замечание и предложения по доработке гербов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Второй этап конкурса. </w:t>
      </w:r>
    </w:p>
    <w:p w:rsidR="001D2439" w:rsidRPr="00D45B03" w:rsidRDefault="003E1E4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января 201</w:t>
      </w:r>
      <w:r w:rsidR="008551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D45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  <w:r w:rsidRPr="00D45B0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D45B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D45B0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крайний срок приема работ после доработки;</w:t>
      </w:r>
    </w:p>
    <w:p w:rsidR="003E1E46" w:rsidRDefault="003E1E4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191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января 2017 года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жюри выбирает финальную тройку</w:t>
      </w:r>
      <w:r w:rsidR="00191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высказывает свои замечания, работы подготавливаются к голосованию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91FD4" w:rsidRPr="00D45B03" w:rsidRDefault="00191FD4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</w:t>
      </w:r>
      <w:r w:rsidRPr="00191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17 января 2017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окончательный прием работ;</w:t>
      </w:r>
    </w:p>
    <w:p w:rsidR="003E1E46" w:rsidRPr="00D45B03" w:rsidRDefault="00191FD4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17 января 2017 года - </w:t>
      </w:r>
      <w:r w:rsidR="003E1E46"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="003E1E46"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февраля 2017 года</w:t>
      </w:r>
      <w:r w:rsidR="003E1E46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1E46"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="000C62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голосование жителей сельского поселения </w:t>
      </w:r>
      <w:r w:rsidR="003E1E46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</w:t>
      </w:r>
      <w:bookmarkStart w:id="0" w:name="_GoBack"/>
      <w:bookmarkEnd w:id="0"/>
      <w:r w:rsidR="003E1E46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сельского поселения </w:t>
      </w:r>
      <w:hyperlink r:id="rId7" w:history="1">
        <w:r w:rsidR="003E1E46" w:rsidRPr="001247C2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www</w:t>
        </w:r>
        <w:r w:rsidR="003E1E46" w:rsidRPr="001247C2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.</w:t>
        </w:r>
        <w:proofErr w:type="spellStart"/>
        <w:r w:rsidR="003E1E46" w:rsidRPr="001247C2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hulimsunt</w:t>
        </w:r>
        <w:proofErr w:type="spellEnd"/>
        <w:r w:rsidR="003E1E46" w:rsidRPr="001247C2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.</w:t>
        </w:r>
        <w:proofErr w:type="spellStart"/>
        <w:r w:rsidR="003E1E46" w:rsidRPr="001247C2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ru</w:t>
        </w:r>
        <w:proofErr w:type="spellEnd"/>
      </w:hyperlink>
      <w:r w:rsidR="003E1E46" w:rsidRP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E1E46" w:rsidRPr="00D45B03" w:rsidRDefault="003E1E4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191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февраля 2017 года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жюри подводит итог голосования и делает свой выбор.</w:t>
      </w:r>
    </w:p>
    <w:p w:rsidR="003E1E46" w:rsidRPr="00D45B03" w:rsidRDefault="003E1E46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март 2017 года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5B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награждение участников и победителя.</w:t>
      </w:r>
    </w:p>
    <w:p w:rsidR="00E637F9" w:rsidRPr="00D45B03" w:rsidRDefault="00E637F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ПРАВИЛА ПОДАЧИ РАБОТ</w:t>
      </w:r>
    </w:p>
    <w:p w:rsidR="00E637F9" w:rsidRPr="00D45B03" w:rsidRDefault="00E637F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1D2439" w:rsidP="002124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Работы принимаются в виде изображения в формате 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jpg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="0021244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менеее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1000x1000 пикселей, </w:t>
      </w:r>
      <w:r w:rsidR="0021244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 в бумажном виде на листе формата А</w:t>
      </w:r>
      <w:proofErr w:type="gramStart"/>
      <w:r w:rsidR="0021244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="00B72BA9" w:rsidRPr="00B72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2BA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с кратким представлением концепции</w:t>
      </w:r>
      <w:r w:rsidR="0021244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. А т</w:t>
      </w:r>
      <w:r w:rsidR="003E1E46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акже</w:t>
      </w:r>
      <w:r w:rsidR="0021244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приложить</w:t>
      </w:r>
      <w:r w:rsidR="003E1E46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подробн</w:t>
      </w:r>
      <w:r w:rsidR="0021244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="003E1E46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244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презентацию</w:t>
      </w:r>
      <w:r w:rsidR="00B72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формате </w:t>
      </w:r>
      <w:r w:rsidR="00B72BA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Microsoft</w:t>
      </w:r>
      <w:r w:rsidR="00B72BA9" w:rsidRPr="00B72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2BA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Word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содержащ</w:t>
      </w:r>
      <w:r w:rsidR="00212440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 концепции и аргументацию решений. Краткая и подробная презентация должна обязательно содержать </w:t>
      </w:r>
      <w:r w:rsidR="00B72BA9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амилию, </w:t>
      </w:r>
      <w:r w:rsidR="00B72BA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мя участника, контактный телефон и e-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mail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D2439" w:rsidRDefault="001D2439" w:rsidP="001247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247C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презентации могут быть представлены п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римеры возможностей визуального применения стиля, кроме герба: элементы навигации, туристические сувениры, 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брендирование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частного и общественного транспорта (велосипед, автомобиль, автобус), футболка, толстовка, сумка и </w:t>
      </w:r>
      <w:proofErr w:type="gram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другое</w:t>
      </w:r>
      <w:proofErr w:type="gram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247C2" w:rsidRPr="00D45B03" w:rsidRDefault="001247C2" w:rsidP="001247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D8A" w:rsidRDefault="00D30D8A" w:rsidP="00124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6. ОСНОВНЫЕ ТРЕБОВАНИЯ, ПРЕДЪЯВЛЯЕМЫЕ К ПРОЕКТАМ ГЕРБОВ МУНИЦИПАЛЬНЫХ ОБРАЗОВАНИЙ</w:t>
      </w:r>
    </w:p>
    <w:p w:rsidR="001247C2" w:rsidRPr="00D45B03" w:rsidRDefault="001247C2" w:rsidP="00124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 Важнейшие элементы герба помещаются в пределах ограниченного пространства, условно именуемого геральдическим щитом (полем щита). </w:t>
      </w:r>
    </w:p>
    <w:p w:rsidR="00D30D8A" w:rsidRPr="00D45B03" w:rsidRDefault="00D30D8A" w:rsidP="00D30D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Цвета всех деталей (фигур, поля и т.д.) должны быть определены. </w:t>
      </w:r>
      <w:proofErr w:type="gram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Желательно ограничиться семью основными геральдическими цветами: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двумя «металлами» - золотом и серебром (в геральдике не проводят различие между «золотом» и желтым, между «серебром» и белым цветами);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пятью «финифтями» или «эмалями»: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а) лазурью (эти понятия объединяют различные оттенки синего и голубого, между которыми также не проводится различие);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червленью (красный, алый цвет);</w:t>
      </w:r>
      <w:proofErr w:type="gram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в) зеленью;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г) черным;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д) пурпуром (может передаваться различными оттенками </w:t>
      </w:r>
      <w:proofErr w:type="gram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фиолетового</w:t>
      </w:r>
      <w:proofErr w:type="gram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холодно-малинового, сиреневого).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Допускаются также: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телесный цвет (при изображении людей, ангелов, человекоподобных чудовищ и т. д.); 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 особых случаях – стилизованное изображение некоторых мехов (горностаевый, беличий, "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противогорностаевый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и т.д.), которые рассматриваются в геральдике как отдельные цвета. </w:t>
      </w:r>
      <w:proofErr w:type="gramEnd"/>
    </w:p>
    <w:p w:rsidR="00D30D8A" w:rsidRPr="00D45B03" w:rsidRDefault="000D15A2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6.3. </w:t>
      </w:r>
      <w:r w:rsidR="00D30D8A" w:rsidRPr="00D45B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Так называемое главное правило геральдики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="00D30D8A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сновные фигуры, помещаемые на металлическом фоне (в металлическом поле), должны быть исполнены финифтью, и наоборот: фигуры, помещаемые в финифтяном поле, должны быть исполнены в металле. Вспомогательные фигуры небольшого размера, малые элементы фигур, меховые фигуры этому правилу не подчиняются. </w:t>
      </w:r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6.4. </w:t>
      </w:r>
      <w:proofErr w:type="gram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Направленные вбок фигуры людей, животных, орудий (меч, стрела, молот и т.д.) располагаются, как правило, так, чтобы они были обращены влево от зрителя («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геральдически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вправо»).</w:t>
      </w:r>
      <w:proofErr w:type="gram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Отступление от этого </w:t>
      </w:r>
      <w:proofErr w:type="gram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</w:t>
      </w:r>
      <w:proofErr w:type="gram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возможно, но требует специальной мотивации. </w:t>
      </w:r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6.5. Недопустимо помещение в гербе конкретных сооружений (зданий, памятников и др.) В гербе нельзя, к примеру, изобразить Московский кремль или Медного всадника (хотя можно изобразить условную крепость с остроконечными башнями, определив их число, или всадника на скале). </w:t>
      </w:r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6.6. Необходимо избегать включения в герб элементов, являющихся исключительной принадлежностью нового и новейшего времени, а также технологически специфических форм (например – станки, автомобили, специальные инструменты и др.). Рекомендуется заменять их традиционными условными знаками или аллегориями (молниями для электроэнергии, сквозным ромбом - для текстильного производства и т. д.). </w:t>
      </w:r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6.7. Герб не является графически неизменным. Герб - не товарный знак, он имеет более высокий статус и существует по иным правилам. Допускается перерисовка герба в различных стилях, щитах разных форм и пропорций: изменением герба как такового это не является. Варианты одного и того же герба в разных стилизациях могут параллельно находиться в официальном употреблении. Эталоном герба является не рисунок (его роль - пояснительная), а геральдическое описание (содержание герба), запечатлевающее "формулу герба". Описание составляется с применением особой 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гербоведческой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терминологии. Обычно оно уточняется в ходе проведения экспертизы в Геральдическом совете при Президенте Российской Федерации, где ее специалисты обеспечивают составление такого описания и подготавливают окончательную формулировку. </w:t>
      </w:r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6.8. Недопустимо произвольное включение в местный герб федеральных символов (двуглавый орел, бело-сине-красный флаг, лент этих же цветов) и т.д. Точно так же не допускается </w:t>
      </w:r>
      <w:r w:rsidRPr="00D45B0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произвольное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внесение земельного (областного, бывшего губернского и т.д.) герба в состав муниципального герба - в "вольной части", верхней половине щита или иным образом. Подобная практика допустима в тех случаях, когда в законе субъекта Федерации о гербе оговорено разрешение на определенный способ отражения областной символики в гербах муниципальных образований. В противном случае возможно лишь использование элементов фигур из традиционных земельных гербов, отдаленно сходствующие мотивы и т.д. (что требует обязательного согласования с Геральдическим советом при Президенте Российской Федерации). </w:t>
      </w:r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6.9. В гербах могут помещаться девизы - лаконичные надписи на полосах (лентах), обычно помещаемых под щитом. Девиз требует чрезвычайно тщательного подбора и, как правило, точной и убедительной исторической мотивации. </w:t>
      </w:r>
      <w:proofErr w:type="gram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Помещение в гербах иных надписей (года основания, названий, аббревиатур, например:</w:t>
      </w:r>
      <w:proofErr w:type="gram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"Свердловская область", "Киселевск”, “РФ” и пр.) - противоречит традициям геральдики. </w:t>
      </w:r>
      <w:proofErr w:type="gramEnd"/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6.10. Щит герба, как правило, должен иметь одно поле. Это поле может делиться на разноцветные участки, но они должны быть объединены общей фигурой, образовывать цельную композицию. В противном случае герб окажется соединенным из двух или нескольких гербов, а это допустимо лишь в тех случаях, когда имеет место слияние муниципалитетов, городов, территорий, уже имевших свои гербы. </w:t>
      </w:r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6.11. Муниципальные образования могут пользоваться коронами </w:t>
      </w:r>
      <w:hyperlink r:id="rId8" w:history="1">
        <w:r w:rsidRPr="00D45B0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 соответствии со схемой</w:t>
        </w:r>
      </w:hyperlink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, введенной решениями Геральдического совета при Президенте Российской Федерации в 2002 году. В общем случае не допускается окружение гербового щита какими-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либо иными атрибутами (коронами, венками и пр.), т.к. исторически атрибуты потеряли свое 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геральдико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-правовое значение в соответствие с нормами законодательства 1857 года, а новые правовые акты, дающие юридическое основание для употребления подобных атрибутов, пока еще не изданы. 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Щитодержатели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(фигуры, поддерживающие щит) являются особыми знаками статуса и в герб муниципального образования вноситься, как правило, не могут (исключение составляют гербы: муниципальных образований, являющихся административными центрами субъектов РФ; гербы городов-героев; гербы, в которых 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щитодержатели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присутствуют на основании исторического пожалования или вековой традиции, а также гербы наделенных фактической автономией островных территорий). Этот принцип не ограничивает внесения девизов в состав гербов (см. п. 9). </w:t>
      </w:r>
    </w:p>
    <w:p w:rsidR="00D30D8A" w:rsidRPr="00D45B03" w:rsidRDefault="00D30D8A" w:rsidP="00D3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6.12. Утверждение Положения о гербе и рисунка герба (желательно – в трех вариантах: многоцветном, одноцветном, одноцветном с использованием условной штриховки для обозначения цветов) представительным органом не следует проводить без окончательного согласования в Геральдическом совете при Президенте Российской Федерации. </w:t>
      </w:r>
    </w:p>
    <w:p w:rsidR="00E637F9" w:rsidRPr="00D45B03" w:rsidRDefault="00E637F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D30D8A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КРИТЕРИИ ОЦЕНКИ РАБОТ</w:t>
      </w:r>
    </w:p>
    <w:p w:rsidR="00E637F9" w:rsidRPr="00D45B03" w:rsidRDefault="00E637F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D30D8A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Жюри оценивает работы по следующим параметрам: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соответствие техническим параметрам конкурса и наличию всех элементов;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соответствие поставленной задаче и позиционированию </w:t>
      </w:r>
      <w:r w:rsidR="00B90BEE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гибкость системы и потенциал для развития;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качество исполнения;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оригинальность идеи;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соответствие требованиям геральдики. </w:t>
      </w:r>
    </w:p>
    <w:p w:rsidR="001D2439" w:rsidRPr="00D45B03" w:rsidRDefault="00D30D8A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Технические параметры: </w:t>
      </w:r>
    </w:p>
    <w:p w:rsidR="001D2439" w:rsidRPr="00D45B03" w:rsidRDefault="001D2439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необходимо представить цветной и монохромный (черно-белый вариант логотипа). </w:t>
      </w:r>
    </w:p>
    <w:p w:rsidR="005E375A" w:rsidRPr="00D45B03" w:rsidRDefault="005E375A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439" w:rsidRPr="00D45B03" w:rsidRDefault="00D30D8A" w:rsidP="001E758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ОСОБЫЕ УСЛОВИЯ.</w:t>
      </w:r>
    </w:p>
    <w:p w:rsidR="005E375A" w:rsidRPr="00D45B03" w:rsidRDefault="005E375A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BB4FDC" w:rsidRPr="00D45B03" w:rsidRDefault="00D30D8A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proofErr w:type="gramStart"/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Автор, победивший в конкурсе предоставляет</w:t>
      </w:r>
      <w:proofErr w:type="gramEnd"/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исходные материалы</w:t>
      </w:r>
      <w:r w:rsidR="00BA10AB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D2439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передает Организатору конкурса исключительные права на произведение (конкурсную работу) и ее составляющие.</w:t>
      </w:r>
    </w:p>
    <w:p w:rsidR="005E375A" w:rsidRPr="00D45B03" w:rsidRDefault="00D30D8A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BD723C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Автор предоставляет описание символики в текстовом формате </w:t>
      </w:r>
      <w:r w:rsidR="00BD723C" w:rsidRPr="00D45B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Microsoft</w:t>
      </w:r>
      <w:r w:rsidR="00BD723C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723C" w:rsidRPr="00D45B0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Word</w:t>
      </w:r>
      <w:r w:rsidR="00BA10AB"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23C" w:rsidRPr="00D45B03" w:rsidRDefault="00BD723C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0FAB" w:rsidRPr="00D45B03" w:rsidRDefault="00D30D8A" w:rsidP="00D30D8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9. КОНТАКТЫ</w:t>
      </w:r>
    </w:p>
    <w:p w:rsidR="00D30D8A" w:rsidRPr="00D45B03" w:rsidRDefault="00D30D8A" w:rsidP="00D30D8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0FAB" w:rsidRPr="00D45B03" w:rsidRDefault="00840FAB" w:rsidP="00840F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сельского поселения Хулимсунт, адрес: д. Хулимсунт, 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мкр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. 3, д. 23, телефон: 8-34674-33-8-05.</w:t>
      </w:r>
    </w:p>
    <w:p w:rsidR="00840FAB" w:rsidRPr="00D45B03" w:rsidRDefault="00840FAB" w:rsidP="00840F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Контактные лица:</w:t>
      </w:r>
    </w:p>
    <w:p w:rsidR="00BD723C" w:rsidRPr="00D45B03" w:rsidRDefault="00840FAB" w:rsidP="00840F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Снегирева А.А. – преподаватель художественного отделения МБУ ДО «</w:t>
      </w:r>
      <w:proofErr w:type="spellStart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Хулимсунтсткая</w:t>
      </w:r>
      <w:proofErr w:type="spellEnd"/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ШИ», телефон 89224447322</w:t>
      </w:r>
    </w:p>
    <w:p w:rsidR="00840FAB" w:rsidRPr="00D45B03" w:rsidRDefault="00840FAB" w:rsidP="001E758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5B03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Яковенко Д.С. – специалист Администрации сельского поселения Хулимсунт, телефон 8-34674-33-5-08.</w:t>
      </w:r>
    </w:p>
    <w:p w:rsidR="00C24905" w:rsidRPr="00D45B03" w:rsidRDefault="00C24905" w:rsidP="00D30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C24905" w:rsidRPr="00D45B03" w:rsidSect="00D30D8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714"/>
    <w:multiLevelType w:val="hybridMultilevel"/>
    <w:tmpl w:val="A852CC06"/>
    <w:lvl w:ilvl="0" w:tplc="77F6A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C53"/>
    <w:multiLevelType w:val="hybridMultilevel"/>
    <w:tmpl w:val="3C18E648"/>
    <w:lvl w:ilvl="0" w:tplc="6E16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FB17A5"/>
    <w:multiLevelType w:val="hybridMultilevel"/>
    <w:tmpl w:val="8E84F726"/>
    <w:lvl w:ilvl="0" w:tplc="36F4BBA4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6D25962"/>
    <w:multiLevelType w:val="hybridMultilevel"/>
    <w:tmpl w:val="0A5E3578"/>
    <w:lvl w:ilvl="0" w:tplc="CC66FE9E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77B03F3"/>
    <w:multiLevelType w:val="hybridMultilevel"/>
    <w:tmpl w:val="65C49F2E"/>
    <w:lvl w:ilvl="0" w:tplc="4A3079A6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FA03BCA"/>
    <w:multiLevelType w:val="hybridMultilevel"/>
    <w:tmpl w:val="BDBC6274"/>
    <w:lvl w:ilvl="0" w:tplc="86FC0C94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8453F0E"/>
    <w:multiLevelType w:val="hybridMultilevel"/>
    <w:tmpl w:val="A6EC4E5E"/>
    <w:lvl w:ilvl="0" w:tplc="C62AC7C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4F5"/>
    <w:rsid w:val="000256F0"/>
    <w:rsid w:val="000C625E"/>
    <w:rsid w:val="000D15A2"/>
    <w:rsid w:val="001247C2"/>
    <w:rsid w:val="00170B39"/>
    <w:rsid w:val="00191FD4"/>
    <w:rsid w:val="001A16F8"/>
    <w:rsid w:val="001C65D8"/>
    <w:rsid w:val="001D2439"/>
    <w:rsid w:val="001D6BDF"/>
    <w:rsid w:val="001E7588"/>
    <w:rsid w:val="00210276"/>
    <w:rsid w:val="00212440"/>
    <w:rsid w:val="00217EBC"/>
    <w:rsid w:val="00257DE4"/>
    <w:rsid w:val="0026139F"/>
    <w:rsid w:val="00267F4F"/>
    <w:rsid w:val="0027478E"/>
    <w:rsid w:val="00376AFB"/>
    <w:rsid w:val="003E1E46"/>
    <w:rsid w:val="00483EF1"/>
    <w:rsid w:val="0049510D"/>
    <w:rsid w:val="004A0959"/>
    <w:rsid w:val="005E375A"/>
    <w:rsid w:val="0061058C"/>
    <w:rsid w:val="006572BC"/>
    <w:rsid w:val="006A4592"/>
    <w:rsid w:val="006B02DB"/>
    <w:rsid w:val="006B6782"/>
    <w:rsid w:val="006D7D7A"/>
    <w:rsid w:val="007C31DF"/>
    <w:rsid w:val="007D5236"/>
    <w:rsid w:val="007E7056"/>
    <w:rsid w:val="008255BD"/>
    <w:rsid w:val="00840FAB"/>
    <w:rsid w:val="00855154"/>
    <w:rsid w:val="00855B02"/>
    <w:rsid w:val="00892A5F"/>
    <w:rsid w:val="008D3FE3"/>
    <w:rsid w:val="009066CE"/>
    <w:rsid w:val="009279A0"/>
    <w:rsid w:val="00946CDA"/>
    <w:rsid w:val="009D4D44"/>
    <w:rsid w:val="00A06266"/>
    <w:rsid w:val="00A66C8D"/>
    <w:rsid w:val="00A80791"/>
    <w:rsid w:val="00A87FF1"/>
    <w:rsid w:val="00B5581E"/>
    <w:rsid w:val="00B72BA9"/>
    <w:rsid w:val="00B90BEE"/>
    <w:rsid w:val="00BA10AB"/>
    <w:rsid w:val="00BB4FDC"/>
    <w:rsid w:val="00BD723C"/>
    <w:rsid w:val="00C24905"/>
    <w:rsid w:val="00C7113F"/>
    <w:rsid w:val="00C71FCE"/>
    <w:rsid w:val="00C77A64"/>
    <w:rsid w:val="00CB6347"/>
    <w:rsid w:val="00D23F31"/>
    <w:rsid w:val="00D30D8A"/>
    <w:rsid w:val="00D45B03"/>
    <w:rsid w:val="00D60B9C"/>
    <w:rsid w:val="00D60D21"/>
    <w:rsid w:val="00D75345"/>
    <w:rsid w:val="00DD48CB"/>
    <w:rsid w:val="00DD4C54"/>
    <w:rsid w:val="00E11D57"/>
    <w:rsid w:val="00E2468C"/>
    <w:rsid w:val="00E637F9"/>
    <w:rsid w:val="00EB7DAD"/>
    <w:rsid w:val="00EC18FA"/>
    <w:rsid w:val="00EE0062"/>
    <w:rsid w:val="00F10332"/>
    <w:rsid w:val="00FE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D7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7113F"/>
  </w:style>
  <w:style w:type="paragraph" w:styleId="a4">
    <w:name w:val="Balloon Text"/>
    <w:basedOn w:val="a"/>
    <w:link w:val="a5"/>
    <w:uiPriority w:val="99"/>
    <w:semiHidden/>
    <w:unhideWhenUsed/>
    <w:rsid w:val="001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.geraldika.ru/article/1324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ulimsu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7A3E-E9F2-4878-A8F3-CB114D37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СНДЗО</cp:lastModifiedBy>
  <cp:revision>42</cp:revision>
  <cp:lastPrinted>2016-11-02T11:31:00Z</cp:lastPrinted>
  <dcterms:created xsi:type="dcterms:W3CDTF">2016-08-31T07:24:00Z</dcterms:created>
  <dcterms:modified xsi:type="dcterms:W3CDTF">2016-11-08T06:18:00Z</dcterms:modified>
</cp:coreProperties>
</file>