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74" w:rsidRPr="009C0B22" w:rsidRDefault="005C7F74" w:rsidP="005C7F74">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5C7F74" w:rsidRPr="009C0B22" w:rsidRDefault="005C7F74" w:rsidP="005C7F74">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5C7F74" w:rsidRPr="009C0B22" w:rsidRDefault="005C7F74" w:rsidP="005C7F74">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5C7F74" w:rsidRPr="009C0B22" w:rsidRDefault="005C7F74" w:rsidP="005C7F74">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5C7F74" w:rsidRPr="009C0B22" w:rsidRDefault="005C7F74" w:rsidP="005C7F74">
      <w:pPr>
        <w:spacing w:after="0" w:line="240" w:lineRule="auto"/>
        <w:jc w:val="center"/>
        <w:rPr>
          <w:rFonts w:ascii="Times New Roman" w:hAnsi="Times New Roman" w:cs="Times New Roman"/>
          <w:b/>
        </w:rPr>
      </w:pPr>
      <w:r>
        <w:rPr>
          <w:rFonts w:ascii="Times New Roman" w:hAnsi="Times New Roman" w:cs="Times New Roman"/>
          <w:b/>
        </w:rPr>
        <w:t xml:space="preserve">тридцать восьмое </w:t>
      </w:r>
      <w:r w:rsidRPr="009C0B22">
        <w:rPr>
          <w:rFonts w:ascii="Times New Roman" w:hAnsi="Times New Roman" w:cs="Times New Roman"/>
          <w:b/>
        </w:rPr>
        <w:t>заседание</w:t>
      </w:r>
    </w:p>
    <w:p w:rsidR="005C7F74" w:rsidRPr="009C0B22" w:rsidRDefault="005C7F74" w:rsidP="005C7F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9C0B22">
        <w:rPr>
          <w:rFonts w:ascii="Times New Roman" w:hAnsi="Times New Roman" w:cs="Times New Roman"/>
          <w:sz w:val="28"/>
          <w:szCs w:val="28"/>
        </w:rPr>
        <w:t>.</w:t>
      </w:r>
      <w:r>
        <w:rPr>
          <w:rFonts w:ascii="Times New Roman" w:hAnsi="Times New Roman" w:cs="Times New Roman"/>
          <w:sz w:val="28"/>
          <w:szCs w:val="28"/>
        </w:rPr>
        <w:t>11.2019</w:t>
      </w:r>
      <w:r w:rsidRPr="009C0B22">
        <w:rPr>
          <w:rFonts w:ascii="Times New Roman" w:hAnsi="Times New Roman" w:cs="Times New Roman"/>
          <w:sz w:val="28"/>
          <w:szCs w:val="28"/>
        </w:rPr>
        <w:t xml:space="preserve">г. № </w:t>
      </w:r>
      <w:r>
        <w:rPr>
          <w:rFonts w:ascii="Times New Roman" w:hAnsi="Times New Roman" w:cs="Times New Roman"/>
          <w:sz w:val="28"/>
          <w:szCs w:val="28"/>
        </w:rPr>
        <w:t>38</w:t>
      </w:r>
      <w:r w:rsidRPr="009C0B22">
        <w:rPr>
          <w:rFonts w:ascii="Times New Roman" w:hAnsi="Times New Roman" w:cs="Times New Roman"/>
          <w:sz w:val="28"/>
          <w:szCs w:val="28"/>
        </w:rPr>
        <w:t>/</w:t>
      </w:r>
      <w:r>
        <w:rPr>
          <w:rFonts w:ascii="Times New Roman" w:hAnsi="Times New Roman" w:cs="Times New Roman"/>
          <w:sz w:val="28"/>
          <w:szCs w:val="28"/>
        </w:rPr>
        <w:t>12</w:t>
      </w:r>
    </w:p>
    <w:p w:rsidR="005C7F74" w:rsidRDefault="005C7F74" w:rsidP="005C7F74">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r>
        <w:rPr>
          <w:rFonts w:ascii="Times New Roman" w:hAnsi="Times New Roman" w:cs="Times New Roman"/>
          <w:sz w:val="28"/>
          <w:szCs w:val="28"/>
        </w:rPr>
        <w:t xml:space="preserve">  </w:t>
      </w:r>
    </w:p>
    <w:p w:rsidR="005C7F74" w:rsidRPr="005C7F74" w:rsidRDefault="005C7F74" w:rsidP="005C7F74">
      <w:pPr>
        <w:spacing w:after="0" w:line="240" w:lineRule="auto"/>
        <w:rPr>
          <w:rFonts w:ascii="Times New Roman" w:hAnsi="Times New Roman" w:cs="Times New Roman"/>
          <w:sz w:val="28"/>
          <w:szCs w:val="28"/>
        </w:rPr>
      </w:pPr>
    </w:p>
    <w:p w:rsidR="000B5368" w:rsidRDefault="000B5368" w:rsidP="000B5368">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 xml:space="preserve">О внесении изменений в  Решение Думы городского округа Верхний Тагил от 27.03.2009г. №17/5 «Об утверждении Положения </w:t>
      </w:r>
      <w:r>
        <w:rPr>
          <w:rFonts w:ascii="Times New Roman" w:hAnsi="Times New Roman" w:cs="Times New Roman"/>
          <w:i/>
          <w:sz w:val="28"/>
          <w:szCs w:val="28"/>
        </w:rPr>
        <w:br/>
        <w:t xml:space="preserve">об оплате труда муниципальных служащих, занимающих должности муниципальной службы  в контрольном органе - Счетной палате </w:t>
      </w:r>
    </w:p>
    <w:p w:rsidR="000B5368" w:rsidRDefault="000B5368" w:rsidP="000B5368">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 xml:space="preserve"> городского округа Верхний Тагил»</w:t>
      </w:r>
    </w:p>
    <w:p w:rsidR="000B5368" w:rsidRDefault="000B5368" w:rsidP="000B5368">
      <w:pPr>
        <w:pStyle w:val="ConsPlusNormal"/>
        <w:widowControl/>
        <w:ind w:firstLine="540"/>
        <w:jc w:val="both"/>
        <w:rPr>
          <w:sz w:val="28"/>
          <w:szCs w:val="28"/>
        </w:rPr>
      </w:pPr>
    </w:p>
    <w:p w:rsidR="000B5368" w:rsidRPr="000B5368" w:rsidRDefault="000B5368" w:rsidP="000B5368">
      <w:pPr>
        <w:pStyle w:val="ConsPlusTitle"/>
        <w:widowControl/>
        <w:jc w:val="both"/>
        <w:rPr>
          <w:rFonts w:ascii="Times New Roman" w:hAnsi="Times New Roman" w:cs="Times New Roman"/>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В</w:t>
      </w:r>
      <w:r w:rsidRPr="00C011CD">
        <w:rPr>
          <w:rFonts w:ascii="Times New Roman" w:hAnsi="Times New Roman" w:cs="Times New Roman"/>
          <w:b w:val="0"/>
          <w:sz w:val="28"/>
          <w:szCs w:val="28"/>
        </w:rPr>
        <w:t xml:space="preserve"> соответствии с Федеральным </w:t>
      </w:r>
      <w:hyperlink r:id="rId5" w:history="1">
        <w:r w:rsidRPr="00C011CD">
          <w:rPr>
            <w:rFonts w:ascii="Times New Roman" w:hAnsi="Times New Roman" w:cs="Times New Roman"/>
            <w:b w:val="0"/>
            <w:sz w:val="28"/>
            <w:szCs w:val="28"/>
          </w:rPr>
          <w:t>законом</w:t>
        </w:r>
      </w:hyperlink>
      <w:r w:rsidRPr="00C011CD">
        <w:rPr>
          <w:rFonts w:ascii="Times New Roman" w:hAnsi="Times New Roman" w:cs="Times New Roman"/>
          <w:b w:val="0"/>
          <w:sz w:val="28"/>
          <w:szCs w:val="28"/>
        </w:rPr>
        <w:t xml:space="preserve"> от 0</w:t>
      </w:r>
      <w:r>
        <w:rPr>
          <w:rFonts w:ascii="Times New Roman" w:hAnsi="Times New Roman" w:cs="Times New Roman"/>
          <w:b w:val="0"/>
          <w:sz w:val="28"/>
          <w:szCs w:val="28"/>
        </w:rPr>
        <w:t xml:space="preserve">2 марта </w:t>
      </w:r>
      <w:r w:rsidRPr="00C011CD">
        <w:rPr>
          <w:rFonts w:ascii="Times New Roman" w:hAnsi="Times New Roman" w:cs="Times New Roman"/>
          <w:b w:val="0"/>
          <w:sz w:val="28"/>
          <w:szCs w:val="28"/>
        </w:rPr>
        <w:t>200</w:t>
      </w:r>
      <w:r>
        <w:rPr>
          <w:rFonts w:ascii="Times New Roman" w:hAnsi="Times New Roman" w:cs="Times New Roman"/>
          <w:b w:val="0"/>
          <w:sz w:val="28"/>
          <w:szCs w:val="28"/>
        </w:rPr>
        <w:t>7</w:t>
      </w:r>
      <w:r w:rsidRPr="00C011CD">
        <w:rPr>
          <w:rFonts w:ascii="Times New Roman" w:hAnsi="Times New Roman" w:cs="Times New Roman"/>
          <w:b w:val="0"/>
          <w:sz w:val="28"/>
          <w:szCs w:val="28"/>
        </w:rPr>
        <w:t xml:space="preserve"> № </w:t>
      </w:r>
      <w:r>
        <w:rPr>
          <w:rFonts w:ascii="Times New Roman" w:hAnsi="Times New Roman" w:cs="Times New Roman"/>
          <w:b w:val="0"/>
          <w:sz w:val="28"/>
          <w:szCs w:val="28"/>
        </w:rPr>
        <w:t>25-ФЗ  «</w:t>
      </w:r>
      <w:r w:rsidRPr="00C011CD">
        <w:rPr>
          <w:rFonts w:ascii="Times New Roman" w:hAnsi="Times New Roman" w:cs="Times New Roman"/>
          <w:b w:val="0"/>
          <w:sz w:val="28"/>
          <w:szCs w:val="28"/>
        </w:rPr>
        <w:t xml:space="preserve">О </w:t>
      </w:r>
      <w:r>
        <w:rPr>
          <w:rFonts w:ascii="Times New Roman" w:hAnsi="Times New Roman" w:cs="Times New Roman"/>
          <w:b w:val="0"/>
          <w:sz w:val="28"/>
          <w:szCs w:val="28"/>
        </w:rPr>
        <w:t>муниципальной службе в Российской Федерации»</w:t>
      </w:r>
      <w:r w:rsidRPr="00C011CD">
        <w:rPr>
          <w:rFonts w:ascii="Times New Roman" w:hAnsi="Times New Roman" w:cs="Times New Roman"/>
          <w:b w:val="0"/>
          <w:sz w:val="28"/>
          <w:szCs w:val="28"/>
        </w:rPr>
        <w:t xml:space="preserve">, </w:t>
      </w:r>
      <w:hyperlink r:id="rId6" w:history="1">
        <w:r>
          <w:rPr>
            <w:rFonts w:ascii="Times New Roman" w:hAnsi="Times New Roman" w:cs="Times New Roman"/>
            <w:b w:val="0"/>
            <w:sz w:val="28"/>
            <w:szCs w:val="28"/>
          </w:rPr>
          <w:t>З</w:t>
        </w:r>
        <w:r w:rsidRPr="00C011CD">
          <w:rPr>
            <w:rFonts w:ascii="Times New Roman" w:hAnsi="Times New Roman" w:cs="Times New Roman"/>
            <w:b w:val="0"/>
            <w:sz w:val="28"/>
            <w:szCs w:val="28"/>
          </w:rPr>
          <w:t>аконом</w:t>
        </w:r>
      </w:hyperlink>
      <w:r w:rsidRPr="00C011CD">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Свердловской области от 29 октября </w:t>
      </w:r>
      <w:r w:rsidRPr="00C011CD">
        <w:rPr>
          <w:rFonts w:ascii="Times New Roman" w:hAnsi="Times New Roman" w:cs="Times New Roman"/>
          <w:b w:val="0"/>
          <w:sz w:val="28"/>
          <w:szCs w:val="28"/>
        </w:rPr>
        <w:t xml:space="preserve">2007 № 136-ОЗ </w:t>
      </w:r>
      <w:r>
        <w:rPr>
          <w:rFonts w:ascii="Times New Roman" w:hAnsi="Times New Roman" w:cs="Times New Roman"/>
          <w:b w:val="0"/>
          <w:sz w:val="28"/>
          <w:szCs w:val="28"/>
        </w:rPr>
        <w:t>«</w:t>
      </w:r>
      <w:r w:rsidRPr="00C011CD">
        <w:rPr>
          <w:rFonts w:ascii="Times New Roman" w:hAnsi="Times New Roman" w:cs="Times New Roman"/>
          <w:b w:val="0"/>
          <w:sz w:val="28"/>
          <w:szCs w:val="28"/>
        </w:rPr>
        <w:t xml:space="preserve">Об особенностях муниципальной службы на </w:t>
      </w:r>
      <w:r>
        <w:rPr>
          <w:rFonts w:ascii="Times New Roman" w:hAnsi="Times New Roman" w:cs="Times New Roman"/>
          <w:b w:val="0"/>
          <w:sz w:val="28"/>
          <w:szCs w:val="28"/>
        </w:rPr>
        <w:t>территории Свердловской области»</w:t>
      </w:r>
      <w:r w:rsidRPr="00C011CD">
        <w:rPr>
          <w:rFonts w:ascii="Times New Roman" w:hAnsi="Times New Roman" w:cs="Times New Roman"/>
          <w:b w:val="0"/>
          <w:sz w:val="28"/>
          <w:szCs w:val="28"/>
        </w:rPr>
        <w:t xml:space="preserve">, </w:t>
      </w:r>
      <w:hyperlink r:id="rId7" w:history="1">
        <w:r>
          <w:rPr>
            <w:rFonts w:ascii="Times New Roman" w:hAnsi="Times New Roman" w:cs="Times New Roman"/>
            <w:b w:val="0"/>
            <w:sz w:val="28"/>
            <w:szCs w:val="28"/>
          </w:rPr>
          <w:t>п</w:t>
        </w:r>
        <w:r w:rsidRPr="00C011CD">
          <w:rPr>
            <w:rFonts w:ascii="Times New Roman" w:hAnsi="Times New Roman" w:cs="Times New Roman"/>
            <w:b w:val="0"/>
            <w:sz w:val="28"/>
            <w:szCs w:val="28"/>
          </w:rPr>
          <w:t>остановлением</w:t>
        </w:r>
      </w:hyperlink>
      <w:r w:rsidRPr="00C011CD">
        <w:rPr>
          <w:rFonts w:ascii="Times New Roman" w:hAnsi="Times New Roman" w:cs="Times New Roman"/>
          <w:b w:val="0"/>
          <w:sz w:val="28"/>
          <w:szCs w:val="28"/>
        </w:rPr>
        <w:t xml:space="preserve"> Правительства Свердловской области от 1</w:t>
      </w:r>
      <w:r>
        <w:rPr>
          <w:rFonts w:ascii="Times New Roman" w:hAnsi="Times New Roman" w:cs="Times New Roman"/>
          <w:b w:val="0"/>
          <w:sz w:val="28"/>
          <w:szCs w:val="28"/>
        </w:rPr>
        <w:t>8</w:t>
      </w:r>
      <w:r w:rsidRPr="00C011CD">
        <w:rPr>
          <w:rFonts w:ascii="Times New Roman" w:hAnsi="Times New Roman" w:cs="Times New Roman"/>
          <w:b w:val="0"/>
          <w:sz w:val="28"/>
          <w:szCs w:val="28"/>
        </w:rPr>
        <w:t>.09.201</w:t>
      </w:r>
      <w:r>
        <w:rPr>
          <w:rFonts w:ascii="Times New Roman" w:hAnsi="Times New Roman" w:cs="Times New Roman"/>
          <w:b w:val="0"/>
          <w:sz w:val="28"/>
          <w:szCs w:val="28"/>
        </w:rPr>
        <w:t>9</w:t>
      </w:r>
      <w:r w:rsidRPr="00C011CD">
        <w:rPr>
          <w:rFonts w:ascii="Times New Roman" w:hAnsi="Times New Roman" w:cs="Times New Roman"/>
          <w:b w:val="0"/>
          <w:sz w:val="28"/>
          <w:szCs w:val="28"/>
        </w:rPr>
        <w:t xml:space="preserve">г. № </w:t>
      </w:r>
      <w:r>
        <w:rPr>
          <w:rFonts w:ascii="Times New Roman" w:hAnsi="Times New Roman" w:cs="Times New Roman"/>
          <w:b w:val="0"/>
          <w:sz w:val="28"/>
          <w:szCs w:val="28"/>
        </w:rPr>
        <w:t>586-ПП «</w:t>
      </w:r>
      <w:r w:rsidRPr="00C011CD">
        <w:rPr>
          <w:rFonts w:ascii="Times New Roman" w:hAnsi="Times New Roman" w:cs="Times New Roman"/>
          <w:b w:val="0"/>
          <w:sz w:val="28"/>
          <w:szCs w:val="28"/>
        </w:rPr>
        <w:t xml:space="preserve">Об утверждении методик, применяемых для расчета межбюджетных трансфертов из областного бюджета </w:t>
      </w:r>
      <w:r w:rsidRPr="000B5368">
        <w:rPr>
          <w:rFonts w:ascii="Times New Roman" w:hAnsi="Times New Roman" w:cs="Times New Roman"/>
          <w:b w:val="0"/>
          <w:sz w:val="28"/>
          <w:szCs w:val="28"/>
        </w:rPr>
        <w:t>местным бюджетам, на 2020 год и плановый период 2021</w:t>
      </w:r>
      <w:proofErr w:type="gramEnd"/>
      <w:r w:rsidRPr="000B5368">
        <w:rPr>
          <w:rFonts w:ascii="Times New Roman" w:hAnsi="Times New Roman" w:cs="Times New Roman"/>
          <w:b w:val="0"/>
          <w:sz w:val="28"/>
          <w:szCs w:val="28"/>
        </w:rPr>
        <w:t xml:space="preserve"> и 2022 годов», руководствуясь Уставом городского округа Верхний Тагил, Дума городского округа Верхний Тагил</w:t>
      </w:r>
      <w:r w:rsidRPr="000B5368">
        <w:rPr>
          <w:rFonts w:ascii="Times New Roman" w:hAnsi="Times New Roman" w:cs="Times New Roman"/>
          <w:sz w:val="28"/>
          <w:szCs w:val="28"/>
        </w:rPr>
        <w:t xml:space="preserve">  </w:t>
      </w:r>
    </w:p>
    <w:p w:rsidR="000B5368" w:rsidRPr="000B5368" w:rsidRDefault="000B5368" w:rsidP="000B5368">
      <w:pPr>
        <w:pStyle w:val="ConsPlusNormal"/>
        <w:widowControl/>
        <w:ind w:firstLine="540"/>
        <w:jc w:val="both"/>
        <w:rPr>
          <w:sz w:val="28"/>
          <w:szCs w:val="28"/>
          <w:vertAlign w:val="superscript"/>
        </w:rPr>
      </w:pPr>
    </w:p>
    <w:p w:rsidR="000B5368" w:rsidRPr="000B5368" w:rsidRDefault="000B5368" w:rsidP="000B5368">
      <w:pPr>
        <w:pStyle w:val="ConsPlusNormal"/>
        <w:widowControl/>
        <w:jc w:val="both"/>
        <w:rPr>
          <w:b/>
          <w:sz w:val="28"/>
          <w:szCs w:val="28"/>
        </w:rPr>
      </w:pPr>
      <w:proofErr w:type="gramStart"/>
      <w:r w:rsidRPr="000B5368">
        <w:rPr>
          <w:b/>
          <w:sz w:val="28"/>
          <w:szCs w:val="28"/>
        </w:rPr>
        <w:t>Р</w:t>
      </w:r>
      <w:proofErr w:type="gramEnd"/>
      <w:r w:rsidRPr="000B5368">
        <w:rPr>
          <w:b/>
          <w:sz w:val="28"/>
          <w:szCs w:val="28"/>
        </w:rPr>
        <w:t xml:space="preserve"> Е Ш И Л А:</w:t>
      </w:r>
    </w:p>
    <w:p w:rsidR="000B5368" w:rsidRPr="000B5368" w:rsidRDefault="000B5368" w:rsidP="000B5368">
      <w:pPr>
        <w:autoSpaceDE w:val="0"/>
        <w:autoSpaceDN w:val="0"/>
        <w:adjustRightInd w:val="0"/>
        <w:spacing w:after="120" w:line="240" w:lineRule="auto"/>
        <w:jc w:val="both"/>
        <w:rPr>
          <w:rFonts w:ascii="Times New Roman" w:hAnsi="Times New Roman" w:cs="Times New Roman"/>
          <w:sz w:val="28"/>
          <w:szCs w:val="28"/>
        </w:rPr>
      </w:pPr>
      <w:r w:rsidRPr="000B5368">
        <w:rPr>
          <w:rFonts w:ascii="Times New Roman" w:hAnsi="Times New Roman" w:cs="Times New Roman"/>
          <w:sz w:val="28"/>
          <w:szCs w:val="28"/>
        </w:rPr>
        <w:t xml:space="preserve">      1. </w:t>
      </w:r>
      <w:proofErr w:type="gramStart"/>
      <w:r w:rsidRPr="000B5368">
        <w:rPr>
          <w:rFonts w:ascii="Times New Roman" w:hAnsi="Times New Roman" w:cs="Times New Roman"/>
          <w:sz w:val="28"/>
          <w:szCs w:val="28"/>
        </w:rPr>
        <w:t>Внести в Положения об оплате труда муниципальных служащих, занимающих должности муниципальной службы в контрольном органе - Счетной палате  городского округа Верхний Тагил, утвержденное Решением Думы городского округа Верхний Тагил от 27.03.2009г. №17/5 «Об утверждении Положения об оплате труда муниципальных служащих, занимающих должности муниципальной службы в контрольном органе - Счетной палате  городского округа Верхний Тагил»  (далее - Положение) следующие изменения:</w:t>
      </w:r>
      <w:proofErr w:type="gramEnd"/>
    </w:p>
    <w:p w:rsidR="000B5368" w:rsidRPr="000B5368" w:rsidRDefault="000B5368" w:rsidP="000B5368">
      <w:pPr>
        <w:autoSpaceDE w:val="0"/>
        <w:autoSpaceDN w:val="0"/>
        <w:adjustRightInd w:val="0"/>
        <w:spacing w:after="120" w:line="240" w:lineRule="auto"/>
        <w:jc w:val="both"/>
        <w:rPr>
          <w:rFonts w:ascii="Times New Roman" w:hAnsi="Times New Roman" w:cs="Times New Roman"/>
          <w:sz w:val="28"/>
          <w:szCs w:val="28"/>
        </w:rPr>
      </w:pPr>
      <w:r w:rsidRPr="000B5368">
        <w:rPr>
          <w:rFonts w:ascii="Times New Roman" w:hAnsi="Times New Roman" w:cs="Times New Roman"/>
          <w:sz w:val="28"/>
          <w:szCs w:val="28"/>
        </w:rPr>
        <w:t xml:space="preserve">        1.1. пункт 2.3. изложить в следующей редакции:</w:t>
      </w:r>
    </w:p>
    <w:p w:rsidR="000B5368" w:rsidRPr="000B5368" w:rsidRDefault="000B5368" w:rsidP="000B5368">
      <w:pPr>
        <w:pStyle w:val="ConsPlusNormal"/>
        <w:spacing w:after="120"/>
        <w:ind w:firstLine="540"/>
        <w:jc w:val="both"/>
        <w:rPr>
          <w:sz w:val="28"/>
          <w:szCs w:val="28"/>
        </w:rPr>
      </w:pPr>
      <w:r w:rsidRPr="000B5368">
        <w:rPr>
          <w:sz w:val="28"/>
          <w:szCs w:val="28"/>
        </w:rPr>
        <w:t xml:space="preserve">« 2.3. При утверждении фонда оплаты труда муниципальных служащих сверх суммы средств, направляемых для выплаты должностных окладов муниципальных служащих, предусматриваются следующие средства на выплату (в расчете на год):   </w:t>
      </w:r>
    </w:p>
    <w:p w:rsidR="000B5368" w:rsidRPr="000B5368" w:rsidRDefault="000B5368" w:rsidP="000B5368">
      <w:pPr>
        <w:pStyle w:val="ConsPlusNormal"/>
        <w:spacing w:after="120"/>
        <w:ind w:firstLine="540"/>
        <w:jc w:val="both"/>
        <w:rPr>
          <w:sz w:val="28"/>
          <w:szCs w:val="28"/>
        </w:rPr>
      </w:pPr>
      <w:r w:rsidRPr="000B5368">
        <w:rPr>
          <w:sz w:val="28"/>
          <w:szCs w:val="28"/>
        </w:rPr>
        <w:t>1) ежемесячная надбавка к должностному окладу за особые условия муниципальной службы в размере 16 должностных окладов;</w:t>
      </w:r>
    </w:p>
    <w:p w:rsidR="000B5368" w:rsidRPr="000B5368" w:rsidRDefault="000B5368" w:rsidP="000B5368">
      <w:pPr>
        <w:pStyle w:val="ConsPlusNormal"/>
        <w:spacing w:after="120"/>
        <w:ind w:firstLine="540"/>
        <w:jc w:val="both"/>
        <w:rPr>
          <w:sz w:val="28"/>
          <w:szCs w:val="28"/>
        </w:rPr>
      </w:pPr>
      <w:r w:rsidRPr="000B5368">
        <w:rPr>
          <w:sz w:val="28"/>
          <w:szCs w:val="28"/>
        </w:rPr>
        <w:lastRenderedPageBreak/>
        <w:t>2) ежемесячная надбавка к должностному окладу за классный чин муниципальных служащих в размере 1,5  должностного оклада;</w:t>
      </w:r>
    </w:p>
    <w:p w:rsidR="000B5368" w:rsidRPr="000B5368" w:rsidRDefault="000B5368" w:rsidP="000B5368">
      <w:pPr>
        <w:pStyle w:val="ConsPlusNormal"/>
        <w:spacing w:after="120"/>
        <w:ind w:firstLine="540"/>
        <w:jc w:val="both"/>
        <w:rPr>
          <w:sz w:val="28"/>
          <w:szCs w:val="28"/>
        </w:rPr>
      </w:pPr>
      <w:r w:rsidRPr="000B5368">
        <w:rPr>
          <w:sz w:val="28"/>
          <w:szCs w:val="28"/>
        </w:rPr>
        <w:t>3) ежемесячная надбавка к должностному окладу за выслугу лет в размере 3 должностных окладов;</w:t>
      </w:r>
    </w:p>
    <w:p w:rsidR="000B5368" w:rsidRPr="000B5368" w:rsidRDefault="007B7722" w:rsidP="000B5368">
      <w:pPr>
        <w:pStyle w:val="ConsPlusNormal"/>
        <w:spacing w:after="120"/>
        <w:ind w:firstLine="540"/>
        <w:jc w:val="both"/>
        <w:rPr>
          <w:sz w:val="28"/>
          <w:szCs w:val="28"/>
        </w:rPr>
      </w:pPr>
      <w:hyperlink r:id="rId8" w:history="1">
        <w:r w:rsidR="000B5368" w:rsidRPr="000B5368">
          <w:rPr>
            <w:sz w:val="28"/>
            <w:szCs w:val="28"/>
          </w:rPr>
          <w:t>4</w:t>
        </w:r>
      </w:hyperlink>
      <w:r w:rsidR="000B5368" w:rsidRPr="000B5368">
        <w:rPr>
          <w:sz w:val="28"/>
          <w:szCs w:val="28"/>
        </w:rPr>
        <w:t>) премия по результатам работы в размере 6 должностных окладов;</w:t>
      </w:r>
    </w:p>
    <w:p w:rsidR="000B5368" w:rsidRPr="000B5368" w:rsidRDefault="007B7722" w:rsidP="000B5368">
      <w:pPr>
        <w:pStyle w:val="ConsPlusNormal"/>
        <w:spacing w:after="120"/>
        <w:ind w:firstLine="540"/>
        <w:jc w:val="both"/>
        <w:rPr>
          <w:sz w:val="28"/>
          <w:szCs w:val="28"/>
        </w:rPr>
      </w:pPr>
      <w:hyperlink r:id="rId9" w:history="1">
        <w:r w:rsidR="000B5368" w:rsidRPr="000B5368">
          <w:rPr>
            <w:sz w:val="28"/>
            <w:szCs w:val="28"/>
          </w:rPr>
          <w:t>5</w:t>
        </w:r>
      </w:hyperlink>
      <w:r w:rsidR="000B5368" w:rsidRPr="000B5368">
        <w:rPr>
          <w:sz w:val="28"/>
          <w:szCs w:val="28"/>
        </w:rPr>
        <w:t>) материальная помощь в размере 3 должностных окладов;</w:t>
      </w:r>
    </w:p>
    <w:p w:rsidR="000B5368" w:rsidRPr="000B5368" w:rsidRDefault="000B5368" w:rsidP="000B5368">
      <w:pPr>
        <w:pStyle w:val="ConsPlusNormal"/>
        <w:spacing w:after="120"/>
        <w:ind w:firstLine="540"/>
        <w:jc w:val="both"/>
        <w:rPr>
          <w:sz w:val="28"/>
          <w:szCs w:val="28"/>
        </w:rPr>
      </w:pPr>
      <w:r w:rsidRPr="000B5368">
        <w:rPr>
          <w:sz w:val="28"/>
          <w:szCs w:val="28"/>
        </w:rPr>
        <w:t>6) ежемесячная надбавка к должностному окладу муниципальных служащих, допущенных к государственной тайне, исходя из фактически установленного размера.</w:t>
      </w:r>
    </w:p>
    <w:p w:rsidR="000B5368" w:rsidRPr="000B5368" w:rsidRDefault="000B5368" w:rsidP="000B5368">
      <w:pPr>
        <w:pStyle w:val="ConsPlusNormal"/>
        <w:spacing w:after="120"/>
        <w:ind w:firstLine="540"/>
        <w:jc w:val="both"/>
        <w:rPr>
          <w:sz w:val="28"/>
          <w:szCs w:val="28"/>
        </w:rPr>
      </w:pPr>
      <w:r w:rsidRPr="000B5368">
        <w:rPr>
          <w:sz w:val="28"/>
          <w:szCs w:val="28"/>
        </w:rPr>
        <w:t>В случае превышения фактически установленного размера ежемесячных надбавок за классный чин, за выслугу лет над фондом оплаты труда, формируемым на соответствующую надбавку по количеству окладов, годовой фонд оплаты труда на надбавку рассчитывается исходя из фактически установленного ее размера</w:t>
      </w:r>
      <w:proofErr w:type="gramStart"/>
      <w:r w:rsidRPr="000B5368">
        <w:rPr>
          <w:sz w:val="28"/>
          <w:szCs w:val="28"/>
        </w:rPr>
        <w:t>.»;</w:t>
      </w:r>
      <w:proofErr w:type="gramEnd"/>
    </w:p>
    <w:p w:rsidR="000B5368" w:rsidRPr="000B5368" w:rsidRDefault="000B5368" w:rsidP="000B5368">
      <w:pPr>
        <w:autoSpaceDE w:val="0"/>
        <w:autoSpaceDN w:val="0"/>
        <w:adjustRightInd w:val="0"/>
        <w:spacing w:after="120"/>
        <w:jc w:val="both"/>
        <w:rPr>
          <w:rFonts w:ascii="Times New Roman" w:hAnsi="Times New Roman" w:cs="Times New Roman"/>
          <w:sz w:val="28"/>
          <w:szCs w:val="28"/>
        </w:rPr>
      </w:pPr>
      <w:r w:rsidRPr="000B5368">
        <w:rPr>
          <w:rFonts w:ascii="Times New Roman" w:hAnsi="Times New Roman" w:cs="Times New Roman"/>
          <w:sz w:val="28"/>
          <w:szCs w:val="28"/>
        </w:rPr>
        <w:t xml:space="preserve">        1.2. </w:t>
      </w:r>
      <w:hyperlink r:id="rId10" w:history="1">
        <w:r w:rsidRPr="000B5368">
          <w:rPr>
            <w:rFonts w:ascii="Times New Roman" w:hAnsi="Times New Roman" w:cs="Times New Roman"/>
            <w:sz w:val="28"/>
            <w:szCs w:val="28"/>
          </w:rPr>
          <w:t>пункт</w:t>
        </w:r>
      </w:hyperlink>
      <w:r w:rsidRPr="000B5368">
        <w:rPr>
          <w:rFonts w:ascii="Times New Roman" w:hAnsi="Times New Roman" w:cs="Times New Roman"/>
          <w:sz w:val="28"/>
          <w:szCs w:val="28"/>
        </w:rPr>
        <w:t xml:space="preserve"> 3.5.1. изложить в следующей редакции:</w:t>
      </w:r>
    </w:p>
    <w:p w:rsidR="000B5368" w:rsidRPr="000B5368" w:rsidRDefault="000B5368" w:rsidP="000B5368">
      <w:pPr>
        <w:pStyle w:val="ConsPlusNormal"/>
        <w:spacing w:after="120"/>
        <w:ind w:firstLine="540"/>
        <w:jc w:val="both"/>
        <w:rPr>
          <w:sz w:val="28"/>
          <w:szCs w:val="28"/>
        </w:rPr>
      </w:pPr>
      <w:r w:rsidRPr="000B5368">
        <w:rPr>
          <w:sz w:val="28"/>
          <w:szCs w:val="28"/>
        </w:rPr>
        <w:t xml:space="preserve"> «3.5.1. Ежемесячная надбавка к должностному окладу за особые условия муниципальной службы устанавливается:</w:t>
      </w:r>
    </w:p>
    <w:p w:rsidR="000B5368" w:rsidRPr="000B5368" w:rsidRDefault="000B5368" w:rsidP="000B5368">
      <w:pPr>
        <w:pStyle w:val="ConsPlusNormal"/>
        <w:spacing w:after="120"/>
        <w:ind w:firstLine="540"/>
        <w:jc w:val="both"/>
        <w:rPr>
          <w:sz w:val="28"/>
          <w:szCs w:val="28"/>
        </w:rPr>
      </w:pPr>
      <w:r w:rsidRPr="000B5368">
        <w:rPr>
          <w:sz w:val="28"/>
          <w:szCs w:val="28"/>
        </w:rPr>
        <w:t>- для председателя Счетной палаты (высшая должность муниципальной службы) - в размере от 80 до 130 процентов.</w:t>
      </w:r>
    </w:p>
    <w:p w:rsidR="000B5368" w:rsidRPr="000B5368" w:rsidRDefault="000B5368" w:rsidP="000B5368">
      <w:pPr>
        <w:pStyle w:val="ConsPlusNormal"/>
        <w:spacing w:after="120"/>
        <w:ind w:firstLine="540"/>
        <w:jc w:val="both"/>
        <w:rPr>
          <w:sz w:val="28"/>
          <w:szCs w:val="28"/>
        </w:rPr>
      </w:pPr>
      <w:r w:rsidRPr="000B5368">
        <w:rPr>
          <w:sz w:val="28"/>
          <w:szCs w:val="28"/>
        </w:rPr>
        <w:t>При определении размера учитываются сложность, напряженность, специальный режим работы, инициатива и вклад в решение поставленных задач, обособленный характер и специфика работы, ненормированный режим труда, разъездной характер работы</w:t>
      </w:r>
      <w:proofErr w:type="gramStart"/>
      <w:r w:rsidRPr="000B5368">
        <w:rPr>
          <w:sz w:val="28"/>
          <w:szCs w:val="28"/>
        </w:rPr>
        <w:t>.»;</w:t>
      </w:r>
      <w:proofErr w:type="gramEnd"/>
    </w:p>
    <w:p w:rsidR="000B5368" w:rsidRPr="000B5368" w:rsidRDefault="000B5368" w:rsidP="000B5368">
      <w:pPr>
        <w:autoSpaceDE w:val="0"/>
        <w:autoSpaceDN w:val="0"/>
        <w:adjustRightInd w:val="0"/>
        <w:spacing w:after="120"/>
        <w:jc w:val="both"/>
        <w:rPr>
          <w:rFonts w:ascii="Times New Roman" w:hAnsi="Times New Roman" w:cs="Times New Roman"/>
          <w:sz w:val="28"/>
          <w:szCs w:val="28"/>
        </w:rPr>
      </w:pPr>
      <w:r w:rsidRPr="000B5368">
        <w:rPr>
          <w:rFonts w:ascii="Times New Roman" w:hAnsi="Times New Roman" w:cs="Times New Roman"/>
          <w:sz w:val="28"/>
          <w:szCs w:val="28"/>
        </w:rPr>
        <w:t xml:space="preserve">       1.3. </w:t>
      </w:r>
      <w:hyperlink r:id="rId11" w:history="1">
        <w:r w:rsidRPr="000B5368">
          <w:rPr>
            <w:rFonts w:ascii="Times New Roman" w:hAnsi="Times New Roman" w:cs="Times New Roman"/>
            <w:sz w:val="28"/>
            <w:szCs w:val="28"/>
          </w:rPr>
          <w:t>пункт</w:t>
        </w:r>
      </w:hyperlink>
      <w:r w:rsidRPr="000B5368">
        <w:rPr>
          <w:rFonts w:ascii="Times New Roman" w:hAnsi="Times New Roman" w:cs="Times New Roman"/>
          <w:sz w:val="28"/>
          <w:szCs w:val="28"/>
        </w:rPr>
        <w:t xml:space="preserve"> 3.5.6. изложить в следующей редакции:</w:t>
      </w:r>
    </w:p>
    <w:p w:rsidR="000B5368" w:rsidRPr="000B5368" w:rsidRDefault="000B5368" w:rsidP="000B5368">
      <w:pPr>
        <w:pStyle w:val="ConsPlusNormal"/>
        <w:spacing w:after="120"/>
        <w:jc w:val="both"/>
        <w:rPr>
          <w:sz w:val="28"/>
          <w:szCs w:val="28"/>
        </w:rPr>
      </w:pPr>
      <w:r>
        <w:rPr>
          <w:b/>
          <w:sz w:val="28"/>
          <w:szCs w:val="28"/>
        </w:rPr>
        <w:t xml:space="preserve">      </w:t>
      </w:r>
      <w:r w:rsidRPr="000B5368">
        <w:rPr>
          <w:b/>
          <w:sz w:val="28"/>
          <w:szCs w:val="28"/>
        </w:rPr>
        <w:t>«</w:t>
      </w:r>
      <w:r w:rsidRPr="000B5368">
        <w:rPr>
          <w:sz w:val="28"/>
          <w:szCs w:val="28"/>
        </w:rPr>
        <w:t>3.5.6. Материальная помощь, выплачивается в течение календарного года по заявлению муниципального служащего при уходе муниципального служащего в ежегодный основной оплачиваемый отпуск (в размере трех должностных окладов).»;</w:t>
      </w:r>
    </w:p>
    <w:p w:rsidR="000B5368" w:rsidRPr="000B5368" w:rsidRDefault="000B5368" w:rsidP="000B5368">
      <w:pPr>
        <w:autoSpaceDE w:val="0"/>
        <w:autoSpaceDN w:val="0"/>
        <w:adjustRightInd w:val="0"/>
        <w:spacing w:after="120"/>
        <w:jc w:val="both"/>
        <w:rPr>
          <w:rFonts w:ascii="Times New Roman" w:hAnsi="Times New Roman" w:cs="Times New Roman"/>
          <w:sz w:val="28"/>
          <w:szCs w:val="28"/>
        </w:rPr>
      </w:pPr>
      <w:r w:rsidRPr="000B53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5368">
        <w:rPr>
          <w:rFonts w:ascii="Times New Roman" w:hAnsi="Times New Roman" w:cs="Times New Roman"/>
          <w:sz w:val="28"/>
          <w:szCs w:val="28"/>
        </w:rPr>
        <w:t xml:space="preserve">1.4. </w:t>
      </w:r>
      <w:hyperlink r:id="rId12" w:history="1">
        <w:r w:rsidRPr="000B5368">
          <w:rPr>
            <w:rFonts w:ascii="Times New Roman" w:hAnsi="Times New Roman" w:cs="Times New Roman"/>
            <w:sz w:val="28"/>
            <w:szCs w:val="28"/>
          </w:rPr>
          <w:t>пункт</w:t>
        </w:r>
      </w:hyperlink>
      <w:r w:rsidRPr="000B5368">
        <w:rPr>
          <w:rFonts w:ascii="Times New Roman" w:hAnsi="Times New Roman" w:cs="Times New Roman"/>
          <w:sz w:val="28"/>
          <w:szCs w:val="28"/>
        </w:rPr>
        <w:t xml:space="preserve"> 3.5.7. изложить в следующей редакции:</w:t>
      </w:r>
    </w:p>
    <w:p w:rsidR="000B5368" w:rsidRDefault="000B5368" w:rsidP="000B5368">
      <w:pPr>
        <w:pStyle w:val="ConsPlusNormal"/>
        <w:spacing w:after="120"/>
        <w:jc w:val="both"/>
        <w:rPr>
          <w:sz w:val="28"/>
          <w:szCs w:val="28"/>
        </w:rPr>
      </w:pPr>
      <w:r>
        <w:rPr>
          <w:sz w:val="28"/>
          <w:szCs w:val="28"/>
        </w:rPr>
        <w:t xml:space="preserve">       </w:t>
      </w:r>
      <w:r w:rsidRPr="000B5368">
        <w:rPr>
          <w:sz w:val="28"/>
          <w:szCs w:val="28"/>
        </w:rPr>
        <w:t>«3.5.7. С 01.10.2019 ежемесячная надбавка к должностному окладу за классный чин применяется повышающий коэффициент 1,043 и устанавливается в следующих размерах:</w:t>
      </w:r>
    </w:p>
    <w:p w:rsidR="000B5368" w:rsidRPr="000B5368" w:rsidRDefault="000B5368" w:rsidP="000B5368">
      <w:pPr>
        <w:pStyle w:val="ConsPlusNormal"/>
        <w:spacing w:after="1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3855"/>
        <w:gridCol w:w="1134"/>
        <w:gridCol w:w="1134"/>
        <w:gridCol w:w="1134"/>
      </w:tblGrid>
      <w:tr w:rsidR="000B5368" w:rsidRPr="000B5368" w:rsidTr="00176219">
        <w:tc>
          <w:tcPr>
            <w:tcW w:w="1814" w:type="dxa"/>
            <w:vMerge w:val="restart"/>
            <w:vAlign w:val="bottom"/>
          </w:tcPr>
          <w:p w:rsidR="000B5368" w:rsidRPr="000B5368" w:rsidRDefault="000B5368" w:rsidP="000B5368">
            <w:pPr>
              <w:pStyle w:val="ConsPlusNormal"/>
              <w:spacing w:after="120"/>
              <w:rPr>
                <w:sz w:val="28"/>
                <w:szCs w:val="28"/>
              </w:rPr>
            </w:pPr>
            <w:r w:rsidRPr="000B5368">
              <w:rPr>
                <w:sz w:val="28"/>
                <w:szCs w:val="28"/>
              </w:rPr>
              <w:t>группы должностей муниципальной службы</w:t>
            </w:r>
          </w:p>
        </w:tc>
        <w:tc>
          <w:tcPr>
            <w:tcW w:w="3855" w:type="dxa"/>
            <w:vMerge w:val="restart"/>
            <w:vAlign w:val="bottom"/>
          </w:tcPr>
          <w:p w:rsidR="000B5368" w:rsidRPr="000B5368" w:rsidRDefault="000B5368" w:rsidP="000B5368">
            <w:pPr>
              <w:pStyle w:val="ConsPlusNormal"/>
              <w:spacing w:after="120"/>
              <w:rPr>
                <w:sz w:val="28"/>
                <w:szCs w:val="28"/>
              </w:rPr>
            </w:pPr>
            <w:r w:rsidRPr="000B5368">
              <w:rPr>
                <w:sz w:val="28"/>
                <w:szCs w:val="28"/>
              </w:rPr>
              <w:t>Классный чин муниципального служащего</w:t>
            </w:r>
          </w:p>
        </w:tc>
        <w:tc>
          <w:tcPr>
            <w:tcW w:w="3402" w:type="dxa"/>
            <w:gridSpan w:val="3"/>
            <w:vAlign w:val="bottom"/>
          </w:tcPr>
          <w:p w:rsidR="000B5368" w:rsidRPr="000B5368" w:rsidRDefault="000B5368" w:rsidP="000B5368">
            <w:pPr>
              <w:pStyle w:val="ConsPlusNormal"/>
              <w:spacing w:after="120"/>
              <w:rPr>
                <w:sz w:val="28"/>
                <w:szCs w:val="28"/>
              </w:rPr>
            </w:pPr>
            <w:r w:rsidRPr="000B5368">
              <w:rPr>
                <w:sz w:val="28"/>
                <w:szCs w:val="28"/>
              </w:rPr>
              <w:t>размер ежемесячной надбавки за классный чин, руб.</w:t>
            </w:r>
          </w:p>
        </w:tc>
      </w:tr>
      <w:tr w:rsidR="000B5368" w:rsidRPr="000B5368" w:rsidTr="00176219">
        <w:tc>
          <w:tcPr>
            <w:tcW w:w="1814" w:type="dxa"/>
            <w:vMerge/>
          </w:tcPr>
          <w:p w:rsidR="000B5368" w:rsidRPr="000B5368" w:rsidRDefault="000B5368" w:rsidP="000B5368">
            <w:pPr>
              <w:spacing w:after="120"/>
              <w:rPr>
                <w:rFonts w:ascii="Times New Roman" w:hAnsi="Times New Roman" w:cs="Times New Roman"/>
                <w:sz w:val="28"/>
                <w:szCs w:val="28"/>
              </w:rPr>
            </w:pPr>
          </w:p>
        </w:tc>
        <w:tc>
          <w:tcPr>
            <w:tcW w:w="3855" w:type="dxa"/>
            <w:vMerge/>
          </w:tcPr>
          <w:p w:rsidR="000B5368" w:rsidRPr="000B5368" w:rsidRDefault="000B5368" w:rsidP="000B5368">
            <w:pPr>
              <w:spacing w:after="120"/>
              <w:rPr>
                <w:rFonts w:ascii="Times New Roman" w:hAnsi="Times New Roman" w:cs="Times New Roman"/>
                <w:sz w:val="28"/>
                <w:szCs w:val="28"/>
              </w:rPr>
            </w:pPr>
          </w:p>
        </w:tc>
        <w:tc>
          <w:tcPr>
            <w:tcW w:w="1134" w:type="dxa"/>
            <w:vAlign w:val="bottom"/>
          </w:tcPr>
          <w:p w:rsidR="000B5368" w:rsidRPr="000B5368" w:rsidRDefault="000B5368" w:rsidP="000B5368">
            <w:pPr>
              <w:pStyle w:val="ConsPlusNormal"/>
              <w:spacing w:after="120"/>
              <w:rPr>
                <w:sz w:val="28"/>
                <w:szCs w:val="28"/>
              </w:rPr>
            </w:pPr>
            <w:r w:rsidRPr="000B5368">
              <w:rPr>
                <w:sz w:val="28"/>
                <w:szCs w:val="28"/>
              </w:rPr>
              <w:t>1 класс</w:t>
            </w:r>
          </w:p>
        </w:tc>
        <w:tc>
          <w:tcPr>
            <w:tcW w:w="1134" w:type="dxa"/>
            <w:vAlign w:val="bottom"/>
          </w:tcPr>
          <w:p w:rsidR="000B5368" w:rsidRPr="000B5368" w:rsidRDefault="000B5368" w:rsidP="000B5368">
            <w:pPr>
              <w:pStyle w:val="ConsPlusNormal"/>
              <w:spacing w:after="120"/>
              <w:rPr>
                <w:sz w:val="28"/>
                <w:szCs w:val="28"/>
              </w:rPr>
            </w:pPr>
            <w:r w:rsidRPr="000B5368">
              <w:rPr>
                <w:sz w:val="28"/>
                <w:szCs w:val="28"/>
              </w:rPr>
              <w:t>2 класс</w:t>
            </w:r>
          </w:p>
        </w:tc>
        <w:tc>
          <w:tcPr>
            <w:tcW w:w="1134" w:type="dxa"/>
            <w:vAlign w:val="bottom"/>
          </w:tcPr>
          <w:p w:rsidR="000B5368" w:rsidRPr="000B5368" w:rsidRDefault="000B5368" w:rsidP="000B5368">
            <w:pPr>
              <w:pStyle w:val="ConsPlusNormal"/>
              <w:spacing w:after="120"/>
              <w:rPr>
                <w:sz w:val="28"/>
                <w:szCs w:val="28"/>
              </w:rPr>
            </w:pPr>
            <w:r w:rsidRPr="000B5368">
              <w:rPr>
                <w:sz w:val="28"/>
                <w:szCs w:val="28"/>
              </w:rPr>
              <w:t>3 класс</w:t>
            </w:r>
          </w:p>
        </w:tc>
      </w:tr>
      <w:tr w:rsidR="000B5368" w:rsidRPr="000B5368" w:rsidTr="00176219">
        <w:tc>
          <w:tcPr>
            <w:tcW w:w="1814" w:type="dxa"/>
            <w:vAlign w:val="bottom"/>
          </w:tcPr>
          <w:p w:rsidR="000B5368" w:rsidRPr="000B5368" w:rsidRDefault="000B5368" w:rsidP="000B5368">
            <w:pPr>
              <w:pStyle w:val="ConsPlusNormal"/>
              <w:spacing w:after="120"/>
              <w:rPr>
                <w:sz w:val="28"/>
                <w:szCs w:val="28"/>
              </w:rPr>
            </w:pPr>
            <w:r w:rsidRPr="000B5368">
              <w:rPr>
                <w:sz w:val="28"/>
                <w:szCs w:val="28"/>
              </w:rPr>
              <w:t>Высшие</w:t>
            </w:r>
          </w:p>
        </w:tc>
        <w:tc>
          <w:tcPr>
            <w:tcW w:w="3855" w:type="dxa"/>
            <w:vAlign w:val="bottom"/>
          </w:tcPr>
          <w:p w:rsidR="000B5368" w:rsidRPr="000B5368" w:rsidRDefault="000B5368" w:rsidP="000B5368">
            <w:pPr>
              <w:pStyle w:val="ConsPlusNormal"/>
              <w:spacing w:after="120"/>
              <w:rPr>
                <w:sz w:val="28"/>
                <w:szCs w:val="28"/>
              </w:rPr>
            </w:pPr>
            <w:r w:rsidRPr="000B5368">
              <w:rPr>
                <w:sz w:val="28"/>
                <w:szCs w:val="28"/>
              </w:rPr>
              <w:t>Действительный муниципальный советник</w:t>
            </w:r>
          </w:p>
        </w:tc>
        <w:tc>
          <w:tcPr>
            <w:tcW w:w="1134" w:type="dxa"/>
            <w:vAlign w:val="bottom"/>
          </w:tcPr>
          <w:p w:rsidR="000B5368" w:rsidRPr="000B5368" w:rsidRDefault="000B5368" w:rsidP="000B5368">
            <w:pPr>
              <w:pStyle w:val="ConsPlusNormal"/>
              <w:spacing w:after="120"/>
              <w:rPr>
                <w:sz w:val="28"/>
                <w:szCs w:val="28"/>
              </w:rPr>
            </w:pPr>
            <w:r w:rsidRPr="000B5368">
              <w:rPr>
                <w:sz w:val="28"/>
                <w:szCs w:val="28"/>
              </w:rPr>
              <w:t>1197</w:t>
            </w:r>
          </w:p>
        </w:tc>
        <w:tc>
          <w:tcPr>
            <w:tcW w:w="1134" w:type="dxa"/>
            <w:vAlign w:val="bottom"/>
          </w:tcPr>
          <w:p w:rsidR="000B5368" w:rsidRPr="000B5368" w:rsidRDefault="000B5368" w:rsidP="000B5368">
            <w:pPr>
              <w:pStyle w:val="ConsPlusNormal"/>
              <w:spacing w:after="120"/>
              <w:rPr>
                <w:sz w:val="28"/>
                <w:szCs w:val="28"/>
              </w:rPr>
            </w:pPr>
            <w:r w:rsidRPr="000B5368">
              <w:rPr>
                <w:sz w:val="28"/>
                <w:szCs w:val="28"/>
              </w:rPr>
              <w:t>1135</w:t>
            </w:r>
          </w:p>
        </w:tc>
        <w:tc>
          <w:tcPr>
            <w:tcW w:w="1134" w:type="dxa"/>
            <w:vAlign w:val="bottom"/>
          </w:tcPr>
          <w:p w:rsidR="000B5368" w:rsidRPr="000B5368" w:rsidRDefault="000B5368" w:rsidP="000B5368">
            <w:pPr>
              <w:pStyle w:val="ConsPlusNormal"/>
              <w:spacing w:after="120"/>
              <w:rPr>
                <w:sz w:val="28"/>
                <w:szCs w:val="28"/>
              </w:rPr>
            </w:pPr>
            <w:r w:rsidRPr="000B5368">
              <w:rPr>
                <w:sz w:val="28"/>
                <w:szCs w:val="28"/>
              </w:rPr>
              <w:t>1073</w:t>
            </w:r>
          </w:p>
        </w:tc>
      </w:tr>
    </w:tbl>
    <w:p w:rsidR="000B5368" w:rsidRPr="000B5368" w:rsidRDefault="000B5368" w:rsidP="000B5368">
      <w:pPr>
        <w:pStyle w:val="ConsPlusTitle"/>
        <w:spacing w:after="120"/>
        <w:jc w:val="both"/>
        <w:rPr>
          <w:rFonts w:ascii="Times New Roman" w:hAnsi="Times New Roman" w:cs="Times New Roman"/>
          <w:b w:val="0"/>
          <w:sz w:val="28"/>
          <w:szCs w:val="28"/>
        </w:rPr>
      </w:pPr>
    </w:p>
    <w:p w:rsidR="000B5368" w:rsidRPr="000B5368" w:rsidRDefault="000B5368" w:rsidP="000B5368">
      <w:pPr>
        <w:pStyle w:val="ConsPlusNormal"/>
        <w:spacing w:after="120"/>
        <w:ind w:firstLine="540"/>
        <w:jc w:val="both"/>
        <w:rPr>
          <w:sz w:val="28"/>
          <w:szCs w:val="28"/>
        </w:rPr>
      </w:pPr>
      <w:r w:rsidRPr="000B5368">
        <w:rPr>
          <w:sz w:val="28"/>
          <w:szCs w:val="28"/>
        </w:rPr>
        <w:t>Надбавка за классный чин индексируется одновременно с индексацией должностного оклада</w:t>
      </w:r>
      <w:proofErr w:type="gramStart"/>
      <w:r w:rsidRPr="000B5368">
        <w:rPr>
          <w:sz w:val="28"/>
          <w:szCs w:val="28"/>
        </w:rPr>
        <w:t>.».</w:t>
      </w:r>
      <w:proofErr w:type="gramEnd"/>
    </w:p>
    <w:p w:rsidR="000B5368" w:rsidRPr="000B5368" w:rsidRDefault="000B5368" w:rsidP="000B5368">
      <w:pPr>
        <w:pStyle w:val="ConsPlusNormal"/>
        <w:widowControl/>
        <w:spacing w:after="120"/>
        <w:ind w:firstLine="540"/>
        <w:jc w:val="both"/>
        <w:rPr>
          <w:sz w:val="28"/>
          <w:szCs w:val="28"/>
        </w:rPr>
      </w:pPr>
      <w:r w:rsidRPr="000B5368">
        <w:rPr>
          <w:sz w:val="28"/>
          <w:szCs w:val="28"/>
        </w:rPr>
        <w:t>2. Настоящее Решение вступает в силу с 01.01.2020г.</w:t>
      </w:r>
    </w:p>
    <w:p w:rsidR="000B5368" w:rsidRPr="000B5368" w:rsidRDefault="000B5368" w:rsidP="000B5368">
      <w:pPr>
        <w:pStyle w:val="ConsPlusNormal"/>
        <w:widowControl/>
        <w:spacing w:after="120"/>
        <w:ind w:firstLine="540"/>
        <w:jc w:val="both"/>
        <w:rPr>
          <w:sz w:val="28"/>
          <w:szCs w:val="28"/>
        </w:rPr>
      </w:pPr>
      <w:r w:rsidRPr="000B5368">
        <w:rPr>
          <w:sz w:val="28"/>
          <w:szCs w:val="28"/>
        </w:rPr>
        <w:t xml:space="preserve">3. Опубликовать настоящее Решение в газете «Местные ведомости», разместить на официальном сайте городского округа Верхний Тагил </w:t>
      </w:r>
      <w:hyperlink r:id="rId13" w:history="1">
        <w:r w:rsidRPr="000B5368">
          <w:rPr>
            <w:rStyle w:val="a3"/>
            <w:color w:val="auto"/>
            <w:sz w:val="28"/>
            <w:szCs w:val="28"/>
            <w:u w:val="none"/>
            <w:lang w:val="en-US"/>
          </w:rPr>
          <w:t>www</w:t>
        </w:r>
        <w:r w:rsidRPr="000B5368">
          <w:rPr>
            <w:rStyle w:val="a3"/>
            <w:color w:val="auto"/>
            <w:sz w:val="28"/>
            <w:szCs w:val="28"/>
            <w:u w:val="none"/>
          </w:rPr>
          <w:t>.</w:t>
        </w:r>
        <w:r w:rsidRPr="000B5368">
          <w:rPr>
            <w:rStyle w:val="a3"/>
            <w:color w:val="auto"/>
            <w:sz w:val="28"/>
            <w:szCs w:val="28"/>
            <w:u w:val="none"/>
            <w:lang w:val="en-US"/>
          </w:rPr>
          <w:t>go</w:t>
        </w:r>
        <w:r w:rsidRPr="000B5368">
          <w:rPr>
            <w:rStyle w:val="a3"/>
            <w:color w:val="auto"/>
            <w:sz w:val="28"/>
            <w:szCs w:val="28"/>
            <w:u w:val="none"/>
          </w:rPr>
          <w:t>-</w:t>
        </w:r>
        <w:r w:rsidRPr="000B5368">
          <w:rPr>
            <w:rStyle w:val="a3"/>
            <w:color w:val="auto"/>
            <w:sz w:val="28"/>
            <w:szCs w:val="28"/>
            <w:u w:val="none"/>
            <w:lang w:val="en-US"/>
          </w:rPr>
          <w:t>vtagil</w:t>
        </w:r>
        <w:r w:rsidRPr="000B5368">
          <w:rPr>
            <w:rStyle w:val="a3"/>
            <w:color w:val="auto"/>
            <w:sz w:val="28"/>
            <w:szCs w:val="28"/>
            <w:u w:val="none"/>
          </w:rPr>
          <w:t>.</w:t>
        </w:r>
        <w:r w:rsidRPr="000B5368">
          <w:rPr>
            <w:rStyle w:val="a3"/>
            <w:color w:val="auto"/>
            <w:sz w:val="28"/>
            <w:szCs w:val="28"/>
            <w:u w:val="none"/>
            <w:lang w:val="en-US"/>
          </w:rPr>
          <w:t>ru</w:t>
        </w:r>
      </w:hyperlink>
      <w:r w:rsidRPr="000B5368">
        <w:rPr>
          <w:sz w:val="28"/>
          <w:szCs w:val="28"/>
        </w:rPr>
        <w:t xml:space="preserve">, и официальном сайте Думы городского округа Верхний Тагил </w:t>
      </w:r>
      <w:hyperlink r:id="rId14" w:history="1">
        <w:r w:rsidRPr="000B5368">
          <w:rPr>
            <w:rStyle w:val="a3"/>
            <w:color w:val="auto"/>
            <w:sz w:val="28"/>
            <w:szCs w:val="28"/>
            <w:u w:val="none"/>
            <w:lang w:val="en-US"/>
          </w:rPr>
          <w:t>www</w:t>
        </w:r>
        <w:r w:rsidRPr="000B5368">
          <w:rPr>
            <w:rStyle w:val="a3"/>
            <w:color w:val="auto"/>
            <w:sz w:val="28"/>
            <w:szCs w:val="28"/>
            <w:u w:val="none"/>
          </w:rPr>
          <w:t>.</w:t>
        </w:r>
        <w:r w:rsidRPr="000B5368">
          <w:rPr>
            <w:rStyle w:val="a3"/>
            <w:color w:val="auto"/>
            <w:sz w:val="28"/>
            <w:szCs w:val="28"/>
            <w:u w:val="none"/>
            <w:lang w:val="en-US"/>
          </w:rPr>
          <w:t>duma</w:t>
        </w:r>
        <w:r w:rsidRPr="000B5368">
          <w:rPr>
            <w:rStyle w:val="a3"/>
            <w:color w:val="auto"/>
            <w:sz w:val="28"/>
            <w:szCs w:val="28"/>
            <w:u w:val="none"/>
          </w:rPr>
          <w:t>-</w:t>
        </w:r>
        <w:r w:rsidRPr="000B5368">
          <w:rPr>
            <w:rStyle w:val="a3"/>
            <w:color w:val="auto"/>
            <w:sz w:val="28"/>
            <w:szCs w:val="28"/>
            <w:u w:val="none"/>
            <w:lang w:val="en-US"/>
          </w:rPr>
          <w:t>vtagil</w:t>
        </w:r>
        <w:r w:rsidRPr="000B5368">
          <w:rPr>
            <w:rStyle w:val="a3"/>
            <w:color w:val="auto"/>
            <w:sz w:val="28"/>
            <w:szCs w:val="28"/>
            <w:u w:val="none"/>
          </w:rPr>
          <w:t>.</w:t>
        </w:r>
        <w:r w:rsidRPr="000B5368">
          <w:rPr>
            <w:rStyle w:val="a3"/>
            <w:color w:val="auto"/>
            <w:sz w:val="28"/>
            <w:szCs w:val="28"/>
            <w:u w:val="none"/>
            <w:lang w:val="en-US"/>
          </w:rPr>
          <w:t>ru</w:t>
        </w:r>
      </w:hyperlink>
      <w:r w:rsidRPr="000B5368">
        <w:rPr>
          <w:sz w:val="28"/>
          <w:szCs w:val="28"/>
        </w:rPr>
        <w:t>.</w:t>
      </w:r>
    </w:p>
    <w:p w:rsidR="005C7F74" w:rsidRDefault="005C7F74" w:rsidP="005C7F74"/>
    <w:tbl>
      <w:tblPr>
        <w:tblW w:w="9849" w:type="dxa"/>
        <w:tblInd w:w="108" w:type="dxa"/>
        <w:tblLook w:val="01E0"/>
      </w:tblPr>
      <w:tblGrid>
        <w:gridCol w:w="10611"/>
        <w:gridCol w:w="222"/>
      </w:tblGrid>
      <w:tr w:rsidR="005C7F74" w:rsidTr="006A0DFE">
        <w:trPr>
          <w:trHeight w:val="1246"/>
        </w:trPr>
        <w:tc>
          <w:tcPr>
            <w:tcW w:w="4500" w:type="dxa"/>
            <w:hideMark/>
          </w:tcPr>
          <w:tbl>
            <w:tblPr>
              <w:tblW w:w="9867" w:type="dxa"/>
              <w:tblLook w:val="01E0"/>
            </w:tblPr>
            <w:tblGrid>
              <w:gridCol w:w="10173"/>
              <w:gridCol w:w="222"/>
            </w:tblGrid>
            <w:tr w:rsidR="004207B8" w:rsidTr="004207B8">
              <w:trPr>
                <w:trHeight w:val="1246"/>
              </w:trPr>
              <w:tc>
                <w:tcPr>
                  <w:tcW w:w="9631" w:type="dxa"/>
                  <w:hideMark/>
                </w:tcPr>
                <w:tbl>
                  <w:tblPr>
                    <w:tblW w:w="9849" w:type="dxa"/>
                    <w:tblInd w:w="108" w:type="dxa"/>
                    <w:tblLook w:val="01E0"/>
                  </w:tblPr>
                  <w:tblGrid>
                    <w:gridCol w:w="4500"/>
                    <w:gridCol w:w="5349"/>
                  </w:tblGrid>
                  <w:tr w:rsidR="004207B8">
                    <w:trPr>
                      <w:trHeight w:val="1246"/>
                    </w:trPr>
                    <w:tc>
                      <w:tcPr>
                        <w:tcW w:w="4500" w:type="dxa"/>
                      </w:tcPr>
                      <w:p w:rsidR="004207B8" w:rsidRDefault="004207B8">
                        <w:pPr>
                          <w:spacing w:after="0" w:line="240" w:lineRule="auto"/>
                          <w:rPr>
                            <w:rFonts w:ascii="Times New Roman" w:eastAsia="Times New Roman" w:hAnsi="Times New Roman" w:cs="Times New Roman"/>
                            <w:sz w:val="28"/>
                            <w:szCs w:val="28"/>
                          </w:rPr>
                        </w:pPr>
                      </w:p>
                      <w:p w:rsidR="004207B8" w:rsidRDefault="00420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4207B8" w:rsidRDefault="00420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4207B8" w:rsidRDefault="00420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u w:val="single"/>
                          </w:rPr>
                          <w:t>_______</w:t>
                        </w:r>
                        <w:r>
                          <w:rPr>
                            <w:rFonts w:ascii="Times New Roman" w:eastAsia="Times New Roman" w:hAnsi="Times New Roman" w:cs="Times New Roman"/>
                            <w:sz w:val="28"/>
                            <w:szCs w:val="28"/>
                          </w:rPr>
                          <w:t xml:space="preserve"> Е.А.Нехай</w:t>
                        </w:r>
                      </w:p>
                    </w:tc>
                    <w:tc>
                      <w:tcPr>
                        <w:tcW w:w="5349" w:type="dxa"/>
                        <w:hideMark/>
                      </w:tcPr>
                      <w:p w:rsidR="004207B8" w:rsidRDefault="00420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207B8" w:rsidRDefault="00420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И.о. Главы  городского округа</w:t>
                        </w:r>
                      </w:p>
                      <w:p w:rsidR="004207B8" w:rsidRDefault="004207B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4207B8" w:rsidRDefault="004207B8" w:rsidP="004207B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 xml:space="preserve">__   Н.Е. </w:t>
                        </w:r>
                        <w:proofErr w:type="spellStart"/>
                        <w:r>
                          <w:rPr>
                            <w:rFonts w:ascii="Times New Roman" w:eastAsia="Times New Roman" w:hAnsi="Times New Roman" w:cs="Times New Roman"/>
                            <w:sz w:val="28"/>
                            <w:szCs w:val="28"/>
                          </w:rPr>
                          <w:t>Поджарова</w:t>
                        </w:r>
                        <w:proofErr w:type="spellEnd"/>
                      </w:p>
                    </w:tc>
                  </w:tr>
                </w:tbl>
                <w:p w:rsidR="004207B8" w:rsidRDefault="004207B8"/>
              </w:tc>
              <w:tc>
                <w:tcPr>
                  <w:tcW w:w="236" w:type="dxa"/>
                  <w:hideMark/>
                </w:tcPr>
                <w:p w:rsidR="004207B8" w:rsidRDefault="004207B8"/>
              </w:tc>
            </w:tr>
          </w:tbl>
          <w:p w:rsidR="004207B8" w:rsidRDefault="004207B8" w:rsidP="004207B8">
            <w:pPr>
              <w:spacing w:after="0" w:line="240" w:lineRule="auto"/>
              <w:rPr>
                <w:rFonts w:ascii="Times New Roman" w:hAnsi="Times New Roman"/>
                <w:sz w:val="24"/>
                <w:szCs w:val="24"/>
              </w:rPr>
            </w:pPr>
            <w:r>
              <w:rPr>
                <w:rFonts w:ascii="Times New Roman" w:hAnsi="Times New Roman"/>
                <w:sz w:val="24"/>
                <w:szCs w:val="24"/>
              </w:rPr>
              <w:t xml:space="preserve">   </w:t>
            </w:r>
          </w:p>
          <w:p w:rsidR="004207B8" w:rsidRDefault="004207B8" w:rsidP="004207B8">
            <w:pPr>
              <w:spacing w:after="0" w:line="240" w:lineRule="auto"/>
              <w:rPr>
                <w:rFonts w:ascii="Times New Roman" w:hAnsi="Times New Roman"/>
                <w:sz w:val="24"/>
                <w:szCs w:val="24"/>
              </w:rPr>
            </w:pPr>
            <w:r>
              <w:rPr>
                <w:rFonts w:ascii="Times New Roman" w:hAnsi="Times New Roman"/>
                <w:sz w:val="24"/>
                <w:szCs w:val="24"/>
              </w:rPr>
              <w:t xml:space="preserve">   </w:t>
            </w: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p>
          <w:p w:rsidR="004207B8" w:rsidRDefault="004207B8" w:rsidP="004207B8">
            <w:pPr>
              <w:spacing w:after="0" w:line="240" w:lineRule="auto"/>
              <w:rPr>
                <w:rFonts w:ascii="Times New Roman" w:hAnsi="Times New Roman"/>
                <w:sz w:val="24"/>
                <w:szCs w:val="24"/>
              </w:rPr>
            </w:pPr>
            <w:r>
              <w:rPr>
                <w:rFonts w:ascii="Times New Roman" w:hAnsi="Times New Roman"/>
                <w:sz w:val="24"/>
                <w:szCs w:val="24"/>
              </w:rPr>
              <w:t xml:space="preserve">   Верно</w:t>
            </w:r>
          </w:p>
          <w:p w:rsidR="004207B8" w:rsidRDefault="004207B8" w:rsidP="004207B8">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4207B8" w:rsidRDefault="004207B8" w:rsidP="004207B8">
            <w:pPr>
              <w:spacing w:after="0" w:line="240" w:lineRule="auto"/>
              <w:rPr>
                <w:rFonts w:ascii="Times New Roman" w:hAnsi="Times New Roman"/>
                <w:sz w:val="24"/>
                <w:szCs w:val="24"/>
              </w:rPr>
            </w:pPr>
            <w:r>
              <w:rPr>
                <w:rFonts w:ascii="Times New Roman" w:hAnsi="Times New Roman"/>
                <w:sz w:val="24"/>
                <w:szCs w:val="24"/>
              </w:rPr>
              <w:t xml:space="preserve">   городского округа Верхний Тагил                                                                 О.Г.Мезенина</w:t>
            </w:r>
          </w:p>
          <w:p w:rsidR="005C7F74" w:rsidRDefault="005C7F74" w:rsidP="006A0DFE">
            <w:pPr>
              <w:spacing w:after="0" w:line="240" w:lineRule="auto"/>
              <w:rPr>
                <w:rFonts w:ascii="Times New Roman" w:eastAsia="Times New Roman" w:hAnsi="Times New Roman" w:cs="Times New Roman"/>
                <w:sz w:val="28"/>
                <w:szCs w:val="28"/>
              </w:rPr>
            </w:pPr>
          </w:p>
        </w:tc>
        <w:tc>
          <w:tcPr>
            <w:tcW w:w="5349" w:type="dxa"/>
            <w:hideMark/>
          </w:tcPr>
          <w:p w:rsidR="005C7F74" w:rsidRDefault="005C7F74" w:rsidP="006A0DFE">
            <w:pPr>
              <w:spacing w:after="0" w:line="240" w:lineRule="auto"/>
              <w:rPr>
                <w:rFonts w:ascii="Times New Roman" w:eastAsia="Times New Roman" w:hAnsi="Times New Roman" w:cs="Times New Roman"/>
                <w:sz w:val="28"/>
                <w:szCs w:val="28"/>
              </w:rPr>
            </w:pPr>
          </w:p>
        </w:tc>
      </w:tr>
    </w:tbl>
    <w:p w:rsidR="00413FA0" w:rsidRPr="005C7F74" w:rsidRDefault="00413FA0" w:rsidP="005C7F74"/>
    <w:sectPr w:rsidR="00413FA0" w:rsidRPr="005C7F74" w:rsidSect="000B5368">
      <w:pgSz w:w="11906" w:h="16838"/>
      <w:pgMar w:top="426"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7F74"/>
    <w:rsid w:val="000B5368"/>
    <w:rsid w:val="003E7450"/>
    <w:rsid w:val="00413FA0"/>
    <w:rsid w:val="004207B8"/>
    <w:rsid w:val="004A4EB4"/>
    <w:rsid w:val="005C7F74"/>
    <w:rsid w:val="007B7722"/>
    <w:rsid w:val="00B47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C7F74"/>
    <w:rPr>
      <w:color w:val="0000FF"/>
      <w:u w:val="single"/>
    </w:rPr>
  </w:style>
  <w:style w:type="paragraph" w:customStyle="1" w:styleId="ConsPlusNormal">
    <w:name w:val="ConsPlusNormal"/>
    <w:link w:val="ConsPlusNormal0"/>
    <w:rsid w:val="005C7F74"/>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5C7F74"/>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C7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F74"/>
    <w:rPr>
      <w:rFonts w:ascii="Tahoma" w:hAnsi="Tahoma" w:cs="Tahoma"/>
      <w:sz w:val="16"/>
      <w:szCs w:val="16"/>
    </w:rPr>
  </w:style>
  <w:style w:type="paragraph" w:customStyle="1" w:styleId="ConsPlusTitle">
    <w:name w:val="ConsPlusTitle"/>
    <w:rsid w:val="005C7F7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017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AA83137C1394D86EB89543935ED09D8D6C8417BC9C3285F2E5906B0910583C4EA1D06D80252123017D3428CE7DE28277C124A33529C72A66E06268jAJFK" TargetMode="External"/><Relationship Id="rId13" Type="http://schemas.openxmlformats.org/officeDocument/2006/relationships/hyperlink" Target="http://www.go-vtagil.ru/" TargetMode="External"/><Relationship Id="rId3" Type="http://schemas.openxmlformats.org/officeDocument/2006/relationships/webSettings" Target="webSettings.xml"/><Relationship Id="rId7" Type="http://schemas.openxmlformats.org/officeDocument/2006/relationships/hyperlink" Target="consultantplus://offline/ref=9E0943976343306F513041C5E313D2E8C21671395F433C9A3DACC666E40040FD30492BE" TargetMode="External"/><Relationship Id="rId12" Type="http://schemas.openxmlformats.org/officeDocument/2006/relationships/hyperlink" Target="consultantplus://offline/ref=9E0943976343306F513041C5E313D2E8C21671395C483C913FABC666E40040FD309B53E2B3049A849816B6B1402A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0943976343306F513041C5E313D2E8C21671395C4A3E9C3EABC666E40040FD30492BE" TargetMode="External"/><Relationship Id="rId11" Type="http://schemas.openxmlformats.org/officeDocument/2006/relationships/hyperlink" Target="consultantplus://offline/ref=9E0943976343306F513041C5E313D2E8C21671395C483C913FABC666E40040FD309B53E2B3049A849816B6B1402AE" TargetMode="External"/><Relationship Id="rId5" Type="http://schemas.openxmlformats.org/officeDocument/2006/relationships/hyperlink" Target="consultantplus://offline/ref=9E0943976343306F51305FC8F57F8CE2C11F2E32594234CE65FDC031BB4520E" TargetMode="External"/><Relationship Id="rId15" Type="http://schemas.openxmlformats.org/officeDocument/2006/relationships/fontTable" Target="fontTable.xml"/><Relationship Id="rId10" Type="http://schemas.openxmlformats.org/officeDocument/2006/relationships/hyperlink" Target="consultantplus://offline/ref=9E0943976343306F513041C5E313D2E8C21671395C483C913FABC666E40040FD309B53E2B3049A849816B6B1402AE" TargetMode="External"/><Relationship Id="rId4" Type="http://schemas.openxmlformats.org/officeDocument/2006/relationships/image" Target="media/image1.jpeg"/><Relationship Id="rId9" Type="http://schemas.openxmlformats.org/officeDocument/2006/relationships/hyperlink" Target="consultantplus://offline/ref=5AAA83137C1394D86EB89543935ED09D8D6C8417BC9C3285F2E5906B0910583C4EA1D06D80252123017D3428C07DE28277C124A33529C72A66E06268jAJFK" TargetMode="External"/><Relationship Id="rId14" Type="http://schemas.openxmlformats.org/officeDocument/2006/relationships/hyperlink" Target="http://www.duma-vtag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2019-11-22T09:18:00Z</cp:lastPrinted>
  <dcterms:created xsi:type="dcterms:W3CDTF">2019-11-20T04:25:00Z</dcterms:created>
  <dcterms:modified xsi:type="dcterms:W3CDTF">2019-11-25T06:41:00Z</dcterms:modified>
</cp:coreProperties>
</file>