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09" w:rsidRDefault="005E2809" w:rsidP="005E2809">
      <w:pPr>
        <w:jc w:val="center"/>
        <w:rPr>
          <w:b/>
          <w:sz w:val="28"/>
          <w:szCs w:val="28"/>
        </w:rPr>
      </w:pPr>
    </w:p>
    <w:p w:rsidR="00116E3F" w:rsidRDefault="00116E3F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466577" w:rsidRDefault="00466577" w:rsidP="005E2809">
      <w:pPr>
        <w:jc w:val="center"/>
        <w:rPr>
          <w:b/>
          <w:sz w:val="28"/>
          <w:szCs w:val="28"/>
        </w:rPr>
      </w:pPr>
    </w:p>
    <w:p w:rsidR="00466577" w:rsidRDefault="00466577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356EAB" w:rsidRDefault="00356EAB" w:rsidP="005E2809">
      <w:pPr>
        <w:jc w:val="center"/>
        <w:rPr>
          <w:b/>
          <w:sz w:val="28"/>
          <w:szCs w:val="28"/>
        </w:rPr>
      </w:pPr>
    </w:p>
    <w:p w:rsidR="00356EAB" w:rsidRDefault="00356EAB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  <w:r w:rsidRPr="00EC17F7">
        <w:rPr>
          <w:b/>
          <w:sz w:val="28"/>
          <w:szCs w:val="28"/>
        </w:rPr>
        <w:t>Д О К Л А Д</w:t>
      </w:r>
    </w:p>
    <w:p w:rsidR="005E2809" w:rsidRPr="00EC17F7" w:rsidRDefault="005E2809" w:rsidP="005E2809">
      <w:pPr>
        <w:rPr>
          <w:b/>
          <w:sz w:val="28"/>
          <w:szCs w:val="28"/>
        </w:rPr>
      </w:pPr>
    </w:p>
    <w:p w:rsidR="005E2809" w:rsidRPr="00EC17F7" w:rsidRDefault="005E2809" w:rsidP="005E2809">
      <w:pPr>
        <w:jc w:val="center"/>
        <w:rPr>
          <w:sz w:val="28"/>
          <w:szCs w:val="28"/>
        </w:rPr>
      </w:pPr>
      <w:r w:rsidRPr="00EC17F7">
        <w:rPr>
          <w:sz w:val="28"/>
          <w:szCs w:val="28"/>
        </w:rPr>
        <w:t xml:space="preserve">о достигнутых значениях показателей для оценки эффективности </w:t>
      </w:r>
      <w:r w:rsidR="00466577">
        <w:rPr>
          <w:sz w:val="28"/>
          <w:szCs w:val="28"/>
        </w:rPr>
        <w:t>д</w:t>
      </w:r>
      <w:r w:rsidRPr="00EC17F7">
        <w:rPr>
          <w:sz w:val="28"/>
          <w:szCs w:val="28"/>
        </w:rPr>
        <w:t>еятельности органов местного самоуправления Карабашского городского округа за 2017 год и их планируемых значениях на 2018-2020 годы</w:t>
      </w: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466577" w:rsidRDefault="00466577" w:rsidP="005E2809">
      <w:pPr>
        <w:jc w:val="both"/>
        <w:rPr>
          <w:sz w:val="28"/>
          <w:szCs w:val="28"/>
        </w:rPr>
      </w:pPr>
    </w:p>
    <w:p w:rsidR="00F55137" w:rsidRPr="00EC17F7" w:rsidRDefault="00F55137" w:rsidP="005E2809">
      <w:pPr>
        <w:jc w:val="both"/>
        <w:rPr>
          <w:sz w:val="28"/>
          <w:szCs w:val="28"/>
        </w:rPr>
      </w:pPr>
    </w:p>
    <w:p w:rsidR="005E2809" w:rsidRPr="00EC17F7" w:rsidRDefault="005E2809" w:rsidP="00466577">
      <w:pPr>
        <w:ind w:firstLine="5954"/>
        <w:rPr>
          <w:sz w:val="28"/>
          <w:szCs w:val="28"/>
        </w:rPr>
      </w:pPr>
      <w:r w:rsidRPr="00EC17F7">
        <w:rPr>
          <w:sz w:val="28"/>
          <w:szCs w:val="28"/>
        </w:rPr>
        <w:t>Глава Карабашского</w:t>
      </w:r>
    </w:p>
    <w:p w:rsidR="005E2809" w:rsidRPr="00EC17F7" w:rsidRDefault="005E2809" w:rsidP="00466577">
      <w:pPr>
        <w:ind w:firstLine="5954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городского округа</w:t>
      </w:r>
    </w:p>
    <w:p w:rsidR="005E2809" w:rsidRPr="00EC17F7" w:rsidRDefault="005E2809" w:rsidP="00466577">
      <w:pPr>
        <w:ind w:firstLine="5954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______________О.Г. Буданов</w:t>
      </w:r>
    </w:p>
    <w:p w:rsidR="005E2809" w:rsidRPr="00EC17F7" w:rsidRDefault="005E2809" w:rsidP="00466577">
      <w:pPr>
        <w:ind w:firstLine="5954"/>
        <w:jc w:val="both"/>
        <w:rPr>
          <w:sz w:val="28"/>
          <w:szCs w:val="28"/>
        </w:rPr>
      </w:pPr>
      <w:r w:rsidRPr="00EC17F7">
        <w:rPr>
          <w:sz w:val="28"/>
          <w:szCs w:val="28"/>
        </w:rPr>
        <w:t xml:space="preserve"> «____»_______________2018 г.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lastRenderedPageBreak/>
        <w:t xml:space="preserve">Показатели доклада об эффективности деятельности органов местного самоуправления Карабашского городского округа разработаны в соответствии с Указом Президента Российской Федерации от 28 апреля 2008 г. № 607 «Об оценке </w:t>
      </w:r>
      <w:proofErr w:type="gramStart"/>
      <w:r w:rsidRPr="00EC17F7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EC17F7">
        <w:rPr>
          <w:sz w:val="28"/>
          <w:szCs w:val="28"/>
        </w:rPr>
        <w:t xml:space="preserve"> и муниципальных районов». 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Основными направлениями эффективности деятельности  администрации Карабашского городского округа в целях последовательного повышения уровня и качества жизни населения, а также достижения стратегических целей социально-экономического развития являются: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создание эффективной конкурентоспособной экономики;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-обеспечение устойчивого функционирования наиболее важных систем жизнеобеспечения городского округа;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стабилизация развития социальной сферы;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создание условий для развития эффективных производств, поддержка предпринимательской и инвестиционной деятельности;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повышение эффективности использования муниципальной собственности, земли и недвижимости;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осуществление реальной бюджетной политики, улучшение собираемости налогов, снижение задолженности по платежам в бюджет, укрепление финансовой дисциплины.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proofErr w:type="gramStart"/>
      <w:r w:rsidRPr="00EC17F7">
        <w:rPr>
          <w:sz w:val="28"/>
          <w:szCs w:val="28"/>
        </w:rPr>
        <w:t>Администрацией Карабашского городского округа осуществляется экономический анализ деятельности хозяйствующих субъектов Карабашского городского округа, вырабатываются предложения по стабилизации их финансового положения, обеспечивается разработка прогнозов и программ социально-экономического развития городского округа, осуществляется актуализация комплексного инвестиционного плана развития моногорода Карабаша и Стратегии социально-экономического развития Карабашского городского округа до 2020 года, определяются направления использования инвестиций на основе утвержденных приоритетов социально-экономического развития городского округа.</w:t>
      </w:r>
      <w:proofErr w:type="gramEnd"/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 xml:space="preserve">Финансово-экономическая деятельность - одна из основополагающих сфер деятельности, являющейся фундаментом развития других направлений деятельности администрации и главы городского округа. Именно на положительных результатах финансово-экономической деятельности основываются перспективы развития местного самоуправления и городского округа. </w:t>
      </w:r>
    </w:p>
    <w:p w:rsidR="00FE6D33" w:rsidRPr="00EC17F7" w:rsidRDefault="00FE6D33" w:rsidP="001F504D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7F7">
        <w:rPr>
          <w:rFonts w:ascii="Times New Roman" w:hAnsi="Times New Roman"/>
          <w:color w:val="000000"/>
          <w:sz w:val="28"/>
          <w:szCs w:val="28"/>
        </w:rPr>
        <w:t>Численность постоянного населения Карабашского городского округа по состоянию на 01.01.2018г. составила 11202 человека, что по отношению к 2016 году снижение составляет 182 человека. Среднегодовая численность населения 11294 человека.</w:t>
      </w:r>
    </w:p>
    <w:p w:rsidR="00FE6D33" w:rsidRPr="00EC17F7" w:rsidRDefault="00FE6D33" w:rsidP="001F504D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7F7">
        <w:rPr>
          <w:rFonts w:ascii="Times New Roman" w:hAnsi="Times New Roman"/>
          <w:color w:val="000000"/>
          <w:sz w:val="28"/>
          <w:szCs w:val="28"/>
        </w:rPr>
        <w:t>Численность населения в трудоспособном возрасте составляет 50,6% или 5672 человек.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Сокращение численности населения Карабашского городского округа, в том числе его трудоспособной части происходит за счет естественной убыли и миграционного оттока населения.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По итогам миграции населения Карабашского  городского округа отмечается отрицательное миграционное сальдо (-)106 человек, так в текущем г</w:t>
      </w:r>
      <w:r w:rsidR="0054559C" w:rsidRPr="00E40163">
        <w:rPr>
          <w:sz w:val="28"/>
          <w:szCs w:val="28"/>
        </w:rPr>
        <w:t>оду прибыло в округ 309 человек</w:t>
      </w:r>
      <w:r w:rsidRPr="00E40163">
        <w:rPr>
          <w:sz w:val="28"/>
          <w:szCs w:val="28"/>
        </w:rPr>
        <w:t>, выбыло – 415 человек.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lastRenderedPageBreak/>
        <w:t>В 2017 году число родившихся составило – 125 человек, умерших – 198 человека. Естественная убыль населения составила (-)73 человек.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Ситуацию на рынке труда в 2017 году можно характеризовать, как стабильно напряженную.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 xml:space="preserve">Численность безработных граждан, состоящих на учете в центре занятости населения, по сравнению с прошлым годом уменьшилась на 22,6% и составила по состоянию на 01.01.2018г. 178 человек, уровень безработицы – 3,97%. 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Основные тенденции на рынке труда на 01.01.2018г. (в сравнении с аналогичным периодом прошлого года):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- снижение численности граждан, обратившихся в поиске работы (с 630 до 508 человек);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- уменьшение численности граждан, состоящих на учете на 22,6% (с 230 до 178 человек);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- снижение численности граждан, нашедших подходящую работу с 300 до 263 человек, что на 12,3% меньше к уровню 01.01.2017г.;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- снижение уровня регистрируемой безработицы с 4,76% до 3,97%;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- увеличение напряжённости на рынке труда с 4,43 до 8,18 чел./вакансий.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В текущем году снято с учета центра занятости населения 443 безработных граждан, из них: 39,5</w:t>
      </w:r>
      <w:r w:rsidR="0054559C" w:rsidRPr="00E40163">
        <w:rPr>
          <w:sz w:val="28"/>
          <w:szCs w:val="28"/>
        </w:rPr>
        <w:t xml:space="preserve"> % – в связи с трудоустройством,</w:t>
      </w:r>
      <w:r w:rsidRPr="00E40163">
        <w:rPr>
          <w:sz w:val="28"/>
          <w:szCs w:val="28"/>
        </w:rPr>
        <w:t xml:space="preserve"> 10,1% – направлено на профессиональное обучение, получение дополнительного профобразования по направлению центра занят</w:t>
      </w:r>
      <w:r w:rsidR="0054559C" w:rsidRPr="00E40163">
        <w:rPr>
          <w:sz w:val="28"/>
          <w:szCs w:val="28"/>
        </w:rPr>
        <w:t>ости населения, 2,3 % – назначена пенсия,</w:t>
      </w:r>
      <w:r w:rsidRPr="00E40163">
        <w:rPr>
          <w:sz w:val="28"/>
          <w:szCs w:val="28"/>
        </w:rPr>
        <w:t xml:space="preserve"> 48,1 % – снято по другим причинам. 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Трудовой потенциал городского округа будет зависеть от того, как под воздействием структурных изменений в экономике сложится спрос на рабочую силу со стороны работодателей всех форм собственности.</w:t>
      </w:r>
    </w:p>
    <w:p w:rsidR="00FE6D33" w:rsidRPr="00E40163" w:rsidRDefault="00FE6D33" w:rsidP="00E40163">
      <w:pPr>
        <w:ind w:firstLine="709"/>
        <w:jc w:val="both"/>
        <w:rPr>
          <w:sz w:val="28"/>
          <w:szCs w:val="28"/>
          <w:highlight w:val="yellow"/>
        </w:rPr>
      </w:pPr>
      <w:r w:rsidRPr="00E40163">
        <w:rPr>
          <w:sz w:val="28"/>
          <w:szCs w:val="28"/>
        </w:rPr>
        <w:t>Отток населения в другие регионы страны в поисках работы и трудоустройства пр</w:t>
      </w:r>
      <w:r w:rsidR="00F74D45" w:rsidRPr="00E40163">
        <w:rPr>
          <w:sz w:val="28"/>
          <w:szCs w:val="28"/>
        </w:rPr>
        <w:t>иблизительно составляет более 65</w:t>
      </w:r>
      <w:r w:rsidRPr="00E40163">
        <w:rPr>
          <w:sz w:val="28"/>
          <w:szCs w:val="28"/>
        </w:rPr>
        <w:t>0 человек, что пагубно влияет на наличие кадрового потенциала и специалистов.</w:t>
      </w:r>
    </w:p>
    <w:p w:rsidR="00FE6D33" w:rsidRPr="00E40163" w:rsidRDefault="0061055E" w:rsidP="00E40163">
      <w:pPr>
        <w:ind w:firstLine="708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В с</w:t>
      </w:r>
      <w:r w:rsidR="00F74D45" w:rsidRPr="00E40163">
        <w:rPr>
          <w:sz w:val="28"/>
          <w:szCs w:val="28"/>
        </w:rPr>
        <w:t xml:space="preserve">вязи с реализацией </w:t>
      </w:r>
      <w:r w:rsidRPr="00E40163">
        <w:rPr>
          <w:sz w:val="28"/>
          <w:szCs w:val="28"/>
        </w:rPr>
        <w:t xml:space="preserve"> в 2018-2021</w:t>
      </w:r>
      <w:r w:rsidR="00FE6D33" w:rsidRPr="00E40163">
        <w:rPr>
          <w:sz w:val="28"/>
          <w:szCs w:val="28"/>
        </w:rPr>
        <w:t xml:space="preserve"> гг. </w:t>
      </w:r>
      <w:r w:rsidR="00F55137" w:rsidRPr="00E40163">
        <w:rPr>
          <w:sz w:val="28"/>
          <w:szCs w:val="28"/>
        </w:rPr>
        <w:t xml:space="preserve">новых </w:t>
      </w:r>
      <w:r w:rsidR="00F74D45" w:rsidRPr="00E40163">
        <w:rPr>
          <w:sz w:val="28"/>
          <w:szCs w:val="28"/>
        </w:rPr>
        <w:t>инвестиционных проектов по разработке</w:t>
      </w:r>
      <w:r w:rsidRPr="00E40163">
        <w:rPr>
          <w:sz w:val="28"/>
          <w:szCs w:val="28"/>
        </w:rPr>
        <w:t xml:space="preserve"> горного месторождения серпентинитов</w:t>
      </w:r>
      <w:r w:rsidR="00F55137" w:rsidRPr="00E40163">
        <w:rPr>
          <w:sz w:val="28"/>
          <w:szCs w:val="28"/>
        </w:rPr>
        <w:t xml:space="preserve">, производству абразивных материалов и </w:t>
      </w:r>
      <w:r w:rsidR="00F74D45" w:rsidRPr="00E40163">
        <w:rPr>
          <w:sz w:val="28"/>
          <w:szCs w:val="28"/>
        </w:rPr>
        <w:t xml:space="preserve">добыче россыпного золота </w:t>
      </w:r>
      <w:r w:rsidR="00F55137" w:rsidRPr="00E40163">
        <w:rPr>
          <w:sz w:val="28"/>
          <w:szCs w:val="28"/>
        </w:rPr>
        <w:t xml:space="preserve">на территории </w:t>
      </w:r>
      <w:r w:rsidR="00F74D45" w:rsidRPr="00E40163">
        <w:rPr>
          <w:sz w:val="28"/>
          <w:szCs w:val="28"/>
        </w:rPr>
        <w:t>Карабашского городского округа</w:t>
      </w:r>
      <w:r w:rsidRPr="00E40163">
        <w:rPr>
          <w:sz w:val="28"/>
          <w:szCs w:val="28"/>
        </w:rPr>
        <w:t xml:space="preserve"> планируется создать </w:t>
      </w:r>
      <w:r w:rsidR="00F55137" w:rsidRPr="00E40163">
        <w:rPr>
          <w:sz w:val="28"/>
          <w:szCs w:val="28"/>
        </w:rPr>
        <w:t xml:space="preserve"> </w:t>
      </w:r>
      <w:r w:rsidR="00F74D45" w:rsidRPr="00E40163">
        <w:rPr>
          <w:sz w:val="28"/>
          <w:szCs w:val="28"/>
        </w:rPr>
        <w:t xml:space="preserve"> </w:t>
      </w:r>
      <w:r w:rsidRPr="00E40163">
        <w:rPr>
          <w:sz w:val="28"/>
          <w:szCs w:val="28"/>
        </w:rPr>
        <w:t xml:space="preserve">288 </w:t>
      </w:r>
      <w:r w:rsidR="00F74D45" w:rsidRPr="00E40163">
        <w:rPr>
          <w:sz w:val="28"/>
          <w:szCs w:val="28"/>
        </w:rPr>
        <w:t>новых рабочих мест</w:t>
      </w:r>
      <w:r w:rsidR="00FE6D33" w:rsidRPr="00E40163">
        <w:rPr>
          <w:sz w:val="28"/>
          <w:szCs w:val="28"/>
        </w:rPr>
        <w:t>.</w:t>
      </w:r>
    </w:p>
    <w:p w:rsidR="00432D20" w:rsidRPr="00E40163" w:rsidRDefault="00346272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 xml:space="preserve">В 2017 году </w:t>
      </w:r>
      <w:r w:rsidR="00F55137" w:rsidRPr="00E40163">
        <w:rPr>
          <w:sz w:val="28"/>
          <w:szCs w:val="28"/>
        </w:rPr>
        <w:t xml:space="preserve">в округе </w:t>
      </w:r>
      <w:r w:rsidRPr="00E40163">
        <w:rPr>
          <w:sz w:val="28"/>
          <w:szCs w:val="28"/>
        </w:rPr>
        <w:t xml:space="preserve">создано 167 </w:t>
      </w:r>
      <w:r w:rsidR="000949FB" w:rsidRPr="00E40163">
        <w:rPr>
          <w:sz w:val="28"/>
          <w:szCs w:val="28"/>
        </w:rPr>
        <w:t xml:space="preserve">постоянных </w:t>
      </w:r>
      <w:r w:rsidRPr="00E40163">
        <w:rPr>
          <w:sz w:val="28"/>
          <w:szCs w:val="28"/>
        </w:rPr>
        <w:t xml:space="preserve">рабочих мест, </w:t>
      </w:r>
      <w:r w:rsidR="00F74D45" w:rsidRPr="00E40163">
        <w:rPr>
          <w:sz w:val="28"/>
          <w:szCs w:val="28"/>
        </w:rPr>
        <w:t>из них 77 мест на</w:t>
      </w:r>
      <w:r w:rsidR="00F55137" w:rsidRPr="00E40163">
        <w:rPr>
          <w:sz w:val="28"/>
          <w:szCs w:val="28"/>
        </w:rPr>
        <w:t xml:space="preserve"> </w:t>
      </w:r>
      <w:proofErr w:type="spellStart"/>
      <w:r w:rsidR="00F55137" w:rsidRPr="00E40163">
        <w:rPr>
          <w:sz w:val="28"/>
          <w:szCs w:val="28"/>
        </w:rPr>
        <w:t>градообразущем</w:t>
      </w:r>
      <w:proofErr w:type="spellEnd"/>
      <w:r w:rsidR="00F74D45" w:rsidRPr="00E40163">
        <w:rPr>
          <w:sz w:val="28"/>
          <w:szCs w:val="28"/>
        </w:rPr>
        <w:t xml:space="preserve"> предприятии ЗАО «</w:t>
      </w:r>
      <w:proofErr w:type="spellStart"/>
      <w:r w:rsidR="00F74D45" w:rsidRPr="00E40163">
        <w:rPr>
          <w:sz w:val="28"/>
          <w:szCs w:val="28"/>
        </w:rPr>
        <w:t>Карабашмедь</w:t>
      </w:r>
      <w:proofErr w:type="spellEnd"/>
      <w:r w:rsidR="00F74D45" w:rsidRPr="00E40163">
        <w:rPr>
          <w:sz w:val="28"/>
          <w:szCs w:val="28"/>
        </w:rPr>
        <w:t>»</w:t>
      </w:r>
      <w:r w:rsidR="00F55137" w:rsidRPr="00E40163">
        <w:rPr>
          <w:sz w:val="28"/>
          <w:szCs w:val="28"/>
        </w:rPr>
        <w:t xml:space="preserve">. Кроме того, </w:t>
      </w:r>
      <w:r w:rsidRPr="00E40163">
        <w:rPr>
          <w:sz w:val="28"/>
          <w:szCs w:val="28"/>
        </w:rPr>
        <w:t xml:space="preserve"> 120 </w:t>
      </w:r>
      <w:r w:rsidR="00FE6D33" w:rsidRPr="00E40163">
        <w:rPr>
          <w:sz w:val="28"/>
          <w:szCs w:val="28"/>
        </w:rPr>
        <w:t>временных рабочих мест на предприятиях малого бизнеса.</w:t>
      </w:r>
      <w:r w:rsidRPr="00E40163">
        <w:rPr>
          <w:sz w:val="28"/>
          <w:szCs w:val="28"/>
        </w:rPr>
        <w:t xml:space="preserve"> </w:t>
      </w:r>
    </w:p>
    <w:p w:rsidR="00432D20" w:rsidRPr="00E40163" w:rsidRDefault="00432D20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 xml:space="preserve">По данным органов федеральной статистики средняя заработная плата в целом по городскому округу в  2017 году составила 29525,0 руб., что составляет 105,3 % к прошлому году. </w:t>
      </w:r>
      <w:r w:rsidR="00D849DD" w:rsidRPr="00E40163">
        <w:rPr>
          <w:sz w:val="28"/>
          <w:szCs w:val="28"/>
        </w:rPr>
        <w:t xml:space="preserve">В том числе на крупных и </w:t>
      </w:r>
      <w:r w:rsidR="00A250CB" w:rsidRPr="00E40163">
        <w:rPr>
          <w:sz w:val="28"/>
          <w:szCs w:val="28"/>
        </w:rPr>
        <w:t xml:space="preserve">средних предприятиях 29350,8 </w:t>
      </w:r>
      <w:r w:rsidR="00D849DD" w:rsidRPr="00E40163">
        <w:rPr>
          <w:sz w:val="28"/>
          <w:szCs w:val="28"/>
        </w:rPr>
        <w:t>рублей.</w:t>
      </w:r>
      <w:r w:rsidRPr="00E40163">
        <w:rPr>
          <w:sz w:val="28"/>
          <w:szCs w:val="28"/>
        </w:rPr>
        <w:t xml:space="preserve"> </w:t>
      </w:r>
      <w:r w:rsidR="00F55137" w:rsidRPr="00E40163">
        <w:rPr>
          <w:sz w:val="28"/>
          <w:szCs w:val="28"/>
        </w:rPr>
        <w:t>Ежегодно отмечается увеличение заработной платы более</w:t>
      </w:r>
      <w:proofErr w:type="gramStart"/>
      <w:r w:rsidR="00F55137" w:rsidRPr="00E40163">
        <w:rPr>
          <w:sz w:val="28"/>
          <w:szCs w:val="28"/>
        </w:rPr>
        <w:t>,</w:t>
      </w:r>
      <w:proofErr w:type="gramEnd"/>
      <w:r w:rsidR="00F55137" w:rsidRPr="00E40163">
        <w:rPr>
          <w:sz w:val="28"/>
          <w:szCs w:val="28"/>
        </w:rPr>
        <w:t xml:space="preserve"> чем на 5% на </w:t>
      </w:r>
      <w:r w:rsidRPr="00E40163">
        <w:rPr>
          <w:sz w:val="28"/>
          <w:szCs w:val="28"/>
        </w:rPr>
        <w:t>предприятиях ЗАО «</w:t>
      </w:r>
      <w:proofErr w:type="spellStart"/>
      <w:r w:rsidRPr="00E40163">
        <w:rPr>
          <w:sz w:val="28"/>
          <w:szCs w:val="28"/>
        </w:rPr>
        <w:t>Карабашмедь</w:t>
      </w:r>
      <w:proofErr w:type="spellEnd"/>
      <w:r w:rsidRPr="00E40163">
        <w:rPr>
          <w:sz w:val="28"/>
          <w:szCs w:val="28"/>
        </w:rPr>
        <w:t>» и ООО «</w:t>
      </w:r>
      <w:proofErr w:type="spellStart"/>
      <w:r w:rsidRPr="00E40163">
        <w:rPr>
          <w:sz w:val="28"/>
          <w:szCs w:val="28"/>
        </w:rPr>
        <w:t>Карабашский</w:t>
      </w:r>
      <w:proofErr w:type="spellEnd"/>
      <w:r w:rsidRPr="00E40163">
        <w:rPr>
          <w:sz w:val="28"/>
          <w:szCs w:val="28"/>
        </w:rPr>
        <w:t xml:space="preserve"> абразивный завод». Самая ни</w:t>
      </w:r>
      <w:r w:rsidR="00F55137" w:rsidRPr="00E40163">
        <w:rPr>
          <w:sz w:val="28"/>
          <w:szCs w:val="28"/>
        </w:rPr>
        <w:t xml:space="preserve">зкая заработная плата </w:t>
      </w:r>
      <w:r w:rsidRPr="00E40163">
        <w:rPr>
          <w:sz w:val="28"/>
          <w:szCs w:val="28"/>
        </w:rPr>
        <w:t xml:space="preserve">в </w:t>
      </w:r>
      <w:r w:rsidR="00F55137" w:rsidRPr="00E40163">
        <w:rPr>
          <w:sz w:val="28"/>
          <w:szCs w:val="28"/>
        </w:rPr>
        <w:t xml:space="preserve">сфере </w:t>
      </w:r>
      <w:r w:rsidRPr="00E40163">
        <w:rPr>
          <w:sz w:val="28"/>
          <w:szCs w:val="28"/>
        </w:rPr>
        <w:t>торговл</w:t>
      </w:r>
      <w:r w:rsidR="00F55137" w:rsidRPr="00E40163">
        <w:rPr>
          <w:sz w:val="28"/>
          <w:szCs w:val="28"/>
        </w:rPr>
        <w:t>и</w:t>
      </w:r>
      <w:r w:rsidRPr="00E40163">
        <w:rPr>
          <w:sz w:val="28"/>
          <w:szCs w:val="28"/>
        </w:rPr>
        <w:t xml:space="preserve"> и</w:t>
      </w:r>
      <w:r w:rsidR="000949FB" w:rsidRPr="00E40163">
        <w:rPr>
          <w:sz w:val="28"/>
          <w:szCs w:val="28"/>
        </w:rPr>
        <w:t xml:space="preserve"> услуг.</w:t>
      </w:r>
      <w:r w:rsidRPr="00E40163">
        <w:rPr>
          <w:sz w:val="28"/>
          <w:szCs w:val="28"/>
        </w:rPr>
        <w:t xml:space="preserve"> </w:t>
      </w:r>
    </w:p>
    <w:p w:rsidR="00432D20" w:rsidRPr="00E40163" w:rsidRDefault="00432D20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 xml:space="preserve">Задолженность по выдаче заработной платы на предприятиях городского округа отсутствует.  </w:t>
      </w:r>
    </w:p>
    <w:p w:rsidR="007F309E" w:rsidRPr="00E40163" w:rsidRDefault="007F309E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 xml:space="preserve">Оборот всех организаций Карабашского городского округа за 2017 год составил </w:t>
      </w:r>
      <w:r w:rsidR="00F55137" w:rsidRPr="00E40163">
        <w:rPr>
          <w:sz w:val="28"/>
          <w:szCs w:val="28"/>
        </w:rPr>
        <w:t xml:space="preserve">в сумме </w:t>
      </w:r>
      <w:r w:rsidRPr="00E40163">
        <w:rPr>
          <w:sz w:val="28"/>
          <w:szCs w:val="28"/>
        </w:rPr>
        <w:t>14972,1 млн. рублей, что составляет 115,6 процентов к уровню 2016 года. В данном показателе основную долю – 81,0 процент занимает оборот промышленных организаций, который за отчетный период составил 11985,4 млн. рублей или 122,0 процента к прошлому году.</w:t>
      </w:r>
    </w:p>
    <w:p w:rsidR="007F309E" w:rsidRPr="00E40163" w:rsidRDefault="007F309E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lastRenderedPageBreak/>
        <w:t>Доля оборота  градообразующего предприятия в общем объеме промышленного производства составляет  98,4 процента.</w:t>
      </w:r>
    </w:p>
    <w:p w:rsidR="007F309E" w:rsidRPr="00E40163" w:rsidRDefault="007F309E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 xml:space="preserve">Объем инвестиций в основной капитал по организациям всех форм собственности за отчетный год составил 1862,0 млн. рублей, что составляет 59,5 процента к 2016 году. </w:t>
      </w:r>
      <w:r w:rsidR="00F55137" w:rsidRPr="00E40163">
        <w:rPr>
          <w:sz w:val="28"/>
          <w:szCs w:val="28"/>
        </w:rPr>
        <w:t>В</w:t>
      </w:r>
      <w:r w:rsidR="00F966C7" w:rsidRPr="00E40163">
        <w:rPr>
          <w:sz w:val="28"/>
          <w:szCs w:val="28"/>
        </w:rPr>
        <w:t xml:space="preserve"> рамках Концепции развития Карабашского городского округа</w:t>
      </w:r>
      <w:r w:rsidR="00810322" w:rsidRPr="00E40163">
        <w:rPr>
          <w:sz w:val="28"/>
          <w:szCs w:val="28"/>
        </w:rPr>
        <w:t xml:space="preserve"> (далее – Концепция), </w:t>
      </w:r>
      <w:r w:rsidR="00F966C7" w:rsidRPr="00E40163">
        <w:rPr>
          <w:sz w:val="28"/>
          <w:szCs w:val="28"/>
        </w:rPr>
        <w:t xml:space="preserve"> </w:t>
      </w:r>
      <w:r w:rsidR="00810322" w:rsidRPr="00E40163">
        <w:rPr>
          <w:sz w:val="28"/>
          <w:szCs w:val="28"/>
        </w:rPr>
        <w:t xml:space="preserve">разработанной </w:t>
      </w:r>
      <w:r w:rsidR="002A3E4B" w:rsidRPr="00E40163">
        <w:rPr>
          <w:sz w:val="28"/>
          <w:szCs w:val="28"/>
        </w:rPr>
        <w:t>АО «</w:t>
      </w:r>
      <w:r w:rsidR="00810322" w:rsidRPr="00E40163">
        <w:rPr>
          <w:sz w:val="28"/>
          <w:szCs w:val="28"/>
        </w:rPr>
        <w:t xml:space="preserve">Русская медная компания» совместно с региональным  руководством и администрацией </w:t>
      </w:r>
      <w:r w:rsidR="0054559C" w:rsidRPr="00E40163">
        <w:rPr>
          <w:sz w:val="28"/>
          <w:szCs w:val="28"/>
        </w:rPr>
        <w:t xml:space="preserve">Карабашского городского </w:t>
      </w:r>
      <w:r w:rsidR="00810322" w:rsidRPr="00E40163">
        <w:rPr>
          <w:sz w:val="28"/>
          <w:szCs w:val="28"/>
        </w:rPr>
        <w:t xml:space="preserve">округа на 2016-2021 годы </w:t>
      </w:r>
      <w:r w:rsidR="00F55137" w:rsidRPr="00E40163">
        <w:rPr>
          <w:sz w:val="28"/>
          <w:szCs w:val="28"/>
        </w:rPr>
        <w:t xml:space="preserve">в 2017 году </w:t>
      </w:r>
      <w:r w:rsidR="0054559C" w:rsidRPr="00E40163">
        <w:rPr>
          <w:sz w:val="28"/>
          <w:szCs w:val="28"/>
        </w:rPr>
        <w:t xml:space="preserve">на территорию городского округа </w:t>
      </w:r>
      <w:r w:rsidR="00F55137" w:rsidRPr="00E40163">
        <w:rPr>
          <w:sz w:val="28"/>
          <w:szCs w:val="28"/>
        </w:rPr>
        <w:t xml:space="preserve">завершено </w:t>
      </w:r>
      <w:r w:rsidR="00F966C7" w:rsidRPr="00E40163">
        <w:rPr>
          <w:sz w:val="28"/>
          <w:szCs w:val="28"/>
        </w:rPr>
        <w:t>строительство физкультурно-оздоровительного комплекса</w:t>
      </w:r>
      <w:r w:rsidR="00F55137" w:rsidRPr="00E40163">
        <w:rPr>
          <w:sz w:val="28"/>
          <w:szCs w:val="28"/>
        </w:rPr>
        <w:t xml:space="preserve"> и </w:t>
      </w:r>
      <w:r w:rsidR="00F966C7" w:rsidRPr="00E40163">
        <w:rPr>
          <w:sz w:val="28"/>
          <w:szCs w:val="28"/>
        </w:rPr>
        <w:t>проведена реконструкция санатория – профилактория «</w:t>
      </w:r>
      <w:proofErr w:type="spellStart"/>
      <w:r w:rsidR="00F966C7" w:rsidRPr="00E40163">
        <w:rPr>
          <w:sz w:val="28"/>
          <w:szCs w:val="28"/>
        </w:rPr>
        <w:t>Синегорье</w:t>
      </w:r>
      <w:proofErr w:type="spellEnd"/>
      <w:r w:rsidR="00F966C7" w:rsidRPr="00E40163">
        <w:rPr>
          <w:sz w:val="28"/>
          <w:szCs w:val="28"/>
        </w:rPr>
        <w:t xml:space="preserve">». </w:t>
      </w:r>
      <w:r w:rsidR="006972BA" w:rsidRPr="00E40163">
        <w:rPr>
          <w:sz w:val="28"/>
          <w:szCs w:val="28"/>
        </w:rPr>
        <w:t>В 2017 году с</w:t>
      </w:r>
      <w:r w:rsidRPr="00E40163">
        <w:rPr>
          <w:sz w:val="28"/>
          <w:szCs w:val="28"/>
        </w:rPr>
        <w:t>нижение объема инвестиций произошло за счет  сокращения финансирования инвестиционного проекта по модернизации металлургического производства ЗАО «</w:t>
      </w:r>
      <w:proofErr w:type="spellStart"/>
      <w:r w:rsidRPr="00E40163">
        <w:rPr>
          <w:sz w:val="28"/>
          <w:szCs w:val="28"/>
        </w:rPr>
        <w:t>Карабашмедь</w:t>
      </w:r>
      <w:proofErr w:type="spellEnd"/>
      <w:r w:rsidRPr="00E40163">
        <w:rPr>
          <w:sz w:val="28"/>
          <w:szCs w:val="28"/>
        </w:rPr>
        <w:t xml:space="preserve">» по отношению к прошлому году. </w:t>
      </w:r>
      <w:r w:rsidR="00F966C7" w:rsidRPr="00E40163">
        <w:rPr>
          <w:sz w:val="28"/>
          <w:szCs w:val="28"/>
        </w:rPr>
        <w:t>В 2018-2020 годах  запланировано завершение строительства торгово-развлекательного центра</w:t>
      </w:r>
      <w:r w:rsidR="00F55137" w:rsidRPr="00E40163">
        <w:rPr>
          <w:sz w:val="28"/>
          <w:szCs w:val="28"/>
        </w:rPr>
        <w:t>, начало</w:t>
      </w:r>
      <w:r w:rsidR="00F966C7" w:rsidRPr="00E40163">
        <w:rPr>
          <w:sz w:val="28"/>
          <w:szCs w:val="28"/>
        </w:rPr>
        <w:t xml:space="preserve"> строительства нового микрорайона «Золотая горка», строительство объектов инженерной инфраструктуры, </w:t>
      </w:r>
      <w:r w:rsidR="00F55137" w:rsidRPr="00E40163">
        <w:rPr>
          <w:sz w:val="28"/>
          <w:szCs w:val="28"/>
        </w:rPr>
        <w:t xml:space="preserve">и </w:t>
      </w:r>
      <w:r w:rsidR="002A3E4B" w:rsidRPr="00E40163">
        <w:rPr>
          <w:sz w:val="28"/>
          <w:szCs w:val="28"/>
        </w:rPr>
        <w:t>центральн</w:t>
      </w:r>
      <w:r w:rsidR="00F966C7" w:rsidRPr="00E40163">
        <w:rPr>
          <w:sz w:val="28"/>
          <w:szCs w:val="28"/>
        </w:rPr>
        <w:t>ой площади.</w:t>
      </w:r>
      <w:r w:rsidR="00583BC1" w:rsidRPr="00E40163">
        <w:rPr>
          <w:sz w:val="28"/>
          <w:szCs w:val="28"/>
        </w:rPr>
        <w:t xml:space="preserve"> </w:t>
      </w:r>
    </w:p>
    <w:p w:rsidR="00432D20" w:rsidRPr="00E40163" w:rsidRDefault="00432D20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 xml:space="preserve">На рынке товаров и услуг ежегодно отмечается рост </w:t>
      </w:r>
      <w:r w:rsidR="002E4F86" w:rsidRPr="00E40163">
        <w:rPr>
          <w:sz w:val="28"/>
          <w:szCs w:val="28"/>
        </w:rPr>
        <w:t>оборота предприятий на 3-5%</w:t>
      </w:r>
      <w:r w:rsidRPr="00E40163">
        <w:rPr>
          <w:sz w:val="28"/>
          <w:szCs w:val="28"/>
        </w:rPr>
        <w:t xml:space="preserve">. Так, товарооборот во всех каналах реализации за 2017 год  составил 1555,9 млн. рублей, что составляет 104,4 % к прошлому году. </w:t>
      </w:r>
    </w:p>
    <w:p w:rsidR="00432D20" w:rsidRPr="00E40163" w:rsidRDefault="00432D20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 xml:space="preserve">Объем платных услуг населению с начала года  составил в сумме 483,0 млн. рублей или  107,6 % к уровню 2016 года. </w:t>
      </w:r>
    </w:p>
    <w:p w:rsidR="00432D20" w:rsidRPr="00E40163" w:rsidRDefault="00432D20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Денежные доходы населения с начала года составили  1844,8 млн. рублей, в расчете на душу населения – 13503 ру</w:t>
      </w:r>
      <w:r w:rsidR="00F966C7" w:rsidRPr="00E40163">
        <w:rPr>
          <w:sz w:val="28"/>
          <w:szCs w:val="28"/>
        </w:rPr>
        <w:t>бля.</w:t>
      </w:r>
      <w:r w:rsidRPr="00E40163">
        <w:rPr>
          <w:sz w:val="28"/>
          <w:szCs w:val="28"/>
        </w:rPr>
        <w:t xml:space="preserve"> </w:t>
      </w:r>
      <w:r w:rsidR="0054559C" w:rsidRPr="00E40163">
        <w:rPr>
          <w:sz w:val="28"/>
          <w:szCs w:val="28"/>
        </w:rPr>
        <w:t>Расходы ориентировочно -</w:t>
      </w:r>
      <w:r w:rsidR="00F966C7" w:rsidRPr="00E40163">
        <w:rPr>
          <w:sz w:val="28"/>
          <w:szCs w:val="28"/>
        </w:rPr>
        <w:t xml:space="preserve">  1555,9 млн. рублей.</w:t>
      </w:r>
    </w:p>
    <w:p w:rsidR="000949FB" w:rsidRPr="00E40163" w:rsidRDefault="000949FB" w:rsidP="00E40163">
      <w:pPr>
        <w:ind w:firstLine="709"/>
        <w:jc w:val="both"/>
        <w:rPr>
          <w:sz w:val="28"/>
          <w:szCs w:val="28"/>
        </w:rPr>
      </w:pPr>
      <w:r w:rsidRPr="00E40163">
        <w:rPr>
          <w:sz w:val="28"/>
          <w:szCs w:val="28"/>
        </w:rPr>
        <w:t xml:space="preserve">На территории Карабашского городского округа количество субъектов малого  предпринимательства, зарегистрированных Федеральной налоговой службой, по состоянию на 01.01.2018 года, - 366, в том числе 6 малых предприятий, 78 </w:t>
      </w:r>
      <w:proofErr w:type="spellStart"/>
      <w:r w:rsidRPr="00E40163">
        <w:rPr>
          <w:sz w:val="28"/>
          <w:szCs w:val="28"/>
        </w:rPr>
        <w:t>микропредприятий</w:t>
      </w:r>
      <w:proofErr w:type="spellEnd"/>
      <w:r w:rsidRPr="00E40163">
        <w:rPr>
          <w:sz w:val="28"/>
          <w:szCs w:val="28"/>
        </w:rPr>
        <w:t xml:space="preserve"> и 282 индивидуальных предпринимателя.</w:t>
      </w:r>
    </w:p>
    <w:p w:rsidR="000949FB" w:rsidRDefault="000949FB" w:rsidP="000949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последние годы динамика развития малого и среднего предпринимательства городского округа является отрицательной.</w:t>
      </w:r>
    </w:p>
    <w:p w:rsidR="00E40163" w:rsidRDefault="00E40163" w:rsidP="000949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993"/>
        <w:gridCol w:w="992"/>
        <w:gridCol w:w="850"/>
        <w:gridCol w:w="993"/>
        <w:gridCol w:w="992"/>
        <w:gridCol w:w="992"/>
        <w:gridCol w:w="1276"/>
      </w:tblGrid>
      <w:tr w:rsidR="000949FB" w:rsidTr="00E40163">
        <w:trPr>
          <w:cantSplit/>
          <w:trHeight w:val="8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ind w:left="3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2011</w:t>
            </w:r>
          </w:p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2012</w:t>
            </w:r>
          </w:p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2013</w:t>
            </w:r>
          </w:p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2014</w:t>
            </w:r>
          </w:p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2015</w:t>
            </w:r>
          </w:p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2016</w:t>
            </w:r>
          </w:p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2017</w:t>
            </w:r>
          </w:p>
          <w:p w:rsidR="000949FB" w:rsidRDefault="000949FB">
            <w:pPr>
              <w:pStyle w:val="ConsPlusTitle"/>
              <w:ind w:left="-70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949FB" w:rsidTr="00E40163">
        <w:trPr>
          <w:trHeight w:val="10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ind w:left="3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Количество субъектов малого и среднего предпринимательства, </w:t>
            </w:r>
          </w:p>
          <w:p w:rsidR="000949FB" w:rsidRDefault="000949FB">
            <w:pPr>
              <w:pStyle w:val="ConsPlusTitle"/>
              <w:spacing w:after="12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366</w:t>
            </w:r>
          </w:p>
        </w:tc>
      </w:tr>
      <w:tr w:rsidR="000949FB" w:rsidTr="00E40163">
        <w:trPr>
          <w:trHeight w:val="5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- малые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84</w:t>
            </w:r>
          </w:p>
        </w:tc>
      </w:tr>
      <w:tr w:rsidR="000949FB" w:rsidTr="00E40163">
        <w:trPr>
          <w:trHeight w:val="7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a6"/>
              <w:spacing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282</w:t>
            </w:r>
          </w:p>
        </w:tc>
      </w:tr>
      <w:tr w:rsidR="000949FB" w:rsidTr="00E40163">
        <w:trPr>
          <w:trHeight w:val="15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a6"/>
              <w:spacing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объема отгруженных товаров, выполненных работ в общегородском объеме,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16,9</w:t>
            </w:r>
          </w:p>
        </w:tc>
      </w:tr>
      <w:tr w:rsidR="000949FB" w:rsidTr="00E40163">
        <w:trPr>
          <w:trHeight w:val="6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занятых в малом бизнесе,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1043</w:t>
            </w:r>
          </w:p>
        </w:tc>
      </w:tr>
      <w:tr w:rsidR="000949FB" w:rsidTr="00E40163">
        <w:trPr>
          <w:trHeight w:val="7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a6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Среднемесячная заработная плата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B" w:rsidRDefault="000949FB">
            <w:pPr>
              <w:pStyle w:val="ConsPlusTitle"/>
              <w:spacing w:after="120"/>
              <w:ind w:left="-108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14,5</w:t>
            </w:r>
          </w:p>
        </w:tc>
      </w:tr>
    </w:tbl>
    <w:p w:rsidR="000949FB" w:rsidRDefault="000949FB" w:rsidP="000949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949FB" w:rsidRDefault="000949FB" w:rsidP="00E401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Доля малых предприятий в обороте предприятий по экономике в целом поступательно снижается. Отмечается снижение численности субъектов малого предпринимательства.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Одним из основных факторов сокращения численности СМП </w:t>
      </w:r>
      <w:r>
        <w:rPr>
          <w:sz w:val="28"/>
          <w:szCs w:val="28"/>
        </w:rPr>
        <w:t>является рост  размера страховых взносов, подлежащих уплате на обязательное пенсионное страхование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Кроме того, </w:t>
      </w:r>
      <w:r>
        <w:rPr>
          <w:color w:val="000000"/>
          <w:sz w:val="28"/>
          <w:szCs w:val="28"/>
          <w:shd w:val="clear" w:color="auto" w:fill="FFFFFF"/>
        </w:rPr>
        <w:t>открытие в период с 2011 года 4 крупных сетевых торговых объектов  на 11 тыс.человек населения усугубило развитие предприятий мелкорозничной торговли, так как основная доля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hyperlink r:id="rId5" w:tooltip="Малое предпринимательство" w:history="1">
        <w:r w:rsidRPr="001F504D">
          <w:rPr>
            <w:rStyle w:val="af0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малого предпринимательства</w:t>
        </w:r>
      </w:hyperlink>
      <w:r w:rsidRPr="001F50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сосредоточена в основном в сферах торговли и предоставления услуг населению. </w:t>
      </w:r>
    </w:p>
    <w:p w:rsidR="000949FB" w:rsidRDefault="000949FB" w:rsidP="00E401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Отсутствие средних и крупных предприятий, за исключением одного градообразующего предприятия, является причиной наличия низкой покупательской способности населения и способствует миграционному оттоку трудоспособного населения, что приводит к снижению числа квалифицированных кадров. Все эти факторы влияют на развитие малого предпринимательства городского округа.</w:t>
      </w:r>
      <w:r>
        <w:rPr>
          <w:color w:val="000000"/>
          <w:sz w:val="28"/>
          <w:szCs w:val="28"/>
        </w:rPr>
        <w:t xml:space="preserve"> </w:t>
      </w:r>
    </w:p>
    <w:p w:rsidR="000949FB" w:rsidRDefault="000949FB" w:rsidP="00E401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Имеются факты  неформальной занятости в сфере малого и  среднего предпринимательства, что связано в первую очередь со сложными процедурами государственного регулирования, высоким уровнем финансовой нагрузки. </w:t>
      </w:r>
    </w:p>
    <w:p w:rsidR="00FE6D33" w:rsidRPr="000949FB" w:rsidRDefault="000949FB" w:rsidP="000949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Недостаточность собственного капитала и оборотных средств, трудности с получением банковских кредитов,  ограниченный доступ СМП к рынкам сбыта в сравнении с крупными предприятиями влияет на инвестиционную  активность малых предприятий. </w:t>
      </w:r>
    </w:p>
    <w:p w:rsidR="00FE6D33" w:rsidRPr="0004529E" w:rsidRDefault="000949FB" w:rsidP="006972B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D849DD" w:rsidRPr="0004529E">
        <w:rPr>
          <w:color w:val="000000" w:themeColor="text1"/>
          <w:sz w:val="28"/>
          <w:szCs w:val="28"/>
        </w:rPr>
        <w:t xml:space="preserve"> 2017</w:t>
      </w:r>
      <w:r w:rsidR="00FE6D33" w:rsidRPr="0004529E">
        <w:rPr>
          <w:color w:val="000000" w:themeColor="text1"/>
          <w:sz w:val="28"/>
          <w:szCs w:val="28"/>
        </w:rPr>
        <w:t xml:space="preserve"> году количество занят</w:t>
      </w:r>
      <w:r w:rsidR="00583BC1" w:rsidRPr="0004529E">
        <w:rPr>
          <w:color w:val="000000" w:themeColor="text1"/>
          <w:sz w:val="28"/>
          <w:szCs w:val="28"/>
        </w:rPr>
        <w:t>ых в малом бизнесе составило 1</w:t>
      </w:r>
      <w:r w:rsidR="00F966C7" w:rsidRPr="0004529E">
        <w:rPr>
          <w:color w:val="000000" w:themeColor="text1"/>
          <w:sz w:val="28"/>
          <w:szCs w:val="28"/>
        </w:rPr>
        <w:t>04</w:t>
      </w:r>
      <w:r w:rsidR="00583BC1" w:rsidRPr="0004529E">
        <w:rPr>
          <w:color w:val="000000" w:themeColor="text1"/>
          <w:sz w:val="28"/>
          <w:szCs w:val="28"/>
        </w:rPr>
        <w:t xml:space="preserve">3 </w:t>
      </w:r>
      <w:r w:rsidR="00FE6D33" w:rsidRPr="0004529E">
        <w:rPr>
          <w:color w:val="000000" w:themeColor="text1"/>
          <w:sz w:val="28"/>
          <w:szCs w:val="28"/>
        </w:rPr>
        <w:t>человек</w:t>
      </w:r>
      <w:r w:rsidR="00583BC1" w:rsidRPr="0004529E">
        <w:rPr>
          <w:color w:val="000000" w:themeColor="text1"/>
          <w:sz w:val="28"/>
          <w:szCs w:val="28"/>
        </w:rPr>
        <w:t>а</w:t>
      </w:r>
      <w:r w:rsidR="00FE6D33" w:rsidRPr="0004529E">
        <w:rPr>
          <w:color w:val="000000" w:themeColor="text1"/>
          <w:sz w:val="28"/>
          <w:szCs w:val="28"/>
        </w:rPr>
        <w:t xml:space="preserve"> или 24,1% от общего числа занятых в экономике, снижение </w:t>
      </w:r>
      <w:r w:rsidR="0054559C">
        <w:rPr>
          <w:color w:val="000000" w:themeColor="text1"/>
          <w:sz w:val="28"/>
          <w:szCs w:val="28"/>
        </w:rPr>
        <w:t>по отношению к прошлому году 65 человек</w:t>
      </w:r>
      <w:r w:rsidR="00FE6D33" w:rsidRPr="0004529E">
        <w:rPr>
          <w:color w:val="000000" w:themeColor="text1"/>
          <w:sz w:val="28"/>
          <w:szCs w:val="28"/>
        </w:rPr>
        <w:t>.</w:t>
      </w:r>
      <w:r w:rsidR="00583BC1" w:rsidRPr="0004529E">
        <w:rPr>
          <w:color w:val="000000" w:themeColor="text1"/>
          <w:sz w:val="28"/>
          <w:szCs w:val="28"/>
        </w:rPr>
        <w:t xml:space="preserve"> В результате </w:t>
      </w:r>
      <w:proofErr w:type="gramStart"/>
      <w:r w:rsidR="00583BC1" w:rsidRPr="0004529E">
        <w:rPr>
          <w:color w:val="000000" w:themeColor="text1"/>
          <w:sz w:val="28"/>
          <w:szCs w:val="28"/>
        </w:rPr>
        <w:t>реализации</w:t>
      </w:r>
      <w:r w:rsidR="00F966C7" w:rsidRPr="0004529E">
        <w:rPr>
          <w:color w:val="000000" w:themeColor="text1"/>
          <w:sz w:val="28"/>
          <w:szCs w:val="28"/>
        </w:rPr>
        <w:t xml:space="preserve"> мероприятий Концепции развития городского округа</w:t>
      </w:r>
      <w:proofErr w:type="gramEnd"/>
      <w:r w:rsidR="00F966C7" w:rsidRPr="0004529E">
        <w:rPr>
          <w:color w:val="000000" w:themeColor="text1"/>
          <w:sz w:val="28"/>
          <w:szCs w:val="28"/>
        </w:rPr>
        <w:t xml:space="preserve"> </w:t>
      </w:r>
      <w:r w:rsidR="005314CF" w:rsidRPr="0004529E">
        <w:rPr>
          <w:color w:val="000000" w:themeColor="text1"/>
          <w:sz w:val="28"/>
          <w:szCs w:val="28"/>
        </w:rPr>
        <w:t>город станет более привлекательным для осуществления предпринимательской деятельности.</w:t>
      </w:r>
    </w:p>
    <w:p w:rsidR="00FE6D33" w:rsidRPr="0004529E" w:rsidRDefault="000949FB" w:rsidP="006972BA">
      <w:pPr>
        <w:ind w:firstLine="709"/>
        <w:jc w:val="both"/>
        <w:rPr>
          <w:color w:val="000000" w:themeColor="text1"/>
          <w:spacing w:val="1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Оборот субъектов малого </w:t>
      </w:r>
      <w:r w:rsidR="0061468C" w:rsidRPr="0004529E">
        <w:rPr>
          <w:color w:val="000000" w:themeColor="text1"/>
          <w:sz w:val="28"/>
          <w:szCs w:val="28"/>
        </w:rPr>
        <w:t>предпринимательства в 2017</w:t>
      </w:r>
      <w:r w:rsidR="00FE6D33" w:rsidRPr="0004529E">
        <w:rPr>
          <w:color w:val="000000" w:themeColor="text1"/>
          <w:sz w:val="28"/>
          <w:szCs w:val="28"/>
        </w:rPr>
        <w:t xml:space="preserve"> году составил 2197,7 млн. рублей, что п</w:t>
      </w:r>
      <w:r w:rsidR="0054559C">
        <w:rPr>
          <w:color w:val="000000" w:themeColor="text1"/>
          <w:sz w:val="28"/>
          <w:szCs w:val="28"/>
        </w:rPr>
        <w:t>о отношению к прошлому году 10</w:t>
      </w:r>
      <w:r w:rsidR="00FE6D33" w:rsidRPr="0004529E">
        <w:rPr>
          <w:color w:val="000000" w:themeColor="text1"/>
          <w:sz w:val="28"/>
          <w:szCs w:val="28"/>
        </w:rPr>
        <w:t>4</w:t>
      </w:r>
      <w:r w:rsidR="0054559C">
        <w:rPr>
          <w:color w:val="000000" w:themeColor="text1"/>
          <w:sz w:val="28"/>
          <w:szCs w:val="28"/>
        </w:rPr>
        <w:t>,9</w:t>
      </w:r>
      <w:r w:rsidR="00FE6D33" w:rsidRPr="0004529E">
        <w:rPr>
          <w:color w:val="000000" w:themeColor="text1"/>
          <w:sz w:val="28"/>
          <w:szCs w:val="28"/>
        </w:rPr>
        <w:t>%.</w:t>
      </w:r>
      <w:r>
        <w:rPr>
          <w:color w:val="000000" w:themeColor="text1"/>
          <w:sz w:val="28"/>
          <w:szCs w:val="28"/>
        </w:rPr>
        <w:t xml:space="preserve"> </w:t>
      </w:r>
    </w:p>
    <w:p w:rsidR="00FE6D33" w:rsidRPr="00941D40" w:rsidRDefault="00FE6D33" w:rsidP="006972BA">
      <w:pPr>
        <w:ind w:firstLine="709"/>
        <w:jc w:val="both"/>
        <w:rPr>
          <w:sz w:val="28"/>
          <w:szCs w:val="28"/>
        </w:rPr>
      </w:pPr>
      <w:r w:rsidRPr="00941D40">
        <w:rPr>
          <w:sz w:val="28"/>
          <w:szCs w:val="28"/>
        </w:rPr>
        <w:t>В деятельности субъектов малого предпринимательства развиваются услуги парикмахерских, по ремонту автомобилей, розничная торговля и общественное питание. Товарооборот от индивидуальной предпринимательс</w:t>
      </w:r>
      <w:r w:rsidR="00941D40" w:rsidRPr="00941D40">
        <w:rPr>
          <w:sz w:val="28"/>
          <w:szCs w:val="28"/>
        </w:rPr>
        <w:t>кой деятельности составил 1229,2</w:t>
      </w:r>
      <w:r w:rsidRPr="00941D40">
        <w:rPr>
          <w:sz w:val="28"/>
          <w:szCs w:val="28"/>
        </w:rPr>
        <w:t xml:space="preserve"> млн. рублей.</w:t>
      </w:r>
    </w:p>
    <w:p w:rsidR="00FE6D33" w:rsidRPr="006909CC" w:rsidRDefault="00FE6D33" w:rsidP="006972BA">
      <w:pPr>
        <w:ind w:firstLine="709"/>
        <w:jc w:val="both"/>
        <w:rPr>
          <w:sz w:val="28"/>
          <w:szCs w:val="28"/>
        </w:rPr>
      </w:pPr>
      <w:r w:rsidRPr="006909CC">
        <w:rPr>
          <w:sz w:val="28"/>
          <w:szCs w:val="28"/>
        </w:rPr>
        <w:t xml:space="preserve">В целях дальнейшего развития малого и среднего предпринимательства на территории Карабашского городского округа реализуется муниципальная Программа «Поддержка и развитие малого и среднего предпринимательства монопрофильной территории Карабашского городского округа Челябинской области на 2016 – 2018 годы» (далее – Программа). </w:t>
      </w:r>
    </w:p>
    <w:p w:rsidR="00FE6D33" w:rsidRPr="006909CC" w:rsidRDefault="00FE6D33" w:rsidP="006972BA">
      <w:pPr>
        <w:ind w:firstLine="709"/>
        <w:jc w:val="both"/>
        <w:rPr>
          <w:sz w:val="28"/>
          <w:szCs w:val="28"/>
        </w:rPr>
      </w:pPr>
      <w:r w:rsidRPr="006909CC">
        <w:rPr>
          <w:sz w:val="28"/>
          <w:szCs w:val="28"/>
        </w:rPr>
        <w:t>Программа предусматривает информационную, консультационную, имущественную, финансовую и иные формы поддержки субъектов малого и среднего предпринимательства Карабашского городского округа.</w:t>
      </w:r>
    </w:p>
    <w:p w:rsidR="00E40163" w:rsidRDefault="002E4F86" w:rsidP="00E4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941D40" w:rsidRPr="006909CC">
        <w:rPr>
          <w:sz w:val="28"/>
          <w:szCs w:val="28"/>
        </w:rPr>
        <w:t xml:space="preserve">В 2017 году привлечены средства из местного, областного и федерального бюджетов на финансовую поддержку </w:t>
      </w:r>
      <w:r w:rsidR="00941D40">
        <w:rPr>
          <w:sz w:val="28"/>
          <w:szCs w:val="28"/>
        </w:rPr>
        <w:t xml:space="preserve">в виде </w:t>
      </w:r>
      <w:r w:rsidR="00941D40">
        <w:rPr>
          <w:color w:val="000000"/>
          <w:sz w:val="28"/>
          <w:szCs w:val="28"/>
        </w:rPr>
        <w:t>п</w:t>
      </w:r>
      <w:r w:rsidR="00941D40" w:rsidRPr="00603F73">
        <w:rPr>
          <w:sz w:val="28"/>
          <w:szCs w:val="28"/>
        </w:rPr>
        <w:t>редоставлени</w:t>
      </w:r>
      <w:r w:rsidR="00941D40">
        <w:rPr>
          <w:sz w:val="28"/>
          <w:szCs w:val="28"/>
        </w:rPr>
        <w:t>я субсидии</w:t>
      </w:r>
      <w:r w:rsidR="00941D40" w:rsidRPr="00603F73">
        <w:rPr>
          <w:sz w:val="28"/>
          <w:szCs w:val="28"/>
        </w:rPr>
        <w:t xml:space="preserve"> </w:t>
      </w:r>
      <w:r w:rsidR="00941D40">
        <w:rPr>
          <w:sz w:val="28"/>
          <w:szCs w:val="28"/>
        </w:rPr>
        <w:t>СМСП</w:t>
      </w:r>
      <w:r w:rsidR="00941D40" w:rsidRPr="00603F73">
        <w:rPr>
          <w:sz w:val="28"/>
          <w:szCs w:val="28"/>
        </w:rPr>
        <w:t xml:space="preserve"> </w:t>
      </w:r>
      <w:r w:rsidR="00941D40">
        <w:rPr>
          <w:sz w:val="28"/>
          <w:szCs w:val="28"/>
        </w:rPr>
        <w:t>на возмещение</w:t>
      </w:r>
      <w:r w:rsidR="00941D40" w:rsidRPr="00603F73">
        <w:rPr>
          <w:sz w:val="28"/>
          <w:szCs w:val="28"/>
        </w:rPr>
        <w:t xml:space="preserve"> части затрат субъектов малого и среднего предпринимательства, связанных с уплатой первого взноса (аванса) при заключении договора </w:t>
      </w:r>
      <w:r w:rsidR="00941D40" w:rsidRPr="00603F73">
        <w:rPr>
          <w:sz w:val="28"/>
          <w:szCs w:val="28"/>
        </w:rPr>
        <w:lastRenderedPageBreak/>
        <w:t>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</w:t>
      </w:r>
      <w:r w:rsidR="00941D40" w:rsidRPr="00F75B79">
        <w:rPr>
          <w:sz w:val="28"/>
          <w:szCs w:val="28"/>
        </w:rPr>
        <w:t xml:space="preserve"> </w:t>
      </w:r>
      <w:r w:rsidR="00941D40" w:rsidRPr="006909CC">
        <w:rPr>
          <w:sz w:val="28"/>
          <w:szCs w:val="28"/>
        </w:rPr>
        <w:t>в общей сумме 1583</w:t>
      </w:r>
      <w:proofErr w:type="gramEnd"/>
      <w:r w:rsidR="00941D40" w:rsidRPr="006909CC">
        <w:rPr>
          <w:sz w:val="28"/>
          <w:szCs w:val="28"/>
        </w:rPr>
        <w:t xml:space="preserve"> тыс</w:t>
      </w:r>
      <w:proofErr w:type="gramStart"/>
      <w:r w:rsidR="00941D40" w:rsidRPr="006909CC">
        <w:rPr>
          <w:sz w:val="28"/>
          <w:szCs w:val="28"/>
        </w:rPr>
        <w:t>.р</w:t>
      </w:r>
      <w:proofErr w:type="gramEnd"/>
      <w:r w:rsidR="00941D40" w:rsidRPr="006909CC">
        <w:rPr>
          <w:sz w:val="28"/>
          <w:szCs w:val="28"/>
        </w:rPr>
        <w:t>ублей. Максимальный разм</w:t>
      </w:r>
      <w:r w:rsidR="002A3E4B">
        <w:rPr>
          <w:sz w:val="28"/>
          <w:szCs w:val="28"/>
        </w:rPr>
        <w:t>ер субсидии составил не более 12</w:t>
      </w:r>
      <w:r w:rsidR="00941D40" w:rsidRPr="006909CC">
        <w:rPr>
          <w:sz w:val="28"/>
          <w:szCs w:val="28"/>
        </w:rPr>
        <w:t>00 тыс</w:t>
      </w:r>
      <w:proofErr w:type="gramStart"/>
      <w:r w:rsidR="00941D40" w:rsidRPr="006909CC">
        <w:rPr>
          <w:sz w:val="28"/>
          <w:szCs w:val="28"/>
        </w:rPr>
        <w:t>.р</w:t>
      </w:r>
      <w:proofErr w:type="gramEnd"/>
      <w:r w:rsidR="00941D40" w:rsidRPr="006909CC">
        <w:rPr>
          <w:sz w:val="28"/>
          <w:szCs w:val="28"/>
        </w:rPr>
        <w:t>ублей. Получили финансовую поддержку 2 субъекта малого предпринимательства, осуществляющие  деятельность  по распиловке и строганию древесины.</w:t>
      </w:r>
    </w:p>
    <w:p w:rsidR="00941D40" w:rsidRPr="006909CC" w:rsidRDefault="00941D40" w:rsidP="00E40163">
      <w:pPr>
        <w:ind w:firstLine="708"/>
        <w:jc w:val="both"/>
        <w:rPr>
          <w:sz w:val="28"/>
          <w:szCs w:val="28"/>
        </w:rPr>
      </w:pPr>
      <w:r w:rsidRPr="006909CC">
        <w:rPr>
          <w:sz w:val="28"/>
          <w:szCs w:val="28"/>
        </w:rPr>
        <w:t>В рамках представ</w:t>
      </w:r>
      <w:r w:rsidR="00F75B79">
        <w:rPr>
          <w:sz w:val="28"/>
          <w:szCs w:val="28"/>
        </w:rPr>
        <w:t xml:space="preserve">ленных проектов в 2017 году создано </w:t>
      </w:r>
      <w:r w:rsidRPr="006909CC">
        <w:rPr>
          <w:sz w:val="28"/>
          <w:szCs w:val="28"/>
        </w:rPr>
        <w:t xml:space="preserve">дополнительно 5 новых рабочих мест. </w:t>
      </w:r>
    </w:p>
    <w:p w:rsidR="00FE6D33" w:rsidRPr="00F75B79" w:rsidRDefault="00F75B79" w:rsidP="006972B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FE6D33" w:rsidRPr="00F75B79">
        <w:rPr>
          <w:sz w:val="28"/>
          <w:szCs w:val="28"/>
        </w:rPr>
        <w:t>В рамках реализа</w:t>
      </w:r>
      <w:r w:rsidR="006909CC" w:rsidRPr="00F75B79">
        <w:rPr>
          <w:sz w:val="28"/>
          <w:szCs w:val="28"/>
        </w:rPr>
        <w:t>ции мероприятий Программы в 2017</w:t>
      </w:r>
      <w:r w:rsidR="00FE6D33" w:rsidRPr="00F75B79">
        <w:rPr>
          <w:sz w:val="28"/>
          <w:szCs w:val="28"/>
        </w:rPr>
        <w:t xml:space="preserve"> году проведено торжественное мероприятие, посвященное празднованию Дня российского предпринимательства в форме круглого стола, на котором лучших предпринимателей наградили почетными грамотами главы Карабашского городского округа и Собрания депутатов Карабашского городского округа.</w:t>
      </w:r>
    </w:p>
    <w:p w:rsidR="00FE6D33" w:rsidRPr="00F75B79" w:rsidRDefault="006909CC" w:rsidP="006972BA">
      <w:pPr>
        <w:ind w:firstLine="709"/>
        <w:jc w:val="both"/>
        <w:rPr>
          <w:sz w:val="28"/>
          <w:szCs w:val="28"/>
        </w:rPr>
      </w:pPr>
      <w:r w:rsidRPr="00F75B79">
        <w:rPr>
          <w:sz w:val="28"/>
          <w:szCs w:val="28"/>
        </w:rPr>
        <w:t>Проводились</w:t>
      </w:r>
      <w:r w:rsidR="00FE6D33" w:rsidRPr="00F75B79">
        <w:rPr>
          <w:sz w:val="28"/>
          <w:szCs w:val="28"/>
        </w:rPr>
        <w:t xml:space="preserve"> семинар</w:t>
      </w:r>
      <w:r w:rsidRPr="00F75B79">
        <w:rPr>
          <w:sz w:val="28"/>
          <w:szCs w:val="28"/>
        </w:rPr>
        <w:t xml:space="preserve">ы для субъектов малого </w:t>
      </w:r>
      <w:r w:rsidR="00FE6D33" w:rsidRPr="00F75B79">
        <w:rPr>
          <w:sz w:val="28"/>
          <w:szCs w:val="28"/>
        </w:rPr>
        <w:t xml:space="preserve"> предпринимательства</w:t>
      </w:r>
      <w:r w:rsidRPr="00F75B79">
        <w:rPr>
          <w:sz w:val="28"/>
          <w:szCs w:val="28"/>
        </w:rPr>
        <w:t xml:space="preserve">  с участием представителей налоговой службы, Пенсионного фонда, </w:t>
      </w:r>
      <w:r w:rsidR="00FE6D33" w:rsidRPr="00F75B79">
        <w:rPr>
          <w:sz w:val="28"/>
          <w:szCs w:val="28"/>
        </w:rPr>
        <w:t xml:space="preserve"> </w:t>
      </w:r>
      <w:r w:rsidRPr="00F75B79">
        <w:rPr>
          <w:sz w:val="28"/>
          <w:szCs w:val="28"/>
        </w:rPr>
        <w:t xml:space="preserve">обучающие семинары для начинающих предпринимателей и желающих открыть собственное дело. Кроме того, проведены </w:t>
      </w:r>
      <w:r w:rsidR="00F75B79" w:rsidRPr="00F75B79">
        <w:rPr>
          <w:sz w:val="28"/>
          <w:szCs w:val="28"/>
        </w:rPr>
        <w:t>мероприятия с участием главы Карабашского городского округа о реализации мероприятий Концепции развития Карабашского городского округа на 2016-2021 годы.</w:t>
      </w:r>
    </w:p>
    <w:p w:rsidR="00F75B79" w:rsidRPr="00F75B79" w:rsidRDefault="00FE6D33" w:rsidP="006972BA">
      <w:pPr>
        <w:ind w:firstLine="709"/>
        <w:jc w:val="both"/>
        <w:rPr>
          <w:sz w:val="28"/>
          <w:szCs w:val="28"/>
        </w:rPr>
      </w:pPr>
      <w:r w:rsidRPr="00F75B79">
        <w:rPr>
          <w:sz w:val="28"/>
          <w:szCs w:val="28"/>
        </w:rPr>
        <w:t>В рамках информационной поддержки осуществляет свою деятельность информационно-консультационный центр, созданный при Управлении экономики  администрации Карабашского городского округа, куда за информационной подд</w:t>
      </w:r>
      <w:r w:rsidR="00F75B79">
        <w:rPr>
          <w:sz w:val="28"/>
          <w:szCs w:val="28"/>
        </w:rPr>
        <w:t>ержкой в 2017</w:t>
      </w:r>
      <w:r w:rsidR="00F75B79" w:rsidRPr="00F75B79">
        <w:rPr>
          <w:sz w:val="28"/>
          <w:szCs w:val="28"/>
        </w:rPr>
        <w:t xml:space="preserve"> году обратилось 129 человек по вопросам предпринимательской деятельности.</w:t>
      </w:r>
      <w:r w:rsidRPr="00F75B79">
        <w:rPr>
          <w:sz w:val="28"/>
          <w:szCs w:val="28"/>
        </w:rPr>
        <w:t xml:space="preserve"> </w:t>
      </w:r>
    </w:p>
    <w:p w:rsidR="00FE6D33" w:rsidRPr="00F75B79" w:rsidRDefault="00FE6D33" w:rsidP="006972BA">
      <w:pPr>
        <w:ind w:firstLine="709"/>
        <w:jc w:val="both"/>
        <w:rPr>
          <w:sz w:val="28"/>
          <w:szCs w:val="28"/>
        </w:rPr>
      </w:pPr>
      <w:r w:rsidRPr="00F75B79">
        <w:rPr>
          <w:sz w:val="28"/>
          <w:szCs w:val="28"/>
        </w:rPr>
        <w:t xml:space="preserve">На официальном сайте администрации Карабашского городского округа отображается актуальная информация, касающаяся субъектов малого и среднего предпринимательства, изменений в местном, региональном и федеральном законодательстве, нормативные правовые акты Карабашского городского округа, а также информация об условиях и формах поддержки субъектов малого и среднего предпринимательства. </w:t>
      </w:r>
    </w:p>
    <w:p w:rsidR="00FE6D33" w:rsidRPr="00D83768" w:rsidRDefault="00D83768" w:rsidP="006972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83768">
        <w:rPr>
          <w:rFonts w:ascii="Times New Roman" w:hAnsi="Times New Roman"/>
          <w:sz w:val="28"/>
          <w:szCs w:val="28"/>
        </w:rPr>
        <w:t xml:space="preserve">На реализацию </w:t>
      </w:r>
      <w:r w:rsidR="00941D40" w:rsidRPr="00D83768">
        <w:rPr>
          <w:rFonts w:ascii="Times New Roman" w:hAnsi="Times New Roman"/>
          <w:sz w:val="28"/>
          <w:szCs w:val="28"/>
        </w:rPr>
        <w:t xml:space="preserve">Программы на 2018 год </w:t>
      </w:r>
      <w:r w:rsidRPr="00D83768">
        <w:rPr>
          <w:rFonts w:ascii="Times New Roman" w:hAnsi="Times New Roman"/>
          <w:sz w:val="28"/>
          <w:szCs w:val="28"/>
        </w:rPr>
        <w:t xml:space="preserve">в бюджете городского округа предусмотрены средства местного бюджета </w:t>
      </w:r>
      <w:r w:rsidR="00941D40" w:rsidRPr="00D83768">
        <w:rPr>
          <w:rFonts w:ascii="Times New Roman" w:hAnsi="Times New Roman"/>
          <w:sz w:val="28"/>
          <w:szCs w:val="28"/>
        </w:rPr>
        <w:t>в сумме 2</w:t>
      </w:r>
      <w:r w:rsidR="00FE6D33" w:rsidRPr="00D83768">
        <w:rPr>
          <w:rFonts w:ascii="Times New Roman" w:hAnsi="Times New Roman"/>
          <w:sz w:val="28"/>
          <w:szCs w:val="28"/>
        </w:rPr>
        <w:t>00 тыс. рублей</w:t>
      </w:r>
      <w:r w:rsidRPr="00D83768">
        <w:rPr>
          <w:rFonts w:ascii="Times New Roman" w:hAnsi="Times New Roman"/>
          <w:sz w:val="28"/>
          <w:szCs w:val="28"/>
        </w:rPr>
        <w:t>, которые будут направлены на проведение торжественного мероприятия, посвященного празднованию Дня российского предпринимательства и проведение конкурса «Лучший предприниматель года».</w:t>
      </w:r>
    </w:p>
    <w:p w:rsidR="00FE6D33" w:rsidRPr="006909CC" w:rsidRDefault="00FE6D33" w:rsidP="006972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909CC">
        <w:rPr>
          <w:rFonts w:ascii="Times New Roman" w:hAnsi="Times New Roman"/>
          <w:sz w:val="28"/>
          <w:szCs w:val="28"/>
        </w:rPr>
        <w:t>Администрацией Карабашского городского округа ведется работа по оказанию имущественной поддержки субъектов малого и среднего предпринимательства.</w:t>
      </w:r>
    </w:p>
    <w:p w:rsidR="00FE6D33" w:rsidRPr="006909CC" w:rsidRDefault="00FE6D33" w:rsidP="006972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909CC">
        <w:rPr>
          <w:rFonts w:ascii="Times New Roman" w:hAnsi="Times New Roman"/>
          <w:sz w:val="28"/>
          <w:szCs w:val="28"/>
        </w:rPr>
        <w:t>Сформирован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</w:t>
      </w:r>
      <w:r w:rsidR="00941D40" w:rsidRPr="006909CC">
        <w:rPr>
          <w:rFonts w:ascii="Times New Roman" w:hAnsi="Times New Roman"/>
          <w:sz w:val="28"/>
          <w:szCs w:val="28"/>
        </w:rPr>
        <w:t>а. В данный перечень включено 12</w:t>
      </w:r>
      <w:r w:rsidRPr="006909CC">
        <w:rPr>
          <w:rFonts w:ascii="Times New Roman" w:hAnsi="Times New Roman"/>
          <w:sz w:val="28"/>
          <w:szCs w:val="28"/>
        </w:rPr>
        <w:t xml:space="preserve"> объектов недвижимого имущества на общую площадь </w:t>
      </w:r>
      <w:r w:rsidR="00D83768" w:rsidRPr="00F75B79">
        <w:rPr>
          <w:rFonts w:ascii="Times New Roman" w:hAnsi="Times New Roman"/>
          <w:color w:val="000000" w:themeColor="text1"/>
          <w:sz w:val="28"/>
          <w:szCs w:val="28"/>
        </w:rPr>
        <w:t>4588,6</w:t>
      </w:r>
      <w:r w:rsidRPr="00F75B79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F75B7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F75B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83768" w:rsidRPr="00F75B7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909CC">
        <w:rPr>
          <w:rFonts w:ascii="Times New Roman" w:hAnsi="Times New Roman"/>
          <w:sz w:val="28"/>
          <w:szCs w:val="28"/>
        </w:rPr>
        <w:t xml:space="preserve"> из которых находятся в аренде у субъектов малого и среднего предпринимательства.</w:t>
      </w:r>
    </w:p>
    <w:p w:rsidR="00FE6D33" w:rsidRPr="00D83768" w:rsidRDefault="00FE6D33" w:rsidP="006972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83768">
        <w:rPr>
          <w:rFonts w:ascii="Times New Roman" w:hAnsi="Times New Roman"/>
          <w:sz w:val="28"/>
          <w:szCs w:val="28"/>
        </w:rPr>
        <w:t>По состоян</w:t>
      </w:r>
      <w:r w:rsidR="00D83768" w:rsidRPr="00D83768">
        <w:rPr>
          <w:rFonts w:ascii="Times New Roman" w:hAnsi="Times New Roman"/>
          <w:sz w:val="28"/>
          <w:szCs w:val="28"/>
        </w:rPr>
        <w:t>ию на 01.01.2018</w:t>
      </w:r>
      <w:r w:rsidRPr="00D83768">
        <w:rPr>
          <w:rFonts w:ascii="Times New Roman" w:hAnsi="Times New Roman"/>
          <w:sz w:val="28"/>
          <w:szCs w:val="28"/>
        </w:rPr>
        <w:t>г. для ведения пре</w:t>
      </w:r>
      <w:r w:rsidR="00D83768" w:rsidRPr="00D83768">
        <w:rPr>
          <w:rFonts w:ascii="Times New Roman" w:hAnsi="Times New Roman"/>
          <w:sz w:val="28"/>
          <w:szCs w:val="28"/>
        </w:rPr>
        <w:t xml:space="preserve">дпринимательской деятельности 76 субъектам малого </w:t>
      </w:r>
      <w:r w:rsidRPr="00D83768">
        <w:rPr>
          <w:rFonts w:ascii="Times New Roman" w:hAnsi="Times New Roman"/>
          <w:sz w:val="28"/>
          <w:szCs w:val="28"/>
        </w:rPr>
        <w:t xml:space="preserve"> предпринимате</w:t>
      </w:r>
      <w:r w:rsidR="00D83768" w:rsidRPr="00D83768">
        <w:rPr>
          <w:rFonts w:ascii="Times New Roman" w:hAnsi="Times New Roman"/>
          <w:sz w:val="28"/>
          <w:szCs w:val="28"/>
        </w:rPr>
        <w:t>льства предоставлено в аренду  земельные участки общей площадью 1119,4</w:t>
      </w:r>
      <w:r w:rsidRPr="00D83768">
        <w:rPr>
          <w:rFonts w:ascii="Times New Roman" w:hAnsi="Times New Roman"/>
          <w:sz w:val="28"/>
          <w:szCs w:val="28"/>
        </w:rPr>
        <w:t xml:space="preserve"> тыс. м</w:t>
      </w:r>
      <w:proofErr w:type="gramStart"/>
      <w:r w:rsidRPr="00D8376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D83768">
        <w:rPr>
          <w:rFonts w:ascii="Times New Roman" w:hAnsi="Times New Roman"/>
          <w:sz w:val="28"/>
          <w:szCs w:val="28"/>
        </w:rPr>
        <w:t>.</w:t>
      </w:r>
    </w:p>
    <w:p w:rsidR="00FE6D33" w:rsidRPr="00D83768" w:rsidRDefault="00FE6D33" w:rsidP="006972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83768">
        <w:rPr>
          <w:rFonts w:ascii="Times New Roman" w:hAnsi="Times New Roman"/>
          <w:sz w:val="28"/>
          <w:szCs w:val="28"/>
        </w:rPr>
        <w:lastRenderedPageBreak/>
        <w:t xml:space="preserve">На территории Карабашского городского округа осуществляет свою деятельность координационный Совет по работе с субъектами малого и среднего предпринимательства. </w:t>
      </w:r>
    </w:p>
    <w:p w:rsidR="00FE6D33" w:rsidRPr="006909CC" w:rsidRDefault="00D83768" w:rsidP="006972B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909CC">
        <w:rPr>
          <w:rFonts w:ascii="Times New Roman" w:hAnsi="Times New Roman"/>
          <w:sz w:val="28"/>
          <w:szCs w:val="28"/>
        </w:rPr>
        <w:t>В 2017</w:t>
      </w:r>
      <w:r w:rsidR="006909CC" w:rsidRPr="006909CC">
        <w:rPr>
          <w:rFonts w:ascii="Times New Roman" w:hAnsi="Times New Roman"/>
          <w:sz w:val="28"/>
          <w:szCs w:val="28"/>
        </w:rPr>
        <w:t xml:space="preserve"> году проведено 25</w:t>
      </w:r>
      <w:r w:rsidR="00FE6D33" w:rsidRPr="006909CC">
        <w:rPr>
          <w:rFonts w:ascii="Times New Roman" w:hAnsi="Times New Roman"/>
          <w:sz w:val="28"/>
          <w:szCs w:val="28"/>
        </w:rPr>
        <w:t xml:space="preserve"> заседаний координационного Совета, на которых рассмотрены следующие вопросы:</w:t>
      </w:r>
    </w:p>
    <w:p w:rsidR="00FE6D33" w:rsidRPr="00D83768" w:rsidRDefault="00FE6D33" w:rsidP="006972B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3768">
        <w:rPr>
          <w:rFonts w:ascii="Times New Roman" w:hAnsi="Times New Roman"/>
          <w:sz w:val="28"/>
          <w:szCs w:val="28"/>
        </w:rPr>
        <w:t>- о</w:t>
      </w:r>
      <w:r w:rsidRPr="00D83768">
        <w:rPr>
          <w:rFonts w:ascii="Times New Roman" w:hAnsi="Times New Roman"/>
          <w:color w:val="000000"/>
          <w:sz w:val="28"/>
          <w:szCs w:val="28"/>
        </w:rPr>
        <w:t xml:space="preserve"> проведении </w:t>
      </w:r>
      <w:proofErr w:type="gramStart"/>
      <w:r w:rsidRPr="00D83768">
        <w:rPr>
          <w:rFonts w:ascii="Times New Roman" w:hAnsi="Times New Roman"/>
          <w:color w:val="000000"/>
          <w:sz w:val="28"/>
          <w:szCs w:val="28"/>
        </w:rPr>
        <w:t>оценки регулирующего воздействия проек</w:t>
      </w:r>
      <w:r w:rsidR="002E4F86">
        <w:rPr>
          <w:rFonts w:ascii="Times New Roman" w:hAnsi="Times New Roman"/>
          <w:color w:val="000000"/>
          <w:sz w:val="28"/>
          <w:szCs w:val="28"/>
        </w:rPr>
        <w:t>тов нормативных правовых актов а</w:t>
      </w:r>
      <w:r w:rsidRPr="00D83768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D83768">
        <w:rPr>
          <w:rFonts w:ascii="Times New Roman" w:hAnsi="Times New Roman"/>
          <w:color w:val="000000"/>
          <w:sz w:val="28"/>
          <w:szCs w:val="28"/>
        </w:rPr>
        <w:t xml:space="preserve"> Карабашского городского округа и </w:t>
      </w:r>
      <w:r w:rsidR="002E4F86">
        <w:rPr>
          <w:rFonts w:ascii="Times New Roman" w:hAnsi="Times New Roman"/>
          <w:color w:val="000000"/>
          <w:sz w:val="28"/>
          <w:szCs w:val="28"/>
        </w:rPr>
        <w:t xml:space="preserve">общественной </w:t>
      </w:r>
      <w:r w:rsidRPr="00D83768">
        <w:rPr>
          <w:rFonts w:ascii="Times New Roman" w:hAnsi="Times New Roman"/>
          <w:color w:val="000000"/>
          <w:sz w:val="28"/>
          <w:szCs w:val="28"/>
        </w:rPr>
        <w:t>эксперт</w:t>
      </w:r>
      <w:r w:rsidR="002E4F86">
        <w:rPr>
          <w:rFonts w:ascii="Times New Roman" w:hAnsi="Times New Roman"/>
          <w:color w:val="000000"/>
          <w:sz w:val="28"/>
          <w:szCs w:val="28"/>
        </w:rPr>
        <w:t>изы нормативных правовых актов а</w:t>
      </w:r>
      <w:r w:rsidRPr="00D83768">
        <w:rPr>
          <w:rFonts w:ascii="Times New Roman" w:hAnsi="Times New Roman"/>
          <w:color w:val="000000"/>
          <w:sz w:val="28"/>
          <w:szCs w:val="28"/>
        </w:rPr>
        <w:t>дминистрации Карабашского городского округа, затрагивающих вопросы осуществления предпринимательской и (или) инвестиционной деятельности;</w:t>
      </w:r>
    </w:p>
    <w:p w:rsidR="00FE6D33" w:rsidRPr="00D83768" w:rsidRDefault="00FE6D33" w:rsidP="006972B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3768">
        <w:rPr>
          <w:rFonts w:ascii="Times New Roman" w:hAnsi="Times New Roman"/>
          <w:color w:val="000000"/>
          <w:sz w:val="28"/>
          <w:szCs w:val="28"/>
        </w:rPr>
        <w:t>- о составе координационного Совета по работе с субъектами малого и среднего предпринимательства Карабашского городского округа;</w:t>
      </w:r>
    </w:p>
    <w:p w:rsidR="00FE6D33" w:rsidRPr="00D83768" w:rsidRDefault="00583BC1" w:rsidP="006972B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внесении</w:t>
      </w:r>
      <w:r w:rsidR="00FE6D33" w:rsidRPr="00D83768">
        <w:rPr>
          <w:rFonts w:ascii="Times New Roman" w:hAnsi="Times New Roman"/>
          <w:color w:val="000000"/>
          <w:sz w:val="28"/>
          <w:szCs w:val="28"/>
        </w:rPr>
        <w:t xml:space="preserve"> изменений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предпринимательства;</w:t>
      </w:r>
    </w:p>
    <w:p w:rsidR="00D83768" w:rsidRPr="00D83768" w:rsidRDefault="00D83768" w:rsidP="006972B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3768">
        <w:rPr>
          <w:rFonts w:ascii="Times New Roman" w:hAnsi="Times New Roman"/>
          <w:color w:val="000000"/>
          <w:sz w:val="28"/>
          <w:szCs w:val="28"/>
        </w:rPr>
        <w:t>- о предоставлении субсидии СМП Карабашского городского округа;</w:t>
      </w:r>
    </w:p>
    <w:p w:rsidR="00FE6D33" w:rsidRPr="00D83768" w:rsidRDefault="00FE6D33" w:rsidP="006972B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3768">
        <w:rPr>
          <w:rFonts w:ascii="Times New Roman" w:hAnsi="Times New Roman"/>
          <w:color w:val="000000"/>
          <w:sz w:val="28"/>
          <w:szCs w:val="28"/>
        </w:rPr>
        <w:t>- о принятии отчетности об использовании предос</w:t>
      </w:r>
      <w:r w:rsidR="00D83768">
        <w:rPr>
          <w:rFonts w:ascii="Times New Roman" w:hAnsi="Times New Roman"/>
          <w:color w:val="000000"/>
          <w:sz w:val="28"/>
          <w:szCs w:val="28"/>
        </w:rPr>
        <w:t>тавленной субсидии СМП Карабашского городского округа и др</w:t>
      </w:r>
      <w:proofErr w:type="gramStart"/>
      <w:r w:rsidR="00D83768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="00D83768">
        <w:rPr>
          <w:rFonts w:ascii="Times New Roman" w:hAnsi="Times New Roman"/>
          <w:color w:val="000000"/>
          <w:sz w:val="28"/>
          <w:szCs w:val="28"/>
        </w:rPr>
        <w:t>опросы.</w:t>
      </w:r>
    </w:p>
    <w:p w:rsidR="00FE6D33" w:rsidRPr="00B74877" w:rsidRDefault="00FE6D33" w:rsidP="006972BA">
      <w:pPr>
        <w:ind w:firstLine="708"/>
        <w:jc w:val="both"/>
        <w:rPr>
          <w:sz w:val="28"/>
          <w:szCs w:val="28"/>
        </w:rPr>
      </w:pPr>
      <w:r w:rsidRPr="00B74877">
        <w:rPr>
          <w:sz w:val="28"/>
          <w:szCs w:val="28"/>
        </w:rPr>
        <w:t>Доходы бюджета Карабашского городского округа на 201</w:t>
      </w:r>
      <w:r>
        <w:rPr>
          <w:sz w:val="28"/>
          <w:szCs w:val="28"/>
        </w:rPr>
        <w:t>7</w:t>
      </w:r>
      <w:r w:rsidRPr="00B74877">
        <w:rPr>
          <w:sz w:val="28"/>
          <w:szCs w:val="28"/>
        </w:rPr>
        <w:t xml:space="preserve"> год утверждены в сумме </w:t>
      </w:r>
      <w:r w:rsidR="00E30A88">
        <w:rPr>
          <w:sz w:val="28"/>
          <w:szCs w:val="28"/>
        </w:rPr>
        <w:t xml:space="preserve">553 </w:t>
      </w:r>
      <w:r>
        <w:rPr>
          <w:sz w:val="28"/>
          <w:szCs w:val="28"/>
        </w:rPr>
        <w:t>993,8</w:t>
      </w:r>
      <w:r w:rsidRPr="00B74877">
        <w:rPr>
          <w:sz w:val="28"/>
          <w:szCs w:val="28"/>
        </w:rPr>
        <w:t xml:space="preserve"> тыс. рублей и исполнены в сумме </w:t>
      </w:r>
      <w:r>
        <w:rPr>
          <w:sz w:val="28"/>
          <w:szCs w:val="28"/>
        </w:rPr>
        <w:t>547 799,0</w:t>
      </w:r>
      <w:r w:rsidRPr="00B74877">
        <w:rPr>
          <w:sz w:val="28"/>
          <w:szCs w:val="28"/>
        </w:rPr>
        <w:t xml:space="preserve"> тыс.</w:t>
      </w:r>
      <w:r w:rsidRPr="00B74877">
        <w:rPr>
          <w:b/>
          <w:sz w:val="28"/>
          <w:szCs w:val="28"/>
        </w:rPr>
        <w:t xml:space="preserve"> </w:t>
      </w:r>
      <w:r w:rsidRPr="00F80CB2">
        <w:rPr>
          <w:sz w:val="28"/>
          <w:szCs w:val="28"/>
        </w:rPr>
        <w:t>рублей,</w:t>
      </w:r>
      <w:r w:rsidRPr="00B74877">
        <w:rPr>
          <w:sz w:val="28"/>
          <w:szCs w:val="28"/>
        </w:rPr>
        <w:t xml:space="preserve"> что составляет 99 % от годовых бюджетных назначений.</w:t>
      </w:r>
    </w:p>
    <w:p w:rsidR="00CA75E8" w:rsidRPr="00B74877" w:rsidRDefault="00CA75E8" w:rsidP="006972BA">
      <w:pPr>
        <w:jc w:val="both"/>
        <w:rPr>
          <w:color w:val="FF0000"/>
          <w:sz w:val="28"/>
          <w:szCs w:val="28"/>
        </w:rPr>
      </w:pPr>
    </w:p>
    <w:p w:rsidR="00FE6D33" w:rsidRDefault="00FE6D33" w:rsidP="00466577">
      <w:pPr>
        <w:ind w:firstLine="708"/>
        <w:jc w:val="center"/>
        <w:rPr>
          <w:b/>
          <w:sz w:val="28"/>
          <w:szCs w:val="28"/>
        </w:rPr>
      </w:pPr>
      <w:r w:rsidRPr="0092224C">
        <w:rPr>
          <w:b/>
        </w:rPr>
        <w:t>С</w:t>
      </w:r>
      <w:r w:rsidRPr="0092224C">
        <w:rPr>
          <w:b/>
          <w:sz w:val="28"/>
          <w:szCs w:val="28"/>
        </w:rPr>
        <w:t>труктура доходов бюджета Карабашского городского округа</w:t>
      </w:r>
    </w:p>
    <w:p w:rsidR="00FE6D33" w:rsidRDefault="00FE6D33" w:rsidP="00466577">
      <w:pPr>
        <w:ind w:firstLine="708"/>
        <w:jc w:val="center"/>
        <w:rPr>
          <w:b/>
          <w:sz w:val="28"/>
          <w:szCs w:val="28"/>
        </w:rPr>
      </w:pPr>
    </w:p>
    <w:p w:rsidR="00FE6D33" w:rsidRDefault="00FE6D33" w:rsidP="00466577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96185" cy="232694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4F86" w:rsidRDefault="002E4F86" w:rsidP="00466577">
      <w:pPr>
        <w:ind w:firstLine="708"/>
        <w:jc w:val="center"/>
        <w:rPr>
          <w:b/>
          <w:sz w:val="28"/>
          <w:szCs w:val="28"/>
        </w:rPr>
      </w:pPr>
    </w:p>
    <w:p w:rsidR="002E4F86" w:rsidRDefault="002E4F86" w:rsidP="00466577">
      <w:pPr>
        <w:ind w:firstLine="708"/>
        <w:jc w:val="center"/>
        <w:rPr>
          <w:b/>
          <w:sz w:val="28"/>
          <w:szCs w:val="28"/>
        </w:rPr>
      </w:pPr>
    </w:p>
    <w:p w:rsidR="00FE6D33" w:rsidRDefault="00FE6D33" w:rsidP="00466577">
      <w:pPr>
        <w:ind w:firstLine="708"/>
        <w:jc w:val="center"/>
        <w:rPr>
          <w:b/>
          <w:noProof/>
          <w:sz w:val="28"/>
          <w:szCs w:val="28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7"/>
        <w:gridCol w:w="2078"/>
        <w:gridCol w:w="1825"/>
      </w:tblGrid>
      <w:tr w:rsidR="00FE6D33" w:rsidRPr="00B74877" w:rsidTr="00466577">
        <w:tc>
          <w:tcPr>
            <w:tcW w:w="3054" w:type="pct"/>
            <w:shd w:val="clear" w:color="auto" w:fill="auto"/>
          </w:tcPr>
          <w:p w:rsidR="00FE6D33" w:rsidRPr="00211A6A" w:rsidRDefault="00FE6D33" w:rsidP="00466577">
            <w:pPr>
              <w:ind w:left="-250"/>
              <w:jc w:val="center"/>
            </w:pPr>
            <w:r w:rsidRPr="00211A6A">
              <w:t>Наименование доходного источника</w:t>
            </w:r>
          </w:p>
        </w:tc>
        <w:tc>
          <w:tcPr>
            <w:tcW w:w="1036" w:type="pct"/>
            <w:shd w:val="clear" w:color="auto" w:fill="auto"/>
          </w:tcPr>
          <w:p w:rsidR="00FE6D33" w:rsidRPr="00211A6A" w:rsidRDefault="00FE6D33" w:rsidP="00466577">
            <w:pPr>
              <w:jc w:val="center"/>
            </w:pPr>
            <w:r w:rsidRPr="00211A6A">
              <w:t>Исполнено в 201</w:t>
            </w:r>
            <w:r>
              <w:t>7</w:t>
            </w:r>
            <w:r w:rsidRPr="00211A6A">
              <w:t xml:space="preserve"> году, тыс</w:t>
            </w:r>
            <w:proofErr w:type="gramStart"/>
            <w:r w:rsidRPr="00211A6A">
              <w:t>.р</w:t>
            </w:r>
            <w:proofErr w:type="gramEnd"/>
            <w:r w:rsidRPr="00211A6A">
              <w:t>уб.</w:t>
            </w:r>
          </w:p>
        </w:tc>
        <w:tc>
          <w:tcPr>
            <w:tcW w:w="910" w:type="pct"/>
            <w:shd w:val="clear" w:color="auto" w:fill="auto"/>
          </w:tcPr>
          <w:p w:rsidR="00FE6D33" w:rsidRPr="00211A6A" w:rsidRDefault="00FE6D33" w:rsidP="00466577">
            <w:pPr>
              <w:jc w:val="center"/>
            </w:pPr>
            <w:r w:rsidRPr="00211A6A">
              <w:t xml:space="preserve">Удельный вес </w:t>
            </w:r>
            <w:proofErr w:type="gramStart"/>
            <w:r w:rsidRPr="00211A6A">
              <w:t>в</w:t>
            </w:r>
            <w:proofErr w:type="gramEnd"/>
            <w:r w:rsidRPr="00211A6A">
              <w:t xml:space="preserve"> %</w:t>
            </w:r>
          </w:p>
        </w:tc>
      </w:tr>
      <w:tr w:rsidR="00FE6D33" w:rsidRPr="00B74877" w:rsidTr="00466577">
        <w:tc>
          <w:tcPr>
            <w:tcW w:w="3054" w:type="pct"/>
            <w:shd w:val="clear" w:color="auto" w:fill="auto"/>
          </w:tcPr>
          <w:p w:rsidR="00FE6D33" w:rsidRPr="00211A6A" w:rsidRDefault="00FE6D33" w:rsidP="00466577">
            <w:pPr>
              <w:jc w:val="center"/>
            </w:pPr>
            <w:r w:rsidRPr="00211A6A">
              <w:t>1</w:t>
            </w:r>
          </w:p>
        </w:tc>
        <w:tc>
          <w:tcPr>
            <w:tcW w:w="1036" w:type="pct"/>
            <w:shd w:val="clear" w:color="auto" w:fill="auto"/>
          </w:tcPr>
          <w:p w:rsidR="00FE6D33" w:rsidRPr="00211A6A" w:rsidRDefault="00FE6D33" w:rsidP="00466577">
            <w:pPr>
              <w:jc w:val="center"/>
            </w:pPr>
            <w:r w:rsidRPr="00211A6A">
              <w:t>2</w:t>
            </w:r>
          </w:p>
        </w:tc>
        <w:tc>
          <w:tcPr>
            <w:tcW w:w="910" w:type="pct"/>
            <w:shd w:val="clear" w:color="auto" w:fill="auto"/>
          </w:tcPr>
          <w:p w:rsidR="00FE6D33" w:rsidRPr="00211A6A" w:rsidRDefault="00FE6D33" w:rsidP="00466577">
            <w:pPr>
              <w:jc w:val="center"/>
            </w:pPr>
            <w:r w:rsidRPr="00211A6A">
              <w:t>3</w:t>
            </w:r>
          </w:p>
        </w:tc>
      </w:tr>
      <w:tr w:rsidR="00FE6D33" w:rsidRPr="00B74877" w:rsidTr="00466577">
        <w:tc>
          <w:tcPr>
            <w:tcW w:w="3054" w:type="pct"/>
            <w:shd w:val="clear" w:color="auto" w:fill="auto"/>
          </w:tcPr>
          <w:p w:rsidR="00FE6D33" w:rsidRPr="001F504D" w:rsidRDefault="00FE6D33" w:rsidP="00466577">
            <w:r w:rsidRPr="001F504D">
              <w:t>ВСЕГО:</w:t>
            </w:r>
          </w:p>
        </w:tc>
        <w:tc>
          <w:tcPr>
            <w:tcW w:w="1036" w:type="pct"/>
            <w:shd w:val="clear" w:color="auto" w:fill="auto"/>
          </w:tcPr>
          <w:p w:rsidR="00FE6D33" w:rsidRPr="001F504D" w:rsidRDefault="00FE6D33" w:rsidP="00466577">
            <w:pPr>
              <w:jc w:val="center"/>
            </w:pPr>
            <w:r w:rsidRPr="001F504D">
              <w:t>547 799,0</w:t>
            </w:r>
          </w:p>
        </w:tc>
        <w:tc>
          <w:tcPr>
            <w:tcW w:w="910" w:type="pct"/>
            <w:shd w:val="clear" w:color="auto" w:fill="auto"/>
          </w:tcPr>
          <w:p w:rsidR="00FE6D33" w:rsidRPr="001F504D" w:rsidRDefault="00FE6D33" w:rsidP="00466577">
            <w:pPr>
              <w:jc w:val="center"/>
            </w:pPr>
            <w:r w:rsidRPr="001F504D">
              <w:t>100</w:t>
            </w:r>
          </w:p>
        </w:tc>
      </w:tr>
      <w:tr w:rsidR="00FE6D33" w:rsidRPr="00B74877" w:rsidTr="00466577">
        <w:tc>
          <w:tcPr>
            <w:tcW w:w="3054" w:type="pct"/>
            <w:shd w:val="clear" w:color="auto" w:fill="auto"/>
          </w:tcPr>
          <w:p w:rsidR="00FE6D33" w:rsidRPr="00F41612" w:rsidRDefault="00FE6D33" w:rsidP="00466577">
            <w:r w:rsidRPr="00F41612">
              <w:t xml:space="preserve">     в том числе:</w:t>
            </w:r>
          </w:p>
        </w:tc>
        <w:tc>
          <w:tcPr>
            <w:tcW w:w="1036" w:type="pct"/>
            <w:shd w:val="clear" w:color="auto" w:fill="auto"/>
          </w:tcPr>
          <w:p w:rsidR="00FE6D33" w:rsidRPr="00F41612" w:rsidRDefault="00FE6D33" w:rsidP="00466577">
            <w:pPr>
              <w:jc w:val="center"/>
              <w:rPr>
                <w:b/>
              </w:rPr>
            </w:pPr>
          </w:p>
        </w:tc>
        <w:tc>
          <w:tcPr>
            <w:tcW w:w="910" w:type="pct"/>
            <w:shd w:val="clear" w:color="auto" w:fill="auto"/>
          </w:tcPr>
          <w:p w:rsidR="00FE6D33" w:rsidRPr="00F41612" w:rsidRDefault="00FE6D33" w:rsidP="00466577">
            <w:pPr>
              <w:jc w:val="center"/>
              <w:rPr>
                <w:b/>
              </w:rPr>
            </w:pPr>
          </w:p>
        </w:tc>
      </w:tr>
      <w:tr w:rsidR="00FE6D33" w:rsidRPr="00B74877" w:rsidTr="00466577">
        <w:tc>
          <w:tcPr>
            <w:tcW w:w="3054" w:type="pct"/>
            <w:shd w:val="clear" w:color="auto" w:fill="auto"/>
          </w:tcPr>
          <w:p w:rsidR="00FE6D33" w:rsidRPr="00F41612" w:rsidRDefault="00FE6D33" w:rsidP="00466577">
            <w:r w:rsidRPr="00F41612">
              <w:t>Налоговые и неналоговые доходы</w:t>
            </w:r>
          </w:p>
        </w:tc>
        <w:tc>
          <w:tcPr>
            <w:tcW w:w="1036" w:type="pct"/>
            <w:shd w:val="clear" w:color="auto" w:fill="auto"/>
          </w:tcPr>
          <w:p w:rsidR="00FE6D33" w:rsidRPr="00F41612" w:rsidRDefault="00FE6D33" w:rsidP="00466577">
            <w:pPr>
              <w:jc w:val="center"/>
            </w:pPr>
            <w:r>
              <w:t>114 304,0</w:t>
            </w:r>
          </w:p>
        </w:tc>
        <w:tc>
          <w:tcPr>
            <w:tcW w:w="910" w:type="pct"/>
            <w:shd w:val="clear" w:color="auto" w:fill="auto"/>
          </w:tcPr>
          <w:p w:rsidR="00FE6D33" w:rsidRPr="00F41612" w:rsidRDefault="00FE6D33" w:rsidP="00466577">
            <w:pPr>
              <w:jc w:val="center"/>
            </w:pPr>
            <w:r>
              <w:t>20,9</w:t>
            </w:r>
          </w:p>
        </w:tc>
      </w:tr>
      <w:tr w:rsidR="00FE6D33" w:rsidRPr="00B74877" w:rsidTr="00466577">
        <w:tc>
          <w:tcPr>
            <w:tcW w:w="3054" w:type="pct"/>
            <w:shd w:val="clear" w:color="auto" w:fill="auto"/>
          </w:tcPr>
          <w:p w:rsidR="00FE6D33" w:rsidRPr="00F41612" w:rsidRDefault="00FE6D33" w:rsidP="00466577">
            <w:r w:rsidRPr="00F41612">
              <w:t xml:space="preserve">Безвозмездные поступления </w:t>
            </w:r>
            <w:r>
              <w:t>от других бюджетов бюджетной системы РФ</w:t>
            </w:r>
          </w:p>
        </w:tc>
        <w:tc>
          <w:tcPr>
            <w:tcW w:w="1036" w:type="pct"/>
            <w:shd w:val="clear" w:color="auto" w:fill="auto"/>
          </w:tcPr>
          <w:p w:rsidR="00FE6D33" w:rsidRPr="00F41612" w:rsidRDefault="00FE6D33" w:rsidP="00466577">
            <w:pPr>
              <w:jc w:val="center"/>
            </w:pPr>
            <w:r>
              <w:t>430 256,0</w:t>
            </w:r>
          </w:p>
        </w:tc>
        <w:tc>
          <w:tcPr>
            <w:tcW w:w="910" w:type="pct"/>
            <w:shd w:val="clear" w:color="auto" w:fill="auto"/>
          </w:tcPr>
          <w:p w:rsidR="00FE6D33" w:rsidRPr="00F41612" w:rsidRDefault="00FE6D33" w:rsidP="00466577">
            <w:pPr>
              <w:jc w:val="center"/>
            </w:pPr>
            <w:r>
              <w:t>78,5</w:t>
            </w:r>
          </w:p>
        </w:tc>
      </w:tr>
      <w:tr w:rsidR="00FE6D33" w:rsidRPr="00B74877" w:rsidTr="00466577">
        <w:tc>
          <w:tcPr>
            <w:tcW w:w="3054" w:type="pct"/>
            <w:shd w:val="clear" w:color="auto" w:fill="auto"/>
          </w:tcPr>
          <w:p w:rsidR="00FE6D33" w:rsidRPr="00F41612" w:rsidRDefault="00FE6D33" w:rsidP="00466577">
            <w:r>
              <w:t>Прочие безвозмездные поступления</w:t>
            </w:r>
          </w:p>
        </w:tc>
        <w:tc>
          <w:tcPr>
            <w:tcW w:w="1036" w:type="pct"/>
            <w:shd w:val="clear" w:color="auto" w:fill="auto"/>
          </w:tcPr>
          <w:p w:rsidR="00FE6D33" w:rsidRPr="00F41612" w:rsidRDefault="00FE6D33" w:rsidP="00466577">
            <w:pPr>
              <w:jc w:val="center"/>
            </w:pPr>
            <w:r>
              <w:t>3 725,9</w:t>
            </w:r>
          </w:p>
        </w:tc>
        <w:tc>
          <w:tcPr>
            <w:tcW w:w="910" w:type="pct"/>
            <w:shd w:val="clear" w:color="auto" w:fill="auto"/>
          </w:tcPr>
          <w:p w:rsidR="00FE6D33" w:rsidRPr="00F41612" w:rsidRDefault="00FE6D33" w:rsidP="00466577">
            <w:pPr>
              <w:jc w:val="center"/>
            </w:pPr>
            <w:r>
              <w:t>0,6</w:t>
            </w:r>
          </w:p>
        </w:tc>
      </w:tr>
      <w:tr w:rsidR="00FE6D33" w:rsidRPr="00B74877" w:rsidTr="00466577">
        <w:tc>
          <w:tcPr>
            <w:tcW w:w="3054" w:type="pct"/>
            <w:shd w:val="clear" w:color="auto" w:fill="auto"/>
          </w:tcPr>
          <w:p w:rsidR="00FE6D33" w:rsidRPr="00F41612" w:rsidRDefault="00FE6D33" w:rsidP="00466577">
            <w:r w:rsidRPr="00F41612">
              <w:t>Возврат остатков субсидий, субвенций</w:t>
            </w:r>
          </w:p>
        </w:tc>
        <w:tc>
          <w:tcPr>
            <w:tcW w:w="1036" w:type="pct"/>
            <w:shd w:val="clear" w:color="auto" w:fill="auto"/>
          </w:tcPr>
          <w:p w:rsidR="00FE6D33" w:rsidRPr="00F41612" w:rsidRDefault="00FE6D33" w:rsidP="00466577">
            <w:pPr>
              <w:jc w:val="center"/>
            </w:pPr>
            <w:r>
              <w:t>- 486,9</w:t>
            </w:r>
          </w:p>
        </w:tc>
        <w:tc>
          <w:tcPr>
            <w:tcW w:w="910" w:type="pct"/>
            <w:shd w:val="clear" w:color="auto" w:fill="auto"/>
          </w:tcPr>
          <w:p w:rsidR="00FE6D33" w:rsidRPr="00F41612" w:rsidRDefault="00FE6D33" w:rsidP="00466577">
            <w:pPr>
              <w:jc w:val="center"/>
            </w:pPr>
            <w:r>
              <w:t>0</w:t>
            </w:r>
          </w:p>
        </w:tc>
      </w:tr>
    </w:tbl>
    <w:p w:rsidR="006A0D93" w:rsidRDefault="006A0D93" w:rsidP="00466577">
      <w:pPr>
        <w:ind w:firstLine="709"/>
        <w:jc w:val="both"/>
        <w:rPr>
          <w:b/>
          <w:i/>
          <w:sz w:val="28"/>
          <w:szCs w:val="28"/>
        </w:rPr>
      </w:pPr>
    </w:p>
    <w:p w:rsidR="00FE6D33" w:rsidRPr="001F504D" w:rsidRDefault="00FE6D33" w:rsidP="00466577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lastRenderedPageBreak/>
        <w:t>По сравнению с аналогичным периодом прошлого года налоговые и неналоговые доходы исполнены на 101</w:t>
      </w:r>
      <w:r w:rsidR="00E30A88" w:rsidRPr="001F504D">
        <w:rPr>
          <w:sz w:val="28"/>
          <w:szCs w:val="28"/>
        </w:rPr>
        <w:t xml:space="preserve"> %. В 2017</w:t>
      </w:r>
      <w:r w:rsidRPr="001F504D">
        <w:rPr>
          <w:sz w:val="28"/>
          <w:szCs w:val="28"/>
        </w:rPr>
        <w:t xml:space="preserve"> год</w:t>
      </w:r>
      <w:r w:rsidR="00E30A88" w:rsidRPr="001F504D">
        <w:rPr>
          <w:sz w:val="28"/>
          <w:szCs w:val="28"/>
        </w:rPr>
        <w:t>у</w:t>
      </w:r>
      <w:r w:rsidRPr="001F504D">
        <w:rPr>
          <w:sz w:val="28"/>
          <w:szCs w:val="28"/>
        </w:rPr>
        <w:t xml:space="preserve"> получено собственных доходов </w:t>
      </w:r>
      <w:r w:rsidR="00E30A88" w:rsidRPr="001F504D">
        <w:rPr>
          <w:sz w:val="28"/>
          <w:szCs w:val="28"/>
        </w:rPr>
        <w:t xml:space="preserve">в сумме </w:t>
      </w:r>
      <w:r w:rsidRPr="001F504D">
        <w:rPr>
          <w:sz w:val="28"/>
          <w:szCs w:val="28"/>
        </w:rPr>
        <w:t>114 304,0 тыс. руб., что на 11 643,0 тыс. рублей больше предыдущего года. Существенное увеличение произошло по следующим доходным источникам:</w:t>
      </w:r>
    </w:p>
    <w:p w:rsidR="00FE6D33" w:rsidRPr="001F504D" w:rsidRDefault="00FE6D33" w:rsidP="00466577">
      <w:pPr>
        <w:ind w:firstLine="708"/>
        <w:jc w:val="both"/>
        <w:rPr>
          <w:sz w:val="28"/>
          <w:szCs w:val="28"/>
        </w:rPr>
      </w:pPr>
      <w:r w:rsidRPr="001F504D">
        <w:rPr>
          <w:sz w:val="28"/>
          <w:szCs w:val="28"/>
        </w:rPr>
        <w:t xml:space="preserve">1. Налог на доходы физических лиц: увеличение составило (+) 3 800,0 тыс. руб. или (+) 6,7 % в связи с увеличением дополнительного норматива отчислений в 2017 году по </w:t>
      </w:r>
      <w:r w:rsidR="00E30A88" w:rsidRPr="001F504D">
        <w:rPr>
          <w:sz w:val="28"/>
          <w:szCs w:val="28"/>
        </w:rPr>
        <w:t>сравнению с 2016 годом на 0,21%,</w:t>
      </w:r>
      <w:r w:rsidRPr="001F504D">
        <w:rPr>
          <w:sz w:val="28"/>
          <w:szCs w:val="28"/>
        </w:rPr>
        <w:t xml:space="preserve"> увеличением фонда оплаты труда на предприятиях  о</w:t>
      </w:r>
      <w:r w:rsidR="00E30A88" w:rsidRPr="001F504D">
        <w:rPr>
          <w:sz w:val="28"/>
          <w:szCs w:val="28"/>
        </w:rPr>
        <w:t>круга и</w:t>
      </w:r>
      <w:r w:rsidRPr="001F504D">
        <w:rPr>
          <w:sz w:val="28"/>
          <w:szCs w:val="28"/>
        </w:rPr>
        <w:t xml:space="preserve"> поступлением задолженности  прошлых лет;</w:t>
      </w:r>
    </w:p>
    <w:p w:rsidR="00FE6D33" w:rsidRPr="001F504D" w:rsidRDefault="00FE6D33" w:rsidP="00466577">
      <w:pPr>
        <w:ind w:firstLine="708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2.</w:t>
      </w:r>
      <w:r w:rsidRPr="001F504D">
        <w:rPr>
          <w:sz w:val="32"/>
          <w:szCs w:val="32"/>
        </w:rPr>
        <w:t xml:space="preserve"> </w:t>
      </w:r>
      <w:r w:rsidR="00E30A88" w:rsidRPr="001F504D">
        <w:rPr>
          <w:sz w:val="28"/>
          <w:szCs w:val="28"/>
        </w:rPr>
        <w:t>Р</w:t>
      </w:r>
      <w:r w:rsidRPr="001F504D">
        <w:rPr>
          <w:sz w:val="28"/>
          <w:szCs w:val="28"/>
        </w:rPr>
        <w:t>ост поступлений доходов по земельному налогу составил (+) 5 766,0 тыс. руб. или (+) 72 % в связи с разовым поступлением  налога от ЗАО «Карабаш</w:t>
      </w:r>
      <w:r w:rsidR="00E30A88" w:rsidRPr="001F504D">
        <w:rPr>
          <w:sz w:val="28"/>
          <w:szCs w:val="28"/>
        </w:rPr>
        <w:t>медь» за 2016 год по приобретенным</w:t>
      </w:r>
      <w:r w:rsidRPr="001F504D">
        <w:rPr>
          <w:sz w:val="28"/>
          <w:szCs w:val="28"/>
        </w:rPr>
        <w:t xml:space="preserve"> из муниципальной собственности  земельным участкам;</w:t>
      </w:r>
    </w:p>
    <w:p w:rsidR="00FE6D33" w:rsidRPr="001F504D" w:rsidRDefault="00E30A88" w:rsidP="00466577">
      <w:pPr>
        <w:ind w:firstLine="708"/>
        <w:jc w:val="both"/>
        <w:rPr>
          <w:sz w:val="28"/>
          <w:szCs w:val="28"/>
        </w:rPr>
      </w:pPr>
      <w:r w:rsidRPr="001F504D">
        <w:rPr>
          <w:sz w:val="28"/>
          <w:szCs w:val="28"/>
        </w:rPr>
        <w:t xml:space="preserve">3. Увеличение суммы </w:t>
      </w:r>
      <w:r w:rsidR="00FE6D33" w:rsidRPr="001F504D">
        <w:rPr>
          <w:sz w:val="28"/>
          <w:szCs w:val="28"/>
        </w:rPr>
        <w:t xml:space="preserve"> </w:t>
      </w:r>
      <w:r w:rsidRPr="001F504D">
        <w:rPr>
          <w:sz w:val="28"/>
          <w:szCs w:val="28"/>
        </w:rPr>
        <w:t>госпошлины</w:t>
      </w:r>
      <w:r w:rsidR="00FE6D33" w:rsidRPr="001F504D">
        <w:rPr>
          <w:sz w:val="28"/>
          <w:szCs w:val="28"/>
        </w:rPr>
        <w:t xml:space="preserve">  составило (+) 1 173,0 тыс. руб. или (+) 47 % к показателям 2016 года, в связи с увеличением  поступлений по платежам;</w:t>
      </w:r>
    </w:p>
    <w:p w:rsidR="00FE6D33" w:rsidRPr="001F504D" w:rsidRDefault="00AB0E11" w:rsidP="00466577">
      <w:pPr>
        <w:ind w:firstLine="708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4. Р</w:t>
      </w:r>
      <w:r w:rsidR="00FE6D33" w:rsidRPr="001F504D">
        <w:rPr>
          <w:sz w:val="28"/>
          <w:szCs w:val="28"/>
        </w:rPr>
        <w:t>ост поступлений доходов от сдачи в аренду имущества составил  1 302,0 тыс. рублей или 63% к показателям 2016 года, обусловлен увеличением числа арендаторов муниципального имущества, погашением задолженности</w:t>
      </w:r>
      <w:r w:rsidRPr="001F504D">
        <w:rPr>
          <w:sz w:val="28"/>
          <w:szCs w:val="28"/>
        </w:rPr>
        <w:t xml:space="preserve"> по арендной плате за использование муниципального имущества</w:t>
      </w:r>
      <w:r w:rsidR="00FE6D33" w:rsidRPr="001F504D">
        <w:rPr>
          <w:sz w:val="28"/>
          <w:szCs w:val="28"/>
        </w:rPr>
        <w:t>;</w:t>
      </w:r>
    </w:p>
    <w:p w:rsidR="00FE6D33" w:rsidRPr="001F504D" w:rsidRDefault="00AB0E11" w:rsidP="00466577">
      <w:pPr>
        <w:ind w:firstLine="708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5. П</w:t>
      </w:r>
      <w:r w:rsidR="00FE6D33" w:rsidRPr="001F504D">
        <w:rPr>
          <w:sz w:val="28"/>
          <w:szCs w:val="28"/>
        </w:rPr>
        <w:t>оступления от продажи муниципального имущества в 2017 году с</w:t>
      </w:r>
      <w:r w:rsidRPr="001F504D">
        <w:rPr>
          <w:sz w:val="28"/>
          <w:szCs w:val="28"/>
        </w:rPr>
        <w:t>оставили 1 052,0 тыс. рублей, что к уровню 2016 года составляет 100%</w:t>
      </w:r>
      <w:r w:rsidR="00FE6D33" w:rsidRPr="001F504D">
        <w:rPr>
          <w:sz w:val="28"/>
          <w:szCs w:val="28"/>
        </w:rPr>
        <w:t>;</w:t>
      </w:r>
    </w:p>
    <w:p w:rsidR="00FE6D33" w:rsidRPr="001F504D" w:rsidRDefault="00FE6D33" w:rsidP="00466577">
      <w:pPr>
        <w:ind w:firstLine="708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6. В соответствии с  Законом Челябинской области от 20 декабря 2016 г. N 466-ЗО с 01.01.2017г. в местный бюджет зачисляются доходы по налогу  по упрощенной системе налогообложения, сумма поступлений за 2017 год составила  2 947,0 тыс. рублей.</w:t>
      </w:r>
    </w:p>
    <w:p w:rsidR="00FE6D33" w:rsidRPr="001F504D" w:rsidRDefault="00FE6D33" w:rsidP="00466577">
      <w:pPr>
        <w:ind w:firstLine="708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Существенное уменьшение произошло по следующим доходам:</w:t>
      </w:r>
    </w:p>
    <w:p w:rsidR="00FE6D33" w:rsidRPr="001F504D" w:rsidRDefault="00FE6D33" w:rsidP="00466577">
      <w:pPr>
        <w:ind w:firstLine="708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1. по акцизам уменьшение поступлений составило 1 529,0 тыс. рублей  или на 23%</w:t>
      </w:r>
      <w:proofErr w:type="gramStart"/>
      <w:r w:rsidRPr="001F504D">
        <w:rPr>
          <w:sz w:val="28"/>
          <w:szCs w:val="28"/>
        </w:rPr>
        <w:t xml:space="preserve"> ;</w:t>
      </w:r>
      <w:proofErr w:type="gramEnd"/>
    </w:p>
    <w:p w:rsidR="00FE6D33" w:rsidRPr="001F504D" w:rsidRDefault="00FE6D33" w:rsidP="00466577">
      <w:pPr>
        <w:ind w:firstLine="708"/>
        <w:jc w:val="both"/>
        <w:rPr>
          <w:sz w:val="28"/>
          <w:szCs w:val="28"/>
        </w:rPr>
      </w:pPr>
      <w:r w:rsidRPr="001F504D">
        <w:rPr>
          <w:sz w:val="28"/>
          <w:szCs w:val="28"/>
        </w:rPr>
        <w:t xml:space="preserve">2. по платежам за негативное воздействие на окружающую среду уменьшение составило  1 198,0 тыс. рублей. Поступление за 2017 год  составило (-) 39 тыс. рублей,  обусловлено </w:t>
      </w:r>
      <w:r w:rsidRPr="001F504D">
        <w:rPr>
          <w:color w:val="000000" w:themeColor="text1"/>
          <w:sz w:val="28"/>
          <w:szCs w:val="28"/>
        </w:rPr>
        <w:t>возвратом авансовых платежей.</w:t>
      </w:r>
    </w:p>
    <w:p w:rsidR="00B432C5" w:rsidRPr="001F504D" w:rsidRDefault="00B432C5" w:rsidP="00B432C5">
      <w:pPr>
        <w:jc w:val="both"/>
        <w:rPr>
          <w:color w:val="FF0000"/>
          <w:sz w:val="28"/>
          <w:szCs w:val="28"/>
        </w:rPr>
      </w:pPr>
      <w:r w:rsidRPr="001F504D">
        <w:rPr>
          <w:sz w:val="28"/>
          <w:szCs w:val="28"/>
        </w:rPr>
        <w:t xml:space="preserve">        Налоговые и неналоговые доходы утверждены на 2017 год в сумме 112984,6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уб., исполнены в сумме 114304,1 тыс.руб., что составляет 101,2% от годовых бюджетных назначений.</w:t>
      </w:r>
      <w:r w:rsidRPr="001F504D">
        <w:rPr>
          <w:color w:val="FF0000"/>
          <w:sz w:val="28"/>
          <w:szCs w:val="28"/>
        </w:rPr>
        <w:t xml:space="preserve"> </w:t>
      </w:r>
      <w:r w:rsidRPr="001F504D">
        <w:rPr>
          <w:sz w:val="28"/>
          <w:szCs w:val="28"/>
        </w:rPr>
        <w:t>Перевыполнение составляет 1319,5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</w:t>
      </w:r>
    </w:p>
    <w:p w:rsidR="00B432C5" w:rsidRPr="001F504D" w:rsidRDefault="00B432C5" w:rsidP="00E40163">
      <w:pPr>
        <w:ind w:firstLine="708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Налоговые и неналоговые доходы перевыполнены в сумме 9902,4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 по следующим видам доходов: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налог на доходы физических лиц - в сумме 2699,2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 в связи с увеличением фонда платы труда на предприятиях и в учреждениях города, поступлением задолженности  прошлых лет, увеличением дополнительного норматива отчислений на 0,21%;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акцизы по подакцизным товарам – в сумме 707,6 тыс. руб. поступление акцизов зависит от поступления из Межрегионального центра Российской Федерации;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земельный налог – в сумме 2289,9 тыс. руб. в связи с увеличением разового поступления налога от ЗАО «Карабашмедь» за 2016 год в сумме 6869,0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 по выкупленным из муниципальной собственности земельным участкам;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единый сельскохозяйственный налог – в сумме 11,2 тыс. руб. бюджетные назначения по доходам единого</w:t>
      </w:r>
      <w:r w:rsidRPr="009F1C8F">
        <w:rPr>
          <w:sz w:val="28"/>
          <w:szCs w:val="28"/>
        </w:rPr>
        <w:t xml:space="preserve"> сельскохозяйственного налога не </w:t>
      </w:r>
      <w:r w:rsidRPr="001F504D">
        <w:rPr>
          <w:sz w:val="28"/>
          <w:szCs w:val="28"/>
        </w:rPr>
        <w:t xml:space="preserve">планируются.  </w:t>
      </w:r>
      <w:r w:rsidRPr="001F504D">
        <w:rPr>
          <w:sz w:val="28"/>
          <w:szCs w:val="28"/>
        </w:rPr>
        <w:lastRenderedPageBreak/>
        <w:t>Основными поступлениями дохода в бюджет является погашение налогоплательщиками  задолженности прошлых лет;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доходы от оказания платных услуг казенных учреждений – в сумме 905,3 тыс. руб. в связи с оплатой родительских взносов всеми плательщикам и увеличением количества платных услуг Управлением культуры;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налог по упрощенной системе налогообложения – в сумме 525,2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уб., в связи увеличением количества налогоплательщиков;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доходы от арендной платы за имущество – в сумме 2318,7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уб., в связи с погашением задолженности и своевременным поступлением платежей по произведенным начислениям арендной плате, заключением новых договоров аренды имущества. Заключены новые договора с ООО «АРТ-ЭК» на период с 01.05.2017г. по 31.08.2017г. на сумму платежей 616,0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 Погашением задолженности в том числе: ОАО «Перспектива» в сумме 206,3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уб., Газпром в сумме 119,0 тыс.руб.;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штрафы, санкции, возмещение ущерба – в сумме 406,5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 в связи с увеличением количества административных штрафов;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прочие неналоговые доходы – в сумме 78,2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 Бюджетные назначения по прочим неналоговым доходам не планируются, Основными поступлениями неналоговых доходов являются невыясненные поступления (после выяснения доходов в Федеральном казначействе средства направляются на код доходов по принадлежности);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плата за негативное воздействие на окружающую среду – в сумме (-) 39,4 тыс. руб. в связи со снижением ставки налога, утвержденного постановлением Правительства Российской Федерации от 13.09.2016г. № 913, а также возвратом переплаты от ЗАО «Карабашмедь» в сумме 422,8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</w:t>
      </w:r>
    </w:p>
    <w:p w:rsidR="00B432C5" w:rsidRPr="001F504D" w:rsidRDefault="00B432C5" w:rsidP="00E40163">
      <w:pPr>
        <w:ind w:firstLine="708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Налоговые и неналоговые доходы не выполнены в сумме 8582,9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 по следующим видам доходов: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единый налог на вмененный доход – в сумме 67,1 тыс. руб. в связи с уменьшением количества плательщиков и неполной уплатой налогоплательщиками данного налога в бюджет;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единый налог, взимаемый в связи с применением патентной системы налогообложения – в сумме 7,3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 в связи уменьшением количества плательщиков данного вида налогов;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налог на имущество физических лиц – в сумме 385,2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>уб. в связи с уменьшением количества налогоплательщиков и неполной уплатой и неуплатой налога в бюджет;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государственная пошлина  - в сумме 217,0 тыс</w:t>
      </w:r>
      <w:proofErr w:type="gramStart"/>
      <w:r w:rsidRPr="001F504D">
        <w:rPr>
          <w:sz w:val="28"/>
          <w:szCs w:val="28"/>
        </w:rPr>
        <w:t>.р</w:t>
      </w:r>
      <w:proofErr w:type="gramEnd"/>
      <w:r w:rsidRPr="001F504D">
        <w:rPr>
          <w:sz w:val="28"/>
          <w:szCs w:val="28"/>
        </w:rPr>
        <w:t xml:space="preserve">уб. в связи с уменьшением количества действий за которые налогоплательщики должны платить госпошлину и увеличением количества подачи заявлений через портал государственных услуг; 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- арендная плата за землю – в сумме 7898,5 тыс. руб. в связи  с наличием задолженности от плательщиков, перерасчетом арендной платы за земельные участки по решению суда (применением понижающих коэффициентов), а также с выкупом земельных участков из муниципальной собственности;</w:t>
      </w:r>
    </w:p>
    <w:p w:rsidR="00B432C5" w:rsidRPr="001F504D" w:rsidRDefault="00B432C5" w:rsidP="00B432C5">
      <w:pPr>
        <w:ind w:firstLine="709"/>
        <w:jc w:val="both"/>
        <w:rPr>
          <w:sz w:val="28"/>
          <w:szCs w:val="28"/>
        </w:rPr>
      </w:pPr>
      <w:proofErr w:type="gramStart"/>
      <w:r w:rsidRPr="001F504D">
        <w:rPr>
          <w:sz w:val="28"/>
          <w:szCs w:val="28"/>
        </w:rPr>
        <w:t>- доходы от продажи земельных участков - в сумме 7,8 тыс. руб. в связи с тем, что данный вид доходов носит заявительный характер (отсутствие заявлений граждан на приобретение земельных участков.</w:t>
      </w:r>
      <w:proofErr w:type="gramEnd"/>
    </w:p>
    <w:p w:rsidR="00B432C5" w:rsidRPr="001F504D" w:rsidRDefault="00B432C5" w:rsidP="00466577">
      <w:pPr>
        <w:ind w:firstLine="708"/>
        <w:jc w:val="both"/>
        <w:rPr>
          <w:sz w:val="28"/>
          <w:szCs w:val="28"/>
        </w:rPr>
      </w:pPr>
    </w:p>
    <w:p w:rsidR="001F504D" w:rsidRPr="001F504D" w:rsidRDefault="001F504D" w:rsidP="00466577">
      <w:pPr>
        <w:ind w:firstLine="709"/>
        <w:jc w:val="center"/>
        <w:rPr>
          <w:sz w:val="28"/>
          <w:szCs w:val="28"/>
        </w:rPr>
      </w:pPr>
    </w:p>
    <w:p w:rsidR="00FE6D33" w:rsidRDefault="00FE6D33" w:rsidP="00466577">
      <w:pPr>
        <w:ind w:firstLine="709"/>
        <w:jc w:val="center"/>
        <w:rPr>
          <w:b/>
          <w:sz w:val="28"/>
          <w:szCs w:val="28"/>
        </w:rPr>
      </w:pPr>
      <w:r w:rsidRPr="00336B30">
        <w:rPr>
          <w:b/>
          <w:sz w:val="28"/>
          <w:szCs w:val="28"/>
        </w:rPr>
        <w:lastRenderedPageBreak/>
        <w:t>Структура налоговых и неналоговых доходов бюджета в 201</w:t>
      </w:r>
      <w:r>
        <w:rPr>
          <w:b/>
          <w:sz w:val="28"/>
          <w:szCs w:val="28"/>
        </w:rPr>
        <w:t>7</w:t>
      </w:r>
      <w:r w:rsidRPr="00336B30">
        <w:rPr>
          <w:b/>
          <w:sz w:val="28"/>
          <w:szCs w:val="28"/>
        </w:rPr>
        <w:t xml:space="preserve"> году</w:t>
      </w:r>
    </w:p>
    <w:p w:rsidR="00AD2BFE" w:rsidRPr="002A7DFE" w:rsidRDefault="00AD2BFE" w:rsidP="00466577">
      <w:pPr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1"/>
        <w:gridCol w:w="1429"/>
        <w:gridCol w:w="1695"/>
        <w:gridCol w:w="1466"/>
        <w:gridCol w:w="1466"/>
      </w:tblGrid>
      <w:tr w:rsidR="00FE6D33" w:rsidRPr="001E1CC9" w:rsidTr="006909CC">
        <w:tc>
          <w:tcPr>
            <w:tcW w:w="2013" w:type="pct"/>
            <w:shd w:val="clear" w:color="auto" w:fill="auto"/>
          </w:tcPr>
          <w:p w:rsidR="00FE6D33" w:rsidRPr="001E1CC9" w:rsidRDefault="00FE6D33" w:rsidP="00466577">
            <w:pPr>
              <w:ind w:firstLine="34"/>
              <w:jc w:val="center"/>
            </w:pPr>
            <w:r w:rsidRPr="001E1CC9">
              <w:t>Наименование доходного источника</w:t>
            </w: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ind w:firstLine="34"/>
              <w:jc w:val="center"/>
            </w:pPr>
            <w:r w:rsidRPr="001E1CC9">
              <w:t>Исполнено в 201</w:t>
            </w:r>
            <w:r>
              <w:t>6</w:t>
            </w:r>
            <w:r w:rsidRPr="001E1CC9">
              <w:t xml:space="preserve"> году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ind w:firstLine="34"/>
              <w:jc w:val="center"/>
            </w:pPr>
            <w:r w:rsidRPr="001E1CC9">
              <w:t>Исполнено в 201</w:t>
            </w:r>
            <w:r>
              <w:t>7</w:t>
            </w:r>
            <w:r w:rsidRPr="001E1CC9">
              <w:t xml:space="preserve"> году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ind w:firstLine="34"/>
              <w:jc w:val="center"/>
            </w:pPr>
            <w:r>
              <w:t xml:space="preserve">Структура 2017 года </w:t>
            </w:r>
            <w:r w:rsidRPr="001E1CC9">
              <w:t xml:space="preserve"> %</w:t>
            </w:r>
          </w:p>
        </w:tc>
        <w:tc>
          <w:tcPr>
            <w:tcW w:w="723" w:type="pct"/>
          </w:tcPr>
          <w:p w:rsidR="00FE6D33" w:rsidRDefault="00FE6D33" w:rsidP="00466577">
            <w:pPr>
              <w:ind w:firstLine="34"/>
              <w:jc w:val="center"/>
            </w:pPr>
            <w:r>
              <w:t>Темп роста по отношению к 2016 году</w:t>
            </w: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Pr="001E1CC9" w:rsidRDefault="00FE6D33" w:rsidP="00466577">
            <w:pPr>
              <w:rPr>
                <w:b/>
              </w:rPr>
            </w:pPr>
            <w:r w:rsidRPr="001E1CC9">
              <w:rPr>
                <w:b/>
              </w:rPr>
              <w:t>Всего налоговые и неналоговые доходы</w:t>
            </w: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  <w:rPr>
                <w:b/>
              </w:rPr>
            </w:pPr>
            <w:r w:rsidRPr="001E1CC9">
              <w:rPr>
                <w:b/>
              </w:rPr>
              <w:t>102661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ind w:firstLine="48"/>
              <w:jc w:val="center"/>
              <w:rPr>
                <w:b/>
              </w:rPr>
            </w:pPr>
            <w:r>
              <w:rPr>
                <w:b/>
              </w:rPr>
              <w:t>114 304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ind w:firstLine="48"/>
              <w:jc w:val="center"/>
              <w:rPr>
                <w:b/>
              </w:rPr>
            </w:pPr>
            <w:r w:rsidRPr="001E1CC9">
              <w:rPr>
                <w:b/>
              </w:rPr>
              <w:t>100</w:t>
            </w:r>
          </w:p>
        </w:tc>
        <w:tc>
          <w:tcPr>
            <w:tcW w:w="723" w:type="pct"/>
          </w:tcPr>
          <w:p w:rsidR="00FE6D33" w:rsidRDefault="00FE6D33" w:rsidP="00466577">
            <w:pPr>
              <w:ind w:firstLine="48"/>
              <w:jc w:val="center"/>
              <w:rPr>
                <w:b/>
              </w:rPr>
            </w:pPr>
            <w:r>
              <w:rPr>
                <w:b/>
              </w:rPr>
              <w:t>1,11</w:t>
            </w:r>
          </w:p>
          <w:p w:rsidR="00FE6D33" w:rsidRPr="001E1CC9" w:rsidRDefault="00FE6D33" w:rsidP="00466577">
            <w:pPr>
              <w:ind w:firstLine="48"/>
              <w:jc w:val="center"/>
              <w:rPr>
                <w:b/>
              </w:rPr>
            </w:pP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r w:rsidRPr="001E1CC9">
              <w:t>Налог на доходы физических лиц</w:t>
            </w:r>
          </w:p>
          <w:p w:rsidR="001F504D" w:rsidRPr="001E1CC9" w:rsidRDefault="001F504D" w:rsidP="00466577"/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56514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60314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ind w:firstLine="48"/>
              <w:jc w:val="center"/>
            </w:pPr>
            <w:r w:rsidRPr="001E1CC9">
              <w:t>5</w:t>
            </w:r>
            <w:r>
              <w:t>3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1,07</w:t>
            </w: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pPr>
              <w:ind w:firstLine="34"/>
            </w:pPr>
            <w:r w:rsidRPr="001E1CC9">
              <w:t xml:space="preserve">Доходы от уплаты акцизов </w:t>
            </w:r>
          </w:p>
          <w:p w:rsidR="001F504D" w:rsidRPr="001E1CC9" w:rsidRDefault="001F504D" w:rsidP="00466577">
            <w:pPr>
              <w:ind w:firstLine="34"/>
            </w:pP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6693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jc w:val="center"/>
            </w:pPr>
            <w:r>
              <w:t>5163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>
              <w:t>5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jc w:val="center"/>
            </w:pPr>
            <w:r>
              <w:t>0,77</w:t>
            </w: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pPr>
              <w:ind w:firstLine="34"/>
            </w:pPr>
            <w:r>
              <w:t>Налог по упрощенной системе налогообложения</w:t>
            </w:r>
          </w:p>
          <w:p w:rsidR="00E40163" w:rsidRPr="001E1CC9" w:rsidRDefault="00E40163" w:rsidP="00466577">
            <w:pPr>
              <w:ind w:firstLine="34"/>
            </w:pP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</w:p>
        </w:tc>
        <w:tc>
          <w:tcPr>
            <w:tcW w:w="836" w:type="pct"/>
          </w:tcPr>
          <w:p w:rsidR="00FE6D33" w:rsidRPr="001E1CC9" w:rsidRDefault="00FE6D33" w:rsidP="00466577">
            <w:pPr>
              <w:jc w:val="center"/>
            </w:pPr>
            <w:r>
              <w:t>2947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>
              <w:t>3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jc w:val="center"/>
            </w:pP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pPr>
              <w:ind w:firstLine="34"/>
            </w:pPr>
            <w:r w:rsidRPr="001E1CC9">
              <w:t>Единый налог на вмененный доход</w:t>
            </w:r>
          </w:p>
          <w:p w:rsidR="001F504D" w:rsidRPr="001E1CC9" w:rsidRDefault="001F504D" w:rsidP="00466577">
            <w:pPr>
              <w:ind w:firstLine="34"/>
            </w:pP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1987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jc w:val="center"/>
            </w:pPr>
            <w:r>
              <w:t>1851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2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jc w:val="center"/>
            </w:pPr>
            <w:r>
              <w:t>0,93</w:t>
            </w: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r w:rsidRPr="001E1CC9">
              <w:t>Единый сельскохозяйственный налог</w:t>
            </w:r>
          </w:p>
          <w:p w:rsidR="001F504D" w:rsidRPr="001E1CC9" w:rsidRDefault="001F504D" w:rsidP="00466577"/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0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jc w:val="center"/>
            </w:pPr>
            <w:r>
              <w:t>11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0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jc w:val="center"/>
            </w:pP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pPr>
              <w:ind w:firstLine="34"/>
            </w:pPr>
            <w:r w:rsidRPr="001E1CC9">
              <w:t>Единый налог, взимаемый в связи с применением патентной системы налогообложения</w:t>
            </w:r>
          </w:p>
          <w:p w:rsidR="00E40163" w:rsidRPr="001E1CC9" w:rsidRDefault="00E40163" w:rsidP="00466577">
            <w:pPr>
              <w:ind w:firstLine="34"/>
            </w:pP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ind w:firstLine="34"/>
              <w:jc w:val="center"/>
            </w:pPr>
            <w:r w:rsidRPr="001E1CC9">
              <w:t>22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ind w:firstLine="34"/>
              <w:jc w:val="center"/>
            </w:pPr>
            <w:r>
              <w:t>11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ind w:firstLine="34"/>
              <w:jc w:val="center"/>
            </w:pPr>
            <w:r w:rsidRPr="001E1CC9">
              <w:t>0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ind w:firstLine="34"/>
              <w:jc w:val="center"/>
            </w:pPr>
            <w:r>
              <w:t>0,5</w:t>
            </w: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r w:rsidRPr="001E1CC9">
              <w:t>Налог на имущество физических лиц</w:t>
            </w:r>
          </w:p>
          <w:p w:rsidR="00E40163" w:rsidRPr="001E1CC9" w:rsidRDefault="00E40163" w:rsidP="00466577"/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1946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ind w:hanging="108"/>
              <w:jc w:val="center"/>
            </w:pPr>
            <w:r>
              <w:t>1256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ind w:hanging="108"/>
              <w:jc w:val="center"/>
            </w:pPr>
            <w:r>
              <w:t>1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ind w:hanging="108"/>
              <w:jc w:val="center"/>
            </w:pPr>
            <w:r>
              <w:t>0,65</w:t>
            </w: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pPr>
              <w:ind w:firstLine="34"/>
            </w:pPr>
            <w:r w:rsidRPr="001E1CC9">
              <w:t xml:space="preserve">Земельный налог </w:t>
            </w:r>
          </w:p>
          <w:p w:rsidR="00E40163" w:rsidRPr="001E1CC9" w:rsidRDefault="00E40163" w:rsidP="00466577">
            <w:pPr>
              <w:ind w:firstLine="34"/>
            </w:pP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7959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ind w:hanging="94"/>
              <w:jc w:val="center"/>
            </w:pPr>
            <w:r>
              <w:t>13725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ind w:hanging="94"/>
              <w:jc w:val="center"/>
            </w:pPr>
            <w:r>
              <w:t>12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ind w:hanging="94"/>
              <w:jc w:val="center"/>
            </w:pPr>
            <w:r>
              <w:t>1,72</w:t>
            </w:r>
          </w:p>
        </w:tc>
      </w:tr>
      <w:tr w:rsidR="00FE6D33" w:rsidRPr="001E1CC9" w:rsidTr="006909CC">
        <w:trPr>
          <w:trHeight w:val="146"/>
        </w:trPr>
        <w:tc>
          <w:tcPr>
            <w:tcW w:w="2013" w:type="pct"/>
            <w:shd w:val="clear" w:color="auto" w:fill="auto"/>
          </w:tcPr>
          <w:p w:rsidR="00FE6D33" w:rsidRDefault="00FE6D33" w:rsidP="00466577">
            <w:r w:rsidRPr="001E1CC9">
              <w:t>Государственная пошлина</w:t>
            </w:r>
          </w:p>
          <w:p w:rsidR="00E40163" w:rsidRPr="001E1CC9" w:rsidRDefault="00E40163" w:rsidP="00466577"/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2513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jc w:val="center"/>
            </w:pPr>
            <w:r>
              <w:t>3686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>
              <w:t>3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jc w:val="center"/>
            </w:pPr>
            <w:r>
              <w:t>1,47</w:t>
            </w: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r w:rsidRPr="001E1CC9">
              <w:t>Аренда земли</w:t>
            </w:r>
          </w:p>
          <w:p w:rsidR="001F504D" w:rsidRPr="001E1CC9" w:rsidRDefault="001F504D" w:rsidP="00466577"/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8331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jc w:val="center"/>
            </w:pPr>
            <w:r>
              <w:t>7753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>
              <w:t>7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jc w:val="center"/>
            </w:pPr>
            <w:r>
              <w:t>0,93</w:t>
            </w:r>
          </w:p>
        </w:tc>
      </w:tr>
      <w:tr w:rsidR="00FE6D33" w:rsidRPr="001E1CC9" w:rsidTr="006909CC">
        <w:trPr>
          <w:trHeight w:val="246"/>
        </w:trPr>
        <w:tc>
          <w:tcPr>
            <w:tcW w:w="2013" w:type="pct"/>
            <w:shd w:val="clear" w:color="auto" w:fill="auto"/>
          </w:tcPr>
          <w:p w:rsidR="00FE6D33" w:rsidRDefault="00FE6D33" w:rsidP="00466577">
            <w:r w:rsidRPr="001E1CC9">
              <w:t>Аренда имущества</w:t>
            </w:r>
          </w:p>
          <w:p w:rsidR="001F504D" w:rsidRPr="001E1CC9" w:rsidRDefault="001F504D" w:rsidP="00466577"/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2075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3377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3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1,63</w:t>
            </w: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pPr>
              <w:ind w:firstLine="34"/>
            </w:pPr>
            <w:r w:rsidRPr="001E1CC9">
              <w:t>Плата за негативное воздействие на окружающую среду</w:t>
            </w:r>
          </w:p>
          <w:p w:rsidR="00E40163" w:rsidRPr="001E1CC9" w:rsidRDefault="00E40163" w:rsidP="00466577">
            <w:pPr>
              <w:ind w:firstLine="34"/>
            </w:pP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1159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-39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0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-0,03</w:t>
            </w:r>
          </w:p>
        </w:tc>
      </w:tr>
      <w:tr w:rsidR="00FE6D33" w:rsidRPr="001E1CC9" w:rsidTr="006909CC">
        <w:trPr>
          <w:trHeight w:val="958"/>
        </w:trPr>
        <w:tc>
          <w:tcPr>
            <w:tcW w:w="2013" w:type="pct"/>
            <w:shd w:val="clear" w:color="auto" w:fill="auto"/>
          </w:tcPr>
          <w:p w:rsidR="00FE6D33" w:rsidRPr="001E1CC9" w:rsidRDefault="00FE6D33" w:rsidP="00466577">
            <w:r w:rsidRPr="001E1CC9">
              <w:t>Прочие доходы от оказания платных услуг и компенсации затрат государства</w:t>
            </w: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11987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jc w:val="center"/>
            </w:pPr>
            <w:r>
              <w:t>11041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1</w:t>
            </w:r>
            <w:r>
              <w:t>0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jc w:val="center"/>
            </w:pPr>
            <w:r>
              <w:t>0,92</w:t>
            </w: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pPr>
              <w:ind w:firstLine="34"/>
            </w:pPr>
            <w:r w:rsidRPr="001E1CC9">
              <w:t>Доходы от реализации муниципального имущества</w:t>
            </w:r>
          </w:p>
          <w:p w:rsidR="00E40163" w:rsidRPr="001E1CC9" w:rsidRDefault="00E40163" w:rsidP="00466577">
            <w:pPr>
              <w:ind w:firstLine="34"/>
            </w:pP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0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1052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1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ind w:firstLine="48"/>
              <w:jc w:val="center"/>
            </w:pP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pPr>
              <w:ind w:firstLine="34"/>
            </w:pPr>
            <w:r>
              <w:t>Доходы от компенсации затрат государства</w:t>
            </w:r>
          </w:p>
          <w:p w:rsidR="00E40163" w:rsidRPr="001E1CC9" w:rsidRDefault="00E40163" w:rsidP="00466577">
            <w:pPr>
              <w:ind w:firstLine="34"/>
            </w:pP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</w:p>
        </w:tc>
        <w:tc>
          <w:tcPr>
            <w:tcW w:w="836" w:type="pct"/>
          </w:tcPr>
          <w:p w:rsidR="00FE6D33" w:rsidRDefault="00FE6D33" w:rsidP="00466577">
            <w:pPr>
              <w:ind w:firstLine="48"/>
              <w:jc w:val="center"/>
            </w:pPr>
            <w:r>
              <w:t>795</w:t>
            </w:r>
          </w:p>
        </w:tc>
        <w:tc>
          <w:tcPr>
            <w:tcW w:w="723" w:type="pct"/>
            <w:shd w:val="clear" w:color="auto" w:fill="auto"/>
          </w:tcPr>
          <w:p w:rsidR="00FE6D33" w:rsidRDefault="00FE6D33" w:rsidP="00466577">
            <w:pPr>
              <w:ind w:firstLine="48"/>
              <w:jc w:val="center"/>
            </w:pPr>
            <w:r>
              <w:t>1</w:t>
            </w:r>
          </w:p>
          <w:p w:rsidR="00FE6D33" w:rsidRPr="001E1CC9" w:rsidRDefault="00FE6D33" w:rsidP="00466577"/>
        </w:tc>
        <w:tc>
          <w:tcPr>
            <w:tcW w:w="723" w:type="pct"/>
          </w:tcPr>
          <w:p w:rsidR="00FE6D33" w:rsidRPr="001E1CC9" w:rsidRDefault="00FE6D33" w:rsidP="00466577">
            <w:pPr>
              <w:ind w:firstLine="48"/>
              <w:jc w:val="center"/>
            </w:pP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r w:rsidRPr="001E1CC9">
              <w:t>Доходы от продажи земельных участков</w:t>
            </w:r>
          </w:p>
          <w:p w:rsidR="00E40163" w:rsidRPr="001E1CC9" w:rsidRDefault="00E40163" w:rsidP="00466577"/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461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jc w:val="center"/>
            </w:pPr>
            <w:r>
              <w:t>293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>
              <w:t>0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jc w:val="center"/>
            </w:pPr>
            <w:r>
              <w:t>0,64</w:t>
            </w: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pPr>
              <w:ind w:firstLine="34"/>
            </w:pPr>
            <w:r w:rsidRPr="001E1CC9">
              <w:t xml:space="preserve">Штрафы, санкции, возмещение ущерба </w:t>
            </w:r>
          </w:p>
          <w:p w:rsidR="00E40163" w:rsidRPr="001E1CC9" w:rsidRDefault="00E40163" w:rsidP="00466577">
            <w:pPr>
              <w:ind w:firstLine="34"/>
            </w:pP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916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987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ind w:firstLine="48"/>
              <w:jc w:val="center"/>
            </w:pPr>
            <w:r w:rsidRPr="001E1CC9">
              <w:t>1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ind w:firstLine="48"/>
              <w:jc w:val="center"/>
            </w:pPr>
            <w:r>
              <w:t>1,08</w:t>
            </w:r>
          </w:p>
        </w:tc>
      </w:tr>
      <w:tr w:rsidR="00FE6D33" w:rsidRPr="001E1CC9" w:rsidTr="006909CC">
        <w:tc>
          <w:tcPr>
            <w:tcW w:w="2013" w:type="pct"/>
            <w:shd w:val="clear" w:color="auto" w:fill="auto"/>
          </w:tcPr>
          <w:p w:rsidR="00FE6D33" w:rsidRDefault="00FE6D33" w:rsidP="00466577">
            <w:pPr>
              <w:ind w:firstLine="34"/>
            </w:pPr>
            <w:r w:rsidRPr="001E1CC9">
              <w:t>Прочие неналоговые доходы</w:t>
            </w:r>
          </w:p>
          <w:p w:rsidR="001F504D" w:rsidRPr="001E1CC9" w:rsidRDefault="001F504D" w:rsidP="00466577">
            <w:pPr>
              <w:ind w:firstLine="34"/>
            </w:pPr>
          </w:p>
        </w:tc>
        <w:tc>
          <w:tcPr>
            <w:tcW w:w="705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98</w:t>
            </w:r>
          </w:p>
        </w:tc>
        <w:tc>
          <w:tcPr>
            <w:tcW w:w="836" w:type="pct"/>
          </w:tcPr>
          <w:p w:rsidR="00FE6D33" w:rsidRPr="001E1CC9" w:rsidRDefault="00FE6D33" w:rsidP="00466577">
            <w:pPr>
              <w:jc w:val="center"/>
            </w:pPr>
            <w:r>
              <w:t>78</w:t>
            </w:r>
          </w:p>
        </w:tc>
        <w:tc>
          <w:tcPr>
            <w:tcW w:w="723" w:type="pct"/>
            <w:shd w:val="clear" w:color="auto" w:fill="auto"/>
          </w:tcPr>
          <w:p w:rsidR="00FE6D33" w:rsidRPr="001E1CC9" w:rsidRDefault="00FE6D33" w:rsidP="00466577">
            <w:pPr>
              <w:jc w:val="center"/>
            </w:pPr>
            <w:r w:rsidRPr="001E1CC9">
              <w:t>0</w:t>
            </w:r>
          </w:p>
        </w:tc>
        <w:tc>
          <w:tcPr>
            <w:tcW w:w="723" w:type="pct"/>
          </w:tcPr>
          <w:p w:rsidR="00FE6D33" w:rsidRPr="001E1CC9" w:rsidRDefault="00FE6D33" w:rsidP="00466577">
            <w:pPr>
              <w:jc w:val="center"/>
            </w:pPr>
            <w:r>
              <w:t>0,8</w:t>
            </w:r>
          </w:p>
        </w:tc>
      </w:tr>
    </w:tbl>
    <w:p w:rsidR="00466577" w:rsidRDefault="00466577" w:rsidP="00466577">
      <w:pPr>
        <w:jc w:val="center"/>
        <w:rPr>
          <w:b/>
          <w:noProof/>
          <w:sz w:val="28"/>
          <w:szCs w:val="28"/>
        </w:rPr>
      </w:pPr>
    </w:p>
    <w:p w:rsidR="00FE6D33" w:rsidRDefault="00FE6D33" w:rsidP="00466577">
      <w:pPr>
        <w:jc w:val="center"/>
        <w:rPr>
          <w:b/>
          <w:noProof/>
          <w:sz w:val="36"/>
          <w:szCs w:val="36"/>
        </w:rPr>
      </w:pPr>
      <w:r w:rsidRPr="00466577">
        <w:rPr>
          <w:b/>
          <w:noProof/>
          <w:sz w:val="28"/>
          <w:szCs w:val="28"/>
        </w:rPr>
        <w:lastRenderedPageBreak/>
        <w:t>Исполнено в 2017 году</w:t>
      </w:r>
      <w:r>
        <w:rPr>
          <w:b/>
          <w:noProof/>
          <w:sz w:val="36"/>
          <w:szCs w:val="36"/>
        </w:rPr>
        <w:drawing>
          <wp:inline distT="0" distB="0" distL="0" distR="0">
            <wp:extent cx="6202907" cy="738343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4F86" w:rsidRDefault="002E4F86" w:rsidP="00466577">
      <w:pPr>
        <w:ind w:firstLine="709"/>
        <w:jc w:val="both"/>
        <w:rPr>
          <w:sz w:val="28"/>
          <w:szCs w:val="28"/>
        </w:rPr>
      </w:pPr>
    </w:p>
    <w:p w:rsidR="00FE6D33" w:rsidRPr="002A7DFE" w:rsidRDefault="00FE6D33" w:rsidP="00466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</w:t>
      </w:r>
      <w:r w:rsidRPr="002A7DFE">
        <w:rPr>
          <w:sz w:val="28"/>
          <w:szCs w:val="28"/>
        </w:rPr>
        <w:t>говые и неналоговые доходы бюджета сформированы в основном за счет:</w:t>
      </w:r>
    </w:p>
    <w:p w:rsidR="00FE6D33" w:rsidRDefault="00FE6D33" w:rsidP="00466577">
      <w:pPr>
        <w:jc w:val="both"/>
        <w:rPr>
          <w:sz w:val="28"/>
          <w:szCs w:val="28"/>
        </w:rPr>
      </w:pPr>
      <w:r w:rsidRPr="002A7DFE">
        <w:rPr>
          <w:sz w:val="28"/>
          <w:szCs w:val="28"/>
        </w:rPr>
        <w:t xml:space="preserve">- налога на доходы физических лиц </w:t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  <w:t>– 5</w:t>
      </w:r>
      <w:r>
        <w:rPr>
          <w:sz w:val="28"/>
          <w:szCs w:val="28"/>
        </w:rPr>
        <w:t>3</w:t>
      </w:r>
      <w:r w:rsidRPr="002A7DFE">
        <w:rPr>
          <w:sz w:val="28"/>
          <w:szCs w:val="28"/>
        </w:rPr>
        <w:t xml:space="preserve"> %; </w:t>
      </w:r>
    </w:p>
    <w:p w:rsidR="00FE6D33" w:rsidRPr="002A7DFE" w:rsidRDefault="00FE6D33" w:rsidP="00466577">
      <w:pPr>
        <w:jc w:val="both"/>
        <w:rPr>
          <w:sz w:val="28"/>
          <w:szCs w:val="28"/>
        </w:rPr>
      </w:pPr>
      <w:r w:rsidRPr="00944517">
        <w:rPr>
          <w:sz w:val="28"/>
          <w:szCs w:val="28"/>
        </w:rPr>
        <w:t xml:space="preserve">- земельного налога </w:t>
      </w:r>
      <w:r w:rsidRPr="00944517">
        <w:rPr>
          <w:sz w:val="28"/>
          <w:szCs w:val="28"/>
        </w:rPr>
        <w:tab/>
      </w:r>
      <w:r w:rsidRPr="00944517">
        <w:rPr>
          <w:sz w:val="28"/>
          <w:szCs w:val="28"/>
        </w:rPr>
        <w:tab/>
      </w:r>
      <w:r w:rsidRPr="00944517">
        <w:rPr>
          <w:sz w:val="28"/>
          <w:szCs w:val="28"/>
        </w:rPr>
        <w:tab/>
      </w:r>
      <w:r w:rsidRPr="00944517">
        <w:rPr>
          <w:sz w:val="28"/>
          <w:szCs w:val="28"/>
        </w:rPr>
        <w:tab/>
      </w:r>
      <w:r w:rsidRPr="00944517">
        <w:rPr>
          <w:sz w:val="28"/>
          <w:szCs w:val="28"/>
        </w:rPr>
        <w:tab/>
      </w:r>
      <w:r w:rsidRPr="00944517">
        <w:rPr>
          <w:sz w:val="28"/>
          <w:szCs w:val="28"/>
        </w:rPr>
        <w:tab/>
      </w:r>
      <w:r w:rsidRPr="00944517"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>12</w:t>
      </w:r>
      <w:r w:rsidRPr="00944517">
        <w:rPr>
          <w:sz w:val="28"/>
          <w:szCs w:val="28"/>
        </w:rPr>
        <w:t xml:space="preserve"> %;</w:t>
      </w:r>
    </w:p>
    <w:p w:rsidR="00FE6D33" w:rsidRPr="002A7DFE" w:rsidRDefault="00FE6D33" w:rsidP="00466577">
      <w:pPr>
        <w:jc w:val="both"/>
        <w:rPr>
          <w:sz w:val="28"/>
          <w:szCs w:val="28"/>
        </w:rPr>
      </w:pPr>
      <w:r w:rsidRPr="002A7DFE">
        <w:rPr>
          <w:sz w:val="28"/>
          <w:szCs w:val="28"/>
        </w:rPr>
        <w:t xml:space="preserve">- прочих доходов от оказания платных </w:t>
      </w:r>
    </w:p>
    <w:p w:rsidR="00FE6D33" w:rsidRDefault="00FE6D33" w:rsidP="00466577">
      <w:pPr>
        <w:contextualSpacing/>
        <w:jc w:val="both"/>
        <w:rPr>
          <w:sz w:val="28"/>
          <w:szCs w:val="28"/>
        </w:rPr>
      </w:pPr>
      <w:r w:rsidRPr="002A7DFE">
        <w:rPr>
          <w:sz w:val="28"/>
          <w:szCs w:val="28"/>
        </w:rPr>
        <w:t xml:space="preserve">услуг казенными учреждениями                                    </w:t>
      </w:r>
      <w:r w:rsidR="00BF2D09">
        <w:rPr>
          <w:sz w:val="28"/>
          <w:szCs w:val="28"/>
        </w:rPr>
        <w:t xml:space="preserve">    </w:t>
      </w:r>
      <w:r w:rsidRPr="002A7DFE">
        <w:rPr>
          <w:sz w:val="28"/>
          <w:szCs w:val="28"/>
        </w:rPr>
        <w:t xml:space="preserve">      – 1</w:t>
      </w:r>
      <w:r>
        <w:rPr>
          <w:sz w:val="28"/>
          <w:szCs w:val="28"/>
        </w:rPr>
        <w:t>0</w:t>
      </w:r>
      <w:r w:rsidRPr="002A7DFE">
        <w:rPr>
          <w:sz w:val="28"/>
          <w:szCs w:val="28"/>
        </w:rPr>
        <w:t>%;</w:t>
      </w:r>
    </w:p>
    <w:p w:rsidR="00FE6D33" w:rsidRDefault="00FE6D33" w:rsidP="00466577">
      <w:pPr>
        <w:contextualSpacing/>
        <w:jc w:val="both"/>
        <w:rPr>
          <w:sz w:val="28"/>
          <w:szCs w:val="28"/>
        </w:rPr>
      </w:pPr>
      <w:r w:rsidRPr="002A7DFE">
        <w:rPr>
          <w:sz w:val="28"/>
          <w:szCs w:val="28"/>
        </w:rPr>
        <w:t xml:space="preserve">- арендной платы за земельные участки  </w:t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>7</w:t>
      </w:r>
      <w:r w:rsidRPr="002A7DFE">
        <w:rPr>
          <w:sz w:val="28"/>
          <w:szCs w:val="28"/>
        </w:rPr>
        <w:t xml:space="preserve"> %;</w:t>
      </w:r>
    </w:p>
    <w:p w:rsidR="00FE6D33" w:rsidRPr="002A7DFE" w:rsidRDefault="00FE6D33" w:rsidP="00466577">
      <w:pPr>
        <w:jc w:val="both"/>
        <w:rPr>
          <w:sz w:val="28"/>
          <w:szCs w:val="28"/>
        </w:rPr>
      </w:pPr>
      <w:r w:rsidRPr="002A7DFE">
        <w:rPr>
          <w:sz w:val="28"/>
          <w:szCs w:val="28"/>
        </w:rPr>
        <w:t xml:space="preserve">- акцизов </w:t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</w:r>
      <w:r w:rsidRPr="002A7DFE"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>5</w:t>
      </w:r>
      <w:r w:rsidRPr="002A7DFE">
        <w:rPr>
          <w:sz w:val="28"/>
          <w:szCs w:val="28"/>
        </w:rPr>
        <w:t xml:space="preserve"> %.</w:t>
      </w:r>
    </w:p>
    <w:p w:rsidR="006A0D93" w:rsidRDefault="006A0D93" w:rsidP="00466577">
      <w:pPr>
        <w:ind w:firstLine="709"/>
        <w:jc w:val="both"/>
        <w:rPr>
          <w:sz w:val="28"/>
          <w:szCs w:val="28"/>
        </w:rPr>
      </w:pPr>
    </w:p>
    <w:p w:rsidR="006972BA" w:rsidRDefault="006972BA" w:rsidP="00466577">
      <w:pPr>
        <w:ind w:firstLine="709"/>
        <w:jc w:val="both"/>
        <w:rPr>
          <w:sz w:val="28"/>
          <w:szCs w:val="28"/>
        </w:rPr>
      </w:pPr>
    </w:p>
    <w:p w:rsidR="00FE6D33" w:rsidRPr="0070057D" w:rsidRDefault="00FE6D33" w:rsidP="00E40163">
      <w:pPr>
        <w:ind w:firstLine="709"/>
        <w:jc w:val="both"/>
        <w:rPr>
          <w:sz w:val="28"/>
          <w:szCs w:val="28"/>
        </w:rPr>
      </w:pPr>
      <w:r w:rsidRPr="0070057D">
        <w:rPr>
          <w:sz w:val="28"/>
          <w:szCs w:val="28"/>
        </w:rPr>
        <w:lastRenderedPageBreak/>
        <w:t>Основным доходным источником</w:t>
      </w:r>
      <w:r w:rsidRPr="0070057D">
        <w:rPr>
          <w:b/>
          <w:i/>
          <w:sz w:val="28"/>
          <w:szCs w:val="28"/>
        </w:rPr>
        <w:t xml:space="preserve"> </w:t>
      </w:r>
      <w:r w:rsidRPr="0070057D">
        <w:rPr>
          <w:sz w:val="28"/>
          <w:szCs w:val="28"/>
        </w:rPr>
        <w:t xml:space="preserve">является доход, полученный в виде </w:t>
      </w:r>
    </w:p>
    <w:p w:rsidR="00FE6D33" w:rsidRPr="0070057D" w:rsidRDefault="001F504D" w:rsidP="00E40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6D33" w:rsidRPr="001F504D">
        <w:rPr>
          <w:sz w:val="28"/>
          <w:szCs w:val="28"/>
        </w:rPr>
        <w:t>- налога на доходы физических лиц,</w:t>
      </w:r>
      <w:r w:rsidR="00FE6D33" w:rsidRPr="001F504D">
        <w:rPr>
          <w:i/>
          <w:sz w:val="28"/>
          <w:szCs w:val="28"/>
        </w:rPr>
        <w:t xml:space="preserve"> </w:t>
      </w:r>
      <w:r w:rsidR="00FE6D33" w:rsidRPr="001F504D">
        <w:rPr>
          <w:sz w:val="28"/>
          <w:szCs w:val="28"/>
        </w:rPr>
        <w:t>который</w:t>
      </w:r>
      <w:r w:rsidR="00FE6D33" w:rsidRPr="0070057D">
        <w:rPr>
          <w:sz w:val="28"/>
          <w:szCs w:val="28"/>
        </w:rPr>
        <w:t xml:space="preserve"> сформировал 5</w:t>
      </w:r>
      <w:r w:rsidR="00FE6D33">
        <w:rPr>
          <w:sz w:val="28"/>
          <w:szCs w:val="28"/>
        </w:rPr>
        <w:t>3</w:t>
      </w:r>
      <w:r w:rsidR="00FE6D33" w:rsidRPr="0070057D">
        <w:rPr>
          <w:sz w:val="28"/>
          <w:szCs w:val="28"/>
        </w:rPr>
        <w:t xml:space="preserve"> % налоговых и неналоговых доходов. Доходы, обеспеченные данным налогом, составили </w:t>
      </w:r>
      <w:r w:rsidR="00FE6D33">
        <w:rPr>
          <w:sz w:val="28"/>
          <w:szCs w:val="28"/>
        </w:rPr>
        <w:t>60 314</w:t>
      </w:r>
      <w:r w:rsidR="00FE6D33" w:rsidRPr="0070057D">
        <w:rPr>
          <w:sz w:val="28"/>
          <w:szCs w:val="28"/>
        </w:rPr>
        <w:t xml:space="preserve"> тыс.</w:t>
      </w:r>
      <w:r w:rsidR="00FE6D33">
        <w:rPr>
          <w:sz w:val="28"/>
          <w:szCs w:val="28"/>
        </w:rPr>
        <w:t xml:space="preserve"> рублей</w:t>
      </w:r>
      <w:r w:rsidR="00FE6D33" w:rsidRPr="0070057D">
        <w:rPr>
          <w:sz w:val="28"/>
          <w:szCs w:val="28"/>
        </w:rPr>
        <w:t xml:space="preserve"> и выполнены на 1</w:t>
      </w:r>
      <w:r w:rsidR="00FE6D33">
        <w:rPr>
          <w:sz w:val="28"/>
          <w:szCs w:val="28"/>
        </w:rPr>
        <w:t>05</w:t>
      </w:r>
      <w:r w:rsidR="00FE6D33" w:rsidRPr="0070057D">
        <w:rPr>
          <w:sz w:val="28"/>
          <w:szCs w:val="28"/>
        </w:rPr>
        <w:t xml:space="preserve"> %.</w:t>
      </w:r>
    </w:p>
    <w:p w:rsidR="001F504D" w:rsidRDefault="00FE6D33" w:rsidP="00E40163">
      <w:pPr>
        <w:ind w:firstLine="709"/>
        <w:jc w:val="both"/>
        <w:rPr>
          <w:sz w:val="28"/>
          <w:szCs w:val="28"/>
        </w:rPr>
      </w:pPr>
      <w:r w:rsidRPr="00F62832">
        <w:rPr>
          <w:sz w:val="28"/>
          <w:szCs w:val="28"/>
        </w:rPr>
        <w:t>Вторым по значению источником доходов является</w:t>
      </w:r>
      <w:r w:rsidRPr="00F62832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F628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земельный налог.</w:t>
      </w:r>
      <w:r>
        <w:rPr>
          <w:sz w:val="28"/>
          <w:szCs w:val="28"/>
        </w:rPr>
        <w:t xml:space="preserve"> </w:t>
      </w:r>
      <w:r w:rsidRPr="00F62832">
        <w:rPr>
          <w:sz w:val="28"/>
          <w:szCs w:val="28"/>
        </w:rPr>
        <w:t>За счет данного источника сформировано 1</w:t>
      </w:r>
      <w:r>
        <w:rPr>
          <w:sz w:val="28"/>
          <w:szCs w:val="28"/>
        </w:rPr>
        <w:t>2</w:t>
      </w:r>
      <w:r w:rsidRPr="00F62832">
        <w:rPr>
          <w:sz w:val="28"/>
          <w:szCs w:val="28"/>
        </w:rPr>
        <w:t xml:space="preserve"> % доходов. Поступило данного вида доходов </w:t>
      </w:r>
      <w:r>
        <w:rPr>
          <w:sz w:val="28"/>
          <w:szCs w:val="28"/>
        </w:rPr>
        <w:t xml:space="preserve">13 725,0 </w:t>
      </w:r>
      <w:r w:rsidRPr="00F62832">
        <w:rPr>
          <w:sz w:val="28"/>
          <w:szCs w:val="28"/>
        </w:rPr>
        <w:t xml:space="preserve">тыс. рублей. Выполнен на </w:t>
      </w:r>
      <w:r>
        <w:rPr>
          <w:sz w:val="28"/>
          <w:szCs w:val="28"/>
        </w:rPr>
        <w:t>120</w:t>
      </w:r>
      <w:r w:rsidRPr="00F62832">
        <w:rPr>
          <w:sz w:val="28"/>
          <w:szCs w:val="28"/>
        </w:rPr>
        <w:t xml:space="preserve">%. </w:t>
      </w:r>
    </w:p>
    <w:p w:rsidR="00FE6D33" w:rsidRPr="007D5403" w:rsidRDefault="00FE6D33" w:rsidP="00E40163">
      <w:pPr>
        <w:ind w:firstLine="709"/>
        <w:jc w:val="both"/>
        <w:rPr>
          <w:sz w:val="28"/>
          <w:szCs w:val="28"/>
        </w:rPr>
      </w:pPr>
      <w:r w:rsidRPr="00914EEA">
        <w:rPr>
          <w:sz w:val="28"/>
          <w:szCs w:val="28"/>
        </w:rPr>
        <w:t xml:space="preserve">Сумма поступлений по </w:t>
      </w:r>
      <w:r>
        <w:rPr>
          <w:sz w:val="28"/>
          <w:szCs w:val="28"/>
        </w:rPr>
        <w:t xml:space="preserve">прочим доходам от оказания платных услуг  и компенсации затрат государства составила </w:t>
      </w:r>
      <w:r w:rsidRPr="00914EEA">
        <w:rPr>
          <w:sz w:val="28"/>
          <w:szCs w:val="28"/>
        </w:rPr>
        <w:t xml:space="preserve"> </w:t>
      </w:r>
      <w:r>
        <w:rPr>
          <w:sz w:val="28"/>
          <w:szCs w:val="28"/>
        </w:rPr>
        <w:t>11 041,0</w:t>
      </w:r>
      <w:r w:rsidRPr="00914EEA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B432C5">
        <w:rPr>
          <w:sz w:val="28"/>
          <w:szCs w:val="28"/>
        </w:rPr>
        <w:t>.  Данный показатель  вы</w:t>
      </w:r>
      <w:r w:rsidRPr="00914EEA">
        <w:rPr>
          <w:sz w:val="28"/>
          <w:szCs w:val="28"/>
        </w:rPr>
        <w:t xml:space="preserve">полнен на  </w:t>
      </w:r>
      <w:r>
        <w:rPr>
          <w:sz w:val="28"/>
          <w:szCs w:val="28"/>
        </w:rPr>
        <w:t>101</w:t>
      </w:r>
      <w:r w:rsidRPr="00914EEA">
        <w:rPr>
          <w:sz w:val="28"/>
          <w:szCs w:val="28"/>
        </w:rPr>
        <w:t xml:space="preserve"> %. </w:t>
      </w:r>
    </w:p>
    <w:p w:rsidR="00FE6D33" w:rsidRPr="003B73C4" w:rsidRDefault="00FE6D33" w:rsidP="00E40163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За счет</w:t>
      </w:r>
      <w:r w:rsidRPr="001F504D">
        <w:rPr>
          <w:i/>
          <w:sz w:val="28"/>
          <w:szCs w:val="28"/>
        </w:rPr>
        <w:t xml:space="preserve"> </w:t>
      </w:r>
      <w:r w:rsidRPr="001F504D">
        <w:rPr>
          <w:sz w:val="28"/>
          <w:szCs w:val="28"/>
        </w:rPr>
        <w:t xml:space="preserve">доходов от аренды земли сформировано 7% </w:t>
      </w:r>
      <w:r w:rsidRPr="003B73C4">
        <w:rPr>
          <w:sz w:val="28"/>
          <w:szCs w:val="28"/>
        </w:rPr>
        <w:t>доходов</w:t>
      </w:r>
      <w:r w:rsidRPr="00E41701">
        <w:rPr>
          <w:color w:val="FF0000"/>
          <w:sz w:val="28"/>
          <w:szCs w:val="28"/>
        </w:rPr>
        <w:t xml:space="preserve">. </w:t>
      </w:r>
      <w:r w:rsidRPr="003B73C4">
        <w:rPr>
          <w:sz w:val="28"/>
          <w:szCs w:val="28"/>
        </w:rPr>
        <w:t xml:space="preserve">Поступило данного вида доходов </w:t>
      </w:r>
      <w:r>
        <w:rPr>
          <w:sz w:val="28"/>
          <w:szCs w:val="28"/>
        </w:rPr>
        <w:t xml:space="preserve">7 753 </w:t>
      </w:r>
      <w:r w:rsidRPr="003B73C4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B73C4">
        <w:rPr>
          <w:sz w:val="28"/>
          <w:szCs w:val="28"/>
        </w:rPr>
        <w:t>.</w:t>
      </w:r>
      <w:r w:rsidRPr="00E41701">
        <w:rPr>
          <w:color w:val="FF0000"/>
          <w:sz w:val="28"/>
          <w:szCs w:val="28"/>
        </w:rPr>
        <w:t xml:space="preserve"> </w:t>
      </w:r>
      <w:r w:rsidRPr="003B73C4">
        <w:rPr>
          <w:sz w:val="28"/>
          <w:szCs w:val="28"/>
        </w:rPr>
        <w:t xml:space="preserve">Исполнение налога составило </w:t>
      </w:r>
      <w:r>
        <w:rPr>
          <w:sz w:val="28"/>
          <w:szCs w:val="28"/>
        </w:rPr>
        <w:t>50</w:t>
      </w:r>
      <w:r w:rsidRPr="003B73C4">
        <w:rPr>
          <w:sz w:val="28"/>
          <w:szCs w:val="28"/>
        </w:rPr>
        <w:t xml:space="preserve"> %. </w:t>
      </w:r>
      <w:r>
        <w:rPr>
          <w:sz w:val="28"/>
          <w:szCs w:val="28"/>
        </w:rPr>
        <w:t>Неисполнение назначений связано с образованием задолженности, перерасчетом арендной платы  за земельные участки по решению суда в связи с применением понижающих коэффициентов.</w:t>
      </w:r>
    </w:p>
    <w:p w:rsidR="00FE6D33" w:rsidRPr="001F504D" w:rsidRDefault="00FE6D33" w:rsidP="00E40163">
      <w:pPr>
        <w:ind w:firstLine="709"/>
        <w:jc w:val="both"/>
        <w:rPr>
          <w:sz w:val="28"/>
          <w:szCs w:val="28"/>
        </w:rPr>
      </w:pPr>
      <w:r w:rsidRPr="00A02CED">
        <w:rPr>
          <w:sz w:val="28"/>
          <w:szCs w:val="28"/>
        </w:rPr>
        <w:t xml:space="preserve">За счет </w:t>
      </w:r>
      <w:r w:rsidRPr="001F504D">
        <w:rPr>
          <w:sz w:val="28"/>
          <w:szCs w:val="28"/>
        </w:rPr>
        <w:t>акцизов сформировано 5 % доходов. Поступило данного вида доходов 5 163,0 тыс. рублей. Выполнен данный показатель на 116% в связи с увеличением  поступлений по платежам.</w:t>
      </w:r>
    </w:p>
    <w:p w:rsidR="00FE6D33" w:rsidRPr="001F504D" w:rsidRDefault="00FE6D33" w:rsidP="00E40163">
      <w:pPr>
        <w:ind w:firstLine="709"/>
        <w:jc w:val="both"/>
        <w:rPr>
          <w:sz w:val="32"/>
          <w:szCs w:val="32"/>
        </w:rPr>
      </w:pPr>
      <w:r w:rsidRPr="001F504D">
        <w:rPr>
          <w:sz w:val="28"/>
          <w:szCs w:val="28"/>
        </w:rPr>
        <w:t>Безвозмездные поступления от других уровней бюджетной системы на 2017 год запланированы в сумме 437 092,3  тыс. рублей,  исполнены в сумме 430 255,9  тыс. рублей или на 98 %</w:t>
      </w:r>
      <w:r w:rsidRPr="001F504D">
        <w:rPr>
          <w:sz w:val="32"/>
          <w:szCs w:val="32"/>
        </w:rPr>
        <w:t xml:space="preserve">. </w:t>
      </w:r>
    </w:p>
    <w:p w:rsidR="00FE6D33" w:rsidRPr="001F504D" w:rsidRDefault="00FE6D33" w:rsidP="00E40163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В 2017 году в бюджет поступили прочие безвозмездные поступления в сумме 3 726,0 тыс. рублей</w:t>
      </w:r>
      <w:r w:rsidR="002A3E4B" w:rsidRPr="001F504D">
        <w:rPr>
          <w:sz w:val="28"/>
          <w:szCs w:val="28"/>
        </w:rPr>
        <w:t xml:space="preserve"> от ЗАО «Карабашмедь» в рамках договора социального партнерства, ИП </w:t>
      </w:r>
      <w:proofErr w:type="spellStart"/>
      <w:r w:rsidR="002A3E4B" w:rsidRPr="001F504D">
        <w:rPr>
          <w:sz w:val="28"/>
          <w:szCs w:val="28"/>
        </w:rPr>
        <w:t>Переваловой</w:t>
      </w:r>
      <w:proofErr w:type="spellEnd"/>
      <w:r w:rsidR="002A3E4B" w:rsidRPr="001F504D">
        <w:rPr>
          <w:sz w:val="28"/>
          <w:szCs w:val="28"/>
        </w:rPr>
        <w:t xml:space="preserve"> Н.В., ООО «Пояс». </w:t>
      </w:r>
    </w:p>
    <w:p w:rsidR="00FE6D33" w:rsidRPr="001F504D" w:rsidRDefault="002A3E4B" w:rsidP="00E40163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Р</w:t>
      </w:r>
      <w:r w:rsidR="00FE6D33" w:rsidRPr="001F504D">
        <w:rPr>
          <w:sz w:val="28"/>
          <w:szCs w:val="28"/>
        </w:rPr>
        <w:t>асходная часть бюджета за 2017 год исполнена в сумме 537 688,5 тыс. рублей или на 96,5% годовых бюджетных назначений.</w:t>
      </w:r>
    </w:p>
    <w:p w:rsidR="006A0D93" w:rsidRDefault="006A0D93" w:rsidP="00466577">
      <w:pPr>
        <w:ind w:firstLine="708"/>
        <w:jc w:val="both"/>
        <w:rPr>
          <w:sz w:val="28"/>
          <w:szCs w:val="28"/>
        </w:rPr>
      </w:pPr>
    </w:p>
    <w:p w:rsidR="006A0D93" w:rsidRPr="00ED1BA0" w:rsidRDefault="00FE6D33" w:rsidP="001F504D">
      <w:pPr>
        <w:ind w:firstLine="708"/>
        <w:jc w:val="center"/>
        <w:rPr>
          <w:b/>
          <w:sz w:val="28"/>
          <w:szCs w:val="28"/>
        </w:rPr>
      </w:pPr>
      <w:r w:rsidRPr="00ED1BA0">
        <w:rPr>
          <w:b/>
          <w:sz w:val="28"/>
          <w:szCs w:val="28"/>
        </w:rPr>
        <w:t>Структура расходов</w:t>
      </w:r>
    </w:p>
    <w:tbl>
      <w:tblPr>
        <w:tblStyle w:val="aa"/>
        <w:tblW w:w="10031" w:type="dxa"/>
        <w:tblLook w:val="04A0"/>
      </w:tblPr>
      <w:tblGrid>
        <w:gridCol w:w="6912"/>
        <w:gridCol w:w="1701"/>
        <w:gridCol w:w="1418"/>
      </w:tblGrid>
      <w:tr w:rsidR="00FE6D33" w:rsidTr="006909CC">
        <w:tc>
          <w:tcPr>
            <w:tcW w:w="6912" w:type="dxa"/>
          </w:tcPr>
          <w:p w:rsidR="00FE6D33" w:rsidRPr="00ED1BA0" w:rsidRDefault="00FE6D33" w:rsidP="0046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A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FE6D33" w:rsidRPr="00ED1BA0" w:rsidRDefault="00FE6D33" w:rsidP="0046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A0">
              <w:rPr>
                <w:rFonts w:ascii="Times New Roman" w:hAnsi="Times New Roman"/>
                <w:sz w:val="24"/>
                <w:szCs w:val="24"/>
              </w:rPr>
              <w:t xml:space="preserve">Сумма в </w:t>
            </w:r>
            <w:proofErr w:type="spellStart"/>
            <w:r w:rsidRPr="00ED1BA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D1BA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D1BA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8" w:type="dxa"/>
          </w:tcPr>
          <w:p w:rsidR="00FE6D33" w:rsidRPr="00ED1BA0" w:rsidRDefault="00FE6D33" w:rsidP="0046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A0">
              <w:rPr>
                <w:rFonts w:ascii="Times New Roman" w:hAnsi="Times New Roman"/>
                <w:sz w:val="24"/>
                <w:szCs w:val="24"/>
              </w:rPr>
              <w:t xml:space="preserve">Доля в общей структуре расходов </w:t>
            </w:r>
            <w:proofErr w:type="gramStart"/>
            <w:r w:rsidRPr="00ED1B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D1BA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E6D33" w:rsidTr="006909CC">
        <w:tc>
          <w:tcPr>
            <w:tcW w:w="6912" w:type="dxa"/>
          </w:tcPr>
          <w:p w:rsidR="00FE6D33" w:rsidRDefault="00FE6D33" w:rsidP="00466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Общегосударственные вопросы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61 179,7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  <w:tr w:rsidR="00FE6D33" w:rsidTr="006909CC">
        <w:tc>
          <w:tcPr>
            <w:tcW w:w="6912" w:type="dxa"/>
          </w:tcPr>
          <w:p w:rsidR="00FE6D33" w:rsidRDefault="00FE6D33" w:rsidP="00466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Национальная оборона 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567,0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FE6D33" w:rsidTr="006909CC">
        <w:tc>
          <w:tcPr>
            <w:tcW w:w="6912" w:type="dxa"/>
          </w:tcPr>
          <w:p w:rsidR="00FE6D33" w:rsidRDefault="00FE6D33" w:rsidP="00466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6 905,2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FE6D33" w:rsidTr="006909CC">
        <w:tc>
          <w:tcPr>
            <w:tcW w:w="6912" w:type="dxa"/>
          </w:tcPr>
          <w:p w:rsidR="00FE6D33" w:rsidRPr="00D40BF7" w:rsidRDefault="00FE6D33" w:rsidP="00466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40BF7">
              <w:rPr>
                <w:rFonts w:ascii="Times New Roman" w:hAnsi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24 340,3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FE6D33" w:rsidTr="006909CC">
        <w:tc>
          <w:tcPr>
            <w:tcW w:w="6912" w:type="dxa"/>
          </w:tcPr>
          <w:p w:rsidR="00FE6D33" w:rsidRPr="00D40BF7" w:rsidRDefault="00FE6D33" w:rsidP="00466577">
            <w:pPr>
              <w:rPr>
                <w:rFonts w:ascii="Times New Roman" w:hAnsi="Times New Roman"/>
                <w:sz w:val="28"/>
                <w:szCs w:val="28"/>
              </w:rPr>
            </w:pPr>
            <w:r w:rsidRPr="00D40BF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0BF7">
              <w:rPr>
                <w:rFonts w:ascii="Times New Roman" w:hAnsi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46 157,8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FE6D33" w:rsidTr="006909CC">
        <w:tc>
          <w:tcPr>
            <w:tcW w:w="6912" w:type="dxa"/>
          </w:tcPr>
          <w:p w:rsidR="00FE6D33" w:rsidRPr="00D40BF7" w:rsidRDefault="00FE6D33" w:rsidP="00466577">
            <w:pPr>
              <w:rPr>
                <w:rFonts w:ascii="Times New Roman" w:hAnsi="Times New Roman"/>
                <w:sz w:val="28"/>
                <w:szCs w:val="28"/>
              </w:rPr>
            </w:pPr>
            <w:r w:rsidRPr="00D40BF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0BF7"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203 467,2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</w:tr>
      <w:tr w:rsidR="00FE6D33" w:rsidTr="006909CC">
        <w:tc>
          <w:tcPr>
            <w:tcW w:w="6912" w:type="dxa"/>
          </w:tcPr>
          <w:p w:rsidR="00FE6D33" w:rsidRPr="00D40BF7" w:rsidRDefault="00FE6D33" w:rsidP="00466577">
            <w:pPr>
              <w:rPr>
                <w:rFonts w:ascii="Times New Roman" w:hAnsi="Times New Roman"/>
                <w:sz w:val="28"/>
                <w:szCs w:val="28"/>
              </w:rPr>
            </w:pPr>
            <w:r w:rsidRPr="00D40BF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0BF7">
              <w:rPr>
                <w:rFonts w:ascii="Times New Roman" w:hAnsi="Times New Roman"/>
                <w:sz w:val="28"/>
                <w:szCs w:val="28"/>
              </w:rPr>
              <w:t xml:space="preserve"> Культура и кинематографи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47 060,3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</w:tr>
      <w:tr w:rsidR="00FE6D33" w:rsidTr="006909CC">
        <w:tc>
          <w:tcPr>
            <w:tcW w:w="6912" w:type="dxa"/>
          </w:tcPr>
          <w:p w:rsidR="00FE6D33" w:rsidRPr="00D40BF7" w:rsidRDefault="00FE6D33" w:rsidP="00466577">
            <w:pPr>
              <w:rPr>
                <w:rFonts w:ascii="Times New Roman" w:hAnsi="Times New Roman"/>
                <w:sz w:val="28"/>
                <w:szCs w:val="28"/>
              </w:rPr>
            </w:pPr>
            <w:r w:rsidRPr="00D40BF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0BF7">
              <w:rPr>
                <w:rFonts w:ascii="Times New Roman" w:hAnsi="Times New Roman"/>
                <w:sz w:val="28"/>
                <w:szCs w:val="28"/>
              </w:rPr>
              <w:t xml:space="preserve"> Здравоохранение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550,6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FE6D33" w:rsidTr="006909CC">
        <w:tc>
          <w:tcPr>
            <w:tcW w:w="6912" w:type="dxa"/>
          </w:tcPr>
          <w:p w:rsidR="00FE6D33" w:rsidRPr="00D40BF7" w:rsidRDefault="00FE6D33" w:rsidP="00466577">
            <w:pPr>
              <w:rPr>
                <w:rFonts w:ascii="Times New Roman" w:hAnsi="Times New Roman"/>
                <w:sz w:val="28"/>
                <w:szCs w:val="28"/>
              </w:rPr>
            </w:pPr>
            <w:r w:rsidRPr="00D40BF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0BF7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136 868,0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</w:tr>
      <w:tr w:rsidR="00FE6D33" w:rsidTr="006909CC">
        <w:tc>
          <w:tcPr>
            <w:tcW w:w="6912" w:type="dxa"/>
          </w:tcPr>
          <w:p w:rsidR="00FE6D33" w:rsidRPr="00D40BF7" w:rsidRDefault="00FE6D33" w:rsidP="00466577">
            <w:pPr>
              <w:rPr>
                <w:rFonts w:ascii="Times New Roman" w:hAnsi="Times New Roman"/>
                <w:sz w:val="28"/>
                <w:szCs w:val="28"/>
              </w:rPr>
            </w:pPr>
            <w:r w:rsidRPr="00D40BF7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0BF7">
              <w:rPr>
                <w:rFonts w:ascii="Times New Roman" w:hAnsi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8 281,0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E6D33" w:rsidTr="006909CC">
        <w:tc>
          <w:tcPr>
            <w:tcW w:w="6912" w:type="dxa"/>
          </w:tcPr>
          <w:p w:rsidR="00FE6D33" w:rsidRPr="00D40BF7" w:rsidRDefault="00FE6D33" w:rsidP="00466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Обслуживание государственного и муниципального долга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2 311,4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FE6D33" w:rsidTr="006909CC">
        <w:tc>
          <w:tcPr>
            <w:tcW w:w="6912" w:type="dxa"/>
          </w:tcPr>
          <w:p w:rsidR="00FE6D33" w:rsidRDefault="00FE6D33" w:rsidP="00466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537 688,5</w:t>
            </w:r>
          </w:p>
        </w:tc>
        <w:tc>
          <w:tcPr>
            <w:tcW w:w="1418" w:type="dxa"/>
          </w:tcPr>
          <w:p w:rsidR="00FE6D33" w:rsidRDefault="00FE6D33" w:rsidP="00466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FE6D33" w:rsidRDefault="00FE6D33" w:rsidP="00466577">
      <w:pPr>
        <w:jc w:val="both"/>
        <w:rPr>
          <w:sz w:val="28"/>
          <w:szCs w:val="28"/>
        </w:rPr>
      </w:pPr>
    </w:p>
    <w:p w:rsidR="00C56A7F" w:rsidRDefault="00C56A7F" w:rsidP="00466577">
      <w:pPr>
        <w:jc w:val="both"/>
        <w:rPr>
          <w:sz w:val="28"/>
          <w:szCs w:val="28"/>
        </w:rPr>
      </w:pPr>
    </w:p>
    <w:p w:rsidR="00C56A7F" w:rsidRDefault="00C56A7F" w:rsidP="00466577">
      <w:pPr>
        <w:jc w:val="both"/>
        <w:rPr>
          <w:sz w:val="28"/>
          <w:szCs w:val="28"/>
        </w:rPr>
      </w:pPr>
    </w:p>
    <w:p w:rsidR="00FE6D33" w:rsidRDefault="00C56A7F" w:rsidP="00E4016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8586" cy="3657600"/>
            <wp:effectExtent l="19050" t="0" r="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6D33" w:rsidRDefault="00FE6D33" w:rsidP="00E4016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7920" cy="2611527"/>
            <wp:effectExtent l="1905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6D33" w:rsidRDefault="00FE6D33" w:rsidP="00466577">
      <w:pPr>
        <w:keepNext/>
        <w:jc w:val="both"/>
      </w:pPr>
    </w:p>
    <w:p w:rsidR="00FE6D33" w:rsidRDefault="00FE6D33" w:rsidP="00E40163">
      <w:pPr>
        <w:jc w:val="center"/>
        <w:rPr>
          <w:sz w:val="28"/>
          <w:szCs w:val="28"/>
        </w:rPr>
      </w:pPr>
      <w:r w:rsidRPr="00466577">
        <w:rPr>
          <w:b/>
          <w:sz w:val="28"/>
          <w:szCs w:val="28"/>
        </w:rPr>
        <w:t>Структура бюджетных расходов</w:t>
      </w:r>
      <w:r>
        <w:rPr>
          <w:noProof/>
          <w:sz w:val="28"/>
          <w:szCs w:val="28"/>
        </w:rPr>
        <w:drawing>
          <wp:inline distT="0" distB="0" distL="0" distR="0">
            <wp:extent cx="6169262" cy="4373311"/>
            <wp:effectExtent l="19050" t="0" r="2938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6D33" w:rsidRPr="00E40163" w:rsidRDefault="00FE6D33" w:rsidP="00466577">
      <w:pPr>
        <w:ind w:firstLine="708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По сравнению с 2016 годам объем расходов увеличился на 6,5 %</w:t>
      </w:r>
    </w:p>
    <w:p w:rsidR="00FE6D33" w:rsidRPr="00E40163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rFonts w:eastAsiaTheme="minorEastAsia"/>
          <w:sz w:val="28"/>
          <w:szCs w:val="28"/>
        </w:rPr>
      </w:pPr>
      <w:r w:rsidRPr="00E40163">
        <w:rPr>
          <w:sz w:val="28"/>
          <w:szCs w:val="28"/>
        </w:rPr>
        <w:tab/>
        <w:t xml:space="preserve">Расходы по инвестициям в человеческий капитал составляют 259 359,1 тыс. рублей. Исполнены на 97,5 %.  </w:t>
      </w:r>
      <w:r w:rsidRPr="00E40163">
        <w:rPr>
          <w:rFonts w:eastAsiaTheme="minorEastAsia"/>
          <w:sz w:val="28"/>
          <w:szCs w:val="28"/>
        </w:rPr>
        <w:t>Их доля в общей сумме расходов – 48,2 %, к аналогичному периоду прошлого года расходы увеличились на 4,1% или на 10 262,5 тыс. рублей.</w:t>
      </w:r>
    </w:p>
    <w:p w:rsidR="00FE6D33" w:rsidRPr="00E40163" w:rsidRDefault="00B432C5" w:rsidP="00466577">
      <w:pPr>
        <w:widowControl w:val="0"/>
        <w:shd w:val="clear" w:color="auto" w:fill="FFFFFF"/>
        <w:autoSpaceDE w:val="0"/>
        <w:autoSpaceDN w:val="0"/>
        <w:adjustRightInd w:val="0"/>
        <w:ind w:left="5" w:firstLine="682"/>
        <w:jc w:val="both"/>
        <w:rPr>
          <w:rFonts w:eastAsiaTheme="minorEastAsia"/>
          <w:sz w:val="28"/>
          <w:szCs w:val="28"/>
        </w:rPr>
      </w:pPr>
      <w:r w:rsidRPr="00E40163">
        <w:rPr>
          <w:rFonts w:eastAsiaTheme="minorEastAsia"/>
          <w:sz w:val="28"/>
          <w:szCs w:val="28"/>
        </w:rPr>
        <w:t xml:space="preserve">К ним </w:t>
      </w:r>
      <w:r w:rsidR="00FE6D33" w:rsidRPr="00E40163">
        <w:rPr>
          <w:rFonts w:eastAsiaTheme="minorEastAsia"/>
          <w:sz w:val="28"/>
          <w:szCs w:val="28"/>
        </w:rPr>
        <w:t xml:space="preserve">относится финансирование </w:t>
      </w:r>
      <w:r w:rsidRPr="00E40163">
        <w:rPr>
          <w:rFonts w:eastAsiaTheme="minorEastAsia"/>
          <w:sz w:val="28"/>
          <w:szCs w:val="28"/>
        </w:rPr>
        <w:t xml:space="preserve">учреждений </w:t>
      </w:r>
      <w:r w:rsidR="00FE6D33" w:rsidRPr="00E40163">
        <w:rPr>
          <w:rFonts w:eastAsiaTheme="minorEastAsia"/>
          <w:sz w:val="28"/>
          <w:szCs w:val="28"/>
        </w:rPr>
        <w:t>образования, здравоохранени</w:t>
      </w:r>
      <w:r w:rsidRPr="00E40163">
        <w:rPr>
          <w:rFonts w:eastAsiaTheme="minorEastAsia"/>
          <w:sz w:val="28"/>
          <w:szCs w:val="28"/>
        </w:rPr>
        <w:t>я</w:t>
      </w:r>
      <w:r w:rsidR="00FE6D33" w:rsidRPr="00E40163">
        <w:rPr>
          <w:rFonts w:eastAsiaTheme="minorEastAsia"/>
          <w:sz w:val="28"/>
          <w:szCs w:val="28"/>
        </w:rPr>
        <w:t>, физической культуры и спорта, культуры.</w:t>
      </w:r>
    </w:p>
    <w:p w:rsidR="00FE6D33" w:rsidRPr="00E40163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rFonts w:eastAsiaTheme="minorEastAsia"/>
          <w:sz w:val="28"/>
          <w:szCs w:val="28"/>
        </w:rPr>
      </w:pPr>
      <w:r w:rsidRPr="00E40163">
        <w:rPr>
          <w:sz w:val="28"/>
          <w:szCs w:val="28"/>
        </w:rPr>
        <w:tab/>
        <w:t xml:space="preserve">Расходы на социальную защиту населения составляют 136 868,0 тыс. рублей. Исполнены на 99,7%. </w:t>
      </w:r>
      <w:r w:rsidRPr="00E40163">
        <w:rPr>
          <w:rFonts w:eastAsiaTheme="minorEastAsia"/>
          <w:sz w:val="28"/>
          <w:szCs w:val="28"/>
        </w:rPr>
        <w:t>Их доля в общей сумме расходов – 25,4%.  К аналогичному периоду прошлого года расходы увеличились на 0,2% или на 288,1 тыс. рублей.</w:t>
      </w:r>
    </w:p>
    <w:p w:rsidR="00FE6D33" w:rsidRPr="00E40163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Эти два направления формируют социальную составляющую бюджета, удельный вес которой составляет за 2016 год – 73,6%.</w:t>
      </w:r>
    </w:p>
    <w:p w:rsidR="00FE6D33" w:rsidRPr="00E40163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E40163">
        <w:rPr>
          <w:sz w:val="28"/>
          <w:szCs w:val="28"/>
        </w:rPr>
        <w:t>По сравнению с прошлым годом расходы по данным направлениям увеличились на 2,7%.</w:t>
      </w:r>
    </w:p>
    <w:p w:rsidR="00FE6D33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</w:p>
    <w:p w:rsidR="00FE6D33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57103" cy="3694670"/>
            <wp:effectExtent l="19050" t="0" r="10297" b="10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6D33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</w:p>
    <w:p w:rsidR="00FE6D33" w:rsidRPr="001F504D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rFonts w:eastAsiaTheme="minorEastAsia"/>
          <w:sz w:val="28"/>
          <w:szCs w:val="28"/>
        </w:rPr>
      </w:pPr>
      <w:r w:rsidRPr="001F504D">
        <w:rPr>
          <w:sz w:val="28"/>
          <w:szCs w:val="28"/>
        </w:rPr>
        <w:t xml:space="preserve">Расходы на </w:t>
      </w:r>
      <w:r w:rsidRPr="001F504D">
        <w:rPr>
          <w:rFonts w:eastAsiaTheme="minorEastAsia"/>
          <w:sz w:val="28"/>
          <w:szCs w:val="28"/>
        </w:rPr>
        <w:t xml:space="preserve">инфраструктурное и экономическое развитие исполнены </w:t>
      </w:r>
      <w:r w:rsidRPr="001F504D">
        <w:rPr>
          <w:sz w:val="28"/>
          <w:szCs w:val="28"/>
        </w:rPr>
        <w:t xml:space="preserve">в сумме 70 498,1 тыс. рублей  или на 88,9 %. Удельный  вес в общей структуре расходов составляет 13,1% . К этому направлению относятся - </w:t>
      </w:r>
      <w:r w:rsidRPr="001F504D">
        <w:rPr>
          <w:rFonts w:eastAsiaTheme="minorEastAsia"/>
          <w:sz w:val="28"/>
          <w:szCs w:val="28"/>
        </w:rPr>
        <w:t>дорожный фонд, жилищно-коммунальная сфера, национальная экономика, охрана окружающей среды.</w:t>
      </w:r>
    </w:p>
    <w:p w:rsidR="00FE6D33" w:rsidRPr="001F504D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rFonts w:eastAsiaTheme="minorEastAsia"/>
          <w:sz w:val="28"/>
          <w:szCs w:val="28"/>
        </w:rPr>
      </w:pPr>
      <w:r w:rsidRPr="001F504D">
        <w:rPr>
          <w:rFonts w:eastAsiaTheme="minorEastAsia"/>
          <w:sz w:val="28"/>
          <w:szCs w:val="28"/>
        </w:rPr>
        <w:t>Доля расходов на муниципальное управление в 2017 году составила 12,8 %, в 2016 году – 16,1%.</w:t>
      </w:r>
    </w:p>
    <w:p w:rsidR="00FE6D33" w:rsidRPr="001F504D" w:rsidRDefault="00B432C5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rFonts w:eastAsiaTheme="minorEastAsia"/>
          <w:sz w:val="28"/>
          <w:szCs w:val="28"/>
        </w:rPr>
      </w:pPr>
      <w:r w:rsidRPr="001F504D">
        <w:rPr>
          <w:rFonts w:eastAsiaTheme="minorEastAsia"/>
          <w:sz w:val="28"/>
          <w:szCs w:val="28"/>
        </w:rPr>
        <w:t>В данное</w:t>
      </w:r>
      <w:r w:rsidR="00FE6D33" w:rsidRPr="001F504D">
        <w:rPr>
          <w:rFonts w:eastAsiaTheme="minorEastAsia"/>
          <w:sz w:val="28"/>
          <w:szCs w:val="28"/>
        </w:rPr>
        <w:t xml:space="preserve"> направление входят средства на выполнение муниципальных функций, в том числе по обеспечению безопасности, содержанию органов власти.</w:t>
      </w:r>
    </w:p>
    <w:p w:rsidR="00FE6D33" w:rsidRPr="001F504D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proofErr w:type="gramStart"/>
      <w:r w:rsidRPr="001F504D">
        <w:rPr>
          <w:rFonts w:eastAsiaTheme="minorEastAsia"/>
          <w:sz w:val="28"/>
          <w:szCs w:val="28"/>
        </w:rPr>
        <w:t>41,8 % средств местного бюджета направлены на выплату заработной платы в бюджетной сфере.</w:t>
      </w:r>
      <w:proofErr w:type="gramEnd"/>
    </w:p>
    <w:p w:rsidR="00FE6D33" w:rsidRPr="001F504D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rFonts w:eastAsiaTheme="minorEastAsia"/>
          <w:sz w:val="28"/>
          <w:szCs w:val="28"/>
        </w:rPr>
      </w:pPr>
      <w:r w:rsidRPr="001F504D">
        <w:rPr>
          <w:rFonts w:eastAsiaTheme="minorEastAsia"/>
          <w:sz w:val="28"/>
          <w:szCs w:val="28"/>
        </w:rPr>
        <w:t xml:space="preserve">Увеличение </w:t>
      </w:r>
      <w:proofErr w:type="gramStart"/>
      <w:r w:rsidRPr="001F504D">
        <w:rPr>
          <w:rFonts w:eastAsiaTheme="minorEastAsia"/>
          <w:sz w:val="28"/>
          <w:szCs w:val="28"/>
        </w:rPr>
        <w:t>размеров оплаты труда</w:t>
      </w:r>
      <w:proofErr w:type="gramEnd"/>
      <w:r w:rsidRPr="001F504D">
        <w:rPr>
          <w:rFonts w:eastAsiaTheme="minorEastAsia"/>
          <w:sz w:val="28"/>
          <w:szCs w:val="28"/>
        </w:rPr>
        <w:t xml:space="preserve"> в соответствии с Указом Президента </w:t>
      </w:r>
      <w:r w:rsidR="00B432C5" w:rsidRPr="001F504D">
        <w:rPr>
          <w:rFonts w:eastAsiaTheme="minorEastAsia"/>
          <w:sz w:val="28"/>
          <w:szCs w:val="28"/>
        </w:rPr>
        <w:t xml:space="preserve">РФ </w:t>
      </w:r>
      <w:r w:rsidRPr="001F504D">
        <w:rPr>
          <w:rFonts w:eastAsiaTheme="minorEastAsia"/>
          <w:sz w:val="28"/>
          <w:szCs w:val="28"/>
        </w:rPr>
        <w:t>стало ос</w:t>
      </w:r>
      <w:r w:rsidR="00B432C5" w:rsidRPr="001F504D">
        <w:rPr>
          <w:rFonts w:eastAsiaTheme="minorEastAsia"/>
          <w:sz w:val="28"/>
          <w:szCs w:val="28"/>
        </w:rPr>
        <w:t xml:space="preserve">новным фактором роста расходов </w:t>
      </w:r>
      <w:r w:rsidRPr="001F504D">
        <w:rPr>
          <w:rFonts w:eastAsiaTheme="minorEastAsia"/>
          <w:sz w:val="28"/>
          <w:szCs w:val="28"/>
        </w:rPr>
        <w:t>в</w:t>
      </w:r>
      <w:r w:rsidR="00B432C5" w:rsidRPr="001F504D">
        <w:rPr>
          <w:rFonts w:eastAsiaTheme="minorEastAsia"/>
          <w:sz w:val="28"/>
          <w:szCs w:val="28"/>
        </w:rPr>
        <w:t xml:space="preserve"> социальной </w:t>
      </w:r>
      <w:r w:rsidRPr="001F504D">
        <w:rPr>
          <w:rFonts w:eastAsiaTheme="minorEastAsia"/>
          <w:sz w:val="28"/>
          <w:szCs w:val="28"/>
        </w:rPr>
        <w:t xml:space="preserve"> сфере</w:t>
      </w:r>
      <w:r w:rsidR="00B432C5" w:rsidRPr="001F504D">
        <w:rPr>
          <w:rFonts w:eastAsiaTheme="minorEastAsia"/>
          <w:sz w:val="28"/>
          <w:szCs w:val="28"/>
        </w:rPr>
        <w:t>.</w:t>
      </w:r>
      <w:r w:rsidRPr="001F504D">
        <w:rPr>
          <w:rFonts w:eastAsiaTheme="minorEastAsia"/>
          <w:sz w:val="28"/>
          <w:szCs w:val="28"/>
        </w:rPr>
        <w:t xml:space="preserve"> </w:t>
      </w:r>
    </w:p>
    <w:p w:rsidR="00FE6D33" w:rsidRPr="001F504D" w:rsidRDefault="00FE6D33" w:rsidP="00466577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В 2017 году средства местного бюджета обеспечивали реализацию 26 муниципальных программ, общим объемом финансирования 520 146,7 тыс. рублей. В целом 96,7% расходов местного бюджета формировалось и осуществлялось по программно-целевому принципу.</w:t>
      </w:r>
    </w:p>
    <w:p w:rsidR="00FE6D33" w:rsidRPr="001F504D" w:rsidRDefault="00FE6D33" w:rsidP="00466577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rPr>
          <w:rFonts w:eastAsiaTheme="minorEastAsia"/>
          <w:sz w:val="28"/>
          <w:szCs w:val="28"/>
        </w:rPr>
      </w:pPr>
      <w:r w:rsidRPr="001F504D">
        <w:rPr>
          <w:rFonts w:eastAsiaTheme="minorEastAsia"/>
          <w:sz w:val="28"/>
          <w:szCs w:val="28"/>
        </w:rPr>
        <w:t>Источники финансирования</w:t>
      </w:r>
      <w:r w:rsidR="00466577" w:rsidRPr="001F504D">
        <w:rPr>
          <w:rFonts w:eastAsiaTheme="minorEastAsia"/>
          <w:sz w:val="28"/>
          <w:szCs w:val="28"/>
        </w:rPr>
        <w:t>.</w:t>
      </w:r>
    </w:p>
    <w:p w:rsidR="00FE6D33" w:rsidRPr="001F504D" w:rsidRDefault="00FE6D33" w:rsidP="00466577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 xml:space="preserve">Бюджет Карабашского городского округа за 2017 год исполнен с </w:t>
      </w:r>
      <w:proofErr w:type="spellStart"/>
      <w:r w:rsidRPr="001F504D">
        <w:rPr>
          <w:sz w:val="28"/>
          <w:szCs w:val="28"/>
        </w:rPr>
        <w:t>профицитом</w:t>
      </w:r>
      <w:proofErr w:type="spellEnd"/>
      <w:r w:rsidRPr="001F504D">
        <w:rPr>
          <w:sz w:val="28"/>
          <w:szCs w:val="28"/>
        </w:rPr>
        <w:t xml:space="preserve"> 10 110,6 тыс. рублей. Профицит в сумме 5 000,0 тыс. рублей </w:t>
      </w:r>
      <w:proofErr w:type="gramStart"/>
      <w:r w:rsidRPr="001F504D">
        <w:rPr>
          <w:sz w:val="28"/>
          <w:szCs w:val="28"/>
        </w:rPr>
        <w:t>направлен</w:t>
      </w:r>
      <w:proofErr w:type="gramEnd"/>
      <w:r w:rsidRPr="001F504D">
        <w:rPr>
          <w:sz w:val="28"/>
          <w:szCs w:val="28"/>
        </w:rPr>
        <w:t xml:space="preserve"> на погашение муниципального долга, </w:t>
      </w:r>
      <w:proofErr w:type="spellStart"/>
      <w:r w:rsidRPr="001F504D">
        <w:rPr>
          <w:sz w:val="28"/>
          <w:szCs w:val="28"/>
        </w:rPr>
        <w:t>профицит</w:t>
      </w:r>
      <w:proofErr w:type="spellEnd"/>
      <w:r w:rsidRPr="001F504D">
        <w:rPr>
          <w:sz w:val="28"/>
          <w:szCs w:val="28"/>
        </w:rPr>
        <w:t xml:space="preserve"> в сумме 5 110,6 тыс. рублей увеличил остатки бюджетных средств на 01.01.2018 года.</w:t>
      </w:r>
    </w:p>
    <w:p w:rsidR="0004529E" w:rsidRPr="001F504D" w:rsidRDefault="001F504D" w:rsidP="001F504D">
      <w:pPr>
        <w:jc w:val="both"/>
        <w:rPr>
          <w:sz w:val="28"/>
          <w:szCs w:val="28"/>
        </w:rPr>
      </w:pPr>
      <w:r w:rsidRPr="001F504D">
        <w:rPr>
          <w:rFonts w:eastAsiaTheme="minorEastAsia"/>
          <w:sz w:val="28"/>
          <w:szCs w:val="28"/>
        </w:rPr>
        <w:t xml:space="preserve">          </w:t>
      </w:r>
      <w:r w:rsidR="0004529E" w:rsidRPr="001F504D">
        <w:rPr>
          <w:sz w:val="28"/>
          <w:szCs w:val="28"/>
        </w:rPr>
        <w:t xml:space="preserve">На территории Карабашского городского округа площадь земельных участков, являющихся объектами налогообложения в 2017 году, составляла 637 га, по отношению к прошлому году 0,93% от общей площади городского округа (68240 га). Снижение фактического значения показателя по отношению к запланированному на 2017 год обусловлено тем, что в 2017 году снизилось количество обращений о предоставлении в собственность земельных участков, </w:t>
      </w:r>
      <w:r w:rsidR="0004529E" w:rsidRPr="001F504D">
        <w:rPr>
          <w:sz w:val="28"/>
          <w:szCs w:val="28"/>
        </w:rPr>
        <w:lastRenderedPageBreak/>
        <w:t>основная доля обратившихся граждан и юридических лиц  оформляли земельные участки преимущественно в аренду.</w:t>
      </w:r>
    </w:p>
    <w:p w:rsidR="0004529E" w:rsidRPr="001F504D" w:rsidRDefault="0004529E" w:rsidP="0004529E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>В 2017 году произошло повышение показателя по площади земельных участков, предоставленных для строительства до 5,14 га по сравнению с 2016 годом (4,26 га), в том числе для жилищного строительства, индивидуального строительства и комплексного освоения в целях жилищного строительства земельные участки составили общей площадью 2,84 га.</w:t>
      </w:r>
    </w:p>
    <w:p w:rsidR="00CA0E51" w:rsidRPr="001F504D" w:rsidRDefault="00CA0E51" w:rsidP="00CA0E51">
      <w:pPr>
        <w:ind w:firstLine="709"/>
        <w:jc w:val="both"/>
        <w:rPr>
          <w:color w:val="000000"/>
          <w:sz w:val="28"/>
          <w:szCs w:val="28"/>
        </w:rPr>
      </w:pPr>
      <w:r w:rsidRPr="001F504D">
        <w:rPr>
          <w:sz w:val="28"/>
          <w:szCs w:val="28"/>
        </w:rPr>
        <w:t xml:space="preserve">По состоянию на 01.01.2018 г. </w:t>
      </w:r>
      <w:r w:rsidRPr="001F504D">
        <w:rPr>
          <w:color w:val="000000"/>
          <w:sz w:val="28"/>
          <w:szCs w:val="28"/>
        </w:rPr>
        <w:t>общая площадь жилых помещений на территории Карабашского городского округа составила 334,9 тыс. м</w:t>
      </w:r>
      <w:proofErr w:type="gramStart"/>
      <w:r w:rsidRPr="001F504D">
        <w:rPr>
          <w:color w:val="000000"/>
          <w:sz w:val="28"/>
          <w:szCs w:val="28"/>
          <w:vertAlign w:val="superscript"/>
        </w:rPr>
        <w:t>2</w:t>
      </w:r>
      <w:proofErr w:type="gramEnd"/>
      <w:r w:rsidRPr="001F504D">
        <w:rPr>
          <w:color w:val="000000"/>
          <w:sz w:val="28"/>
          <w:szCs w:val="28"/>
        </w:rPr>
        <w:t xml:space="preserve">. </w:t>
      </w:r>
    </w:p>
    <w:p w:rsidR="00CA0E51" w:rsidRPr="001F504D" w:rsidRDefault="00CA0E51" w:rsidP="00CA0E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504D">
        <w:rPr>
          <w:color w:val="000000"/>
          <w:sz w:val="28"/>
          <w:szCs w:val="28"/>
        </w:rPr>
        <w:t>Ежегодно отмечается увеличение общей площади жилья за счет индивидуального жилищного строительства.</w:t>
      </w:r>
    </w:p>
    <w:p w:rsidR="00CA0E51" w:rsidRPr="001F504D" w:rsidRDefault="00CA0E51" w:rsidP="00CA0E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504D">
        <w:rPr>
          <w:color w:val="000000"/>
          <w:sz w:val="28"/>
          <w:szCs w:val="28"/>
        </w:rPr>
        <w:t>Площадь жилых помещений на территории округа, приходящаяся в среднем на 1 человека в текущем году увеличилась до 32,75 м</w:t>
      </w:r>
      <w:proofErr w:type="gramStart"/>
      <w:r w:rsidRPr="001F504D">
        <w:rPr>
          <w:color w:val="000000"/>
          <w:sz w:val="28"/>
          <w:szCs w:val="28"/>
          <w:vertAlign w:val="superscript"/>
        </w:rPr>
        <w:t>2</w:t>
      </w:r>
      <w:proofErr w:type="gramEnd"/>
      <w:r w:rsidRPr="001F504D">
        <w:rPr>
          <w:color w:val="000000"/>
          <w:sz w:val="28"/>
          <w:szCs w:val="28"/>
        </w:rPr>
        <w:t>. В соответствии с Концепцией развития Карабашского городского округа на 2016-2021 гг. в период 2018-2020 гг. планируется строительство нового микрорайона общей площадью 30 тыс. м</w:t>
      </w:r>
      <w:proofErr w:type="gramStart"/>
      <w:r w:rsidRPr="001F504D">
        <w:rPr>
          <w:color w:val="000000"/>
          <w:sz w:val="28"/>
          <w:szCs w:val="28"/>
          <w:vertAlign w:val="superscript"/>
        </w:rPr>
        <w:t>2</w:t>
      </w:r>
      <w:proofErr w:type="gramEnd"/>
      <w:r w:rsidRPr="001F504D">
        <w:rPr>
          <w:color w:val="000000"/>
          <w:sz w:val="28"/>
          <w:szCs w:val="28"/>
        </w:rPr>
        <w:t xml:space="preserve"> жилья, значение данного показателя возрастет до 34,23 м</w:t>
      </w:r>
      <w:r w:rsidRPr="001F504D">
        <w:rPr>
          <w:color w:val="000000"/>
          <w:sz w:val="28"/>
          <w:szCs w:val="28"/>
          <w:vertAlign w:val="superscript"/>
        </w:rPr>
        <w:t>2</w:t>
      </w:r>
      <w:r w:rsidRPr="001F504D">
        <w:rPr>
          <w:color w:val="000000"/>
          <w:sz w:val="28"/>
          <w:szCs w:val="28"/>
        </w:rPr>
        <w:t>.</w:t>
      </w:r>
    </w:p>
    <w:p w:rsidR="0004529E" w:rsidRPr="001F504D" w:rsidRDefault="0004529E" w:rsidP="00E40163">
      <w:pPr>
        <w:ind w:firstLine="708"/>
        <w:jc w:val="both"/>
        <w:rPr>
          <w:sz w:val="28"/>
          <w:szCs w:val="28"/>
        </w:rPr>
      </w:pPr>
      <w:proofErr w:type="gramStart"/>
      <w:r w:rsidRPr="001F504D">
        <w:rPr>
          <w:sz w:val="28"/>
          <w:szCs w:val="28"/>
        </w:rPr>
        <w:t>По состоянию на 01.01.2017 года на учете, в качестве нуждающихся в жилых помещениях, состояла 341 семья.</w:t>
      </w:r>
      <w:proofErr w:type="gramEnd"/>
      <w:r w:rsidRPr="001F504D">
        <w:rPr>
          <w:sz w:val="28"/>
          <w:szCs w:val="28"/>
        </w:rPr>
        <w:t xml:space="preserve"> В течение 2017 года улучшили свои жилищные условия 26 семей, что 2,3 раза больше по отношению к прошлому году. </w:t>
      </w:r>
      <w:proofErr w:type="gramStart"/>
      <w:r w:rsidRPr="001F504D">
        <w:rPr>
          <w:sz w:val="28"/>
          <w:szCs w:val="28"/>
        </w:rPr>
        <w:t>Данное увеличение связано с  выделением денежных средств из областного бюджета в объеме 10288,27 тысяч рублей для переселения населения из ветхо-аварийного жилья в рамках подпрограммы «Мероприятия по переселению граждан из жилищного фонда, признанного непригодным для проживания» муниципальной программы «Обеспечение доступным и комфортным жильем граждан Российской Федерации в Челябинской области на 2014-2020 годы в Карабашском городском округе».</w:t>
      </w:r>
      <w:proofErr w:type="gramEnd"/>
    </w:p>
    <w:p w:rsidR="0004529E" w:rsidRPr="001F504D" w:rsidRDefault="0004529E" w:rsidP="0004529E">
      <w:pPr>
        <w:ind w:firstLine="709"/>
        <w:jc w:val="both"/>
        <w:rPr>
          <w:sz w:val="28"/>
          <w:szCs w:val="28"/>
        </w:rPr>
      </w:pPr>
      <w:r w:rsidRPr="001F504D">
        <w:rPr>
          <w:sz w:val="28"/>
          <w:szCs w:val="28"/>
        </w:rPr>
        <w:t xml:space="preserve">На 01.01.2018г. в Карабашском городском округе предприятия и организации муниципальной формы собственности, находящиеся в стадии банкротства и  в кризисном положении отсутствуют. </w:t>
      </w:r>
    </w:p>
    <w:p w:rsidR="0004529E" w:rsidRPr="001F504D" w:rsidRDefault="0004529E" w:rsidP="0004529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04D">
        <w:rPr>
          <w:rFonts w:ascii="Times New Roman" w:hAnsi="Times New Roman"/>
          <w:sz w:val="28"/>
          <w:szCs w:val="28"/>
        </w:rPr>
        <w:t>В 2017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составила 91,7%, в прогнозном периоде 2018 года планируется достичь 100%. Администрацией городского округа в данном направлении проводится работа с управляющими компаниями, населением округа и собственниками жилья, оказывается методическая помощь, также информирование населения осуществляется через средства массовой информации и</w:t>
      </w:r>
      <w:proofErr w:type="gramEnd"/>
      <w:r w:rsidRPr="001F504D">
        <w:rPr>
          <w:rFonts w:ascii="Times New Roman" w:hAnsi="Times New Roman"/>
          <w:sz w:val="28"/>
          <w:szCs w:val="28"/>
        </w:rPr>
        <w:t xml:space="preserve"> официальный сайт администрации Карабашского городского округа.</w:t>
      </w:r>
    </w:p>
    <w:p w:rsidR="0004529E" w:rsidRPr="001F504D" w:rsidRDefault="0004529E" w:rsidP="0004529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F504D">
        <w:rPr>
          <w:rFonts w:ascii="Times New Roman" w:hAnsi="Times New Roman"/>
          <w:sz w:val="28"/>
          <w:szCs w:val="28"/>
        </w:rPr>
        <w:t xml:space="preserve">В городском округе ежегодно отмечается увеличение потребления электрической энергии населением, что связано с увеличением использования бытовых электрических приборов. </w:t>
      </w:r>
    </w:p>
    <w:p w:rsidR="0004529E" w:rsidRPr="001F504D" w:rsidRDefault="0004529E" w:rsidP="0004529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F504D">
        <w:rPr>
          <w:rFonts w:ascii="Times New Roman" w:hAnsi="Times New Roman"/>
          <w:sz w:val="28"/>
          <w:szCs w:val="28"/>
        </w:rPr>
        <w:t xml:space="preserve">Снижение удельной величины потребления энергетических ресурсов в многоквартирных домах планируется достичь путем проведения энергосберегающих мероприятий, а именно, установкой </w:t>
      </w:r>
      <w:proofErr w:type="spellStart"/>
      <w:r w:rsidRPr="001F504D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1F504D">
        <w:rPr>
          <w:rFonts w:ascii="Times New Roman" w:hAnsi="Times New Roman"/>
          <w:sz w:val="28"/>
          <w:szCs w:val="28"/>
        </w:rPr>
        <w:t xml:space="preserve"> приборов учета в многоквартирных домах, проведением капитального ремонта многоквартирных домов, в том числе </w:t>
      </w:r>
      <w:proofErr w:type="spellStart"/>
      <w:r w:rsidRPr="001F504D">
        <w:rPr>
          <w:rFonts w:ascii="Times New Roman" w:hAnsi="Times New Roman"/>
          <w:sz w:val="28"/>
          <w:szCs w:val="28"/>
        </w:rPr>
        <w:t>внутриинженерных</w:t>
      </w:r>
      <w:proofErr w:type="spellEnd"/>
      <w:r w:rsidRPr="001F504D">
        <w:rPr>
          <w:rFonts w:ascii="Times New Roman" w:hAnsi="Times New Roman"/>
          <w:sz w:val="28"/>
          <w:szCs w:val="28"/>
        </w:rPr>
        <w:t xml:space="preserve"> систем. Также, с собственниками жилья ведётся активная информационная работа (переписка, личный приём, публикации в СМИ) о необходимости установки </w:t>
      </w:r>
      <w:proofErr w:type="spellStart"/>
      <w:r w:rsidRPr="001F504D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1F504D">
        <w:rPr>
          <w:rFonts w:ascii="Times New Roman" w:hAnsi="Times New Roman"/>
          <w:sz w:val="28"/>
          <w:szCs w:val="28"/>
        </w:rPr>
        <w:t xml:space="preserve"> </w:t>
      </w:r>
      <w:r w:rsidRPr="001F504D">
        <w:rPr>
          <w:rFonts w:ascii="Times New Roman" w:hAnsi="Times New Roman"/>
          <w:sz w:val="28"/>
          <w:szCs w:val="28"/>
        </w:rPr>
        <w:lastRenderedPageBreak/>
        <w:t>приборов учета и проведения других мероприятий в домах для снижения потребления ресурсов.</w:t>
      </w:r>
    </w:p>
    <w:p w:rsidR="0004529E" w:rsidRPr="001F504D" w:rsidRDefault="0004529E" w:rsidP="0004529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F504D">
        <w:rPr>
          <w:rFonts w:ascii="Times New Roman" w:hAnsi="Times New Roman"/>
          <w:sz w:val="28"/>
          <w:szCs w:val="28"/>
        </w:rPr>
        <w:t>Удельная величина потребления энергетических ресурсов муниципальными бюджетными учреждениями в прогнозе на 2018 год увеличивается в связи с вводом в эксплуатацию объекта капитального строительства Детской школы искусств, что соответствует согласованным и утверждённым лимитам расходов топливно-энергетических ресурсов бюджетными организациями на 2018 год.</w:t>
      </w:r>
    </w:p>
    <w:p w:rsidR="0004529E" w:rsidRPr="001F504D" w:rsidRDefault="0004529E" w:rsidP="0004529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F504D">
        <w:rPr>
          <w:rFonts w:ascii="Times New Roman" w:hAnsi="Times New Roman"/>
          <w:sz w:val="28"/>
          <w:szCs w:val="28"/>
        </w:rPr>
        <w:t xml:space="preserve">В 2017 году выполнены мероприятия по содержанию городского хозяйства. </w:t>
      </w:r>
    </w:p>
    <w:p w:rsidR="0004529E" w:rsidRPr="001F504D" w:rsidRDefault="0004529E" w:rsidP="0004529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29E" w:rsidRPr="00443D90" w:rsidRDefault="0004529E" w:rsidP="0004529E">
      <w:pPr>
        <w:tabs>
          <w:tab w:val="left" w:pos="-567"/>
          <w:tab w:val="left" w:pos="709"/>
          <w:tab w:val="left" w:pos="851"/>
          <w:tab w:val="left" w:pos="1134"/>
          <w:tab w:val="left" w:pos="1935"/>
        </w:tabs>
        <w:jc w:val="center"/>
        <w:rPr>
          <w:sz w:val="28"/>
          <w:szCs w:val="28"/>
        </w:rPr>
      </w:pPr>
      <w:r w:rsidRPr="001F504D">
        <w:rPr>
          <w:sz w:val="28"/>
          <w:szCs w:val="28"/>
        </w:rPr>
        <w:t>Перечень объектов по модернизации, реконструкции, капитальному ремонту систем водоснабжения, водоотведения, систем электроснабжения, теплоснабжения на 2017 год, выполне</w:t>
      </w:r>
      <w:r w:rsidR="001F504D" w:rsidRPr="001F504D">
        <w:rPr>
          <w:sz w:val="28"/>
          <w:szCs w:val="28"/>
        </w:rPr>
        <w:t>нных</w:t>
      </w:r>
      <w:r w:rsidR="001F504D">
        <w:rPr>
          <w:sz w:val="28"/>
          <w:szCs w:val="28"/>
        </w:rPr>
        <w:t xml:space="preserve"> за счет областного бюджета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5893"/>
        <w:gridCol w:w="3402"/>
      </w:tblGrid>
      <w:tr w:rsidR="0004529E" w:rsidRPr="00B84871" w:rsidTr="002E15F5">
        <w:trPr>
          <w:trHeight w:val="112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B84871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48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4871">
              <w:rPr>
                <w:sz w:val="28"/>
                <w:szCs w:val="28"/>
              </w:rPr>
              <w:t>/</w:t>
            </w:r>
            <w:proofErr w:type="spellStart"/>
            <w:r w:rsidRPr="00B848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B84871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B84871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Объем бюджетных ассигнований на 2017 год из местного бюджета</w:t>
            </w:r>
          </w:p>
          <w:p w:rsidR="0004529E" w:rsidRPr="00B84871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(тыс. рублей)</w:t>
            </w:r>
          </w:p>
        </w:tc>
      </w:tr>
      <w:tr w:rsidR="0004529E" w:rsidRPr="00443D90" w:rsidTr="002E15F5">
        <w:trPr>
          <w:trHeight w:val="81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B84871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B84871" w:rsidRDefault="0004529E" w:rsidP="002E15F5">
            <w:pPr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Капитальный ремонт напорного коллектора от КНС</w:t>
            </w:r>
            <w:proofErr w:type="gramStart"/>
            <w:r w:rsidRPr="00B84871">
              <w:rPr>
                <w:sz w:val="28"/>
                <w:szCs w:val="28"/>
              </w:rPr>
              <w:t>1</w:t>
            </w:r>
            <w:proofErr w:type="gramEnd"/>
            <w:r w:rsidRPr="00B84871">
              <w:rPr>
                <w:sz w:val="28"/>
                <w:szCs w:val="28"/>
              </w:rPr>
              <w:t xml:space="preserve"> до </w:t>
            </w:r>
            <w:r w:rsidR="00800B9F">
              <w:rPr>
                <w:sz w:val="28"/>
                <w:szCs w:val="28"/>
              </w:rPr>
              <w:t>камеры гашения КГ1 в рамках государственной</w:t>
            </w:r>
            <w:r w:rsidRPr="00B84871">
              <w:rPr>
                <w:sz w:val="28"/>
                <w:szCs w:val="28"/>
              </w:rPr>
              <w:t xml:space="preserve"> программы «Чистая вода»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E" w:rsidRPr="00B84871" w:rsidRDefault="0004529E" w:rsidP="002E15F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2640,7</w:t>
            </w:r>
          </w:p>
        </w:tc>
      </w:tr>
      <w:tr w:rsidR="0004529E" w:rsidRPr="00443D90" w:rsidTr="002E15F5">
        <w:trPr>
          <w:trHeight w:val="11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B84871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B84871" w:rsidRDefault="0004529E" w:rsidP="002E15F5">
            <w:pPr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Капитальный ремонт напорного коллектора от КНС</w:t>
            </w:r>
            <w:proofErr w:type="gramStart"/>
            <w:r w:rsidRPr="00B84871">
              <w:rPr>
                <w:sz w:val="28"/>
                <w:szCs w:val="28"/>
              </w:rPr>
              <w:t>4</w:t>
            </w:r>
            <w:proofErr w:type="gramEnd"/>
            <w:r w:rsidRPr="00B84871">
              <w:rPr>
                <w:sz w:val="28"/>
                <w:szCs w:val="28"/>
              </w:rPr>
              <w:t xml:space="preserve"> до к</w:t>
            </w:r>
            <w:r w:rsidR="00800B9F">
              <w:rPr>
                <w:sz w:val="28"/>
                <w:szCs w:val="28"/>
              </w:rPr>
              <w:t xml:space="preserve">амеры гашения КГ5 в рамках государственной </w:t>
            </w:r>
            <w:r w:rsidRPr="00B84871">
              <w:rPr>
                <w:sz w:val="28"/>
                <w:szCs w:val="28"/>
              </w:rPr>
              <w:t>программы «Чистая вода»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E" w:rsidRPr="00B84871" w:rsidRDefault="0004529E" w:rsidP="002E15F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2934,1</w:t>
            </w:r>
          </w:p>
        </w:tc>
      </w:tr>
      <w:tr w:rsidR="0004529E" w:rsidRPr="00443D90" w:rsidTr="002E15F5">
        <w:trPr>
          <w:trHeight w:val="11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B84871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B84871" w:rsidRDefault="0004529E" w:rsidP="002E15F5">
            <w:pPr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Строительство КНС и участка коллектора до точки врезки в районе КНС</w:t>
            </w:r>
            <w:proofErr w:type="gramStart"/>
            <w:r w:rsidR="001F504D">
              <w:rPr>
                <w:sz w:val="28"/>
                <w:szCs w:val="28"/>
              </w:rPr>
              <w:t>4</w:t>
            </w:r>
            <w:proofErr w:type="gramEnd"/>
            <w:r w:rsidR="001F504D">
              <w:rPr>
                <w:sz w:val="28"/>
                <w:szCs w:val="28"/>
              </w:rPr>
              <w:t>, в том числе ПИР в рамках государственной</w:t>
            </w:r>
            <w:r w:rsidRPr="00B84871">
              <w:rPr>
                <w:sz w:val="28"/>
                <w:szCs w:val="28"/>
              </w:rPr>
              <w:t xml:space="preserve"> программы «Чистая вода»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E" w:rsidRPr="00B84871" w:rsidRDefault="0004529E" w:rsidP="002E15F5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red"/>
              </w:rPr>
            </w:pPr>
            <w:r w:rsidRPr="00B84871">
              <w:rPr>
                <w:sz w:val="28"/>
                <w:szCs w:val="28"/>
              </w:rPr>
              <w:t>1013,7</w:t>
            </w:r>
          </w:p>
        </w:tc>
      </w:tr>
      <w:tr w:rsidR="0004529E" w:rsidRPr="00443D90" w:rsidTr="002E15F5">
        <w:trPr>
          <w:trHeight w:val="8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B84871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B84871" w:rsidRDefault="0004529E" w:rsidP="002E15F5">
            <w:pPr>
              <w:rPr>
                <w:szCs w:val="28"/>
              </w:rPr>
            </w:pPr>
            <w:r w:rsidRPr="00B84871">
              <w:rPr>
                <w:sz w:val="28"/>
                <w:szCs w:val="28"/>
              </w:rPr>
              <w:t xml:space="preserve">Осуществление строительного контроля на </w:t>
            </w:r>
            <w:proofErr w:type="gramStart"/>
            <w:r w:rsidRPr="00B84871">
              <w:rPr>
                <w:sz w:val="28"/>
                <w:szCs w:val="28"/>
              </w:rPr>
              <w:t>объекты</w:t>
            </w:r>
            <w:proofErr w:type="gramEnd"/>
            <w:r w:rsidRPr="00B84871">
              <w:rPr>
                <w:sz w:val="28"/>
                <w:szCs w:val="28"/>
              </w:rPr>
              <w:t xml:space="preserve"> выполненные по </w:t>
            </w:r>
            <w:r w:rsidR="001F504D">
              <w:rPr>
                <w:sz w:val="28"/>
                <w:szCs w:val="28"/>
              </w:rPr>
              <w:t xml:space="preserve">государственной </w:t>
            </w:r>
            <w:r w:rsidRPr="00B84871">
              <w:rPr>
                <w:sz w:val="28"/>
                <w:szCs w:val="28"/>
              </w:rPr>
              <w:t>программе «Чистая вода»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E" w:rsidRPr="00B84871" w:rsidRDefault="0004529E" w:rsidP="002E15F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73,8</w:t>
            </w:r>
          </w:p>
        </w:tc>
      </w:tr>
      <w:tr w:rsidR="0004529E" w:rsidRPr="00443D90" w:rsidTr="002E15F5">
        <w:trPr>
          <w:trHeight w:val="59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9E" w:rsidRPr="00B84871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E" w:rsidRPr="00B84871" w:rsidRDefault="0004529E" w:rsidP="002E15F5">
            <w:pPr>
              <w:tabs>
                <w:tab w:val="left" w:pos="360"/>
              </w:tabs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Обслуживание и текущий ремонт сетей наружного освещения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E" w:rsidRPr="00B84871" w:rsidRDefault="0004529E" w:rsidP="002E15F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192,2</w:t>
            </w:r>
          </w:p>
        </w:tc>
      </w:tr>
      <w:tr w:rsidR="0004529E" w:rsidRPr="00443D90" w:rsidTr="002E15F5">
        <w:trPr>
          <w:trHeight w:val="3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9E" w:rsidRPr="00B84871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E" w:rsidRPr="00B84871" w:rsidRDefault="0004529E" w:rsidP="002E15F5">
            <w:pPr>
              <w:tabs>
                <w:tab w:val="left" w:pos="360"/>
              </w:tabs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Расходы, связанные с уличным освещением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E" w:rsidRPr="00B84871" w:rsidRDefault="0004529E" w:rsidP="002E15F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4871">
              <w:rPr>
                <w:sz w:val="28"/>
                <w:szCs w:val="28"/>
              </w:rPr>
              <w:t>2226,1</w:t>
            </w:r>
          </w:p>
        </w:tc>
      </w:tr>
    </w:tbl>
    <w:p w:rsidR="0004529E" w:rsidRDefault="0004529E" w:rsidP="0004529E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4529E" w:rsidRPr="00443D90" w:rsidRDefault="0004529E" w:rsidP="0004529E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3D90">
        <w:rPr>
          <w:rFonts w:eastAsia="Calibri"/>
          <w:sz w:val="28"/>
          <w:szCs w:val="28"/>
        </w:rPr>
        <w:t xml:space="preserve">Произведены работы по обслуживанию и текущему ремонту сетей наружного освещения. </w:t>
      </w:r>
    </w:p>
    <w:p w:rsidR="0004529E" w:rsidRPr="00443D90" w:rsidRDefault="0004529E" w:rsidP="0004529E">
      <w:pPr>
        <w:ind w:firstLine="709"/>
        <w:jc w:val="both"/>
        <w:rPr>
          <w:rFonts w:eastAsia="Calibri"/>
          <w:sz w:val="28"/>
          <w:szCs w:val="28"/>
        </w:rPr>
      </w:pPr>
      <w:r w:rsidRPr="00443D90">
        <w:rPr>
          <w:rFonts w:eastAsia="Calibri"/>
          <w:sz w:val="28"/>
          <w:szCs w:val="28"/>
        </w:rPr>
        <w:t xml:space="preserve">Выполнен </w:t>
      </w:r>
      <w:r>
        <w:rPr>
          <w:rFonts w:eastAsia="Calibri"/>
          <w:sz w:val="28"/>
          <w:szCs w:val="28"/>
        </w:rPr>
        <w:t xml:space="preserve">ямочный </w:t>
      </w:r>
      <w:r w:rsidRPr="00443D90">
        <w:rPr>
          <w:rFonts w:eastAsia="Calibri"/>
          <w:sz w:val="28"/>
          <w:szCs w:val="28"/>
        </w:rPr>
        <w:t>ремонт улично-дорожной се</w:t>
      </w:r>
      <w:r>
        <w:rPr>
          <w:rFonts w:eastAsia="Calibri"/>
          <w:sz w:val="28"/>
          <w:szCs w:val="28"/>
        </w:rPr>
        <w:t>ти протяженностью 2346 м</w:t>
      </w:r>
      <w:proofErr w:type="gramStart"/>
      <w:r>
        <w:rPr>
          <w:rFonts w:eastAsia="Calibri"/>
          <w:sz w:val="28"/>
          <w:szCs w:val="28"/>
          <w:vertAlign w:val="superscript"/>
        </w:rPr>
        <w:t>2</w:t>
      </w:r>
      <w:proofErr w:type="gramEnd"/>
      <w:r>
        <w:rPr>
          <w:rFonts w:eastAsia="Calibri"/>
          <w:sz w:val="28"/>
          <w:szCs w:val="28"/>
        </w:rPr>
        <w:t>. В 2017</w:t>
      </w:r>
      <w:r w:rsidRPr="00443D90">
        <w:rPr>
          <w:rFonts w:eastAsia="Calibri"/>
          <w:sz w:val="28"/>
          <w:szCs w:val="28"/>
        </w:rPr>
        <w:t xml:space="preserve"> году осуществлялось техническое содержание объектов дорожного движения, а именно замена и обслуживание дорожных знако</w:t>
      </w:r>
      <w:r>
        <w:rPr>
          <w:rFonts w:eastAsia="Calibri"/>
          <w:sz w:val="28"/>
          <w:szCs w:val="28"/>
        </w:rPr>
        <w:t>в, нанесение дорожной разметки.</w:t>
      </w:r>
    </w:p>
    <w:p w:rsidR="00695972" w:rsidRPr="004F65B6" w:rsidRDefault="00552C88" w:rsidP="00466577">
      <w:pPr>
        <w:ind w:firstLine="709"/>
        <w:rPr>
          <w:color w:val="000000" w:themeColor="text1"/>
          <w:sz w:val="28"/>
          <w:szCs w:val="28"/>
        </w:rPr>
      </w:pPr>
      <w:r w:rsidRPr="004F65B6">
        <w:rPr>
          <w:color w:val="000000" w:themeColor="text1"/>
          <w:sz w:val="28"/>
          <w:szCs w:val="28"/>
        </w:rPr>
        <w:t>Н</w:t>
      </w:r>
      <w:r w:rsidR="00695972" w:rsidRPr="004F65B6">
        <w:rPr>
          <w:color w:val="000000" w:themeColor="text1"/>
          <w:sz w:val="28"/>
          <w:szCs w:val="28"/>
        </w:rPr>
        <w:t xml:space="preserve">а территории округа </w:t>
      </w:r>
      <w:r w:rsidRPr="004F65B6">
        <w:rPr>
          <w:color w:val="000000" w:themeColor="text1"/>
          <w:sz w:val="28"/>
          <w:szCs w:val="28"/>
        </w:rPr>
        <w:t>6 объектов  незавершенного строительства:</w:t>
      </w:r>
    </w:p>
    <w:p w:rsidR="00695972" w:rsidRPr="004F65B6" w:rsidRDefault="00695972" w:rsidP="00466577">
      <w:pPr>
        <w:ind w:firstLine="709"/>
        <w:rPr>
          <w:color w:val="000000" w:themeColor="text1"/>
          <w:sz w:val="28"/>
          <w:szCs w:val="28"/>
        </w:rPr>
      </w:pPr>
      <w:r w:rsidRPr="004F65B6">
        <w:rPr>
          <w:color w:val="000000" w:themeColor="text1"/>
          <w:sz w:val="28"/>
          <w:szCs w:val="28"/>
        </w:rPr>
        <w:t>- газификация жилых домов ул</w:t>
      </w:r>
      <w:proofErr w:type="gramStart"/>
      <w:r w:rsidRPr="004F65B6">
        <w:rPr>
          <w:color w:val="000000" w:themeColor="text1"/>
          <w:sz w:val="28"/>
          <w:szCs w:val="28"/>
        </w:rPr>
        <w:t>.В</w:t>
      </w:r>
      <w:proofErr w:type="gramEnd"/>
      <w:r w:rsidRPr="004F65B6">
        <w:rPr>
          <w:color w:val="000000" w:themeColor="text1"/>
          <w:sz w:val="28"/>
          <w:szCs w:val="28"/>
        </w:rPr>
        <w:t>атутина;</w:t>
      </w:r>
    </w:p>
    <w:p w:rsidR="00695972" w:rsidRPr="004F65B6" w:rsidRDefault="00695972" w:rsidP="00466577">
      <w:pPr>
        <w:ind w:firstLine="709"/>
        <w:rPr>
          <w:color w:val="000000" w:themeColor="text1"/>
          <w:sz w:val="28"/>
          <w:szCs w:val="28"/>
        </w:rPr>
      </w:pPr>
      <w:r w:rsidRPr="004F65B6">
        <w:rPr>
          <w:color w:val="000000" w:themeColor="text1"/>
          <w:sz w:val="28"/>
          <w:szCs w:val="28"/>
        </w:rPr>
        <w:t>- газификация по</w:t>
      </w:r>
      <w:r w:rsidR="004F65B6" w:rsidRPr="004F65B6">
        <w:rPr>
          <w:color w:val="000000" w:themeColor="text1"/>
          <w:sz w:val="28"/>
          <w:szCs w:val="28"/>
        </w:rPr>
        <w:t>с</w:t>
      </w:r>
      <w:r w:rsidRPr="004F65B6">
        <w:rPr>
          <w:color w:val="000000" w:themeColor="text1"/>
          <w:sz w:val="28"/>
          <w:szCs w:val="28"/>
        </w:rPr>
        <w:t>елка и котельной военного городка;</w:t>
      </w:r>
    </w:p>
    <w:p w:rsidR="0004529E" w:rsidRPr="004F65B6" w:rsidRDefault="00552C88" w:rsidP="00466577">
      <w:pPr>
        <w:ind w:firstLine="709"/>
        <w:rPr>
          <w:color w:val="000000" w:themeColor="text1"/>
          <w:sz w:val="28"/>
          <w:szCs w:val="28"/>
        </w:rPr>
      </w:pPr>
      <w:r w:rsidRPr="004F65B6">
        <w:rPr>
          <w:color w:val="000000" w:themeColor="text1"/>
          <w:sz w:val="28"/>
          <w:szCs w:val="28"/>
        </w:rPr>
        <w:t xml:space="preserve">- </w:t>
      </w:r>
      <w:r w:rsidR="00695972" w:rsidRPr="004F65B6">
        <w:rPr>
          <w:color w:val="000000" w:themeColor="text1"/>
          <w:sz w:val="28"/>
          <w:szCs w:val="28"/>
        </w:rPr>
        <w:t>муниц</w:t>
      </w:r>
      <w:r w:rsidRPr="004F65B6">
        <w:rPr>
          <w:color w:val="000000" w:themeColor="text1"/>
          <w:sz w:val="28"/>
          <w:szCs w:val="28"/>
        </w:rPr>
        <w:t xml:space="preserve">ипальные </w:t>
      </w:r>
      <w:r w:rsidR="004F65B6" w:rsidRPr="004F65B6">
        <w:rPr>
          <w:color w:val="000000" w:themeColor="text1"/>
          <w:sz w:val="28"/>
          <w:szCs w:val="28"/>
        </w:rPr>
        <w:t>сети</w:t>
      </w:r>
      <w:r w:rsidR="00695972" w:rsidRPr="004F65B6">
        <w:rPr>
          <w:color w:val="000000" w:themeColor="text1"/>
          <w:sz w:val="28"/>
          <w:szCs w:val="28"/>
        </w:rPr>
        <w:t xml:space="preserve"> тепло- и водосна</w:t>
      </w:r>
      <w:r w:rsidR="004F65B6" w:rsidRPr="004F65B6">
        <w:rPr>
          <w:color w:val="000000" w:themeColor="text1"/>
          <w:sz w:val="28"/>
          <w:szCs w:val="28"/>
        </w:rPr>
        <w:t>бжения</w:t>
      </w:r>
      <w:r w:rsidR="00695972" w:rsidRPr="004F65B6">
        <w:rPr>
          <w:color w:val="000000" w:themeColor="text1"/>
          <w:sz w:val="28"/>
          <w:szCs w:val="28"/>
        </w:rPr>
        <w:t>;</w:t>
      </w:r>
    </w:p>
    <w:p w:rsidR="00695972" w:rsidRPr="004F65B6" w:rsidRDefault="00552C88" w:rsidP="00466577">
      <w:pPr>
        <w:ind w:firstLine="709"/>
        <w:rPr>
          <w:color w:val="000000" w:themeColor="text1"/>
          <w:sz w:val="28"/>
          <w:szCs w:val="28"/>
        </w:rPr>
      </w:pPr>
      <w:r w:rsidRPr="004F65B6">
        <w:rPr>
          <w:color w:val="000000" w:themeColor="text1"/>
          <w:sz w:val="28"/>
          <w:szCs w:val="28"/>
        </w:rPr>
        <w:t>- очистные сооружения</w:t>
      </w:r>
      <w:r w:rsidR="00695972" w:rsidRPr="004F65B6">
        <w:rPr>
          <w:color w:val="000000" w:themeColor="text1"/>
          <w:sz w:val="28"/>
          <w:szCs w:val="28"/>
        </w:rPr>
        <w:t xml:space="preserve"> хозяйственно-бытовой канализации;</w:t>
      </w:r>
    </w:p>
    <w:p w:rsidR="00695972" w:rsidRPr="004F65B6" w:rsidRDefault="00552C88" w:rsidP="00466577">
      <w:pPr>
        <w:ind w:firstLine="709"/>
        <w:rPr>
          <w:color w:val="000000" w:themeColor="text1"/>
          <w:sz w:val="28"/>
          <w:szCs w:val="28"/>
        </w:rPr>
      </w:pPr>
      <w:r w:rsidRPr="004F65B6">
        <w:rPr>
          <w:color w:val="000000" w:themeColor="text1"/>
          <w:sz w:val="28"/>
          <w:szCs w:val="28"/>
        </w:rPr>
        <w:t xml:space="preserve">- </w:t>
      </w:r>
      <w:proofErr w:type="spellStart"/>
      <w:r w:rsidRPr="004F65B6">
        <w:rPr>
          <w:color w:val="000000" w:themeColor="text1"/>
          <w:sz w:val="28"/>
          <w:szCs w:val="28"/>
        </w:rPr>
        <w:t>канализационно-насосная</w:t>
      </w:r>
      <w:proofErr w:type="spellEnd"/>
      <w:r w:rsidRPr="004F65B6">
        <w:rPr>
          <w:color w:val="000000" w:themeColor="text1"/>
          <w:sz w:val="28"/>
          <w:szCs w:val="28"/>
        </w:rPr>
        <w:t xml:space="preserve"> станция</w:t>
      </w:r>
      <w:r w:rsidR="004F65B6" w:rsidRPr="004F65B6">
        <w:rPr>
          <w:color w:val="000000" w:themeColor="text1"/>
          <w:sz w:val="28"/>
          <w:szCs w:val="28"/>
        </w:rPr>
        <w:t xml:space="preserve"> и участок</w:t>
      </w:r>
      <w:r w:rsidR="00695972" w:rsidRPr="004F65B6">
        <w:rPr>
          <w:color w:val="000000" w:themeColor="text1"/>
          <w:sz w:val="28"/>
          <w:szCs w:val="28"/>
        </w:rPr>
        <w:t xml:space="preserve"> коллектора до точки врезки в районе КНС-4;</w:t>
      </w:r>
    </w:p>
    <w:p w:rsidR="00552C88" w:rsidRDefault="00695972" w:rsidP="00552C88">
      <w:pPr>
        <w:ind w:firstLine="709"/>
        <w:rPr>
          <w:color w:val="000000" w:themeColor="text1"/>
          <w:sz w:val="28"/>
          <w:szCs w:val="28"/>
        </w:rPr>
      </w:pPr>
      <w:r w:rsidRPr="004F65B6">
        <w:rPr>
          <w:color w:val="000000" w:themeColor="text1"/>
          <w:sz w:val="28"/>
          <w:szCs w:val="28"/>
        </w:rPr>
        <w:t xml:space="preserve">- </w:t>
      </w:r>
      <w:r w:rsidR="004F65B6" w:rsidRPr="004F65B6">
        <w:rPr>
          <w:color w:val="000000" w:themeColor="text1"/>
          <w:sz w:val="28"/>
          <w:szCs w:val="28"/>
        </w:rPr>
        <w:t>уличный</w:t>
      </w:r>
      <w:r w:rsidRPr="004F65B6">
        <w:rPr>
          <w:color w:val="000000" w:themeColor="text1"/>
          <w:sz w:val="28"/>
          <w:szCs w:val="28"/>
        </w:rPr>
        <w:t xml:space="preserve"> газопровод</w:t>
      </w:r>
      <w:r w:rsidR="00552C88" w:rsidRPr="004F65B6">
        <w:rPr>
          <w:color w:val="000000" w:themeColor="text1"/>
          <w:sz w:val="28"/>
          <w:szCs w:val="28"/>
        </w:rPr>
        <w:t xml:space="preserve"> жилой застройки №№1,3</w:t>
      </w:r>
      <w:r w:rsidR="004F65B6" w:rsidRPr="004F65B6">
        <w:rPr>
          <w:color w:val="000000" w:themeColor="text1"/>
          <w:sz w:val="28"/>
          <w:szCs w:val="28"/>
        </w:rPr>
        <w:t>.</w:t>
      </w:r>
    </w:p>
    <w:p w:rsidR="00800B9F" w:rsidRPr="004F65B6" w:rsidRDefault="00800B9F" w:rsidP="00800B9F">
      <w:pPr>
        <w:rPr>
          <w:color w:val="000000" w:themeColor="text1"/>
          <w:sz w:val="28"/>
          <w:szCs w:val="28"/>
        </w:rPr>
      </w:pPr>
    </w:p>
    <w:p w:rsidR="004F65B6" w:rsidRPr="004F65B6" w:rsidRDefault="004F65B6" w:rsidP="00E40163">
      <w:pPr>
        <w:ind w:firstLine="709"/>
        <w:rPr>
          <w:color w:val="000000" w:themeColor="text1"/>
          <w:sz w:val="28"/>
          <w:szCs w:val="28"/>
        </w:rPr>
      </w:pPr>
      <w:r w:rsidRPr="004F65B6">
        <w:rPr>
          <w:color w:val="000000" w:themeColor="text1"/>
          <w:sz w:val="28"/>
          <w:szCs w:val="28"/>
        </w:rPr>
        <w:t>В  2018-2020 годах планируется завершение  строительства 5 объектов.</w:t>
      </w:r>
    </w:p>
    <w:p w:rsidR="00FE6D33" w:rsidRPr="00EC17F7" w:rsidRDefault="00FE6D33" w:rsidP="00E40163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 xml:space="preserve">В </w:t>
      </w:r>
      <w:r w:rsidR="0004529E">
        <w:rPr>
          <w:sz w:val="28"/>
          <w:szCs w:val="28"/>
        </w:rPr>
        <w:t xml:space="preserve">сфере образования в 2017 году </w:t>
      </w:r>
      <w:r w:rsidRPr="00EC17F7">
        <w:rPr>
          <w:sz w:val="28"/>
          <w:szCs w:val="28"/>
        </w:rPr>
        <w:t xml:space="preserve">функционировало 12 муниципальных образовательных организаций, из них: 5 общеобразовательных организаций, одна из которых имеет ступень дошкольного образования; 6 организаций дошкольного образования и одна организация дополнительного образования. Все образовательные организации имеют бессрочные лицензии на ведение образовательной деятельности. Общеобразовательные организации прошли государственную аккредитацию. </w:t>
      </w:r>
    </w:p>
    <w:p w:rsidR="00FE6D33" w:rsidRPr="00EC17F7" w:rsidRDefault="00FE6D33" w:rsidP="00FE6D33">
      <w:pPr>
        <w:ind w:firstLine="709"/>
        <w:jc w:val="both"/>
        <w:rPr>
          <w:rFonts w:eastAsia="Calibri"/>
          <w:sz w:val="28"/>
          <w:szCs w:val="28"/>
        </w:rPr>
      </w:pPr>
      <w:r w:rsidRPr="00EC17F7">
        <w:rPr>
          <w:sz w:val="28"/>
          <w:szCs w:val="28"/>
        </w:rPr>
        <w:t xml:space="preserve">Муниципальным органом, обеспечивающим управление городской образовательной системы, является МКУ «Управление образования КГО» (далее Управление образования). Кроме этого в городской образовательной системе функционируют: детский оздоровительный лагерь «Орленок», городская </w:t>
      </w:r>
      <w:proofErr w:type="spellStart"/>
      <w:r w:rsidRPr="00EC17F7">
        <w:rPr>
          <w:sz w:val="28"/>
          <w:szCs w:val="28"/>
        </w:rPr>
        <w:t>психолого-медико-педагогическая</w:t>
      </w:r>
      <w:proofErr w:type="spellEnd"/>
      <w:r w:rsidRPr="00EC17F7">
        <w:rPr>
          <w:sz w:val="28"/>
          <w:szCs w:val="28"/>
        </w:rPr>
        <w:t xml:space="preserve"> комиссия.</w:t>
      </w:r>
      <w:r w:rsidRPr="00EC17F7">
        <w:rPr>
          <w:rFonts w:eastAsia="Calibri"/>
          <w:sz w:val="28"/>
          <w:szCs w:val="28"/>
        </w:rPr>
        <w:t xml:space="preserve"> </w:t>
      </w:r>
    </w:p>
    <w:p w:rsidR="00FE6D33" w:rsidRPr="00EC17F7" w:rsidRDefault="00FE6D33" w:rsidP="00FE6D33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 xml:space="preserve">Детские сады посещают 724 человека. Численность в возрасте от 0 до 7 лет составляет 991 человек. Охват дошкольным образованием составил в 2017 году 73,28% (2016 год – 78,13%). </w:t>
      </w:r>
    </w:p>
    <w:p w:rsidR="00FE6D33" w:rsidRPr="00EC17F7" w:rsidRDefault="00802650" w:rsidP="00FE6D3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Зачисление в детские образовательные учреждения (далее – ДОУ)</w:t>
      </w:r>
      <w:r w:rsidR="00FE6D33" w:rsidRPr="00EC17F7">
        <w:rPr>
          <w:bCs/>
          <w:sz w:val="28"/>
          <w:szCs w:val="28"/>
        </w:rPr>
        <w:t xml:space="preserve"> осуществляется через информационную систему «Е-услуги. Образование» муниципальным оператором и операторами в ДОУ. В мае 2017 года проведено комплектование в ДОУ - всего зачислено 161 ребёнок в возрасте от 1,5 до 7 лет. В настоящее время в  очереди находятся – 175 детей в возрасте от 0 до 3 лет. 90% очередников составляют дети в возрасте от 0 до 1,5 лет. В настоящее время Управление образование изучает общественное мнение среди родительской общественности о потребности предоставления услуги дошкольного образования детям в возрасте от 2 мес. до 1,5 лет. С целью расширения доступности дошкольного образования на поддержку 129 детей из малообеспеченных семей из области выделена субсидия в размере 202,9 тыс. руб. на выплату компенсации части родительской платы, а из местного бюджета выделено 100 тыс. руб.</w:t>
      </w:r>
    </w:p>
    <w:p w:rsidR="00FE6D33" w:rsidRDefault="00FE6D33" w:rsidP="00FE6D33">
      <w:pPr>
        <w:ind w:firstLine="709"/>
        <w:jc w:val="both"/>
        <w:rPr>
          <w:sz w:val="28"/>
          <w:szCs w:val="28"/>
        </w:rPr>
      </w:pPr>
      <w:proofErr w:type="gramStart"/>
      <w:r w:rsidRPr="00EC17F7">
        <w:rPr>
          <w:sz w:val="28"/>
          <w:szCs w:val="28"/>
        </w:rPr>
        <w:t>В конце года подготовлена нормативно-правовая база для повышения родительской платы за присмотр и уход детей в образовательных организациях дошкольного образования, которая будет составлять с 01.01.2018г. 73 руб. в день для детей в возрасте до 3-х лет, 79 руб. для детей в возрасте от 3-7 лет (в 2016 году размер родительской платы составлял 1400 рублей в месяц).</w:t>
      </w:r>
      <w:proofErr w:type="gramEnd"/>
    </w:p>
    <w:p w:rsidR="002E15F5" w:rsidRPr="00EC4E93" w:rsidRDefault="00EC4E93" w:rsidP="002E15F5">
      <w:pPr>
        <w:jc w:val="both"/>
        <w:rPr>
          <w:sz w:val="28"/>
          <w:szCs w:val="28"/>
        </w:rPr>
      </w:pPr>
      <w:r>
        <w:t xml:space="preserve">           </w:t>
      </w:r>
      <w:r w:rsidR="002E15F5" w:rsidRPr="00C61F2A">
        <w:rPr>
          <w:sz w:val="28"/>
          <w:szCs w:val="28"/>
        </w:rPr>
        <w:t>Наблюдается положительная динамика снижения потребности проведения капитального ремонта  в зданиях дошкольных образовательных организаций. В 2017 году он составил 0%, в 2016г. - 0% . В 2016 году было отремонтировано здание МКДОУ №9, в 2017 году здание МКДОУ №10. На протяжении последних трех лет Управление образования активно участвует в конкурсах на получение субсидий местному бюджету на проведение ремонтных работ муниципальных образовательных организаций. Кроме этого ежегодно проводятся капитальные ремонты зданий образовательных организаций в рамках плана социального партнерства с ЗАО «Карабашмедь». В 2016 году отремонтировано здание МКДОУ №9, в 2017 году – МКДОУ №10. В 2018 году на уровне главы решается вопрос по привлечению средств на ремонт веранд в МКДОУ №11. В 2018 году планируется сохранение данного показателя 0%.</w:t>
      </w:r>
    </w:p>
    <w:p w:rsidR="00177EDF" w:rsidRPr="00C61F2A" w:rsidRDefault="00177EDF" w:rsidP="00E40163">
      <w:pPr>
        <w:ind w:firstLine="708"/>
        <w:jc w:val="both"/>
        <w:rPr>
          <w:sz w:val="28"/>
          <w:szCs w:val="28"/>
        </w:rPr>
      </w:pPr>
      <w:r w:rsidRPr="00C61F2A">
        <w:rPr>
          <w:sz w:val="28"/>
          <w:szCs w:val="28"/>
        </w:rPr>
        <w:t xml:space="preserve">В системе общего образования функционируют пять общеобразовательных организаций (численность обучающихся в 2017 году составила 1415 человек, </w:t>
      </w:r>
      <w:r w:rsidRPr="00C61F2A">
        <w:rPr>
          <w:sz w:val="28"/>
          <w:szCs w:val="28"/>
        </w:rPr>
        <w:lastRenderedPageBreak/>
        <w:t>2016г. – 1384, 2015г. - 1354). По сравнению с прошлым годом численность обучающихся увеличилась по сравнению с прошлым годом на 31 чел.</w:t>
      </w:r>
    </w:p>
    <w:p w:rsidR="00177EDF" w:rsidRDefault="00177EDF" w:rsidP="00177EDF">
      <w:pPr>
        <w:ind w:firstLine="708"/>
      </w:pPr>
    </w:p>
    <w:p w:rsidR="00177EDF" w:rsidRDefault="00177EDF" w:rsidP="00177EDF">
      <w:pPr>
        <w:jc w:val="both"/>
      </w:pPr>
      <w:r>
        <w:rPr>
          <w:noProof/>
        </w:rPr>
        <w:drawing>
          <wp:inline distT="0" distB="0" distL="0" distR="0">
            <wp:extent cx="6243841" cy="1835624"/>
            <wp:effectExtent l="19050" t="0" r="2360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7EDF" w:rsidRDefault="00177EDF" w:rsidP="00FE6D33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C61F2A" w:rsidRDefault="00C61F2A" w:rsidP="00FE6D33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D41668" w:rsidRDefault="00D41668" w:rsidP="00FE6D33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E40163" w:rsidRDefault="00FE6D33" w:rsidP="00E40163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Фактическая наполняемость общеобразовательных организаций в основном соответствует лицензионным нормативам, рассчитанным на наполняемость в одну смену. Во вторую смену обучаются 67 чел., что составляет 4,73%. Каждый 20</w:t>
      </w:r>
      <w:r w:rsidR="0004529E">
        <w:rPr>
          <w:sz w:val="28"/>
          <w:szCs w:val="28"/>
        </w:rPr>
        <w:t xml:space="preserve"> ученик учится во вторую смену, </w:t>
      </w:r>
      <w:r w:rsidRPr="00EC17F7">
        <w:rPr>
          <w:sz w:val="28"/>
          <w:szCs w:val="28"/>
        </w:rPr>
        <w:t xml:space="preserve">42 человека находятся на подвозе. Обучаются по </w:t>
      </w:r>
      <w:r w:rsidRPr="00C61F2A">
        <w:rPr>
          <w:sz w:val="28"/>
          <w:szCs w:val="28"/>
        </w:rPr>
        <w:t>Ф</w:t>
      </w:r>
      <w:r w:rsidR="00C61F2A" w:rsidRPr="00C61F2A">
        <w:rPr>
          <w:sz w:val="28"/>
          <w:szCs w:val="28"/>
        </w:rPr>
        <w:t xml:space="preserve">едеральному государственному образовательному стандарту общего образования </w:t>
      </w:r>
      <w:r w:rsidRPr="00EC17F7">
        <w:rPr>
          <w:sz w:val="28"/>
          <w:szCs w:val="28"/>
        </w:rPr>
        <w:t xml:space="preserve"> 1247 человек, что составляет 88,1%. В городской образовательной системе обучается 115 детей-инвалидов и детей с ограниченными возможностями здоровья. В двух общеобразовательных организациях МКОУ «ОШИ», МКОУ «СОШ №2» из пяти, что составляет 40%, создана универсальная </w:t>
      </w:r>
      <w:proofErr w:type="spellStart"/>
      <w:r w:rsidRPr="00EC17F7">
        <w:rPr>
          <w:sz w:val="28"/>
          <w:szCs w:val="28"/>
        </w:rPr>
        <w:t>безбарьерная</w:t>
      </w:r>
      <w:proofErr w:type="spellEnd"/>
      <w:r w:rsidRPr="00EC17F7">
        <w:rPr>
          <w:sz w:val="28"/>
          <w:szCs w:val="28"/>
        </w:rPr>
        <w:t xml:space="preserve"> среда для инклюзивного образования детей-инвалидов.</w:t>
      </w:r>
    </w:p>
    <w:p w:rsidR="00177EDF" w:rsidRPr="00EC4E93" w:rsidRDefault="00177EDF" w:rsidP="00E40163">
      <w:pPr>
        <w:ind w:firstLine="709"/>
        <w:jc w:val="both"/>
        <w:rPr>
          <w:sz w:val="28"/>
          <w:szCs w:val="28"/>
        </w:rPr>
      </w:pPr>
      <w:r w:rsidRPr="00EC4E93">
        <w:rPr>
          <w:sz w:val="28"/>
          <w:szCs w:val="28"/>
        </w:rPr>
        <w:t>Показатель «Доля обучающихся, которым предоставлена возможность обучаться в общеобразовательных учреждениях, отвечающих совреме</w:t>
      </w:r>
      <w:r w:rsidR="00802650">
        <w:rPr>
          <w:sz w:val="28"/>
          <w:szCs w:val="28"/>
        </w:rPr>
        <w:t xml:space="preserve">нным требованиям» в 2017 году </w:t>
      </w:r>
      <w:r w:rsidRPr="00EC4E93">
        <w:rPr>
          <w:sz w:val="28"/>
          <w:szCs w:val="28"/>
        </w:rPr>
        <w:t xml:space="preserve"> составил 84,7% (2016 год – 75,1%). 1199 обучающимся (МКОУ «СОШ №1,2»; МКОУ «ОШИ») из 1415 человек предоставлена возможность обучаться в общеобразовательных учреждениях, отвечающих современным требованиям. Из 28 параметров не </w:t>
      </w:r>
      <w:proofErr w:type="gramStart"/>
      <w:r w:rsidRPr="00EC4E93">
        <w:rPr>
          <w:sz w:val="28"/>
          <w:szCs w:val="28"/>
        </w:rPr>
        <w:t>выполнены</w:t>
      </w:r>
      <w:proofErr w:type="gramEnd"/>
      <w:r w:rsidRPr="00EC4E93">
        <w:rPr>
          <w:sz w:val="28"/>
          <w:szCs w:val="28"/>
        </w:rPr>
        <w:t xml:space="preserve"> </w:t>
      </w:r>
      <w:r w:rsidR="00802650">
        <w:rPr>
          <w:sz w:val="28"/>
          <w:szCs w:val="28"/>
        </w:rPr>
        <w:t xml:space="preserve">в МКОУ «СОШ № 4, 6». В таблице </w:t>
      </w:r>
      <w:r w:rsidRPr="00EC4E93">
        <w:rPr>
          <w:sz w:val="28"/>
          <w:szCs w:val="28"/>
        </w:rPr>
        <w:t xml:space="preserve"> представлены не выполненные параметры.</w:t>
      </w:r>
    </w:p>
    <w:p w:rsidR="00177EDF" w:rsidRPr="00EC4E93" w:rsidRDefault="00802650" w:rsidP="00177ED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tbl>
      <w:tblPr>
        <w:tblW w:w="9938" w:type="dxa"/>
        <w:tblInd w:w="93" w:type="dxa"/>
        <w:tblLayout w:type="fixed"/>
        <w:tblLook w:val="04A0"/>
      </w:tblPr>
      <w:tblGrid>
        <w:gridCol w:w="1145"/>
        <w:gridCol w:w="4257"/>
        <w:gridCol w:w="4536"/>
      </w:tblGrid>
      <w:tr w:rsidR="00177EDF" w:rsidRPr="003D7207" w:rsidTr="003D7207">
        <w:trPr>
          <w:trHeight w:val="675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center"/>
            </w:pPr>
            <w:r w:rsidRPr="003D7207">
              <w:tab/>
            </w:r>
            <w:proofErr w:type="gramStart"/>
            <w:r w:rsidRPr="003D7207">
              <w:rPr>
                <w:color w:val="000000"/>
              </w:rPr>
              <w:t>Мониторинг оценки значения показателя «Доля обучающихся, которым предоставлена возможность обучаться в общеобразовательных учреждениях, отвечающих современным требованиям» в Карабашском городском округе</w:t>
            </w:r>
            <w:proofErr w:type="gramEnd"/>
          </w:p>
        </w:tc>
      </w:tr>
      <w:tr w:rsidR="00177EDF" w:rsidRPr="003D7207" w:rsidTr="003D7207">
        <w:trPr>
          <w:trHeight w:val="67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r w:rsidRPr="003D7207">
              <w:t>Номер показателя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rPr>
                <w:color w:val="000000"/>
              </w:rPr>
            </w:pPr>
            <w:r w:rsidRPr="003D7207">
              <w:rPr>
                <w:color w:val="000000"/>
              </w:rPr>
              <w:t>Параметры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center"/>
            </w:pPr>
            <w:r w:rsidRPr="003D7207">
              <w:t>Образовательная организация, в которой данный параметр показателя не выполнен</w:t>
            </w:r>
          </w:p>
        </w:tc>
      </w:tr>
      <w:tr w:rsidR="00177EDF" w:rsidRPr="003D7207" w:rsidTr="003D7207">
        <w:trPr>
          <w:trHeight w:val="67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DF" w:rsidRPr="003D7207" w:rsidRDefault="00177EDF" w:rsidP="002E15F5">
            <w:pPr>
              <w:jc w:val="both"/>
            </w:pPr>
            <w:r w:rsidRPr="003D7207"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DF" w:rsidRPr="003D7207" w:rsidRDefault="00177EDF" w:rsidP="002E15F5">
            <w:pPr>
              <w:jc w:val="both"/>
            </w:pPr>
            <w:r w:rsidRPr="003D7207">
              <w:t xml:space="preserve"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</w:t>
            </w:r>
            <w:proofErr w:type="spellStart"/>
            <w:r w:rsidRPr="003D7207">
              <w:t>СанПиН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r w:rsidRPr="003D7207">
              <w:t>Отсутствие централизованного горячего водоснабжения в МКОУ СОШ №2.</w:t>
            </w:r>
          </w:p>
          <w:p w:rsidR="00177EDF" w:rsidRPr="003D7207" w:rsidRDefault="00177EDF" w:rsidP="002E15F5">
            <w:r w:rsidRPr="003D7207">
              <w:t>Организовано привозное водоснабжение в МКОУ СОШ №4</w:t>
            </w:r>
          </w:p>
        </w:tc>
      </w:tr>
      <w:tr w:rsidR="00177EDF" w:rsidRPr="003D7207" w:rsidTr="003D7207">
        <w:trPr>
          <w:trHeight w:val="67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DF" w:rsidRPr="003D7207" w:rsidRDefault="00177EDF" w:rsidP="002E15F5">
            <w:pPr>
              <w:jc w:val="both"/>
            </w:pPr>
            <w:r w:rsidRPr="003D7207"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DF" w:rsidRPr="003D7207" w:rsidRDefault="00177EDF" w:rsidP="002E15F5">
            <w:pPr>
              <w:jc w:val="both"/>
            </w:pPr>
            <w:r w:rsidRPr="003D7207">
              <w:t xml:space="preserve">Наличие работающей системы канализации, а также оборудованных в соответствии с </w:t>
            </w:r>
            <w:proofErr w:type="spellStart"/>
            <w:r w:rsidRPr="003D7207">
              <w:t>СанПиН</w:t>
            </w:r>
            <w:proofErr w:type="spellEnd"/>
            <w:r w:rsidRPr="003D7207">
              <w:t xml:space="preserve"> туалетов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r w:rsidRPr="003D7207">
              <w:t>Отсутствие централизованная канализация в МКОУ СОШ №4 (выгребная яма)</w:t>
            </w:r>
          </w:p>
        </w:tc>
      </w:tr>
      <w:tr w:rsidR="00177EDF" w:rsidRPr="003D7207" w:rsidTr="003D7207">
        <w:trPr>
          <w:trHeight w:val="27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DF" w:rsidRPr="003D7207" w:rsidRDefault="00177EDF" w:rsidP="002E15F5">
            <w:pPr>
              <w:jc w:val="both"/>
            </w:pPr>
            <w:r w:rsidRPr="003D7207"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DF" w:rsidRPr="003D7207" w:rsidRDefault="00177EDF" w:rsidP="002E15F5">
            <w:pPr>
              <w:jc w:val="both"/>
            </w:pPr>
            <w:r w:rsidRPr="003D7207">
              <w:t xml:space="preserve">Соответствие территории общеобразовательной организации требованиям </w:t>
            </w:r>
            <w:proofErr w:type="spellStart"/>
            <w:r w:rsidRPr="003D7207">
              <w:t>СанПин</w:t>
            </w:r>
            <w:proofErr w:type="spellEnd"/>
            <w:r w:rsidRPr="003D7207">
              <w:t xml:space="preserve"> (наличие </w:t>
            </w:r>
            <w:r w:rsidRPr="003D7207">
              <w:lastRenderedPageBreak/>
              <w:t xml:space="preserve">ограждения, озеленение территории, зоны: отдыха, </w:t>
            </w:r>
            <w:proofErr w:type="gramStart"/>
            <w:r w:rsidRPr="003D7207">
              <w:t>физкультурно-спортивная</w:t>
            </w:r>
            <w:proofErr w:type="gramEnd"/>
            <w:r w:rsidRPr="003D7207">
              <w:t xml:space="preserve"> и др.)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r w:rsidRPr="003D7207">
              <w:lastRenderedPageBreak/>
              <w:t xml:space="preserve">Ограждение, физкультурно-спортивная зона не соответствует требованиям </w:t>
            </w:r>
            <w:proofErr w:type="spellStart"/>
            <w:r w:rsidRPr="003D7207">
              <w:t>СанПиН</w:t>
            </w:r>
            <w:proofErr w:type="spellEnd"/>
            <w:r w:rsidRPr="003D7207">
              <w:t xml:space="preserve"> в МКОУ СОШ №6</w:t>
            </w:r>
          </w:p>
        </w:tc>
      </w:tr>
      <w:tr w:rsidR="00177EDF" w:rsidRPr="003D7207" w:rsidTr="003D7207">
        <w:trPr>
          <w:trHeight w:val="27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both"/>
            </w:pPr>
            <w:r w:rsidRPr="003D7207">
              <w:lastRenderedPageBreak/>
              <w:t>9.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both"/>
            </w:pPr>
            <w:proofErr w:type="gramStart"/>
            <w:r w:rsidRPr="003D7207">
              <w:t>Создание условий для осуществления лицензированной медицинской деятельности (т.е. соблюдение одного из условий:</w:t>
            </w:r>
            <w:proofErr w:type="gramEnd"/>
          </w:p>
          <w:p w:rsidR="00177EDF" w:rsidRPr="003D7207" w:rsidRDefault="00177EDF" w:rsidP="002E15F5">
            <w:pPr>
              <w:jc w:val="both"/>
            </w:pPr>
            <w:r w:rsidRPr="003D7207">
              <w:t xml:space="preserve">1) лицензия образовательной организации на ведение медицинской деятельности; </w:t>
            </w:r>
          </w:p>
          <w:p w:rsidR="00177EDF" w:rsidRPr="003D7207" w:rsidRDefault="00177EDF" w:rsidP="002E15F5">
            <w:pPr>
              <w:jc w:val="both"/>
            </w:pPr>
            <w:r w:rsidRPr="003D7207">
              <w:t>2) лицензия медицинского учреждения осуществляющего медицинскую деятельность по договору о совместной деятельности и совместном использовании имущества;</w:t>
            </w:r>
          </w:p>
          <w:p w:rsidR="00177EDF" w:rsidRPr="003D7207" w:rsidRDefault="00177EDF" w:rsidP="002E15F5">
            <w:pPr>
              <w:jc w:val="both"/>
            </w:pPr>
            <w:proofErr w:type="gramStart"/>
            <w:r w:rsidRPr="003D7207">
              <w:t xml:space="preserve">3) договор образовательной организации (в случае если в школе нет медкабинета) с лечебно-профилактическим учреждением или фельдшерским пунктом об оказании медицинского обслуживании.)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r w:rsidRPr="003D7207">
              <w:t>Медицинская деятельность не лицензирована в МКОУ СОШ №6 (дошкольная ступень)</w:t>
            </w:r>
          </w:p>
        </w:tc>
      </w:tr>
      <w:tr w:rsidR="00177EDF" w:rsidRPr="003D7207" w:rsidTr="003D7207">
        <w:trPr>
          <w:trHeight w:val="27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both"/>
            </w:pPr>
            <w:r w:rsidRPr="003D7207">
              <w:t>12.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both"/>
            </w:pPr>
            <w:r w:rsidRPr="003D7207">
              <w:t xml:space="preserve">Наличие в общеобразовательной организации кабинета химии, оборудованного в соответствии с </w:t>
            </w:r>
            <w:proofErr w:type="spellStart"/>
            <w:r w:rsidRPr="003D7207">
              <w:t>СанПиН</w:t>
            </w:r>
            <w:proofErr w:type="spellEnd"/>
            <w:r w:rsidRPr="003D7207">
              <w:t xml:space="preserve"> (для школ, имеющих классы старше 7-го)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r w:rsidRPr="003D7207">
              <w:t xml:space="preserve">Кабинет химии не соответствует требованиям </w:t>
            </w:r>
            <w:proofErr w:type="spellStart"/>
            <w:r w:rsidRPr="003D7207">
              <w:t>СанПиН</w:t>
            </w:r>
            <w:proofErr w:type="spellEnd"/>
            <w:r w:rsidRPr="003D7207">
              <w:t xml:space="preserve"> в МКОУ СОШ №4</w:t>
            </w:r>
          </w:p>
        </w:tc>
      </w:tr>
      <w:tr w:rsidR="00177EDF" w:rsidRPr="003D7207" w:rsidTr="003D7207">
        <w:trPr>
          <w:trHeight w:val="27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both"/>
            </w:pPr>
            <w:r w:rsidRPr="003D7207">
              <w:t>13.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both"/>
            </w:pPr>
            <w:r w:rsidRPr="003D7207">
              <w:t xml:space="preserve">Наличие в общеобразовательной организации собственных (или на условиях договора пользования) компьютерных классов, оборудованных в соответствии с </w:t>
            </w:r>
            <w:proofErr w:type="spellStart"/>
            <w:r w:rsidRPr="003D7207">
              <w:t>СанПиН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r w:rsidRPr="003D7207">
              <w:t xml:space="preserve">Кабинет физики не соответствует требованиям </w:t>
            </w:r>
            <w:proofErr w:type="spellStart"/>
            <w:r w:rsidRPr="003D7207">
              <w:t>СанПиН</w:t>
            </w:r>
            <w:proofErr w:type="spellEnd"/>
            <w:r w:rsidRPr="003D7207">
              <w:t xml:space="preserve"> в МКОУ СОШ №4</w:t>
            </w:r>
          </w:p>
        </w:tc>
      </w:tr>
      <w:tr w:rsidR="00177EDF" w:rsidRPr="003D7207" w:rsidTr="003D7207">
        <w:trPr>
          <w:trHeight w:val="27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both"/>
            </w:pPr>
            <w:r w:rsidRPr="003D7207">
              <w:t>14.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both"/>
            </w:pPr>
            <w:r w:rsidRPr="003D7207">
              <w:rPr>
                <w:color w:val="000000"/>
              </w:rPr>
              <w:t>Наличие скоростного выхода в Интернет (скорость канала не ниже 2 Мб/с)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r w:rsidRPr="003D7207">
              <w:t xml:space="preserve">По техническим причинам </w:t>
            </w:r>
            <w:proofErr w:type="gramStart"/>
            <w:r w:rsidRPr="003D7207">
              <w:t>выбраны</w:t>
            </w:r>
            <w:proofErr w:type="gramEnd"/>
            <w:r w:rsidRPr="003D7207">
              <w:t xml:space="preserve"> тарифный план с соответствующими скоростями в МКОУ СОШ №6 (</w:t>
            </w:r>
            <w:r w:rsidRPr="003D7207">
              <w:rPr>
                <w:lang w:val="en-US"/>
              </w:rPr>
              <w:t>ADSL</w:t>
            </w:r>
            <w:r w:rsidRPr="003D7207">
              <w:t>).</w:t>
            </w:r>
          </w:p>
          <w:p w:rsidR="00177EDF" w:rsidRPr="003D7207" w:rsidRDefault="00177EDF" w:rsidP="002E15F5">
            <w:r w:rsidRPr="003D7207">
              <w:t xml:space="preserve">В МКОУ СОШ №4 </w:t>
            </w:r>
            <w:r w:rsidRPr="003D7207">
              <w:rPr>
                <w:lang w:val="en-US"/>
              </w:rPr>
              <w:t>USB</w:t>
            </w:r>
            <w:r w:rsidRPr="003D7207">
              <w:t>-модем.</w:t>
            </w:r>
          </w:p>
        </w:tc>
      </w:tr>
      <w:tr w:rsidR="00177EDF" w:rsidRPr="003D7207" w:rsidTr="003D7207">
        <w:trPr>
          <w:trHeight w:val="27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both"/>
            </w:pPr>
            <w:r w:rsidRPr="003D7207">
              <w:t>15.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pPr>
              <w:jc w:val="both"/>
            </w:pPr>
            <w:r w:rsidRPr="003D7207">
              <w:t xml:space="preserve">Наличие на территории общеобразовательной организации собственной (или на условиях договора пользования на иной территории) оборудованной физкультурно-спортивной зоны, соответствующей требованиям </w:t>
            </w:r>
            <w:proofErr w:type="spellStart"/>
            <w:r w:rsidRPr="003D7207">
              <w:t>СанПиН</w:t>
            </w:r>
            <w:proofErr w:type="spellEnd"/>
            <w:r w:rsidRPr="003D7207">
              <w:t xml:space="preserve"> для организации физкультурно-оздоровительной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DF" w:rsidRPr="003D7207" w:rsidRDefault="00177EDF" w:rsidP="002E15F5">
            <w:r w:rsidRPr="003D7207">
              <w:t xml:space="preserve">Физкультурно-спортивная зона не соответствует требованиям </w:t>
            </w:r>
            <w:proofErr w:type="spellStart"/>
            <w:r w:rsidRPr="003D7207">
              <w:t>СанПиН</w:t>
            </w:r>
            <w:proofErr w:type="spellEnd"/>
            <w:r w:rsidRPr="003D7207">
              <w:t xml:space="preserve"> в МКОУ СОШ №4</w:t>
            </w:r>
          </w:p>
        </w:tc>
      </w:tr>
    </w:tbl>
    <w:p w:rsidR="00177EDF" w:rsidRPr="003D7207" w:rsidRDefault="00177EDF" w:rsidP="00EC4E93">
      <w:pPr>
        <w:jc w:val="both"/>
      </w:pPr>
    </w:p>
    <w:p w:rsidR="00FE6D33" w:rsidRPr="00EC17F7" w:rsidRDefault="003D7207" w:rsidP="00FE6D33">
      <w:pPr>
        <w:ind w:firstLine="709"/>
        <w:jc w:val="both"/>
        <w:rPr>
          <w:sz w:val="28"/>
          <w:szCs w:val="28"/>
        </w:rPr>
      </w:pPr>
      <w:r w:rsidRPr="003D7207">
        <w:rPr>
          <w:sz w:val="28"/>
          <w:szCs w:val="28"/>
        </w:rPr>
        <w:t>В 2017</w:t>
      </w:r>
      <w:r w:rsidR="00FE6D33" w:rsidRPr="003D7207">
        <w:rPr>
          <w:sz w:val="28"/>
          <w:szCs w:val="28"/>
        </w:rPr>
        <w:t xml:space="preserve"> году</w:t>
      </w:r>
      <w:r w:rsidR="00FE6D33" w:rsidRPr="00EC17F7">
        <w:rPr>
          <w:sz w:val="28"/>
          <w:szCs w:val="28"/>
        </w:rPr>
        <w:t xml:space="preserve"> резко увеличилось количество выпускников 9 </w:t>
      </w:r>
      <w:proofErr w:type="gramStart"/>
      <w:r w:rsidR="00FE6D33" w:rsidRPr="00EC17F7">
        <w:rPr>
          <w:sz w:val="28"/>
          <w:szCs w:val="28"/>
        </w:rPr>
        <w:t>классов</w:t>
      </w:r>
      <w:proofErr w:type="gramEnd"/>
      <w:r w:rsidR="00FE6D33" w:rsidRPr="00EC17F7">
        <w:rPr>
          <w:sz w:val="28"/>
          <w:szCs w:val="28"/>
        </w:rPr>
        <w:t xml:space="preserve"> не получивших аттестат об основном общем образовании (2016г. – 0 чел., 2017г. – 14 чел.). В связи с этим приоритетным направлением в деятельности образовательной системы в 2017 году является:</w:t>
      </w:r>
    </w:p>
    <w:p w:rsidR="00FE6D33" w:rsidRPr="00EC17F7" w:rsidRDefault="00FE6D33" w:rsidP="00FE6D33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формирование муниципальной системы оценки качества общего образования;</w:t>
      </w:r>
    </w:p>
    <w:p w:rsidR="00FE6D33" w:rsidRPr="00EC17F7" w:rsidRDefault="00FE6D33" w:rsidP="00FE6D33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lastRenderedPageBreak/>
        <w:t>- развитие образовательной среды, обеспечивающей доступность пол</w:t>
      </w:r>
      <w:r w:rsidR="002902A3">
        <w:rPr>
          <w:sz w:val="28"/>
          <w:szCs w:val="28"/>
        </w:rPr>
        <w:t xml:space="preserve">учения детьми с ограниченными возможностями </w:t>
      </w:r>
      <w:r w:rsidRPr="00EC17F7">
        <w:rPr>
          <w:sz w:val="28"/>
          <w:szCs w:val="28"/>
        </w:rPr>
        <w:t>качественного общего образования;</w:t>
      </w:r>
    </w:p>
    <w:p w:rsidR="00FE6D33" w:rsidRPr="00EC17F7" w:rsidRDefault="00FE6D33" w:rsidP="00FE6D33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улучшение качественного состава педагогических кадров.</w:t>
      </w:r>
    </w:p>
    <w:p w:rsidR="00FE6D33" w:rsidRPr="00EC17F7" w:rsidRDefault="00FE6D33" w:rsidP="00FE6D33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 xml:space="preserve">В 2017 году в государственной итоговой аттестации в форме ЕГЭ участвовало 25 человек – выпускники  МКОУ СОШ № 1. Положительным моментом является 100% получение аттестатов за курс среднего общего образования </w:t>
      </w:r>
      <w:proofErr w:type="gramStart"/>
      <w:r w:rsidRPr="00EC17F7">
        <w:rPr>
          <w:sz w:val="28"/>
          <w:szCs w:val="28"/>
        </w:rPr>
        <w:t>за</w:t>
      </w:r>
      <w:proofErr w:type="gramEnd"/>
      <w:r w:rsidRPr="00EC17F7">
        <w:rPr>
          <w:sz w:val="28"/>
          <w:szCs w:val="28"/>
        </w:rPr>
        <w:t xml:space="preserve"> последние 3 года.</w:t>
      </w:r>
    </w:p>
    <w:p w:rsidR="00FE6D33" w:rsidRPr="00EC17F7" w:rsidRDefault="00FE6D33" w:rsidP="00FE6D33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 xml:space="preserve">В  2017 году был сохранен пункт проведения экзаменов в городе: с 2016-2017 учебного года пункт проведения экзамена стал резервным пунктом. С этой целью  была получена субсидия </w:t>
      </w:r>
      <w:r w:rsidR="0004529E">
        <w:rPr>
          <w:sz w:val="28"/>
          <w:szCs w:val="28"/>
        </w:rPr>
        <w:t>из областного бюджета в сумме 111,6 тыс</w:t>
      </w:r>
      <w:proofErr w:type="gramStart"/>
      <w:r w:rsidR="0004529E">
        <w:rPr>
          <w:sz w:val="28"/>
          <w:szCs w:val="28"/>
        </w:rPr>
        <w:t>.р</w:t>
      </w:r>
      <w:proofErr w:type="gramEnd"/>
      <w:r w:rsidR="0004529E">
        <w:rPr>
          <w:sz w:val="28"/>
          <w:szCs w:val="28"/>
        </w:rPr>
        <w:t xml:space="preserve">ублей </w:t>
      </w:r>
      <w:r w:rsidRPr="00EC17F7">
        <w:rPr>
          <w:sz w:val="28"/>
          <w:szCs w:val="28"/>
        </w:rPr>
        <w:t>на оборудование пункта проведения экзаменов (далее ППЭ). Н</w:t>
      </w:r>
      <w:r w:rsidR="0004529E">
        <w:rPr>
          <w:sz w:val="28"/>
          <w:szCs w:val="28"/>
        </w:rPr>
        <w:t xml:space="preserve">а эти средства было приобретено </w:t>
      </w:r>
      <w:r w:rsidR="0004529E" w:rsidRPr="006972BA">
        <w:rPr>
          <w:sz w:val="28"/>
          <w:szCs w:val="28"/>
        </w:rPr>
        <w:t>компьютерное оборудование.</w:t>
      </w:r>
    </w:p>
    <w:p w:rsidR="00FE6D33" w:rsidRPr="00EC17F7" w:rsidRDefault="00FE6D33" w:rsidP="00FE6D33">
      <w:pPr>
        <w:ind w:firstLine="709"/>
        <w:jc w:val="both"/>
        <w:rPr>
          <w:sz w:val="28"/>
          <w:szCs w:val="28"/>
        </w:rPr>
      </w:pPr>
      <w:r w:rsidRPr="00EC17F7">
        <w:rPr>
          <w:rFonts w:eastAsia="Calibri"/>
          <w:sz w:val="28"/>
          <w:szCs w:val="28"/>
        </w:rPr>
        <w:t>В системе образования города имеется одно учреждение дополнительного образования, в котором осуществл</w:t>
      </w:r>
      <w:r w:rsidR="00E23B12">
        <w:rPr>
          <w:rFonts w:eastAsia="Calibri"/>
          <w:sz w:val="28"/>
          <w:szCs w:val="28"/>
        </w:rPr>
        <w:t>яется дополнительное образование</w:t>
      </w:r>
      <w:r w:rsidRPr="00EC17F7">
        <w:rPr>
          <w:rFonts w:eastAsia="Calibri"/>
          <w:sz w:val="28"/>
          <w:szCs w:val="28"/>
        </w:rPr>
        <w:t xml:space="preserve"> по шести направленностям: </w:t>
      </w:r>
      <w:proofErr w:type="gramStart"/>
      <w:r w:rsidRPr="00EC17F7">
        <w:rPr>
          <w:rFonts w:eastAsia="Calibri"/>
          <w:sz w:val="28"/>
          <w:szCs w:val="28"/>
        </w:rPr>
        <w:t>художественно-эстетическая</w:t>
      </w:r>
      <w:proofErr w:type="gramEnd"/>
      <w:r w:rsidRPr="00EC17F7">
        <w:rPr>
          <w:rFonts w:eastAsia="Calibri"/>
          <w:sz w:val="28"/>
          <w:szCs w:val="28"/>
        </w:rPr>
        <w:t xml:space="preserve">, </w:t>
      </w:r>
      <w:proofErr w:type="spellStart"/>
      <w:r w:rsidRPr="00EC17F7">
        <w:rPr>
          <w:rFonts w:eastAsia="Calibri"/>
          <w:sz w:val="28"/>
          <w:szCs w:val="28"/>
        </w:rPr>
        <w:t>естественно-научная</w:t>
      </w:r>
      <w:proofErr w:type="spellEnd"/>
      <w:r w:rsidRPr="00EC17F7">
        <w:rPr>
          <w:rFonts w:eastAsia="Calibri"/>
          <w:sz w:val="28"/>
          <w:szCs w:val="28"/>
        </w:rPr>
        <w:t xml:space="preserve">, туристско-краеведческая, техническая, физкультурно-спортивная. Услугу дополнительного образования получают 608 </w:t>
      </w:r>
      <w:proofErr w:type="gramStart"/>
      <w:r w:rsidRPr="00EC17F7">
        <w:rPr>
          <w:rFonts w:eastAsia="Calibri"/>
          <w:sz w:val="28"/>
          <w:szCs w:val="28"/>
        </w:rPr>
        <w:t>обучающихся</w:t>
      </w:r>
      <w:proofErr w:type="gramEnd"/>
      <w:r w:rsidRPr="00EC17F7">
        <w:rPr>
          <w:rFonts w:eastAsia="Calibri"/>
          <w:sz w:val="28"/>
          <w:szCs w:val="28"/>
        </w:rPr>
        <w:t xml:space="preserve">. </w:t>
      </w:r>
      <w:r w:rsidRPr="00EC17F7">
        <w:rPr>
          <w:sz w:val="28"/>
          <w:szCs w:val="28"/>
        </w:rPr>
        <w:t xml:space="preserve">В 2017 году показатель охвата дополнительным образованием детей в возрасте от 5 до 18 лет составил – 48,3% (в 2016 году данный показатель составлял – 39,77%). До 01.01.2018г. все общеобразовательные организации получили лицензии на ведение </w:t>
      </w:r>
      <w:proofErr w:type="spellStart"/>
      <w:r w:rsidRPr="00EC17F7">
        <w:rPr>
          <w:sz w:val="28"/>
          <w:szCs w:val="28"/>
        </w:rPr>
        <w:t>общеразвивающих</w:t>
      </w:r>
      <w:proofErr w:type="spellEnd"/>
      <w:r w:rsidRPr="00EC17F7">
        <w:rPr>
          <w:sz w:val="28"/>
          <w:szCs w:val="28"/>
        </w:rPr>
        <w:t xml:space="preserve"> программ дополнительного образования. В 2018 году предстоит получить лицензии на </w:t>
      </w:r>
      <w:proofErr w:type="gramStart"/>
      <w:r w:rsidRPr="00EC17F7">
        <w:rPr>
          <w:sz w:val="28"/>
          <w:szCs w:val="28"/>
        </w:rPr>
        <w:t>право ведения</w:t>
      </w:r>
      <w:proofErr w:type="gramEnd"/>
      <w:r w:rsidRPr="00EC17F7">
        <w:rPr>
          <w:sz w:val="28"/>
          <w:szCs w:val="28"/>
        </w:rPr>
        <w:t xml:space="preserve"> </w:t>
      </w:r>
      <w:proofErr w:type="spellStart"/>
      <w:r w:rsidRPr="00EC17F7">
        <w:rPr>
          <w:sz w:val="28"/>
          <w:szCs w:val="28"/>
        </w:rPr>
        <w:t>общеразвивающих</w:t>
      </w:r>
      <w:proofErr w:type="spellEnd"/>
      <w:r w:rsidRPr="00EC17F7">
        <w:rPr>
          <w:sz w:val="28"/>
          <w:szCs w:val="28"/>
        </w:rPr>
        <w:t xml:space="preserve"> программ дополнительного образования дошкольными учреждениями. </w:t>
      </w:r>
    </w:p>
    <w:p w:rsidR="008C4D98" w:rsidRPr="003D7207" w:rsidRDefault="002E15F5" w:rsidP="003D7207">
      <w:pPr>
        <w:ind w:firstLine="709"/>
        <w:jc w:val="both"/>
        <w:rPr>
          <w:sz w:val="28"/>
          <w:szCs w:val="28"/>
        </w:rPr>
      </w:pPr>
      <w:r w:rsidRPr="003D7207">
        <w:rPr>
          <w:sz w:val="28"/>
          <w:szCs w:val="28"/>
        </w:rPr>
        <w:t xml:space="preserve">В 2017 году </w:t>
      </w:r>
      <w:r w:rsidR="003D7207" w:rsidRPr="003D7207">
        <w:rPr>
          <w:sz w:val="28"/>
          <w:szCs w:val="28"/>
        </w:rPr>
        <w:t>отмечается п</w:t>
      </w:r>
      <w:r w:rsidRPr="003D7207">
        <w:rPr>
          <w:sz w:val="28"/>
          <w:szCs w:val="28"/>
        </w:rPr>
        <w:t>оложител</w:t>
      </w:r>
      <w:r w:rsidR="003D7207" w:rsidRPr="003D7207">
        <w:rPr>
          <w:sz w:val="28"/>
          <w:szCs w:val="28"/>
        </w:rPr>
        <w:t xml:space="preserve">ьная динамика достижения </w:t>
      </w:r>
      <w:r w:rsidRPr="003D7207">
        <w:rPr>
          <w:sz w:val="28"/>
          <w:szCs w:val="28"/>
        </w:rPr>
        <w:t xml:space="preserve"> показателя </w:t>
      </w:r>
      <w:r w:rsidR="003D7207" w:rsidRPr="003D7207">
        <w:rPr>
          <w:sz w:val="28"/>
          <w:szCs w:val="28"/>
        </w:rPr>
        <w:t>«Доля муниципальных общеобразовательных учреждений, здания которых находятся в аварийном состоянии или требуют капитального ремонта», значение данного показателя составляет 0%. В предыдущих годах показатель составлял в</w:t>
      </w:r>
      <w:r w:rsidRPr="003D7207">
        <w:rPr>
          <w:sz w:val="28"/>
          <w:szCs w:val="28"/>
        </w:rPr>
        <w:t xml:space="preserve"> 2015 – 60%, 2016 – 20%, 2017 – 0%. В 2018 году планируется сохранение достижения данного показателя 0%.</w:t>
      </w:r>
    </w:p>
    <w:p w:rsidR="002E15F5" w:rsidRPr="00EC4E93" w:rsidRDefault="002E15F5" w:rsidP="002E15F5">
      <w:pPr>
        <w:ind w:firstLine="709"/>
        <w:jc w:val="both"/>
        <w:rPr>
          <w:sz w:val="28"/>
          <w:szCs w:val="28"/>
        </w:rPr>
      </w:pPr>
      <w:r w:rsidRPr="003D7207">
        <w:rPr>
          <w:sz w:val="28"/>
          <w:szCs w:val="28"/>
        </w:rPr>
        <w:t xml:space="preserve">В 2017 году показатель </w:t>
      </w:r>
      <w:r w:rsidR="003D7207" w:rsidRPr="003D7207">
        <w:rPr>
          <w:sz w:val="28"/>
          <w:szCs w:val="28"/>
        </w:rPr>
        <w:t xml:space="preserve">«Доля детей первой и второй групп здоровья в общей </w:t>
      </w:r>
      <w:proofErr w:type="gramStart"/>
      <w:r w:rsidR="003D7207" w:rsidRPr="003D7207">
        <w:rPr>
          <w:sz w:val="28"/>
          <w:szCs w:val="28"/>
        </w:rPr>
        <w:t>численности</w:t>
      </w:r>
      <w:proofErr w:type="gramEnd"/>
      <w:r w:rsidR="003D7207" w:rsidRPr="003D7207">
        <w:rPr>
          <w:sz w:val="28"/>
          <w:szCs w:val="28"/>
        </w:rPr>
        <w:t xml:space="preserve"> обучающихся в муниципальных общеобразовательных учреждениях» </w:t>
      </w:r>
      <w:r w:rsidRPr="003D7207">
        <w:rPr>
          <w:sz w:val="28"/>
          <w:szCs w:val="28"/>
        </w:rPr>
        <w:t xml:space="preserve">составил 86,69%, что ниже показателя 2016 года на 7,29%. Улучшение данного показателя связано с созданием условий для перехода на федеральные государственные стандарты, ведением третьего часа физической культуры, что влияет на двигательную активность обучающихся, использованием </w:t>
      </w:r>
      <w:proofErr w:type="spellStart"/>
      <w:r w:rsidRPr="003D7207">
        <w:rPr>
          <w:sz w:val="28"/>
          <w:szCs w:val="28"/>
        </w:rPr>
        <w:t>здоровьесберегающих</w:t>
      </w:r>
      <w:proofErr w:type="spellEnd"/>
      <w:r w:rsidRPr="003D7207">
        <w:rPr>
          <w:sz w:val="28"/>
          <w:szCs w:val="28"/>
        </w:rPr>
        <w:t xml:space="preserve"> технологий, медицинским обследованием, оздоровлением детей в период летней оздоровительной кампании, открытием физкультурно-оздоровительного комплекса (далее ФОК). </w:t>
      </w:r>
      <w:proofErr w:type="gramStart"/>
      <w:r w:rsidRPr="003D7207">
        <w:rPr>
          <w:sz w:val="28"/>
          <w:szCs w:val="28"/>
        </w:rPr>
        <w:t xml:space="preserve">В среднем в месяц ФОК посещают 500 обучающихся: секция дзюдо – 150 чел., секция </w:t>
      </w:r>
      <w:proofErr w:type="spellStart"/>
      <w:r w:rsidRPr="003D7207">
        <w:rPr>
          <w:sz w:val="28"/>
          <w:szCs w:val="28"/>
        </w:rPr>
        <w:t>воркаута</w:t>
      </w:r>
      <w:proofErr w:type="spellEnd"/>
      <w:r w:rsidRPr="003D7207">
        <w:rPr>
          <w:sz w:val="28"/>
          <w:szCs w:val="28"/>
        </w:rPr>
        <w:t xml:space="preserve"> – 110 чел., секция футбола – 60 чел., секция хоккея – 40 чел., секция пауэрлифтинга – 36 чел., секция фитнеса – 12 чел., секция-студия гимнастики «</w:t>
      </w:r>
      <w:proofErr w:type="spellStart"/>
      <w:r w:rsidRPr="003D7207">
        <w:rPr>
          <w:sz w:val="28"/>
          <w:szCs w:val="28"/>
        </w:rPr>
        <w:t>Дюймовочка</w:t>
      </w:r>
      <w:proofErr w:type="spellEnd"/>
      <w:r w:rsidRPr="003D7207">
        <w:rPr>
          <w:sz w:val="28"/>
          <w:szCs w:val="28"/>
        </w:rPr>
        <w:t>» для дошкольников – 10 чел.  10% обучающихся посещают от двух и более секций.</w:t>
      </w:r>
      <w:proofErr w:type="gramEnd"/>
      <w:r w:rsidRPr="003D7207">
        <w:rPr>
          <w:sz w:val="28"/>
          <w:szCs w:val="28"/>
        </w:rPr>
        <w:t xml:space="preserve"> В 2018 году планируется сохранение данного показателя на том же уровне.</w:t>
      </w:r>
    </w:p>
    <w:p w:rsidR="002E15F5" w:rsidRPr="003D7207" w:rsidRDefault="00E23B12" w:rsidP="003D7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привлечения</w:t>
      </w:r>
      <w:r w:rsidR="00FE6D33" w:rsidRPr="00EC17F7">
        <w:rPr>
          <w:sz w:val="28"/>
          <w:szCs w:val="28"/>
        </w:rPr>
        <w:t xml:space="preserve"> дополнительных средств из областного бюджета Управление образован</w:t>
      </w:r>
      <w:r>
        <w:rPr>
          <w:sz w:val="28"/>
          <w:szCs w:val="28"/>
        </w:rPr>
        <w:t xml:space="preserve">ия приняло </w:t>
      </w:r>
      <w:r w:rsidR="00FE6D33" w:rsidRPr="00EC17F7">
        <w:rPr>
          <w:sz w:val="28"/>
          <w:szCs w:val="28"/>
        </w:rPr>
        <w:t>участия в конкурсных отборах на получение субсидий местным бюджетам. В 2016 году были привлечены дополнительные средства областного бюджета в размере 3890,07 тыс. рублей, в 2017 году – 4969,42 тыс. рублей. За счет привлеченных дополнительных сре</w:t>
      </w:r>
      <w:proofErr w:type="gramStart"/>
      <w:r w:rsidR="00FE6D33" w:rsidRPr="00EC17F7">
        <w:rPr>
          <w:sz w:val="28"/>
          <w:szCs w:val="28"/>
        </w:rPr>
        <w:t>дств пр</w:t>
      </w:r>
      <w:proofErr w:type="gramEnd"/>
      <w:r w:rsidR="00FE6D33" w:rsidRPr="00EC17F7">
        <w:rPr>
          <w:sz w:val="28"/>
          <w:szCs w:val="28"/>
        </w:rPr>
        <w:t xml:space="preserve">оизводятся </w:t>
      </w:r>
      <w:r w:rsidR="00FE6D33" w:rsidRPr="00EC17F7">
        <w:rPr>
          <w:sz w:val="28"/>
          <w:szCs w:val="28"/>
        </w:rPr>
        <w:lastRenderedPageBreak/>
        <w:t>ежегодные капитальные ремонты зданий образовательных организаций, создаются современные условия для инкл</w:t>
      </w:r>
      <w:r w:rsidR="008E1574">
        <w:rPr>
          <w:sz w:val="28"/>
          <w:szCs w:val="28"/>
        </w:rPr>
        <w:t>юзивного образования детей с ограниченными возможностями</w:t>
      </w:r>
      <w:r w:rsidR="00FE6D33" w:rsidRPr="00EC17F7">
        <w:rPr>
          <w:sz w:val="28"/>
          <w:szCs w:val="28"/>
        </w:rPr>
        <w:t>, создается доступная среда. Кроме этого, все образовательные организации ежегодно улучшают свое материально-техническое оснащение и условия для организации образовательного процесса з</w:t>
      </w:r>
      <w:r>
        <w:rPr>
          <w:sz w:val="28"/>
          <w:szCs w:val="28"/>
        </w:rPr>
        <w:t>а счет учебных расходов. В отчетном году  образовательными</w:t>
      </w:r>
      <w:r w:rsidR="00FE6D33" w:rsidRPr="00EC17F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рганизациями округа были использованы </w:t>
      </w:r>
      <w:r w:rsidR="00FE6D33" w:rsidRPr="00EC17F7">
        <w:rPr>
          <w:sz w:val="28"/>
          <w:szCs w:val="28"/>
        </w:rPr>
        <w:t xml:space="preserve"> средства на учебные расход</w:t>
      </w:r>
      <w:r>
        <w:rPr>
          <w:sz w:val="28"/>
          <w:szCs w:val="28"/>
        </w:rPr>
        <w:t xml:space="preserve">ы </w:t>
      </w:r>
      <w:r w:rsidRPr="00EC17F7">
        <w:rPr>
          <w:sz w:val="28"/>
          <w:szCs w:val="28"/>
        </w:rPr>
        <w:t>для обеспечения условий реализации основной образовательной программы общего образования</w:t>
      </w:r>
      <w:r>
        <w:rPr>
          <w:sz w:val="28"/>
          <w:szCs w:val="28"/>
        </w:rPr>
        <w:t xml:space="preserve"> в сумме 869,8 тыс. рублей</w:t>
      </w:r>
      <w:r w:rsidR="00FE6D33" w:rsidRPr="00EC17F7">
        <w:rPr>
          <w:sz w:val="28"/>
          <w:szCs w:val="28"/>
        </w:rPr>
        <w:t>.</w:t>
      </w:r>
    </w:p>
    <w:p w:rsidR="00E40163" w:rsidRDefault="002E15F5" w:rsidP="002E15F5">
      <w:pPr>
        <w:jc w:val="both"/>
        <w:rPr>
          <w:sz w:val="28"/>
          <w:szCs w:val="28"/>
        </w:rPr>
      </w:pPr>
      <w:r w:rsidRPr="009D33A6">
        <w:tab/>
      </w:r>
      <w:r w:rsidRPr="003D7207">
        <w:rPr>
          <w:sz w:val="28"/>
          <w:szCs w:val="28"/>
        </w:rPr>
        <w:t>Расходы бюджета муниципального образования в расчете на одного обучающегося в 2017 году составили 23910,0</w:t>
      </w:r>
      <w:r w:rsidRPr="003D7207">
        <w:rPr>
          <w:color w:val="FF0000"/>
          <w:sz w:val="28"/>
          <w:szCs w:val="28"/>
        </w:rPr>
        <w:t xml:space="preserve"> </w:t>
      </w:r>
      <w:r w:rsidRPr="003D7207">
        <w:rPr>
          <w:sz w:val="28"/>
          <w:szCs w:val="28"/>
        </w:rPr>
        <w:t xml:space="preserve">рублей (2016г. – 79400,0 рублей). Уменьшение данного показателя связано с увеличением численности </w:t>
      </w:r>
      <w:proofErr w:type="gramStart"/>
      <w:r w:rsidRPr="003D7207">
        <w:rPr>
          <w:sz w:val="28"/>
          <w:szCs w:val="28"/>
        </w:rPr>
        <w:t>обучающихся</w:t>
      </w:r>
      <w:proofErr w:type="gramEnd"/>
      <w:r w:rsidRPr="003D7207">
        <w:rPr>
          <w:sz w:val="28"/>
          <w:szCs w:val="28"/>
        </w:rPr>
        <w:t xml:space="preserve"> и с уменьшением финансирования.</w:t>
      </w:r>
    </w:p>
    <w:p w:rsidR="002E15F5" w:rsidRPr="003D7207" w:rsidRDefault="002E15F5" w:rsidP="00E40163">
      <w:pPr>
        <w:ind w:firstLine="708"/>
        <w:jc w:val="both"/>
        <w:rPr>
          <w:sz w:val="28"/>
          <w:szCs w:val="28"/>
        </w:rPr>
      </w:pPr>
      <w:r w:rsidRPr="003D7207">
        <w:rPr>
          <w:sz w:val="28"/>
          <w:szCs w:val="28"/>
        </w:rPr>
        <w:t xml:space="preserve">Таким образом, в городской образовательной системе сохраняется положительная динамика по достижению </w:t>
      </w:r>
      <w:proofErr w:type="gramStart"/>
      <w:r w:rsidRPr="003D7207">
        <w:rPr>
          <w:sz w:val="28"/>
          <w:szCs w:val="28"/>
        </w:rPr>
        <w:t>показателей оценки эффективности деятельности органа местного самоуправления</w:t>
      </w:r>
      <w:proofErr w:type="gramEnd"/>
      <w:r w:rsidRPr="003D7207">
        <w:rPr>
          <w:sz w:val="28"/>
          <w:szCs w:val="28"/>
        </w:rPr>
        <w:t xml:space="preserve"> Карабашского городского округа. Из 11 показателей по сравнению с прошлым годом результат сохранился по 6 показателям, улучшился по 2 показателям. В предстоящие годы предстоит увеличить охват дополнительным образованием на базе учреждения дополнительного образования, на базе общеобразовательных организаций и на базе дошкольного образования. Кроме этого предстоит привести в соответствие современным требованиям условия для организации учебно-воспитательных процессов на базе МКОУ «СОШ №4», МКОУ «СОШ №6».</w:t>
      </w:r>
    </w:p>
    <w:p w:rsidR="00FE6D33" w:rsidRPr="00EC17F7" w:rsidRDefault="00FE6D33" w:rsidP="00E40163">
      <w:pPr>
        <w:ind w:firstLine="708"/>
        <w:jc w:val="both"/>
        <w:rPr>
          <w:bCs/>
          <w:sz w:val="28"/>
          <w:szCs w:val="28"/>
        </w:rPr>
      </w:pPr>
      <w:r w:rsidRPr="00EC17F7">
        <w:rPr>
          <w:sz w:val="28"/>
          <w:szCs w:val="28"/>
        </w:rPr>
        <w:t>Культурное пространство Карабашского городского округа по состоянию на 01.01.2018 года представлено 5 юридическими лицами, в состав которых входит10 учреждений культуры и образования.</w:t>
      </w:r>
    </w:p>
    <w:p w:rsidR="00FE6D33" w:rsidRPr="00EC17F7" w:rsidRDefault="00FE6D33" w:rsidP="00E40163">
      <w:pPr>
        <w:ind w:firstLine="708"/>
        <w:jc w:val="both"/>
        <w:rPr>
          <w:bCs/>
          <w:sz w:val="28"/>
          <w:szCs w:val="28"/>
        </w:rPr>
      </w:pPr>
      <w:r w:rsidRPr="00EC17F7">
        <w:rPr>
          <w:bCs/>
          <w:sz w:val="28"/>
          <w:szCs w:val="28"/>
        </w:rPr>
        <w:t xml:space="preserve">В </w:t>
      </w:r>
      <w:proofErr w:type="spellStart"/>
      <w:r w:rsidRPr="00EC17F7">
        <w:rPr>
          <w:bCs/>
          <w:sz w:val="28"/>
          <w:szCs w:val="28"/>
        </w:rPr>
        <w:t>Карабашском</w:t>
      </w:r>
      <w:proofErr w:type="spellEnd"/>
      <w:r w:rsidRPr="00EC17F7">
        <w:rPr>
          <w:bCs/>
          <w:sz w:val="28"/>
          <w:szCs w:val="28"/>
        </w:rPr>
        <w:t xml:space="preserve"> округе отмечается полна</w:t>
      </w:r>
      <w:r w:rsidR="00802650">
        <w:rPr>
          <w:bCs/>
          <w:sz w:val="28"/>
          <w:szCs w:val="28"/>
        </w:rPr>
        <w:t>я обеспеченность библиотеками или</w:t>
      </w:r>
      <w:r w:rsidRPr="00EC17F7">
        <w:rPr>
          <w:bCs/>
          <w:sz w:val="28"/>
          <w:szCs w:val="28"/>
        </w:rPr>
        <w:t xml:space="preserve"> 273%. Обеспеченность клубами и учреждениями клубного типа составляет 300%, парки культуры и отдыха на территории округа отсутствуют. </w:t>
      </w:r>
    </w:p>
    <w:p w:rsidR="00FE6D33" w:rsidRPr="004314AE" w:rsidRDefault="00FE6D33" w:rsidP="00FE6D33">
      <w:pPr>
        <w:ind w:firstLine="709"/>
        <w:jc w:val="both"/>
        <w:rPr>
          <w:bCs/>
          <w:sz w:val="28"/>
          <w:szCs w:val="28"/>
        </w:rPr>
      </w:pPr>
      <w:r w:rsidRPr="00EC17F7">
        <w:rPr>
          <w:bCs/>
          <w:sz w:val="28"/>
          <w:szCs w:val="28"/>
        </w:rPr>
        <w:t xml:space="preserve">В рамках социального партнерства между администрацией Карабашского городского округа и ЗАО «Русская медная </w:t>
      </w:r>
      <w:r w:rsidRPr="00EC17F7">
        <w:rPr>
          <w:bCs/>
          <w:color w:val="000000"/>
          <w:sz w:val="28"/>
          <w:szCs w:val="28"/>
        </w:rPr>
        <w:t>компания</w:t>
      </w:r>
      <w:r w:rsidRPr="00EC17F7">
        <w:rPr>
          <w:bCs/>
          <w:sz w:val="28"/>
          <w:szCs w:val="28"/>
        </w:rPr>
        <w:t xml:space="preserve">» в 2018-2021 гг. </w:t>
      </w:r>
      <w:r w:rsidRPr="004314AE">
        <w:rPr>
          <w:bCs/>
          <w:sz w:val="28"/>
          <w:szCs w:val="28"/>
        </w:rPr>
        <w:t>планиру</w:t>
      </w:r>
      <w:r w:rsidR="00E23B12" w:rsidRPr="004314AE">
        <w:rPr>
          <w:bCs/>
          <w:sz w:val="28"/>
          <w:szCs w:val="28"/>
        </w:rPr>
        <w:t xml:space="preserve">ется организация парка </w:t>
      </w:r>
      <w:r w:rsidRPr="004314AE">
        <w:rPr>
          <w:bCs/>
          <w:sz w:val="28"/>
          <w:szCs w:val="28"/>
        </w:rPr>
        <w:t xml:space="preserve">для отдыха на существующей площади Аллее Ветеранов и строительство центральной городской площади. </w:t>
      </w:r>
    </w:p>
    <w:p w:rsidR="00FE6D33" w:rsidRPr="004314AE" w:rsidRDefault="00FE6D33" w:rsidP="00E40163">
      <w:pPr>
        <w:ind w:firstLine="708"/>
        <w:jc w:val="both"/>
        <w:rPr>
          <w:bCs/>
          <w:sz w:val="28"/>
          <w:szCs w:val="28"/>
        </w:rPr>
      </w:pPr>
      <w:r w:rsidRPr="004314AE">
        <w:rPr>
          <w:bCs/>
          <w:sz w:val="28"/>
          <w:szCs w:val="28"/>
        </w:rPr>
        <w:t>На территории Карабашского городского округа находятся 4 объекта культурного наследия, из них 66,7% требуют консервации и реставрации. Кроме того, 44,4% муниципальных учреждений культуры, находятся в аварийном состоянии.</w:t>
      </w:r>
    </w:p>
    <w:p w:rsidR="00FE6D33" w:rsidRPr="00EC17F7" w:rsidRDefault="00FE6D33" w:rsidP="006972BA">
      <w:pPr>
        <w:ind w:firstLine="709"/>
        <w:jc w:val="both"/>
        <w:rPr>
          <w:bCs/>
          <w:sz w:val="28"/>
          <w:szCs w:val="28"/>
        </w:rPr>
      </w:pPr>
      <w:r w:rsidRPr="004314AE">
        <w:rPr>
          <w:bCs/>
          <w:sz w:val="28"/>
          <w:szCs w:val="28"/>
        </w:rPr>
        <w:t xml:space="preserve">В </w:t>
      </w:r>
      <w:r w:rsidR="005E0505" w:rsidRPr="004314AE">
        <w:rPr>
          <w:bCs/>
          <w:sz w:val="28"/>
          <w:szCs w:val="28"/>
        </w:rPr>
        <w:t>2018-2020 годах запланированы мероприятия по усовершенствованию материально-технической базы</w:t>
      </w:r>
      <w:r w:rsidR="004314AE" w:rsidRPr="004314AE">
        <w:rPr>
          <w:bCs/>
          <w:sz w:val="28"/>
          <w:szCs w:val="28"/>
        </w:rPr>
        <w:t xml:space="preserve"> библиотечной системы  городского округа. </w:t>
      </w:r>
      <w:r w:rsidR="00E23B12">
        <w:rPr>
          <w:bCs/>
          <w:sz w:val="28"/>
          <w:szCs w:val="28"/>
        </w:rPr>
        <w:t>В конце</w:t>
      </w:r>
      <w:r w:rsidRPr="00EC17F7">
        <w:rPr>
          <w:bCs/>
          <w:sz w:val="28"/>
          <w:szCs w:val="28"/>
        </w:rPr>
        <w:t xml:space="preserve"> 2017</w:t>
      </w:r>
      <w:r w:rsidR="00E23B12">
        <w:rPr>
          <w:bCs/>
          <w:sz w:val="28"/>
          <w:szCs w:val="28"/>
        </w:rPr>
        <w:t xml:space="preserve"> года введено в эксплуатацию</w:t>
      </w:r>
      <w:r w:rsidRPr="00EC17F7">
        <w:rPr>
          <w:bCs/>
          <w:sz w:val="28"/>
          <w:szCs w:val="28"/>
        </w:rPr>
        <w:t xml:space="preserve"> Детская школа искусств на 184 учащихся.</w:t>
      </w:r>
    </w:p>
    <w:p w:rsidR="00FE6D33" w:rsidRPr="00EC17F7" w:rsidRDefault="00FE6D33" w:rsidP="006972BA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 xml:space="preserve">В сфере спорта и физической культуры в 2017 году были реализованы в полном объеме мероприятия, в соответствии с планом работы администрации Карабашского городского округа и муниципальной программой «Развитие физической культуры и массового спорта на 2016 – 2018 годы». </w:t>
      </w:r>
    </w:p>
    <w:p w:rsidR="00FE6D33" w:rsidRPr="00EC17F7" w:rsidRDefault="00FE6D33" w:rsidP="006972BA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 xml:space="preserve">За 2017 год доля населения систематически </w:t>
      </w:r>
      <w:proofErr w:type="gramStart"/>
      <w:r w:rsidRPr="00EC17F7">
        <w:rPr>
          <w:sz w:val="28"/>
          <w:szCs w:val="28"/>
        </w:rPr>
        <w:t>занимающихся</w:t>
      </w:r>
      <w:proofErr w:type="gramEnd"/>
      <w:r w:rsidRPr="00EC17F7">
        <w:rPr>
          <w:sz w:val="28"/>
          <w:szCs w:val="28"/>
        </w:rPr>
        <w:t xml:space="preserve"> физической культурой и спортом составляет 34,4%, что на 5% больше, чем в 2016 году. Доля обучающихся и студентов, занимающихся физической культурой и спортом, от </w:t>
      </w:r>
      <w:r w:rsidRPr="00EC17F7">
        <w:rPr>
          <w:sz w:val="28"/>
          <w:szCs w:val="28"/>
        </w:rPr>
        <w:lastRenderedPageBreak/>
        <w:t>общей численности обучающихся, составляет 73,0%, что больше на 20%, чем в 2016 году. Увеличение значений показателей произошло за счет ввода дополнительных штатных единиц, приобретением спортивного инвентаря и создания «Центра ГТО».</w:t>
      </w:r>
      <w:r w:rsidR="00E23B12">
        <w:rPr>
          <w:sz w:val="28"/>
          <w:szCs w:val="28"/>
        </w:rPr>
        <w:t xml:space="preserve"> В  2018-2020 гг. данный показатель возрастет в связи с открытием нового современного физкультурно-оздоровительного комплекса.</w:t>
      </w:r>
    </w:p>
    <w:p w:rsidR="00FE6D33" w:rsidRPr="00EC17F7" w:rsidRDefault="00FE6D33" w:rsidP="006972BA">
      <w:pPr>
        <w:ind w:firstLine="709"/>
        <w:jc w:val="both"/>
        <w:rPr>
          <w:sz w:val="28"/>
          <w:szCs w:val="28"/>
        </w:rPr>
      </w:pPr>
      <w:r w:rsidRPr="00802650">
        <w:rPr>
          <w:sz w:val="28"/>
          <w:szCs w:val="28"/>
        </w:rPr>
        <w:t>Прокатом спортивного инвентаря воспользовалось  4374  человек (прошлый год 6019 человек). За 2017 год собрано средств от реализации платных услуг населению  124370</w:t>
      </w:r>
      <w:r w:rsidRPr="00802650">
        <w:rPr>
          <w:b/>
          <w:sz w:val="28"/>
          <w:szCs w:val="28"/>
        </w:rPr>
        <w:t>,</w:t>
      </w:r>
      <w:r w:rsidRPr="00802650">
        <w:rPr>
          <w:sz w:val="28"/>
          <w:szCs w:val="28"/>
        </w:rPr>
        <w:t>00 рублей.</w:t>
      </w:r>
    </w:p>
    <w:p w:rsidR="00FE6D33" w:rsidRPr="00EC17F7" w:rsidRDefault="00FE6D33" w:rsidP="006972BA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В отчетном году в Карабашском городском округе про</w:t>
      </w:r>
      <w:r w:rsidR="004314AE">
        <w:rPr>
          <w:sz w:val="28"/>
          <w:szCs w:val="28"/>
        </w:rPr>
        <w:t>ведено 45 спортивных мероприятий</w:t>
      </w:r>
      <w:r w:rsidRPr="00EC17F7">
        <w:rPr>
          <w:sz w:val="28"/>
          <w:szCs w:val="28"/>
        </w:rPr>
        <w:t xml:space="preserve">, в том числе 3 мероприятия областного значения. </w:t>
      </w:r>
      <w:proofErr w:type="spellStart"/>
      <w:r w:rsidRPr="00EC17F7">
        <w:rPr>
          <w:sz w:val="28"/>
          <w:szCs w:val="28"/>
        </w:rPr>
        <w:t>Карабашские</w:t>
      </w:r>
      <w:proofErr w:type="spellEnd"/>
      <w:r w:rsidRPr="00EC17F7">
        <w:rPr>
          <w:sz w:val="28"/>
          <w:szCs w:val="28"/>
        </w:rPr>
        <w:t xml:space="preserve"> спортсмены  принимали участие в соревнованиях зонального, областного и Всероссийского уровня, где заняли первое место по гиревому спорту, первое место - по спортивному туризму и второе – по хоккею с шайбой.</w:t>
      </w:r>
    </w:p>
    <w:p w:rsidR="00FE6D33" w:rsidRPr="004314AE" w:rsidRDefault="00FE6D33" w:rsidP="006972BA">
      <w:pPr>
        <w:ind w:firstLine="709"/>
        <w:jc w:val="both"/>
        <w:rPr>
          <w:sz w:val="28"/>
          <w:szCs w:val="28"/>
        </w:rPr>
      </w:pPr>
      <w:r w:rsidRPr="004314AE">
        <w:rPr>
          <w:sz w:val="28"/>
          <w:szCs w:val="28"/>
        </w:rPr>
        <w:t>В 2017 году на реализацию спортивных мероприятий были использованы средства в сумме 260,0 тыс. руб. На 2018 год запланирована сумма расходов – 190,0  тыс. руб.</w:t>
      </w:r>
    </w:p>
    <w:p w:rsidR="00FE6D33" w:rsidRPr="00EC17F7" w:rsidRDefault="00FE6D33" w:rsidP="00FE6D33">
      <w:pPr>
        <w:ind w:firstLine="709"/>
        <w:jc w:val="both"/>
        <w:rPr>
          <w:sz w:val="28"/>
          <w:szCs w:val="28"/>
        </w:rPr>
      </w:pPr>
      <w:r w:rsidRPr="004314AE">
        <w:rPr>
          <w:sz w:val="28"/>
          <w:szCs w:val="28"/>
        </w:rPr>
        <w:t>На приобретение спортинвентаря и спортоборудования в 2017 году выделена областная субсидия в размере 1011,03 тысячи рублей.</w:t>
      </w:r>
    </w:p>
    <w:p w:rsidR="00FE6D33" w:rsidRPr="006972BA" w:rsidRDefault="00FE6D33" w:rsidP="00FE6D33">
      <w:pPr>
        <w:ind w:firstLine="709"/>
        <w:jc w:val="both"/>
        <w:rPr>
          <w:sz w:val="28"/>
          <w:szCs w:val="28"/>
        </w:rPr>
      </w:pPr>
      <w:r w:rsidRPr="006972BA">
        <w:rPr>
          <w:sz w:val="28"/>
          <w:szCs w:val="28"/>
        </w:rPr>
        <w:t>Для достижения планируемых значений показателей разработаны меры по совершенствованию системы физического образования и организационному, кадровому обеспечению, по развитию массового и детского спорта, по подготовке спортивного резерва и сети учреждений спортивной направленности, общественных объединений и спортивных клубов.</w:t>
      </w:r>
    </w:p>
    <w:p w:rsidR="00FE6D33" w:rsidRPr="00E864AE" w:rsidRDefault="00FE6D33" w:rsidP="002A3E4B">
      <w:pPr>
        <w:ind w:firstLine="709"/>
        <w:jc w:val="both"/>
        <w:rPr>
          <w:sz w:val="28"/>
          <w:szCs w:val="28"/>
        </w:rPr>
      </w:pPr>
      <w:r w:rsidRPr="00E864AE">
        <w:rPr>
          <w:sz w:val="28"/>
          <w:szCs w:val="28"/>
        </w:rPr>
        <w:t>Учитывая сложившееся социально-экономическое положение городского округа и прогноз его развития на среднесрочную перспективу, четко определились следующие основные проблемы:</w:t>
      </w:r>
    </w:p>
    <w:p w:rsidR="00E525C8" w:rsidRPr="00E864AE" w:rsidRDefault="00FE6D33" w:rsidP="002A3E4B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4AE">
        <w:rPr>
          <w:rFonts w:ascii="Times New Roman" w:hAnsi="Times New Roman"/>
          <w:sz w:val="28"/>
          <w:szCs w:val="28"/>
        </w:rPr>
        <w:t>1.</w:t>
      </w:r>
      <w:r w:rsidR="00E525C8" w:rsidRPr="00E864AE">
        <w:rPr>
          <w:rFonts w:ascii="Times New Roman" w:hAnsi="Times New Roman"/>
          <w:sz w:val="28"/>
          <w:szCs w:val="28"/>
        </w:rPr>
        <w:t xml:space="preserve"> Низкие доходы местного бюджета</w:t>
      </w:r>
      <w:r w:rsidR="00802650" w:rsidRPr="00E864AE">
        <w:rPr>
          <w:rFonts w:ascii="Times New Roman" w:hAnsi="Times New Roman"/>
          <w:sz w:val="28"/>
          <w:szCs w:val="28"/>
        </w:rPr>
        <w:t>;</w:t>
      </w:r>
    </w:p>
    <w:p w:rsidR="00E525C8" w:rsidRPr="00E864AE" w:rsidRDefault="00E525C8" w:rsidP="002A3E4B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4AE">
        <w:rPr>
          <w:rFonts w:ascii="Times New Roman" w:hAnsi="Times New Roman"/>
          <w:sz w:val="28"/>
          <w:szCs w:val="28"/>
        </w:rPr>
        <w:t xml:space="preserve">2. </w:t>
      </w:r>
      <w:r w:rsidR="00FE6D33" w:rsidRPr="00E864AE">
        <w:rPr>
          <w:rFonts w:ascii="Times New Roman" w:hAnsi="Times New Roman"/>
          <w:sz w:val="28"/>
          <w:szCs w:val="28"/>
        </w:rPr>
        <w:t xml:space="preserve"> </w:t>
      </w:r>
      <w:r w:rsidRPr="00E864AE">
        <w:rPr>
          <w:rFonts w:ascii="Times New Roman" w:hAnsi="Times New Roman"/>
          <w:sz w:val="28"/>
          <w:szCs w:val="28"/>
        </w:rPr>
        <w:t>Низкая инвестиционн</w:t>
      </w:r>
      <w:r w:rsidR="00802650" w:rsidRPr="00E864AE">
        <w:rPr>
          <w:rFonts w:ascii="Times New Roman" w:hAnsi="Times New Roman"/>
          <w:sz w:val="28"/>
          <w:szCs w:val="28"/>
        </w:rPr>
        <w:t>ая привлекательность территории;</w:t>
      </w:r>
    </w:p>
    <w:p w:rsidR="00BB5876" w:rsidRPr="002A3E4B" w:rsidRDefault="00C61F2A" w:rsidP="002A3E4B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4AE">
        <w:rPr>
          <w:rFonts w:ascii="Times New Roman" w:hAnsi="Times New Roman"/>
          <w:sz w:val="28"/>
          <w:szCs w:val="28"/>
        </w:rPr>
        <w:t xml:space="preserve">3. </w:t>
      </w:r>
      <w:r w:rsidR="00E525C8" w:rsidRPr="00E864AE">
        <w:rPr>
          <w:rFonts w:ascii="Times New Roman" w:hAnsi="Times New Roman"/>
          <w:sz w:val="28"/>
          <w:szCs w:val="28"/>
        </w:rPr>
        <w:t>Инфраструктурные ограничения экономического роста, а именно: недостаточное развитие инженерной, производственной, транспортной и социальной инфраструктуры, высокая</w:t>
      </w:r>
      <w:r w:rsidR="00802650" w:rsidRPr="00E864AE">
        <w:rPr>
          <w:rFonts w:ascii="Times New Roman" w:hAnsi="Times New Roman"/>
          <w:sz w:val="28"/>
          <w:szCs w:val="28"/>
        </w:rPr>
        <w:t xml:space="preserve"> степень износа основных фондов;</w:t>
      </w:r>
    </w:p>
    <w:p w:rsidR="00FE6D33" w:rsidRPr="00E864AE" w:rsidRDefault="00C61F2A" w:rsidP="002A3E4B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4AE">
        <w:rPr>
          <w:rFonts w:ascii="Times New Roman" w:hAnsi="Times New Roman"/>
          <w:b/>
          <w:sz w:val="28"/>
          <w:szCs w:val="28"/>
        </w:rPr>
        <w:t xml:space="preserve">          </w:t>
      </w:r>
      <w:r w:rsidR="002A3E4B">
        <w:rPr>
          <w:rFonts w:ascii="Times New Roman" w:hAnsi="Times New Roman"/>
          <w:sz w:val="28"/>
          <w:szCs w:val="28"/>
        </w:rPr>
        <w:t>4</w:t>
      </w:r>
      <w:r w:rsidR="00FE6D33" w:rsidRPr="00E864AE">
        <w:rPr>
          <w:rFonts w:ascii="Times New Roman" w:hAnsi="Times New Roman"/>
          <w:sz w:val="28"/>
          <w:szCs w:val="28"/>
        </w:rPr>
        <w:t>. Социальные проблемы:</w:t>
      </w:r>
    </w:p>
    <w:p w:rsidR="00FE6D33" w:rsidRPr="00E864AE" w:rsidRDefault="00FE6D33" w:rsidP="002A3E4B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64AE">
        <w:rPr>
          <w:rFonts w:ascii="Times New Roman" w:hAnsi="Times New Roman"/>
          <w:sz w:val="28"/>
          <w:szCs w:val="28"/>
        </w:rPr>
        <w:t xml:space="preserve">- </w:t>
      </w:r>
      <w:r w:rsidRPr="00E864AE">
        <w:rPr>
          <w:rFonts w:ascii="Times New Roman" w:hAnsi="Times New Roman"/>
          <w:color w:val="000000"/>
          <w:sz w:val="28"/>
          <w:szCs w:val="28"/>
        </w:rPr>
        <w:t>высокий уровень безработицы;</w:t>
      </w:r>
    </w:p>
    <w:p w:rsidR="00FE6D33" w:rsidRPr="00E864AE" w:rsidRDefault="00FE6D33" w:rsidP="002A3E4B">
      <w:pPr>
        <w:ind w:firstLine="709"/>
        <w:jc w:val="both"/>
        <w:rPr>
          <w:iCs/>
          <w:sz w:val="28"/>
          <w:szCs w:val="28"/>
        </w:rPr>
      </w:pPr>
      <w:r w:rsidRPr="00E864AE">
        <w:rPr>
          <w:iCs/>
          <w:sz w:val="28"/>
          <w:szCs w:val="28"/>
        </w:rPr>
        <w:t>- низкий уровень доходов населения города.</w:t>
      </w:r>
    </w:p>
    <w:p w:rsidR="00FE6D33" w:rsidRPr="006972BA" w:rsidRDefault="00FE6D33" w:rsidP="00E40163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E864AE">
        <w:rPr>
          <w:color w:val="000000"/>
          <w:sz w:val="28"/>
          <w:szCs w:val="28"/>
        </w:rPr>
        <w:t>Для улучшения социально – экономического положения Карабашского городского округа в конце 2016 года</w:t>
      </w:r>
      <w:r w:rsidRPr="00E864AE">
        <w:rPr>
          <w:sz w:val="28"/>
          <w:szCs w:val="28"/>
        </w:rPr>
        <w:t xml:space="preserve"> администрацией Карабашского городского округа </w:t>
      </w:r>
      <w:r w:rsidR="00BB5876" w:rsidRPr="006972BA">
        <w:rPr>
          <w:color w:val="000000"/>
          <w:sz w:val="28"/>
          <w:szCs w:val="28"/>
        </w:rPr>
        <w:t xml:space="preserve">рассматривается вопрос о возможности создания индустриального парка, что дает  возможность получения выгодных условий осуществления деятельности для новых предприятий - </w:t>
      </w:r>
      <w:r w:rsidR="00BB5876" w:rsidRPr="006972BA">
        <w:rPr>
          <w:bCs/>
          <w:color w:val="000000"/>
          <w:sz w:val="28"/>
          <w:szCs w:val="28"/>
          <w:bdr w:val="none" w:sz="0" w:space="0" w:color="auto" w:frame="1"/>
        </w:rPr>
        <w:t>резидентов парка</w:t>
      </w:r>
      <w:r w:rsidR="00BB5876" w:rsidRPr="006972BA">
        <w:rPr>
          <w:color w:val="000000"/>
          <w:sz w:val="28"/>
          <w:szCs w:val="28"/>
        </w:rPr>
        <w:t xml:space="preserve">. </w:t>
      </w:r>
    </w:p>
    <w:p w:rsidR="00FE6D33" w:rsidRPr="00E864AE" w:rsidRDefault="00FE6D33" w:rsidP="002A3E4B">
      <w:pPr>
        <w:ind w:firstLine="709"/>
        <w:jc w:val="both"/>
        <w:rPr>
          <w:sz w:val="28"/>
          <w:szCs w:val="28"/>
        </w:rPr>
      </w:pPr>
      <w:proofErr w:type="gramStart"/>
      <w:r w:rsidRPr="00E864AE">
        <w:rPr>
          <w:sz w:val="28"/>
          <w:szCs w:val="28"/>
        </w:rPr>
        <w:t>В</w:t>
      </w:r>
      <w:r w:rsidR="00BB5876" w:rsidRPr="00E864AE">
        <w:rPr>
          <w:sz w:val="28"/>
          <w:szCs w:val="28"/>
        </w:rPr>
        <w:t xml:space="preserve"> целях улучшения экологической ситуации в округе в </w:t>
      </w:r>
      <w:r w:rsidRPr="00E864AE">
        <w:rPr>
          <w:sz w:val="28"/>
          <w:szCs w:val="28"/>
        </w:rPr>
        <w:t xml:space="preserve"> настоящее время</w:t>
      </w:r>
      <w:r w:rsidR="00BB5876" w:rsidRPr="00E864AE">
        <w:rPr>
          <w:sz w:val="28"/>
          <w:szCs w:val="28"/>
        </w:rPr>
        <w:t xml:space="preserve"> предприятие </w:t>
      </w:r>
      <w:r w:rsidRPr="00E864AE">
        <w:rPr>
          <w:sz w:val="28"/>
          <w:szCs w:val="28"/>
        </w:rPr>
        <w:t xml:space="preserve"> ЗАО «Карабашмедь» продолжает реализацию инвестиционного проекта по модернизации мет</w:t>
      </w:r>
      <w:r w:rsidR="00BB5876" w:rsidRPr="00E864AE">
        <w:rPr>
          <w:sz w:val="28"/>
          <w:szCs w:val="28"/>
        </w:rPr>
        <w:t>аллургического производства, в рамках которого</w:t>
      </w:r>
      <w:r w:rsidRPr="00E864AE">
        <w:rPr>
          <w:sz w:val="28"/>
          <w:szCs w:val="28"/>
        </w:rPr>
        <w:t xml:space="preserve"> предусмотрено  строительство участка механизированного розлива черновой меди, установка новых конвертеров с </w:t>
      </w:r>
      <w:proofErr w:type="spellStart"/>
      <w:r w:rsidRPr="00E864AE">
        <w:rPr>
          <w:sz w:val="28"/>
          <w:szCs w:val="28"/>
        </w:rPr>
        <w:t>газоплотными</w:t>
      </w:r>
      <w:proofErr w:type="spellEnd"/>
      <w:r w:rsidRPr="00E864AE">
        <w:rPr>
          <w:sz w:val="28"/>
          <w:szCs w:val="28"/>
        </w:rPr>
        <w:t xml:space="preserve"> </w:t>
      </w:r>
      <w:proofErr w:type="spellStart"/>
      <w:r w:rsidRPr="00E864AE">
        <w:rPr>
          <w:sz w:val="28"/>
          <w:szCs w:val="28"/>
        </w:rPr>
        <w:t>напыльниками</w:t>
      </w:r>
      <w:proofErr w:type="spellEnd"/>
      <w:r w:rsidRPr="00E864AE">
        <w:rPr>
          <w:sz w:val="28"/>
          <w:szCs w:val="28"/>
        </w:rPr>
        <w:t xml:space="preserve"> и замена газоочистной системы, что в конечном итоге позволит сократить неорганизованные выбросы в атмосферный воздух до 1525 тонн в год.</w:t>
      </w:r>
      <w:proofErr w:type="gramEnd"/>
    </w:p>
    <w:p w:rsidR="00FE6D33" w:rsidRPr="006972BA" w:rsidRDefault="00FE6D33" w:rsidP="002A3E4B">
      <w:pPr>
        <w:pStyle w:val="a6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864AE">
        <w:rPr>
          <w:rFonts w:ascii="Times New Roman" w:hAnsi="Times New Roman"/>
          <w:sz w:val="28"/>
          <w:szCs w:val="28"/>
        </w:rPr>
        <w:t>Все выполняемые и намеченные мероприятия по решению имеющихся проблем города Карабаша позволят только частично улучшить социально-</w:t>
      </w:r>
      <w:r w:rsidRPr="00E864AE">
        <w:rPr>
          <w:rFonts w:ascii="Times New Roman" w:hAnsi="Times New Roman"/>
          <w:sz w:val="28"/>
          <w:szCs w:val="28"/>
        </w:rPr>
        <w:lastRenderedPageBreak/>
        <w:t xml:space="preserve">экономическое положение округа. Наличие системных проблем в вопросах комплексного развития Карабаша с целью стабилизации экономики и повышения уровня жизни населения требует программно-целевых действий для их решения.  </w:t>
      </w:r>
    </w:p>
    <w:p w:rsidR="00CD4A8A" w:rsidRPr="006972BA" w:rsidRDefault="00BB5876" w:rsidP="002A3E4B">
      <w:pPr>
        <w:jc w:val="both"/>
        <w:rPr>
          <w:color w:val="000000"/>
          <w:sz w:val="28"/>
          <w:szCs w:val="28"/>
        </w:rPr>
      </w:pPr>
      <w:r w:rsidRPr="006972BA">
        <w:rPr>
          <w:color w:val="000000"/>
          <w:sz w:val="28"/>
          <w:szCs w:val="28"/>
        </w:rPr>
        <w:t>Таким образом, администрацией Карабашского городского округа разр</w:t>
      </w:r>
      <w:r w:rsidR="00CD4A8A" w:rsidRPr="006972BA">
        <w:rPr>
          <w:color w:val="000000"/>
          <w:sz w:val="28"/>
          <w:szCs w:val="28"/>
        </w:rPr>
        <w:t>абота</w:t>
      </w:r>
      <w:r w:rsidRPr="006972BA">
        <w:rPr>
          <w:color w:val="000000"/>
          <w:sz w:val="28"/>
          <w:szCs w:val="28"/>
        </w:rPr>
        <w:t>на государственная программа комплексного развития Карабашского городского округа на 2018-2021 гг. и</w:t>
      </w:r>
      <w:r w:rsidR="00802650">
        <w:rPr>
          <w:color w:val="000000"/>
          <w:sz w:val="28"/>
          <w:szCs w:val="28"/>
        </w:rPr>
        <w:t xml:space="preserve"> в настоящее время</w:t>
      </w:r>
      <w:r w:rsidRPr="006972BA">
        <w:rPr>
          <w:color w:val="000000"/>
          <w:sz w:val="28"/>
          <w:szCs w:val="28"/>
        </w:rPr>
        <w:t xml:space="preserve"> находится на экспертизе в Министерстве экономического развития Челябинской области.</w:t>
      </w:r>
      <w:r w:rsidR="00CD4A8A" w:rsidRPr="006972BA">
        <w:rPr>
          <w:color w:val="000000"/>
          <w:sz w:val="28"/>
          <w:szCs w:val="28"/>
        </w:rPr>
        <w:t xml:space="preserve"> В программу включены мероприятия по всем направлениям, это, развитие образования, культуры, здравоохранения, спорта и физической культуры, жилищное строительство, модернизация инженерной инфраструктуры. Финансирование мероприятий предусмотрено из бюджетов всех уровней и внебюджетных источников АО «РМК».</w:t>
      </w:r>
    </w:p>
    <w:p w:rsidR="00FE6D33" w:rsidRPr="006972BA" w:rsidRDefault="00BB5876" w:rsidP="002A3E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972BA">
        <w:rPr>
          <w:color w:val="000000"/>
          <w:sz w:val="28"/>
          <w:szCs w:val="28"/>
        </w:rPr>
        <w:t xml:space="preserve"> </w:t>
      </w:r>
      <w:r w:rsidR="00FE6D33" w:rsidRPr="00E864AE">
        <w:rPr>
          <w:rFonts w:ascii="Times New Roman" w:hAnsi="Times New Roman"/>
          <w:sz w:val="28"/>
          <w:szCs w:val="28"/>
        </w:rPr>
        <w:t>Существующие проблемы не могут быть решены в течение одного финансового года и требуют значительных бюджетных и внебюджетных средств, они носят комплексный характер, а их программное решение позволит не только стабилизировать социально-экономическое положение в городском округе, но и окажет общее положительное влияние на благополучие населения Карабаша.</w:t>
      </w:r>
      <w:r w:rsidR="00FE6D33" w:rsidRPr="006972BA">
        <w:rPr>
          <w:rFonts w:ascii="Times New Roman" w:hAnsi="Times New Roman"/>
          <w:sz w:val="28"/>
          <w:szCs w:val="28"/>
        </w:rPr>
        <w:t xml:space="preserve"> </w:t>
      </w:r>
    </w:p>
    <w:p w:rsidR="00E525C8" w:rsidRPr="006972BA" w:rsidRDefault="00CD4A8A" w:rsidP="002A3E4B">
      <w:pPr>
        <w:jc w:val="both"/>
        <w:rPr>
          <w:color w:val="000000"/>
          <w:sz w:val="28"/>
          <w:szCs w:val="28"/>
        </w:rPr>
      </w:pPr>
      <w:r w:rsidRPr="006972BA">
        <w:rPr>
          <w:bCs/>
          <w:color w:val="000000"/>
          <w:sz w:val="28"/>
          <w:szCs w:val="28"/>
          <w:shd w:val="clear" w:color="auto" w:fill="FFFFFF"/>
        </w:rPr>
        <w:t>Кроме то</w:t>
      </w:r>
      <w:r w:rsidR="00810322" w:rsidRPr="006972BA">
        <w:rPr>
          <w:bCs/>
          <w:color w:val="000000"/>
          <w:sz w:val="28"/>
          <w:szCs w:val="28"/>
          <w:shd w:val="clear" w:color="auto" w:fill="FFFFFF"/>
        </w:rPr>
        <w:t>го, на территории округа продолжается</w:t>
      </w:r>
      <w:r w:rsidRPr="006972BA">
        <w:rPr>
          <w:bCs/>
          <w:color w:val="000000"/>
          <w:sz w:val="28"/>
          <w:szCs w:val="28"/>
          <w:shd w:val="clear" w:color="auto" w:fill="FFFFFF"/>
        </w:rPr>
        <w:t xml:space="preserve"> реализация К</w:t>
      </w:r>
      <w:r w:rsidR="00E525C8" w:rsidRPr="006972BA">
        <w:rPr>
          <w:bCs/>
          <w:color w:val="000000"/>
          <w:sz w:val="28"/>
          <w:szCs w:val="28"/>
          <w:shd w:val="clear" w:color="auto" w:fill="FFFFFF"/>
        </w:rPr>
        <w:t>онцепции</w:t>
      </w:r>
      <w:r w:rsidR="00810322" w:rsidRPr="006972BA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810322" w:rsidRPr="006972BA">
        <w:rPr>
          <w:color w:val="000000"/>
          <w:sz w:val="28"/>
          <w:szCs w:val="28"/>
          <w:shd w:val="clear" w:color="auto" w:fill="FFFFFF"/>
        </w:rPr>
        <w:t>которая</w:t>
      </w:r>
      <w:r w:rsidR="00E525C8" w:rsidRPr="006972BA">
        <w:rPr>
          <w:color w:val="000000"/>
          <w:sz w:val="28"/>
          <w:szCs w:val="28"/>
          <w:shd w:val="clear" w:color="auto" w:fill="FFFFFF"/>
        </w:rPr>
        <w:t xml:space="preserve"> подразумевает формирование благоприятной и комфортной среды для жизни жителей Карабаша, развитие инфраструктуры, рассе</w:t>
      </w:r>
      <w:r w:rsidRPr="006972BA">
        <w:rPr>
          <w:color w:val="000000"/>
          <w:sz w:val="28"/>
          <w:szCs w:val="28"/>
          <w:shd w:val="clear" w:color="auto" w:fill="FFFFFF"/>
        </w:rPr>
        <w:t>ление ветхого и аварийного жилья</w:t>
      </w:r>
      <w:r w:rsidR="0057300A" w:rsidRPr="006972BA">
        <w:rPr>
          <w:color w:val="000000"/>
          <w:sz w:val="28"/>
          <w:szCs w:val="28"/>
          <w:shd w:val="clear" w:color="auto" w:fill="FFFFFF"/>
        </w:rPr>
        <w:t>, благоустройство территории и многое другое</w:t>
      </w:r>
      <w:r w:rsidR="00E525C8" w:rsidRPr="006972BA">
        <w:rPr>
          <w:color w:val="000000"/>
          <w:sz w:val="28"/>
          <w:szCs w:val="28"/>
          <w:shd w:val="clear" w:color="auto" w:fill="FFFFFF"/>
        </w:rPr>
        <w:t>. Стоимость программы оценивается в 3</w:t>
      </w:r>
      <w:r w:rsidR="002902A3">
        <w:rPr>
          <w:color w:val="000000"/>
          <w:sz w:val="28"/>
          <w:szCs w:val="28"/>
          <w:shd w:val="clear" w:color="auto" w:fill="FFFFFF"/>
        </w:rPr>
        <w:t>,5</w:t>
      </w:r>
      <w:r w:rsidR="00E525C8" w:rsidRPr="006972BA">
        <w:rPr>
          <w:color w:val="000000"/>
          <w:sz w:val="28"/>
          <w:szCs w:val="28"/>
          <w:shd w:val="clear" w:color="auto" w:fill="FFFFFF"/>
        </w:rPr>
        <w:t xml:space="preserve"> миллиарда рублей.</w:t>
      </w:r>
    </w:p>
    <w:p w:rsidR="00E525C8" w:rsidRPr="006972BA" w:rsidRDefault="00A52067" w:rsidP="00E40163">
      <w:pPr>
        <w:ind w:firstLine="708"/>
        <w:jc w:val="both"/>
        <w:rPr>
          <w:color w:val="000000"/>
          <w:sz w:val="28"/>
          <w:szCs w:val="28"/>
        </w:rPr>
      </w:pPr>
      <w:r w:rsidRPr="006972BA">
        <w:rPr>
          <w:color w:val="000000"/>
          <w:sz w:val="28"/>
          <w:szCs w:val="28"/>
        </w:rPr>
        <w:t>Можно отметить, что в рамках Концепции с 2016 года удалось осуществить строительство физкультурно-оздоровительного комплекса, снос ветхо-аварийного жилого фонда, провести реконструкцию санатория-профилактория «</w:t>
      </w:r>
      <w:proofErr w:type="spellStart"/>
      <w:r w:rsidRPr="006972BA">
        <w:rPr>
          <w:color w:val="000000"/>
          <w:sz w:val="28"/>
          <w:szCs w:val="28"/>
        </w:rPr>
        <w:t>Синегорье</w:t>
      </w:r>
      <w:proofErr w:type="spellEnd"/>
      <w:r w:rsidRPr="006972BA">
        <w:rPr>
          <w:color w:val="000000"/>
          <w:sz w:val="28"/>
          <w:szCs w:val="28"/>
        </w:rPr>
        <w:t>» и начало строительства торгово-развлекательного центра. Далее в</w:t>
      </w:r>
      <w:r w:rsidR="00CD4A8A" w:rsidRPr="006972BA">
        <w:rPr>
          <w:color w:val="000000"/>
          <w:sz w:val="28"/>
          <w:szCs w:val="28"/>
        </w:rPr>
        <w:t xml:space="preserve"> рамках Концепции</w:t>
      </w:r>
      <w:r w:rsidR="00E525C8" w:rsidRPr="006972BA">
        <w:rPr>
          <w:color w:val="000000"/>
          <w:sz w:val="28"/>
          <w:szCs w:val="28"/>
        </w:rPr>
        <w:t xml:space="preserve"> </w:t>
      </w:r>
      <w:r w:rsidR="00CD4A8A" w:rsidRPr="006972BA">
        <w:rPr>
          <w:color w:val="000000"/>
          <w:sz w:val="28"/>
          <w:szCs w:val="28"/>
        </w:rPr>
        <w:t xml:space="preserve">в </w:t>
      </w:r>
      <w:r w:rsidR="00E525C8" w:rsidRPr="006972BA">
        <w:rPr>
          <w:color w:val="000000"/>
          <w:sz w:val="28"/>
          <w:szCs w:val="28"/>
        </w:rPr>
        <w:t>2018-2021 годах планируется строительство жилого микрорайона «Золотая горка» и инженерной инфраструктуры к микрорайону, а это, дороги, сети водоснабжения и водоотведения, сети  ливневой канализации, газоснабжения и электроснабжения. Кроме того, продолжатся работы по благоустройству террито</w:t>
      </w:r>
      <w:r w:rsidR="00802650">
        <w:rPr>
          <w:color w:val="000000"/>
          <w:sz w:val="28"/>
          <w:szCs w:val="28"/>
        </w:rPr>
        <w:t>рии, а именно, благоустройство А</w:t>
      </w:r>
      <w:r w:rsidR="00E525C8" w:rsidRPr="006972BA">
        <w:rPr>
          <w:color w:val="000000"/>
          <w:sz w:val="28"/>
          <w:szCs w:val="28"/>
        </w:rPr>
        <w:t>лл</w:t>
      </w:r>
      <w:r w:rsidR="00802650">
        <w:rPr>
          <w:color w:val="000000"/>
          <w:sz w:val="28"/>
          <w:szCs w:val="28"/>
        </w:rPr>
        <w:t>еи В</w:t>
      </w:r>
      <w:r w:rsidR="00E525C8" w:rsidRPr="006972BA">
        <w:rPr>
          <w:color w:val="000000"/>
          <w:sz w:val="28"/>
          <w:szCs w:val="28"/>
        </w:rPr>
        <w:t>етеранов, строительство центральной площади. Где часть инвести</w:t>
      </w:r>
      <w:r w:rsidR="00CD4A8A" w:rsidRPr="006972BA">
        <w:rPr>
          <w:color w:val="000000"/>
          <w:sz w:val="28"/>
          <w:szCs w:val="28"/>
        </w:rPr>
        <w:t>ций будут инвестиц</w:t>
      </w:r>
      <w:proofErr w:type="gramStart"/>
      <w:r w:rsidR="00CD4A8A" w:rsidRPr="006972BA">
        <w:rPr>
          <w:color w:val="000000"/>
          <w:sz w:val="28"/>
          <w:szCs w:val="28"/>
        </w:rPr>
        <w:t>ии АО</w:t>
      </w:r>
      <w:proofErr w:type="gramEnd"/>
      <w:r w:rsidR="00CD4A8A" w:rsidRPr="006972BA">
        <w:rPr>
          <w:color w:val="000000"/>
          <w:sz w:val="28"/>
          <w:szCs w:val="28"/>
        </w:rPr>
        <w:t xml:space="preserve"> «РМК». </w:t>
      </w:r>
    </w:p>
    <w:p w:rsidR="00A52067" w:rsidRPr="006972BA" w:rsidRDefault="0057300A" w:rsidP="002A3E4B">
      <w:pPr>
        <w:ind w:firstLine="709"/>
        <w:jc w:val="both"/>
        <w:rPr>
          <w:sz w:val="28"/>
          <w:szCs w:val="28"/>
        </w:rPr>
      </w:pPr>
      <w:r w:rsidRPr="006972BA">
        <w:rPr>
          <w:sz w:val="28"/>
          <w:szCs w:val="28"/>
        </w:rPr>
        <w:t>В настоящее время Карабашский городской округ участвует во Всероссийском конкурсе лучших проектов создания комфортной городской среды с проектом «Центр притяжения – сердце города». Данный проект предусматривает строительство центральной площади. Реализация данного проекта позволит соз</w:t>
      </w:r>
      <w:r w:rsidR="00802650">
        <w:rPr>
          <w:sz w:val="28"/>
          <w:szCs w:val="28"/>
        </w:rPr>
        <w:t>дать новый центр города и</w:t>
      </w:r>
      <w:r w:rsidRPr="006972BA">
        <w:rPr>
          <w:sz w:val="28"/>
          <w:szCs w:val="28"/>
        </w:rPr>
        <w:t xml:space="preserve"> благоприятные условия для отдыха и проведения досуга жителей города, а также </w:t>
      </w:r>
      <w:r w:rsidR="00802650">
        <w:rPr>
          <w:sz w:val="28"/>
          <w:szCs w:val="28"/>
        </w:rPr>
        <w:t>привлечь</w:t>
      </w:r>
      <w:r w:rsidR="00A52067" w:rsidRPr="006972BA">
        <w:rPr>
          <w:sz w:val="28"/>
          <w:szCs w:val="28"/>
        </w:rPr>
        <w:t xml:space="preserve"> инвести</w:t>
      </w:r>
      <w:r w:rsidR="00802650">
        <w:rPr>
          <w:sz w:val="28"/>
          <w:szCs w:val="28"/>
        </w:rPr>
        <w:t>ции</w:t>
      </w:r>
      <w:r w:rsidR="00A52067" w:rsidRPr="006972BA">
        <w:rPr>
          <w:sz w:val="28"/>
          <w:szCs w:val="28"/>
        </w:rPr>
        <w:t xml:space="preserve"> в индустрию отдыха, торговли и сферу услуг.</w:t>
      </w:r>
    </w:p>
    <w:p w:rsidR="00CD4A8A" w:rsidRPr="006972BA" w:rsidRDefault="00CD4A8A" w:rsidP="002A3E4B">
      <w:pPr>
        <w:ind w:firstLine="709"/>
        <w:jc w:val="both"/>
        <w:rPr>
          <w:noProof/>
          <w:sz w:val="28"/>
          <w:szCs w:val="28"/>
        </w:rPr>
      </w:pPr>
      <w:r w:rsidRPr="006972BA">
        <w:rPr>
          <w:sz w:val="28"/>
          <w:szCs w:val="28"/>
        </w:rPr>
        <w:t>С реализацией намеченных мероприяти</w:t>
      </w:r>
      <w:r w:rsidR="00A52067" w:rsidRPr="006972BA">
        <w:rPr>
          <w:sz w:val="28"/>
          <w:szCs w:val="28"/>
        </w:rPr>
        <w:t xml:space="preserve">й Концепции </w:t>
      </w:r>
      <w:r w:rsidRPr="006972BA">
        <w:rPr>
          <w:sz w:val="28"/>
          <w:szCs w:val="28"/>
        </w:rPr>
        <w:t>произойдет формирование нового положите</w:t>
      </w:r>
      <w:r w:rsidR="00A52067" w:rsidRPr="006972BA">
        <w:rPr>
          <w:sz w:val="28"/>
          <w:szCs w:val="28"/>
        </w:rPr>
        <w:t>льного имиджа территории города, что возможно повысит инвестиционную привлекательность городского округа. Кроме того, а</w:t>
      </w:r>
      <w:r w:rsidRPr="006972BA">
        <w:rPr>
          <w:sz w:val="28"/>
          <w:szCs w:val="28"/>
        </w:rPr>
        <w:t>на</w:t>
      </w:r>
      <w:r w:rsidR="00A52067" w:rsidRPr="006972BA">
        <w:rPr>
          <w:sz w:val="28"/>
          <w:szCs w:val="28"/>
        </w:rPr>
        <w:t>лизируя результаты мероприятий К</w:t>
      </w:r>
      <w:r w:rsidRPr="006972BA">
        <w:rPr>
          <w:sz w:val="28"/>
          <w:szCs w:val="28"/>
        </w:rPr>
        <w:t>онцепции развития округа, приведших к  изменениям  на территории Карабашского городского округа, и проведенного мониторинга механического движения населения Карабашского городского окр</w:t>
      </w:r>
      <w:r w:rsidR="00A52067" w:rsidRPr="006972BA">
        <w:rPr>
          <w:sz w:val="28"/>
          <w:szCs w:val="28"/>
        </w:rPr>
        <w:t>уга отмечается</w:t>
      </w:r>
      <w:r w:rsidRPr="006972BA">
        <w:rPr>
          <w:sz w:val="28"/>
          <w:szCs w:val="28"/>
        </w:rPr>
        <w:t xml:space="preserve"> </w:t>
      </w:r>
      <w:r w:rsidR="00A52067" w:rsidRPr="006972BA">
        <w:rPr>
          <w:sz w:val="28"/>
          <w:szCs w:val="28"/>
        </w:rPr>
        <w:t>тенденция</w:t>
      </w:r>
      <w:r w:rsidRPr="006972BA">
        <w:rPr>
          <w:sz w:val="28"/>
          <w:szCs w:val="28"/>
        </w:rPr>
        <w:t xml:space="preserve"> к достижению миграционного сальдо населения округа в положительную сторону.</w:t>
      </w:r>
    </w:p>
    <w:p w:rsidR="00800B9F" w:rsidRDefault="00800B9F" w:rsidP="006A0D93">
      <w:pPr>
        <w:pStyle w:val="a6"/>
        <w:rPr>
          <w:rFonts w:ascii="Times New Roman" w:hAnsi="Times New Roman"/>
          <w:sz w:val="28"/>
          <w:szCs w:val="28"/>
        </w:rPr>
      </w:pPr>
    </w:p>
    <w:p w:rsidR="00FE6D33" w:rsidRPr="006972BA" w:rsidRDefault="00800B9F" w:rsidP="006A0D93">
      <w:pPr>
        <w:pStyle w:val="a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210820</wp:posOffset>
            </wp:positionV>
            <wp:extent cx="6285865" cy="1550670"/>
            <wp:effectExtent l="19050" t="0" r="19685" b="0"/>
            <wp:wrapTight wrapText="bothSides">
              <wp:wrapPolygon edited="0">
                <wp:start x="-65" y="0"/>
                <wp:lineTo x="-65" y="21494"/>
                <wp:lineTo x="21668" y="21494"/>
                <wp:lineTo x="21668" y="0"/>
                <wp:lineTo x="-65" y="0"/>
              </wp:wrapPolygon>
            </wp:wrapTight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00B9F" w:rsidRDefault="00800B9F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9036C4" w:rsidRDefault="009036C4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9036C4" w:rsidRDefault="009036C4" w:rsidP="00800B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Карабашского</w:t>
      </w:r>
    </w:p>
    <w:p w:rsidR="00E40163" w:rsidRDefault="009036C4" w:rsidP="00800B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       И.В. Тарасова</w:t>
      </w:r>
    </w:p>
    <w:p w:rsidR="009036C4" w:rsidRDefault="009036C4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800B9F" w:rsidRPr="006972BA" w:rsidRDefault="00800B9F" w:rsidP="00800B9F">
      <w:pPr>
        <w:pStyle w:val="a6"/>
        <w:rPr>
          <w:rFonts w:ascii="Times New Roman" w:hAnsi="Times New Roman"/>
          <w:sz w:val="28"/>
          <w:szCs w:val="28"/>
        </w:rPr>
      </w:pPr>
      <w:r w:rsidRPr="006972BA">
        <w:rPr>
          <w:rFonts w:ascii="Times New Roman" w:hAnsi="Times New Roman"/>
          <w:sz w:val="28"/>
          <w:szCs w:val="28"/>
        </w:rPr>
        <w:t>Начальника Управления экономики</w:t>
      </w:r>
    </w:p>
    <w:p w:rsidR="00800B9F" w:rsidRPr="006972BA" w:rsidRDefault="00800B9F" w:rsidP="00800B9F">
      <w:pPr>
        <w:pStyle w:val="a6"/>
        <w:rPr>
          <w:rFonts w:ascii="Times New Roman" w:hAnsi="Times New Roman"/>
          <w:sz w:val="28"/>
          <w:szCs w:val="28"/>
        </w:rPr>
      </w:pPr>
      <w:r w:rsidRPr="006972BA">
        <w:rPr>
          <w:rFonts w:ascii="Times New Roman" w:hAnsi="Times New Roman"/>
          <w:sz w:val="28"/>
          <w:szCs w:val="28"/>
        </w:rPr>
        <w:t xml:space="preserve">администрации Карабашского </w:t>
      </w:r>
    </w:p>
    <w:p w:rsidR="005E2809" w:rsidRPr="006972BA" w:rsidRDefault="00800B9F" w:rsidP="00800B9F">
      <w:pPr>
        <w:rPr>
          <w:sz w:val="28"/>
          <w:szCs w:val="28"/>
        </w:rPr>
      </w:pPr>
      <w:r w:rsidRPr="006972BA">
        <w:rPr>
          <w:sz w:val="28"/>
          <w:szCs w:val="28"/>
        </w:rPr>
        <w:t>городского округа                                                                                        А.Г. Ахатова</w:t>
      </w:r>
    </w:p>
    <w:sectPr w:rsidR="005E2809" w:rsidRPr="006972BA" w:rsidSect="004665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809"/>
    <w:rsid w:val="0004529E"/>
    <w:rsid w:val="000949FB"/>
    <w:rsid w:val="000E2B4E"/>
    <w:rsid w:val="00116E3F"/>
    <w:rsid w:val="00160FF4"/>
    <w:rsid w:val="00177EDF"/>
    <w:rsid w:val="001F504D"/>
    <w:rsid w:val="002902A3"/>
    <w:rsid w:val="002A3E4B"/>
    <w:rsid w:val="002E15F5"/>
    <w:rsid w:val="002E4F86"/>
    <w:rsid w:val="00346272"/>
    <w:rsid w:val="00356EAB"/>
    <w:rsid w:val="003B3E4A"/>
    <w:rsid w:val="003D7207"/>
    <w:rsid w:val="004314AE"/>
    <w:rsid w:val="00432D20"/>
    <w:rsid w:val="00466577"/>
    <w:rsid w:val="0048089C"/>
    <w:rsid w:val="004F65B6"/>
    <w:rsid w:val="005314CF"/>
    <w:rsid w:val="0054559C"/>
    <w:rsid w:val="00552C88"/>
    <w:rsid w:val="0057300A"/>
    <w:rsid w:val="00583BC1"/>
    <w:rsid w:val="005D555B"/>
    <w:rsid w:val="005E0505"/>
    <w:rsid w:val="005E2809"/>
    <w:rsid w:val="0061055E"/>
    <w:rsid w:val="00611867"/>
    <w:rsid w:val="0061468C"/>
    <w:rsid w:val="00672B6C"/>
    <w:rsid w:val="006909CC"/>
    <w:rsid w:val="00695972"/>
    <w:rsid w:val="006972BA"/>
    <w:rsid w:val="006A0D93"/>
    <w:rsid w:val="006C0278"/>
    <w:rsid w:val="006D29E8"/>
    <w:rsid w:val="007E34CD"/>
    <w:rsid w:val="007F309E"/>
    <w:rsid w:val="00800B9F"/>
    <w:rsid w:val="00802650"/>
    <w:rsid w:val="008065D3"/>
    <w:rsid w:val="0080738E"/>
    <w:rsid w:val="00810322"/>
    <w:rsid w:val="008C4D98"/>
    <w:rsid w:val="008E1574"/>
    <w:rsid w:val="009036C4"/>
    <w:rsid w:val="00941D40"/>
    <w:rsid w:val="00A250CB"/>
    <w:rsid w:val="00A52067"/>
    <w:rsid w:val="00AB0E11"/>
    <w:rsid w:val="00AD2BFE"/>
    <w:rsid w:val="00B432C5"/>
    <w:rsid w:val="00B84871"/>
    <w:rsid w:val="00BB5876"/>
    <w:rsid w:val="00BF2D09"/>
    <w:rsid w:val="00C26198"/>
    <w:rsid w:val="00C56A7F"/>
    <w:rsid w:val="00C61F2A"/>
    <w:rsid w:val="00C760E1"/>
    <w:rsid w:val="00CA0E51"/>
    <w:rsid w:val="00CA75E8"/>
    <w:rsid w:val="00CD4A8A"/>
    <w:rsid w:val="00CE6637"/>
    <w:rsid w:val="00CF057B"/>
    <w:rsid w:val="00D41668"/>
    <w:rsid w:val="00D66BBF"/>
    <w:rsid w:val="00D83768"/>
    <w:rsid w:val="00D849DD"/>
    <w:rsid w:val="00E23B12"/>
    <w:rsid w:val="00E30A88"/>
    <w:rsid w:val="00E40163"/>
    <w:rsid w:val="00E525C8"/>
    <w:rsid w:val="00E864AE"/>
    <w:rsid w:val="00EC4E93"/>
    <w:rsid w:val="00ED5C69"/>
    <w:rsid w:val="00F01CBA"/>
    <w:rsid w:val="00F40084"/>
    <w:rsid w:val="00F55137"/>
    <w:rsid w:val="00F74D45"/>
    <w:rsid w:val="00F75B79"/>
    <w:rsid w:val="00F966C7"/>
    <w:rsid w:val="00FE6D33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0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6D3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FE6D3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E6D33"/>
    <w:rPr>
      <w:rFonts w:eastAsia="Times New Roman" w:cs="Times New Roman"/>
      <w:szCs w:val="24"/>
      <w:lang w:eastAsia="ru-RU"/>
    </w:rPr>
  </w:style>
  <w:style w:type="paragraph" w:styleId="a6">
    <w:name w:val="No Spacing"/>
    <w:uiPriority w:val="99"/>
    <w:qFormat/>
    <w:rsid w:val="00FE6D33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qFormat/>
    <w:rsid w:val="00FE6D33"/>
    <w:pPr>
      <w:ind w:left="720"/>
      <w:contextualSpacing/>
    </w:pPr>
    <w:rPr>
      <w:sz w:val="26"/>
    </w:rPr>
  </w:style>
  <w:style w:type="paragraph" w:styleId="a8">
    <w:name w:val="Subtitle"/>
    <w:basedOn w:val="a"/>
    <w:next w:val="a"/>
    <w:link w:val="a9"/>
    <w:qFormat/>
    <w:rsid w:val="00FE6D3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оловок Знак"/>
    <w:basedOn w:val="a0"/>
    <w:link w:val="a8"/>
    <w:rsid w:val="00FE6D33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FE6D3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E6D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6D3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qFormat/>
    <w:rsid w:val="00FE6D33"/>
    <w:rPr>
      <w:i/>
      <w:iCs/>
    </w:rPr>
  </w:style>
  <w:style w:type="paragraph" w:styleId="ae">
    <w:name w:val="Body Text"/>
    <w:basedOn w:val="a"/>
    <w:link w:val="af"/>
    <w:rsid w:val="00346272"/>
    <w:pPr>
      <w:spacing w:after="120"/>
    </w:pPr>
  </w:style>
  <w:style w:type="character" w:customStyle="1" w:styleId="af">
    <w:name w:val="Основной текст Знак"/>
    <w:basedOn w:val="a0"/>
    <w:link w:val="ae"/>
    <w:rsid w:val="00346272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F30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F309E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F3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F309E"/>
    <w:rPr>
      <w:rFonts w:eastAsia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525C8"/>
  </w:style>
  <w:style w:type="character" w:styleId="af0">
    <w:name w:val="Hyperlink"/>
    <w:basedOn w:val="a0"/>
    <w:uiPriority w:val="99"/>
    <w:semiHidden/>
    <w:unhideWhenUsed/>
    <w:rsid w:val="000949FB"/>
    <w:rPr>
      <w:color w:val="0000FF"/>
      <w:u w:val="single"/>
    </w:rPr>
  </w:style>
  <w:style w:type="paragraph" w:customStyle="1" w:styleId="ConsPlusTitle">
    <w:name w:val="ConsPlusTitle"/>
    <w:uiPriority w:val="99"/>
    <w:rsid w:val="000949F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http://pandia.ru/text/category/maloe_predprinimatelmzstvo/" TargetMode="Externa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1064267402621168E-2"/>
          <c:y val="3.1746031746031744E-2"/>
          <c:w val="0.47755335730964243"/>
          <c:h val="0.91269841269842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-0.1390582732808488"/>
                  <c:y val="4.4642857142857116E-2"/>
                </c:manualLayout>
              </c:layout>
              <c:showVal val="1"/>
              <c:showPercent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Налоговые и неналоговые доходы 114304,0</c:v>
                </c:pt>
                <c:pt idx="1">
                  <c:v>Безвозмездные поступления от  других уровней бюджетной системы РФ 430 256,0 тыс. рублей</c:v>
                </c:pt>
                <c:pt idx="2">
                  <c:v>Прочие безвозмездные поступления 3 725,9 тыс. рублей</c:v>
                </c:pt>
                <c:pt idx="3">
                  <c:v>Возврат остатков  субвенций, субсидий прошлых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114304</c:v>
                </c:pt>
                <c:pt idx="1">
                  <c:v>430256</c:v>
                </c:pt>
                <c:pt idx="2">
                  <c:v>3725.9</c:v>
                </c:pt>
                <c:pt idx="3">
                  <c:v>-486.9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2142245945435432E-2"/>
          <c:y val="0.22246841919765692"/>
          <c:w val="0.87583839419806164"/>
          <c:h val="0.8915407026044436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noFill/>
            </a:ln>
          </c:spPr>
          <c:explosion val="7"/>
          <c:dLbls>
            <c:dLbl>
              <c:idx val="1"/>
              <c:layout>
                <c:manualLayout>
                  <c:x val="0.15145226638633086"/>
                  <c:y val="-2.0109189311558577E-3"/>
                </c:manualLayout>
              </c:layout>
              <c:showVal val="1"/>
              <c:showCatName val="1"/>
              <c:showPercent val="1"/>
            </c:dLbl>
            <c:dLbl>
              <c:idx val="2"/>
              <c:layout>
                <c:manualLayout>
                  <c:x val="0.30830512209839678"/>
                  <c:y val="4.1343065203084846E-2"/>
                </c:manualLayout>
              </c:layout>
              <c:showVal val="1"/>
              <c:showCatName val="1"/>
              <c:showPercent val="1"/>
            </c:dLbl>
            <c:dLbl>
              <c:idx val="3"/>
              <c:layout>
                <c:manualLayout>
                  <c:x val="0.14476916191927641"/>
                  <c:y val="9.9791909667240705E-2"/>
                </c:manualLayout>
              </c:layout>
              <c:showVal val="1"/>
              <c:showCatName val="1"/>
              <c:showPercent val="1"/>
            </c:dLbl>
            <c:dLbl>
              <c:idx val="4"/>
              <c:layout>
                <c:manualLayout>
                  <c:x val="-1.2728408948881401E-2"/>
                  <c:y val="9.7629249733270765E-2"/>
                </c:manualLayout>
              </c:layout>
              <c:showVal val="1"/>
              <c:showCatName val="1"/>
              <c:showPercent val="1"/>
            </c:dLbl>
            <c:dLbl>
              <c:idx val="5"/>
              <c:layout>
                <c:manualLayout>
                  <c:x val="1.115404186336956E-3"/>
                  <c:y val="-6.0152504726042133E-3"/>
                </c:manualLayout>
              </c:layout>
              <c:showVal val="1"/>
              <c:showCatName val="1"/>
              <c:showPercent val="1"/>
            </c:dLbl>
            <c:dLbl>
              <c:idx val="6"/>
              <c:layout>
                <c:manualLayout>
                  <c:x val="-2.0481310803891536E-3"/>
                  <c:y val="-5.4543007992632994E-2"/>
                </c:manualLayout>
              </c:layout>
              <c:showVal val="1"/>
              <c:showCatName val="1"/>
              <c:showPercent val="1"/>
            </c:dLbl>
            <c:dLbl>
              <c:idx val="8"/>
              <c:layout>
                <c:manualLayout>
                  <c:x val="0.10556343273358995"/>
                  <c:y val="1.8438363087683023E-2"/>
                </c:manualLayout>
              </c:layout>
              <c:showVal val="1"/>
              <c:showCatName val="1"/>
              <c:showPercent val="1"/>
            </c:dLbl>
            <c:dLbl>
              <c:idx val="11"/>
              <c:layout>
                <c:manualLayout>
                  <c:x val="6.6483743336358744E-2"/>
                  <c:y val="-5.452162716078273E-2"/>
                </c:manualLayout>
              </c:layout>
              <c:showVal val="1"/>
              <c:showCatName val="1"/>
              <c:showPercent val="1"/>
            </c:dLbl>
            <c:dLbl>
              <c:idx val="13"/>
              <c:layout>
                <c:manualLayout>
                  <c:x val="-0.21350907614031267"/>
                  <c:y val="-4.0638052775004013E-2"/>
                </c:manualLayout>
              </c:layout>
              <c:showVal val="1"/>
              <c:showCatName val="1"/>
              <c:showPercent val="1"/>
            </c:dLbl>
            <c:dLbl>
              <c:idx val="15"/>
              <c:layout>
                <c:manualLayout>
                  <c:x val="0.15414662552620698"/>
                  <c:y val="-6.2587485665215908E-2"/>
                </c:manualLayout>
              </c:layout>
              <c:showVal val="1"/>
              <c:showCatName val="1"/>
              <c:showPercent val="1"/>
            </c:dLbl>
            <c:dLbl>
              <c:idx val="16"/>
              <c:layout>
                <c:manualLayout>
                  <c:x val="0.25500938108291632"/>
                  <c:y val="-1.4791887252485172E-2"/>
                </c:manualLayout>
              </c:layout>
              <c:showVal val="1"/>
              <c:showCatName val="1"/>
              <c:showPercent val="1"/>
            </c:dLbl>
            <c:dLbl>
              <c:idx val="17"/>
              <c:layout>
                <c:manualLayout>
                  <c:x val="0.10684172108940609"/>
                  <c:y val="3.5295264209943202E-2"/>
                </c:manualLayout>
              </c:layout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Лист1!$A$2:$A$19</c:f>
              <c:strCache>
                <c:ptCount val="18"/>
                <c:pt idx="0">
                  <c:v>Налог на доходы физических лиц</c:v>
                </c:pt>
                <c:pt idx="1">
                  <c:v>Акцизы</c:v>
                </c:pt>
                <c:pt idx="2">
                  <c:v>Налог по упрощенной системе налогооблажения</c:v>
                </c:pt>
                <c:pt idx="3">
                  <c:v>Единый налог на вмененный доход</c:v>
                </c:pt>
                <c:pt idx="4">
                  <c:v>Единый сельскохозяйственный налог</c:v>
                </c:pt>
                <c:pt idx="5">
                  <c:v>Единый налог, взимаемый в связи с применением патентной системы налогообложения</c:v>
                </c:pt>
                <c:pt idx="6">
                  <c:v>Налог на имущество физических лиц</c:v>
                </c:pt>
                <c:pt idx="7">
                  <c:v>Земельный налог </c:v>
                </c:pt>
                <c:pt idx="8">
                  <c:v>Государственная пошлина</c:v>
                </c:pt>
                <c:pt idx="9">
                  <c:v>Аренда земли</c:v>
                </c:pt>
                <c:pt idx="10">
                  <c:v>Аренда имущества</c:v>
                </c:pt>
                <c:pt idx="11">
                  <c:v>Плата за негативное воздействие на окружающую среду</c:v>
                </c:pt>
                <c:pt idx="12">
                  <c:v>Доходы от оказания платных услуг</c:v>
                </c:pt>
                <c:pt idx="13">
                  <c:v>Доходы от реализации муниципального имущества</c:v>
                </c:pt>
                <c:pt idx="14">
                  <c:v>Доходы от компенсации затрат государства</c:v>
                </c:pt>
                <c:pt idx="15">
                  <c:v>Доходы от продажи земельных участков</c:v>
                </c:pt>
                <c:pt idx="16">
                  <c:v>Штрафы, санкции</c:v>
                </c:pt>
                <c:pt idx="17">
                  <c:v>Прочие неналоговые доходы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60314</c:v>
                </c:pt>
                <c:pt idx="1">
                  <c:v>5163</c:v>
                </c:pt>
                <c:pt idx="2">
                  <c:v>2947</c:v>
                </c:pt>
                <c:pt idx="3">
                  <c:v>1851</c:v>
                </c:pt>
                <c:pt idx="4">
                  <c:v>11</c:v>
                </c:pt>
                <c:pt idx="5">
                  <c:v>11</c:v>
                </c:pt>
                <c:pt idx="6">
                  <c:v>1256</c:v>
                </c:pt>
                <c:pt idx="7">
                  <c:v>13725</c:v>
                </c:pt>
                <c:pt idx="8">
                  <c:v>3686</c:v>
                </c:pt>
                <c:pt idx="9">
                  <c:v>7753</c:v>
                </c:pt>
                <c:pt idx="10">
                  <c:v>3377</c:v>
                </c:pt>
                <c:pt idx="11">
                  <c:v>-39</c:v>
                </c:pt>
                <c:pt idx="12">
                  <c:v>11041</c:v>
                </c:pt>
                <c:pt idx="13">
                  <c:v>1052</c:v>
                </c:pt>
                <c:pt idx="14">
                  <c:v>795</c:v>
                </c:pt>
                <c:pt idx="15">
                  <c:v>293</c:v>
                </c:pt>
                <c:pt idx="16">
                  <c:v>987</c:v>
                </c:pt>
                <c:pt idx="17">
                  <c:v>78</c:v>
                </c:pt>
              </c:numCache>
            </c:numRef>
          </c:val>
        </c:ser>
        <c:firstSliceAng val="0"/>
      </c:pieChart>
      <c:spPr>
        <a:ln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0501285569657677E-2"/>
          <c:y val="0.14514006274748703"/>
          <c:w val="0.83100976749436695"/>
          <c:h val="0.802295683707650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3"/>
          </c:dPt>
          <c:dLbls>
            <c:dLbl>
              <c:idx val="0"/>
              <c:layout>
                <c:manualLayout>
                  <c:x val="-0.18866109737217551"/>
                  <c:y val="-0.10126462710557622"/>
                </c:manualLayout>
              </c:layout>
              <c:showVal val="1"/>
              <c:showCatName val="1"/>
              <c:showPercent val="1"/>
            </c:dLbl>
            <c:dLbl>
              <c:idx val="3"/>
              <c:layout>
                <c:manualLayout>
                  <c:x val="-1.711913313861428E-3"/>
                  <c:y val="7.7674682815368087E-4"/>
                </c:manualLayout>
              </c:layout>
              <c:showVal val="1"/>
              <c:showCatName val="1"/>
              <c:showPercent val="1"/>
            </c:dLbl>
            <c:dLbl>
              <c:idx val="7"/>
              <c:layout>
                <c:manualLayout>
                  <c:x val="0.11921422344428605"/>
                  <c:y val="-0.11490310441116749"/>
                </c:manualLayout>
              </c:layout>
              <c:showVal val="1"/>
              <c:showCatName val="1"/>
              <c:showPercent val="1"/>
            </c:dLbl>
            <c:dLbl>
              <c:idx val="8"/>
              <c:layout>
                <c:manualLayout>
                  <c:x val="1.824202088716128E-3"/>
                  <c:y val="-0.15219427517024023"/>
                </c:manualLayout>
              </c:layout>
              <c:showVal val="1"/>
              <c:showCatName val="1"/>
              <c:showPercent val="1"/>
            </c:dLbl>
            <c:dLbl>
              <c:idx val="10"/>
              <c:layout>
                <c:manualLayout>
                  <c:x val="-0.21602714877554821"/>
                  <c:y val="6.1537604825042516E-2"/>
                </c:manualLayout>
              </c:layout>
              <c:showVal val="1"/>
              <c:showCatName val="1"/>
              <c:showPercent val="1"/>
            </c:dLbl>
            <c:dLbl>
              <c:idx val="11"/>
              <c:layout>
                <c:manualLayout>
                  <c:x val="-0.15619441654584079"/>
                  <c:y val="-2.4785639993848427E-3"/>
                </c:manualLayout>
              </c:layout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Лист1!$A$2:$A$13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 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 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 Культура и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Физическая культура и спорт</c:v>
                </c:pt>
                <c:pt idx="11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61179.7</c:v>
                </c:pt>
                <c:pt idx="1">
                  <c:v>567</c:v>
                </c:pt>
                <c:pt idx="2">
                  <c:v>6905.2</c:v>
                </c:pt>
                <c:pt idx="3">
                  <c:v>24340.3</c:v>
                </c:pt>
                <c:pt idx="4">
                  <c:v>46157.8</c:v>
                </c:pt>
                <c:pt idx="5">
                  <c:v>0</c:v>
                </c:pt>
                <c:pt idx="6">
                  <c:v>203467.2</c:v>
                </c:pt>
                <c:pt idx="7">
                  <c:v>47060.3</c:v>
                </c:pt>
                <c:pt idx="8">
                  <c:v>550.6</c:v>
                </c:pt>
                <c:pt idx="9">
                  <c:v>136868</c:v>
                </c:pt>
                <c:pt idx="10">
                  <c:v>8281</c:v>
                </c:pt>
                <c:pt idx="11">
                  <c:v>2311.4</c:v>
                </c:pt>
              </c:numCache>
            </c:numRef>
          </c:val>
        </c:ser>
      </c:pie3DChart>
      <c:spPr>
        <a:ln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Исполнение расходов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расходов</c:v>
                </c:pt>
              </c:strCache>
            </c:strRef>
          </c:tx>
          <c:dLbls>
            <c:dLbl>
              <c:idx val="0"/>
              <c:layout>
                <c:manualLayout>
                  <c:x val="0.11993396917640721"/>
                  <c:y val="-1.9661402501253769E-2"/>
                </c:manualLayout>
              </c:layout>
              <c:showVal val="1"/>
            </c:dLbl>
            <c:dLbl>
              <c:idx val="1"/>
              <c:layout>
                <c:manualLayout>
                  <c:x val="0.11797257055604174"/>
                  <c:y val="-1.6640284050886862E-2"/>
                </c:manualLayout>
              </c:layout>
              <c:showVal val="1"/>
            </c:dLbl>
            <c:dLbl>
              <c:idx val="2"/>
              <c:layout>
                <c:manualLayout>
                  <c:x val="0.11996598944837862"/>
                  <c:y val="2.2094595492594796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481886.6</c:v>
                </c:pt>
                <c:pt idx="1">
                  <c:v>504433.1</c:v>
                </c:pt>
                <c:pt idx="2">
                  <c:v>537688.5</c:v>
                </c:pt>
              </c:numCache>
            </c:numRef>
          </c:val>
        </c:ser>
        <c:shape val="cylinder"/>
        <c:axId val="84196352"/>
        <c:axId val="84202240"/>
        <c:axId val="0"/>
      </c:bar3DChart>
      <c:catAx>
        <c:axId val="8419635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202240"/>
        <c:crosses val="autoZero"/>
        <c:auto val="1"/>
        <c:lblAlgn val="ctr"/>
        <c:lblOffset val="100"/>
      </c:catAx>
      <c:valAx>
        <c:axId val="842022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19635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8.4862662665323704E-2"/>
          <c:y val="0.18070198986534508"/>
          <c:w val="0.8371243242401667"/>
          <c:h val="0.6166085786758897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Лист1!$B$2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Лист1!$A$3:$A$5</c:f>
              <c:strCache>
                <c:ptCount val="3"/>
                <c:pt idx="0">
                  <c:v>Инвестиции в человеческий капитал </c:v>
                </c:pt>
                <c:pt idx="1">
                  <c:v>Расходы на социальную защиту населения</c:v>
                </c:pt>
                <c:pt idx="2">
                  <c:v>Расходы на инфраструктурное и экономическое развитие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235488.7</c:v>
                </c:pt>
                <c:pt idx="1">
                  <c:v>113137.7</c:v>
                </c:pt>
                <c:pt idx="2">
                  <c:v>80350.5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2"/>
              <c:layout>
                <c:manualLayout>
                  <c:x val="7.6207966822045184E-2"/>
                  <c:y val="7.2265634055596883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Лист1!$A$3:$A$5</c:f>
              <c:strCache>
                <c:ptCount val="3"/>
                <c:pt idx="0">
                  <c:v>Инвестиции в человеческий капитал </c:v>
                </c:pt>
                <c:pt idx="1">
                  <c:v>Расходы на социальную защиту населения</c:v>
                </c:pt>
                <c:pt idx="2">
                  <c:v>Расходы на инфраструктурное и экономическое развитие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249096.6</c:v>
                </c:pt>
                <c:pt idx="1">
                  <c:v>136579.9</c:v>
                </c:pt>
                <c:pt idx="2">
                  <c:v>35736.800000000003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2017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Лист1!$A$3:$A$5</c:f>
              <c:strCache>
                <c:ptCount val="3"/>
                <c:pt idx="0">
                  <c:v>Инвестиции в человеческий капитал </c:v>
                </c:pt>
                <c:pt idx="1">
                  <c:v>Расходы на социальную защиту населения</c:v>
                </c:pt>
                <c:pt idx="2">
                  <c:v>Расходы на инфраструктурное и экономическое развитие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259359.1</c:v>
                </c:pt>
                <c:pt idx="1">
                  <c:v>136868</c:v>
                </c:pt>
                <c:pt idx="2">
                  <c:v>70498.100000000006</c:v>
                </c:pt>
              </c:numCache>
            </c:numRef>
          </c:val>
        </c:ser>
        <c:shape val="box"/>
        <c:axId val="93076480"/>
        <c:axId val="93090560"/>
        <c:axId val="84064896"/>
      </c:bar3DChart>
      <c:catAx>
        <c:axId val="93076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090560"/>
        <c:crosses val="autoZero"/>
        <c:auto val="1"/>
        <c:lblAlgn val="ctr"/>
        <c:lblOffset val="100"/>
      </c:catAx>
      <c:valAx>
        <c:axId val="93090560"/>
        <c:scaling>
          <c:orientation val="minMax"/>
        </c:scaling>
        <c:axPos val="l"/>
        <c:majorGridlines/>
        <c:numFmt formatCode="General" sourceLinked="1"/>
        <c:tickLblPos val="nextTo"/>
        <c:crossAx val="93076480"/>
        <c:crosses val="autoZero"/>
        <c:crossBetween val="between"/>
      </c:valAx>
      <c:serAx>
        <c:axId val="84064896"/>
        <c:scaling>
          <c:orientation val="minMax"/>
        </c:scaling>
        <c:axPos val="b"/>
        <c:tickLblPos val="nextTo"/>
        <c:crossAx val="93090560"/>
        <c:crosses val="autoZero"/>
      </c:serAx>
      <c:spPr>
        <a:ln>
          <a:noFill/>
        </a:ln>
      </c:spPr>
    </c:plotArea>
    <c:legend>
      <c:legendPos val="b"/>
      <c:layout/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Финансирование социально ориентированных отраслей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.12626454103460666"/>
          <c:y val="0.28279258139090402"/>
          <c:w val="0.61121514365315766"/>
          <c:h val="0.606604091707079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Лист1!$C$13</c:f>
              <c:strCache>
                <c:ptCount val="1"/>
                <c:pt idx="0">
                  <c:v>сумма в тыс.руб.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accent3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2.8232271770274806E-2"/>
                  <c:y val="-3.090507726269336E-2"/>
                </c:manualLayout>
              </c:layout>
              <c:showVal val="1"/>
            </c:dLbl>
            <c:dLbl>
              <c:idx val="1"/>
              <c:layout>
                <c:manualLayout>
                  <c:x val="1.5399420965604323E-2"/>
                  <c:y val="-2.6490066225165611E-2"/>
                </c:manualLayout>
              </c:layout>
              <c:showVal val="1"/>
            </c:dLbl>
            <c:dLbl>
              <c:idx val="2"/>
              <c:layout>
                <c:manualLayout>
                  <c:x val="1.5399420965604323E-2"/>
                  <c:y val="-1.3245033112582781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Лист1!$D$12:$F$12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</c:v>
                </c:pt>
              </c:strCache>
            </c:strRef>
          </c:cat>
          <c:val>
            <c:numRef>
              <c:f>Лист1!$D$13:$F$13</c:f>
              <c:numCache>
                <c:formatCode>General</c:formatCode>
                <c:ptCount val="3"/>
                <c:pt idx="0">
                  <c:v>348626.4</c:v>
                </c:pt>
                <c:pt idx="1">
                  <c:v>385676.5</c:v>
                </c:pt>
                <c:pt idx="2">
                  <c:v>396227.1</c:v>
                </c:pt>
              </c:numCache>
            </c:numRef>
          </c:val>
        </c:ser>
        <c:shape val="box"/>
        <c:axId val="83736448"/>
        <c:axId val="83737984"/>
        <c:axId val="0"/>
      </c:bar3DChart>
      <c:catAx>
        <c:axId val="8373644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737984"/>
        <c:crosses val="autoZero"/>
        <c:auto val="1"/>
        <c:lblAlgn val="ctr"/>
        <c:lblOffset val="100"/>
      </c:catAx>
      <c:valAx>
        <c:axId val="837379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73644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Численность обучающихся (чел.)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"/>
          <c:y val="0.19434426658182757"/>
          <c:w val="0.95525190343572175"/>
          <c:h val="0.57006500241879765"/>
        </c:manualLayout>
      </c:layout>
      <c:lineChart>
        <c:grouping val="standard"/>
        <c:ser>
          <c:idx val="0"/>
          <c:order val="0"/>
          <c:marker>
            <c:symbol val="square"/>
            <c:size val="5"/>
          </c:marke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Лист1!$A$3:$F$3</c:f>
              <c:strCache>
                <c:ptCount val="6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  <c:pt idx="3">
                  <c:v>2015г.</c:v>
                </c:pt>
                <c:pt idx="4">
                  <c:v>2016г.</c:v>
                </c:pt>
                <c:pt idx="5">
                  <c:v>2017г.</c:v>
                </c:pt>
              </c:strCache>
            </c:strRef>
          </c:cat>
          <c:val>
            <c:numRef>
              <c:f>Лист1!$A$4:$F$4</c:f>
              <c:numCache>
                <c:formatCode>General</c:formatCode>
                <c:ptCount val="6"/>
                <c:pt idx="0">
                  <c:v>1344</c:v>
                </c:pt>
                <c:pt idx="1">
                  <c:v>1374</c:v>
                </c:pt>
                <c:pt idx="2">
                  <c:v>1396</c:v>
                </c:pt>
                <c:pt idx="3">
                  <c:v>1354</c:v>
                </c:pt>
                <c:pt idx="4">
                  <c:v>1384</c:v>
                </c:pt>
                <c:pt idx="5">
                  <c:v>1415</c:v>
                </c:pt>
              </c:numCache>
            </c:numRef>
          </c:val>
        </c:ser>
        <c:dLbls>
          <c:showVal val="1"/>
        </c:dLbls>
        <c:marker val="1"/>
        <c:axId val="99023872"/>
        <c:axId val="99025664"/>
      </c:lineChart>
      <c:catAx>
        <c:axId val="9902387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025664"/>
        <c:crosses val="autoZero"/>
        <c:auto val="1"/>
        <c:lblAlgn val="ctr"/>
        <c:lblOffset val="100"/>
      </c:catAx>
      <c:valAx>
        <c:axId val="99025664"/>
        <c:scaling>
          <c:orientation val="minMax"/>
        </c:scaling>
        <c:delete val="1"/>
        <c:axPos val="l"/>
        <c:numFmt formatCode="General" sourceLinked="1"/>
        <c:tickLblPos val="none"/>
        <c:crossAx val="9902387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/>
              <a:t>Миграционное сальдо населения Карабашского городского округа</a:t>
            </a:r>
            <a:endParaRPr lang="ru-RU" sz="1200"/>
          </a:p>
        </c:rich>
      </c:tx>
      <c:layout>
        <c:manualLayout>
          <c:xMode val="edge"/>
          <c:yMode val="edge"/>
          <c:x val="0.12650143706758596"/>
          <c:y val="0"/>
        </c:manualLayout>
      </c:layout>
    </c:title>
    <c:plotArea>
      <c:layout>
        <c:manualLayout>
          <c:layoutTarget val="inner"/>
          <c:xMode val="edge"/>
          <c:yMode val="edge"/>
          <c:x val="0.12163211980304424"/>
          <c:y val="0.19330619655964254"/>
          <c:w val="0.77797780886200163"/>
          <c:h val="0.6639658456408131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сальдо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Val val="1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-469</c:v>
                </c:pt>
                <c:pt idx="1">
                  <c:v>-326</c:v>
                </c:pt>
                <c:pt idx="2">
                  <c:v>-256</c:v>
                </c:pt>
                <c:pt idx="3">
                  <c:v>-159</c:v>
                </c:pt>
                <c:pt idx="4">
                  <c:v>-135</c:v>
                </c:pt>
                <c:pt idx="5">
                  <c:v>-75</c:v>
                </c:pt>
                <c:pt idx="6">
                  <c:v>-15</c:v>
                </c:pt>
                <c:pt idx="7">
                  <c:v>0</c:v>
                </c:pt>
                <c:pt idx="8">
                  <c:v>15</c:v>
                </c:pt>
              </c:numCache>
            </c:numRef>
          </c:val>
        </c:ser>
        <c:marker val="1"/>
        <c:axId val="99050240"/>
        <c:axId val="99051776"/>
      </c:lineChart>
      <c:catAx>
        <c:axId val="99050240"/>
        <c:scaling>
          <c:orientation val="minMax"/>
        </c:scaling>
        <c:axPos val="b"/>
        <c:numFmt formatCode="General" sourceLinked="1"/>
        <c:majorTickMark val="none"/>
        <c:tickLblPos val="low"/>
        <c:crossAx val="99051776"/>
        <c:crosses val="autoZero"/>
        <c:auto val="1"/>
        <c:lblAlgn val="ctr"/>
        <c:lblOffset val="100"/>
      </c:catAx>
      <c:valAx>
        <c:axId val="99051776"/>
        <c:scaling>
          <c:orientation val="minMax"/>
          <c:min val="-500"/>
        </c:scaling>
        <c:axPos val="l"/>
        <c:majorGridlines/>
        <c:numFmt formatCode="General" sourceLinked="1"/>
        <c:tickLblPos val="nextTo"/>
        <c:crossAx val="99050240"/>
        <c:crosses val="autoZero"/>
        <c:crossBetween val="between"/>
      </c:valAx>
    </c:plotArea>
    <c:legend>
      <c:legendPos val="r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BB6A0-066D-474D-8D3C-55DCF8B0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25</Pages>
  <Words>8098</Words>
  <Characters>46161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ahatova</dc:creator>
  <cp:lastModifiedBy>ahatova</cp:lastModifiedBy>
  <cp:revision>18</cp:revision>
  <cp:lastPrinted>2018-04-28T02:50:00Z</cp:lastPrinted>
  <dcterms:created xsi:type="dcterms:W3CDTF">2018-04-24T11:15:00Z</dcterms:created>
  <dcterms:modified xsi:type="dcterms:W3CDTF">2018-04-28T04:38:00Z</dcterms:modified>
</cp:coreProperties>
</file>