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44" w:rsidRDefault="00020313" w:rsidP="003D4344">
      <w:pPr>
        <w:pStyle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3D4344">
        <w:rPr>
          <w:sz w:val="24"/>
          <w:szCs w:val="24"/>
        </w:rPr>
        <w:t xml:space="preserve">тчет о проведении оценки регулирующего воздействия проекта </w:t>
      </w:r>
    </w:p>
    <w:p w:rsidR="003D4344" w:rsidRDefault="003D4344" w:rsidP="003D4344">
      <w:pPr>
        <w:pStyle w:val="1"/>
        <w:rPr>
          <w:sz w:val="24"/>
          <w:szCs w:val="24"/>
        </w:rPr>
      </w:pPr>
      <w:r>
        <w:rPr>
          <w:sz w:val="24"/>
          <w:szCs w:val="24"/>
        </w:rPr>
        <w:t>нормативно-правового акта</w:t>
      </w:r>
    </w:p>
    <w:p w:rsidR="003D4344" w:rsidRDefault="003D4344" w:rsidP="003D4344">
      <w:pPr>
        <w:ind w:left="426"/>
        <w:jc w:val="both"/>
        <w:rPr>
          <w:sz w:val="28"/>
          <w:szCs w:val="28"/>
        </w:rPr>
      </w:pPr>
    </w:p>
    <w:p w:rsidR="003D4344" w:rsidRDefault="003D4344" w:rsidP="003D4344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Общая информация</w:t>
      </w:r>
    </w:p>
    <w:p w:rsidR="003D4344" w:rsidRDefault="003D4344" w:rsidP="00DA2F2F">
      <w:pPr>
        <w:ind w:firstLine="425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1.1. О</w:t>
      </w:r>
      <w:r>
        <w:rPr>
          <w:sz w:val="24"/>
          <w:szCs w:val="24"/>
          <w:lang w:eastAsia="ru-RU"/>
        </w:rPr>
        <w:t xml:space="preserve">рган – разработчик проекта нормативного правового акта (далее – разработчик): </w:t>
      </w:r>
      <w:r w:rsidRPr="00DA2F2F">
        <w:rPr>
          <w:sz w:val="24"/>
          <w:szCs w:val="24"/>
          <w:u w:val="single"/>
        </w:rPr>
        <w:t>______</w:t>
      </w:r>
      <w:r w:rsidR="00DA2F2F" w:rsidRPr="00DA2F2F">
        <w:rPr>
          <w:sz w:val="24"/>
          <w:szCs w:val="24"/>
          <w:u w:val="single"/>
        </w:rPr>
        <w:t>_____Управление экономики администрации Карабашского городского округа_______</w:t>
      </w:r>
    </w:p>
    <w:p w:rsidR="0083544B" w:rsidRPr="00DA2F2F" w:rsidRDefault="0083544B" w:rsidP="00DA2F2F">
      <w:pPr>
        <w:ind w:firstLine="425"/>
        <w:jc w:val="center"/>
        <w:rPr>
          <w:sz w:val="24"/>
          <w:szCs w:val="24"/>
          <w:u w:val="single"/>
        </w:rPr>
      </w:pPr>
    </w:p>
    <w:p w:rsidR="003D4344" w:rsidRDefault="003D4344" w:rsidP="003D4344">
      <w:pPr>
        <w:ind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  <w:lang w:eastAsia="ru-RU"/>
        </w:rPr>
        <w:t xml:space="preserve">Вид и наименование проекта нормативного правового акта: </w:t>
      </w:r>
    </w:p>
    <w:p w:rsidR="00DA2F2F" w:rsidRDefault="00DA2F2F" w:rsidP="003D434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 администрации Карабашского городского округа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округа».</w:t>
      </w:r>
    </w:p>
    <w:p w:rsidR="0083544B" w:rsidRDefault="0083544B" w:rsidP="003D4344">
      <w:pPr>
        <w:ind w:firstLine="425"/>
        <w:jc w:val="both"/>
        <w:rPr>
          <w:sz w:val="24"/>
          <w:szCs w:val="24"/>
          <w:lang w:eastAsia="ru-RU"/>
        </w:rPr>
      </w:pPr>
    </w:p>
    <w:p w:rsidR="003D4344" w:rsidRDefault="003D4344" w:rsidP="003D434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Основание для разработки проекта нормативного правового акта: </w:t>
      </w:r>
    </w:p>
    <w:p w:rsidR="00DA2F2F" w:rsidRDefault="00DA2F2F" w:rsidP="003D434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A2F2F">
        <w:rPr>
          <w:sz w:val="24"/>
          <w:szCs w:val="24"/>
        </w:rPr>
        <w:t>т.16 ФЗ от 22.11.1995г. № 171-ФЗ «О государственном регулировании производства и оборота этилового спирта, алкогольной и спиртосодержащей продукции»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Постановление Правительства РФ от 27.12.2012г. № 1425 </w:t>
      </w:r>
      <w:r w:rsidRPr="00DA2F2F">
        <w:rPr>
          <w:sz w:val="24"/>
          <w:szCs w:val="24"/>
        </w:rPr>
        <w:t>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 не допускается розничная продажа алкогольной продукции»</w:t>
      </w:r>
      <w:r w:rsidR="00215DA9">
        <w:rPr>
          <w:sz w:val="24"/>
          <w:szCs w:val="24"/>
        </w:rPr>
        <w:t>.</w:t>
      </w:r>
      <w:proofErr w:type="gramEnd"/>
    </w:p>
    <w:p w:rsidR="0083544B" w:rsidRPr="00DA2F2F" w:rsidRDefault="0083544B" w:rsidP="003D4344">
      <w:pPr>
        <w:ind w:firstLine="425"/>
        <w:jc w:val="both"/>
        <w:rPr>
          <w:sz w:val="24"/>
          <w:szCs w:val="24"/>
        </w:rPr>
      </w:pPr>
    </w:p>
    <w:p w:rsidR="00215DA9" w:rsidRDefault="003D4344" w:rsidP="003D4344">
      <w:pPr>
        <w:tabs>
          <w:tab w:val="left" w:pos="5896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Предполагаемая дата вступления в силу нормативного правового акта: </w:t>
      </w:r>
      <w:r w:rsidR="00215DA9">
        <w:rPr>
          <w:sz w:val="24"/>
          <w:szCs w:val="24"/>
        </w:rPr>
        <w:t>со дня издания НПА</w:t>
      </w:r>
    </w:p>
    <w:p w:rsidR="0083544B" w:rsidRDefault="0083544B" w:rsidP="003D4344">
      <w:pPr>
        <w:tabs>
          <w:tab w:val="left" w:pos="5896"/>
        </w:tabs>
        <w:ind w:firstLine="425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1.5. Контактная информация исполнителя разработчика: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Ф.И.О.: </w:t>
      </w:r>
      <w:r w:rsidR="00215DA9">
        <w:rPr>
          <w:sz w:val="24"/>
          <w:szCs w:val="24"/>
        </w:rPr>
        <w:t>Ахатова Алла Гараф</w:t>
      </w:r>
      <w:r w:rsidR="00DB68F3">
        <w:rPr>
          <w:sz w:val="24"/>
          <w:szCs w:val="24"/>
        </w:rPr>
        <w:t>и</w:t>
      </w:r>
      <w:r w:rsidR="00215DA9">
        <w:rPr>
          <w:sz w:val="24"/>
          <w:szCs w:val="24"/>
        </w:rPr>
        <w:t>евна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 w:rsidR="00215DA9">
        <w:rPr>
          <w:sz w:val="24"/>
          <w:szCs w:val="24"/>
        </w:rPr>
        <w:t>начальник Управления экономики администрации Карабашского городского округа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Тел: </w:t>
      </w:r>
      <w:r w:rsidR="00215DA9">
        <w:rPr>
          <w:sz w:val="24"/>
          <w:szCs w:val="24"/>
        </w:rPr>
        <w:t>8(35153)2-49-23</w:t>
      </w:r>
    </w:p>
    <w:p w:rsidR="003D4344" w:rsidRPr="00215DA9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 w:rsidR="00215DA9">
        <w:rPr>
          <w:sz w:val="24"/>
          <w:szCs w:val="24"/>
          <w:lang w:val="en-US"/>
        </w:rPr>
        <w:t>mbiz</w:t>
      </w:r>
      <w:proofErr w:type="spellEnd"/>
      <w:r w:rsidR="00215DA9" w:rsidRPr="00215DA9">
        <w:rPr>
          <w:sz w:val="24"/>
          <w:szCs w:val="24"/>
        </w:rPr>
        <w:t>_</w:t>
      </w:r>
      <w:r w:rsidR="00215DA9">
        <w:rPr>
          <w:sz w:val="24"/>
          <w:szCs w:val="24"/>
          <w:lang w:val="en-US"/>
        </w:rPr>
        <w:t>karabash</w:t>
      </w:r>
      <w:r w:rsidR="00215DA9" w:rsidRPr="00215DA9">
        <w:rPr>
          <w:sz w:val="24"/>
          <w:szCs w:val="24"/>
        </w:rPr>
        <w:t>@</w:t>
      </w:r>
      <w:r w:rsidR="00215DA9">
        <w:rPr>
          <w:sz w:val="24"/>
          <w:szCs w:val="24"/>
          <w:lang w:val="en-US"/>
        </w:rPr>
        <w:t>mail</w:t>
      </w:r>
      <w:r w:rsidR="00215DA9" w:rsidRPr="00215DA9">
        <w:rPr>
          <w:sz w:val="24"/>
          <w:szCs w:val="24"/>
        </w:rPr>
        <w:t>.</w:t>
      </w:r>
      <w:r w:rsidR="00215DA9">
        <w:rPr>
          <w:sz w:val="24"/>
          <w:szCs w:val="24"/>
          <w:lang w:val="en-US"/>
        </w:rPr>
        <w:t>ru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Степень регулирующего воздействия проекта акта</w:t>
      </w:r>
    </w:p>
    <w:p w:rsidR="0083544B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 Степень регулирующего воздействия проекта акта (</w:t>
      </w:r>
      <w:r>
        <w:rPr>
          <w:i/>
          <w:sz w:val="24"/>
          <w:szCs w:val="24"/>
        </w:rPr>
        <w:t>высокая, средняя, низкая</w:t>
      </w:r>
      <w:r>
        <w:rPr>
          <w:sz w:val="24"/>
          <w:szCs w:val="24"/>
        </w:rPr>
        <w:t>)</w:t>
      </w:r>
      <w:r w:rsidR="0083544B">
        <w:rPr>
          <w:sz w:val="24"/>
          <w:szCs w:val="24"/>
        </w:rPr>
        <w:t>:</w:t>
      </w:r>
    </w:p>
    <w:p w:rsidR="0083544B" w:rsidRDefault="0083544B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средняя;</w:t>
      </w:r>
      <w:r w:rsidR="003D4344">
        <w:rPr>
          <w:sz w:val="24"/>
          <w:szCs w:val="24"/>
        </w:rPr>
        <w:t xml:space="preserve"> </w:t>
      </w:r>
    </w:p>
    <w:p w:rsidR="0083544B" w:rsidRDefault="0083544B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 Обоснование   отнесения   проекта   акта  к  определенной  степени регулирующего воздействия</w:t>
      </w:r>
      <w:r w:rsidR="00A9093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3544B" w:rsidRDefault="00A90937" w:rsidP="003D4344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83544B">
        <w:rPr>
          <w:sz w:val="24"/>
          <w:szCs w:val="24"/>
        </w:rPr>
        <w:t>роект НПА содержит положения</w:t>
      </w:r>
      <w:r>
        <w:rPr>
          <w:sz w:val="24"/>
          <w:szCs w:val="24"/>
        </w:rPr>
        <w:t>, изменяющие ранее предусмотренные НПА Карабашского городского округа обязанности для субъектов предпринимательской деятельности, а также изменяющие ранее установленную ответственность за нарушение НПА Карабашского городского округа, затрагивающих вопросы осуществления предпринимательской деятельности.</w:t>
      </w:r>
      <w:proofErr w:type="gramEnd"/>
    </w:p>
    <w:p w:rsidR="00A90937" w:rsidRDefault="00A90937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Описание проблемы, на решение которой </w:t>
      </w:r>
      <w:proofErr w:type="gramStart"/>
      <w:r>
        <w:rPr>
          <w:b/>
          <w:sz w:val="24"/>
          <w:szCs w:val="24"/>
        </w:rPr>
        <w:t>направлен</w:t>
      </w:r>
      <w:proofErr w:type="gramEnd"/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предлагаемый способ регулирования, оценка негативных эффектов,</w:t>
      </w:r>
    </w:p>
    <w:p w:rsidR="003D4344" w:rsidRDefault="003D4344" w:rsidP="003D4344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возникающих</w:t>
      </w:r>
      <w:proofErr w:type="gramEnd"/>
      <w:r>
        <w:rPr>
          <w:b/>
          <w:sz w:val="24"/>
          <w:szCs w:val="24"/>
        </w:rPr>
        <w:t xml:space="preserve"> в связи с наличием рассматриваемой проблемы</w:t>
      </w:r>
    </w:p>
    <w:p w:rsidR="003D4344" w:rsidRPr="00FE56FC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 Описание  проблемы,  на  решение  которой  направлен  предлагаемый способ регулирования, условий и факторов ее существования:</w:t>
      </w:r>
    </w:p>
    <w:p w:rsidR="00DB542E" w:rsidRPr="00DB542E" w:rsidRDefault="00DB542E" w:rsidP="00DB542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 w:val="24"/>
          <w:szCs w:val="24"/>
          <w:lang w:eastAsia="ru-RU"/>
        </w:rPr>
      </w:pPr>
      <w:proofErr w:type="gramStart"/>
      <w:r w:rsidRPr="00DB542E">
        <w:rPr>
          <w:rFonts w:cs="Arial"/>
          <w:sz w:val="24"/>
          <w:szCs w:val="24"/>
          <w:lang w:eastAsia="ru-RU"/>
        </w:rPr>
        <w:t xml:space="preserve">Принятие проекта правового акта будет способствовать решению проблем, связанных с пресечением нарушений в сфере розничной продажи алкогольной продукции, а также со снижением уровня алкоголизации населения, снижения уровня преступности, увеличения </w:t>
      </w:r>
      <w:r w:rsidRPr="00DB542E">
        <w:rPr>
          <w:rFonts w:cs="Arial"/>
          <w:sz w:val="24"/>
          <w:szCs w:val="24"/>
          <w:lang w:eastAsia="ru-RU"/>
        </w:rPr>
        <w:lastRenderedPageBreak/>
        <w:t>продолжительности жизни населения, сокращения уровня смертности, формирование стимулов к здоровому образу жизни и как следствие, снижение криминогенной обстановки на территории городского округа.</w:t>
      </w:r>
      <w:proofErr w:type="gramEnd"/>
    </w:p>
    <w:p w:rsidR="00DB542E" w:rsidRDefault="00DB542E" w:rsidP="00DB542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color w:val="000000"/>
          <w:sz w:val="24"/>
          <w:szCs w:val="24"/>
          <w:lang w:eastAsia="ru-RU"/>
        </w:rPr>
      </w:pPr>
      <w:r w:rsidRPr="00DB542E">
        <w:rPr>
          <w:rFonts w:cs="Arial"/>
          <w:sz w:val="24"/>
          <w:szCs w:val="24"/>
          <w:lang w:eastAsia="ru-RU"/>
        </w:rPr>
        <w:t xml:space="preserve">Установление границ территорий, прилегающих к некоторым организациям и объектам, на которых не допускается розничная продажа алкогольной продукции, </w:t>
      </w:r>
      <w:r w:rsidRPr="00DB542E">
        <w:rPr>
          <w:rFonts w:cs="Arial"/>
          <w:color w:val="000000"/>
          <w:sz w:val="24"/>
          <w:szCs w:val="24"/>
          <w:lang w:eastAsia="ru-RU"/>
        </w:rPr>
        <w:t>позволит оградить посетителей этих организаций, в первую очередь детей и школьников, от негативного влияния алкоголя.</w:t>
      </w:r>
    </w:p>
    <w:p w:rsidR="00B16C29" w:rsidRPr="0028165B" w:rsidRDefault="00B16C29" w:rsidP="00DB542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 w:val="24"/>
          <w:szCs w:val="24"/>
          <w:u w:val="single"/>
          <w:lang w:eastAsia="ru-RU"/>
        </w:rPr>
      </w:pPr>
    </w:p>
    <w:p w:rsidR="00A65909" w:rsidRPr="00A65909" w:rsidRDefault="00A65909" w:rsidP="00A65909">
      <w:pPr>
        <w:rPr>
          <w:sz w:val="24"/>
          <w:szCs w:val="24"/>
        </w:rPr>
      </w:pPr>
      <w:r w:rsidRPr="00A65909">
        <w:rPr>
          <w:sz w:val="24"/>
          <w:szCs w:val="24"/>
        </w:rPr>
        <w:t xml:space="preserve">       </w:t>
      </w:r>
      <w:r w:rsidR="003D4344">
        <w:rPr>
          <w:sz w:val="24"/>
          <w:szCs w:val="24"/>
        </w:rPr>
        <w:t xml:space="preserve">3.2. Негативные эффекты, возникающие в связи с наличием проблемы: </w:t>
      </w:r>
    </w:p>
    <w:p w:rsidR="00A65909" w:rsidRPr="00A65909" w:rsidRDefault="00A65909" w:rsidP="00A65909">
      <w:pPr>
        <w:jc w:val="center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>н</w:t>
      </w:r>
      <w:r w:rsidRPr="00A65909">
        <w:rPr>
          <w:sz w:val="24"/>
          <w:szCs w:val="24"/>
          <w:lang w:eastAsia="ru-RU"/>
        </w:rPr>
        <w:t>еконтролируемая продажа алкогольной продукции в неустановленных местах</w:t>
      </w:r>
      <w:r>
        <w:rPr>
          <w:sz w:val="16"/>
          <w:szCs w:val="16"/>
          <w:lang w:eastAsia="ru-RU"/>
        </w:rPr>
        <w:t>.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193D21">
        <w:rPr>
          <w:sz w:val="24"/>
          <w:szCs w:val="24"/>
        </w:rPr>
        <w:t xml:space="preserve"> исполнение с</w:t>
      </w:r>
      <w:r w:rsidR="00193D21" w:rsidRPr="00DA2F2F">
        <w:rPr>
          <w:sz w:val="24"/>
          <w:szCs w:val="24"/>
        </w:rPr>
        <w:t>т.16 ФЗ от 22.11.1995г. № 171-ФЗ «О государственном регулировании производства и оборота этилового спирта, алкогольной и спиртосодержащей продукции»</w:t>
      </w:r>
      <w:r w:rsidR="00527B47">
        <w:rPr>
          <w:sz w:val="24"/>
          <w:szCs w:val="24"/>
        </w:rPr>
        <w:t>.</w:t>
      </w:r>
    </w:p>
    <w:p w:rsidR="00947D24" w:rsidRDefault="00947D24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Описание  условий,  при которых проблема может быть решена в целом без вмешательства со стороны государства: </w:t>
      </w:r>
    </w:p>
    <w:p w:rsidR="001B0D07" w:rsidRPr="001B0D07" w:rsidRDefault="001B0D07" w:rsidP="00D226EE">
      <w:pPr>
        <w:ind w:firstLine="426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>Решение проблемы не может быть решена без вмешательства ОМСУ.</w:t>
      </w:r>
      <w:r w:rsidR="00D226EE">
        <w:rPr>
          <w:sz w:val="24"/>
          <w:szCs w:val="24"/>
        </w:rPr>
        <w:t xml:space="preserve"> В условиях рыночных отношений хозяйствующие субъекты </w:t>
      </w:r>
      <w:r w:rsidRPr="001B0D07">
        <w:rPr>
          <w:rFonts w:ascii="yandex-sans" w:hAnsi="yandex-sans"/>
          <w:color w:val="000000"/>
          <w:sz w:val="23"/>
          <w:szCs w:val="23"/>
          <w:lang w:eastAsia="ru-RU"/>
        </w:rPr>
        <w:t>ориентированы в первую очередь на получение прибыли и пространственно</w:t>
      </w:r>
      <w:r w:rsidR="00D226E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B0D07">
        <w:rPr>
          <w:rFonts w:ascii="yandex-sans" w:hAnsi="yandex-sans"/>
          <w:color w:val="000000"/>
          <w:sz w:val="23"/>
          <w:szCs w:val="23"/>
          <w:lang w:eastAsia="ru-RU"/>
        </w:rPr>
        <w:t>организуют торговую деятельность в местах с высокой проходимостью</w:t>
      </w:r>
    </w:p>
    <w:p w:rsidR="00D226EE" w:rsidRDefault="001B0D07" w:rsidP="00D226EE">
      <w:pPr>
        <w:jc w:val="both"/>
        <w:rPr>
          <w:sz w:val="24"/>
          <w:szCs w:val="24"/>
        </w:rPr>
      </w:pPr>
      <w:r w:rsidRPr="001B0D07">
        <w:rPr>
          <w:rFonts w:ascii="yandex-sans" w:hAnsi="yandex-sans"/>
          <w:color w:val="000000"/>
          <w:sz w:val="23"/>
          <w:szCs w:val="23"/>
          <w:lang w:eastAsia="ru-RU"/>
        </w:rPr>
        <w:t>потенциальных покупателей, и чаще всего это места рядом с социально</w:t>
      </w:r>
      <w:r w:rsidRPr="001B0D07">
        <w:rPr>
          <w:rFonts w:ascii="yandex-sans" w:hAnsi="yandex-sans"/>
          <w:color w:val="000000"/>
          <w:sz w:val="23"/>
          <w:szCs w:val="23"/>
          <w:lang w:eastAsia="ru-RU"/>
        </w:rPr>
        <w:softHyphen/>
      </w:r>
      <w:r w:rsidR="00D226EE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1B0D07">
        <w:rPr>
          <w:rFonts w:ascii="yandex-sans" w:hAnsi="yandex-sans"/>
          <w:color w:val="000000"/>
          <w:sz w:val="23"/>
          <w:szCs w:val="23"/>
          <w:lang w:eastAsia="ru-RU"/>
        </w:rPr>
        <w:t>значимыми и культурными центрами населенных пунктов.</w:t>
      </w:r>
      <w:r w:rsidR="00D226EE">
        <w:rPr>
          <w:rFonts w:ascii="yandex-sans" w:hAnsi="yandex-sans"/>
          <w:color w:val="000000"/>
          <w:sz w:val="23"/>
          <w:szCs w:val="23"/>
          <w:lang w:eastAsia="ru-RU"/>
        </w:rPr>
        <w:t xml:space="preserve"> Поэтому ограничить розничную продажу алкогольной продукции вблизи школ, больниц и других социально значимых организаций можно только путем установления границ прилегающих территорий, на которых не допускается розничная продажа алкогольной продукции. </w:t>
      </w:r>
      <w:proofErr w:type="gramStart"/>
      <w:r w:rsidR="00D226EE" w:rsidRPr="00D226EE">
        <w:rPr>
          <w:rFonts w:ascii="yandex-sans" w:hAnsi="yandex-sans"/>
          <w:color w:val="000000"/>
          <w:sz w:val="23"/>
          <w:szCs w:val="23"/>
          <w:lang w:eastAsia="ru-RU"/>
        </w:rPr>
        <w:t>Обязанность установления границ прилегающих территорий, на</w:t>
      </w:r>
      <w:r w:rsidR="00D226EE">
        <w:rPr>
          <w:rFonts w:ascii="yandex-sans" w:hAnsi="yandex-sans"/>
          <w:color w:val="000000"/>
          <w:sz w:val="23"/>
          <w:szCs w:val="23"/>
          <w:lang w:eastAsia="ru-RU"/>
        </w:rPr>
        <w:t xml:space="preserve"> которых не допускается розничная продажа алкогольной продукции возложена на ОМСУ </w:t>
      </w:r>
      <w:r w:rsidR="00D226EE">
        <w:rPr>
          <w:sz w:val="24"/>
          <w:szCs w:val="24"/>
        </w:rPr>
        <w:t xml:space="preserve">Постановлением Правительства РФ от 27.12.2012г. № 1425 </w:t>
      </w:r>
      <w:r w:rsidR="00D226EE" w:rsidRPr="00DA2F2F">
        <w:rPr>
          <w:sz w:val="24"/>
          <w:szCs w:val="24"/>
        </w:rPr>
        <w:t>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</w:t>
      </w:r>
      <w:proofErr w:type="gramEnd"/>
      <w:r w:rsidR="00D226EE" w:rsidRPr="00DA2F2F">
        <w:rPr>
          <w:sz w:val="24"/>
          <w:szCs w:val="24"/>
        </w:rPr>
        <w:t xml:space="preserve"> объектам территорий, на которых  не допускается розничная продажа алкогольной продукции»</w:t>
      </w:r>
      <w:r w:rsidR="00D226EE">
        <w:rPr>
          <w:sz w:val="24"/>
          <w:szCs w:val="24"/>
        </w:rPr>
        <w:t>.</w:t>
      </w:r>
    </w:p>
    <w:p w:rsidR="00D226EE" w:rsidRPr="00D226EE" w:rsidRDefault="00D226EE" w:rsidP="00D226EE">
      <w:pPr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527B47" w:rsidRDefault="003D4344" w:rsidP="00527B47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9D2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Источники данных: </w:t>
      </w:r>
      <w:proofErr w:type="gramStart"/>
      <w:r w:rsidR="00527B47">
        <w:rPr>
          <w:sz w:val="24"/>
          <w:szCs w:val="24"/>
        </w:rPr>
        <w:t xml:space="preserve">Постановление Правительства РФ от 27.12.2012г. № 1425 </w:t>
      </w:r>
      <w:r w:rsidR="00527B47" w:rsidRPr="00DA2F2F">
        <w:rPr>
          <w:sz w:val="24"/>
          <w:szCs w:val="24"/>
        </w:rPr>
        <w:t>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 не допускается розничная продажа алкогольной продукции»</w:t>
      </w:r>
      <w:r w:rsidR="00527B47">
        <w:rPr>
          <w:sz w:val="24"/>
          <w:szCs w:val="24"/>
        </w:rPr>
        <w:t>.</w:t>
      </w:r>
      <w:proofErr w:type="gramEnd"/>
    </w:p>
    <w:p w:rsidR="009D2167" w:rsidRDefault="009D2167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Цели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2"/>
        <w:gridCol w:w="3838"/>
      </w:tblGrid>
      <w:tr w:rsidR="003D4344" w:rsidTr="003D4344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4.1. Описание целей предлагаемого регулирования, их соотношение с проблемой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4.2. Сроки достижения целей предлагаемого регулирования</w:t>
            </w:r>
          </w:p>
        </w:tc>
      </w:tr>
      <w:tr w:rsidR="003D4344" w:rsidTr="003D4344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A65909">
            <w:pPr>
              <w:spacing w:line="276" w:lineRule="auto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Р</w:t>
            </w:r>
            <w:r w:rsidRPr="00253AAA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253AAA">
              <w:rPr>
                <w:sz w:val="24"/>
                <w:szCs w:val="24"/>
              </w:rPr>
              <w:t xml:space="preserve"> продаж</w:t>
            </w:r>
            <w:r>
              <w:rPr>
                <w:sz w:val="24"/>
                <w:szCs w:val="24"/>
              </w:rPr>
              <w:t>а</w:t>
            </w:r>
            <w:r w:rsidRPr="00253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алкогольной продукции в торговых объектах в соответствии с установленными ограничениями</w:t>
            </w:r>
            <w:r w:rsidR="0083544B">
              <w:rPr>
                <w:sz w:val="24"/>
                <w:szCs w:val="24"/>
              </w:rPr>
              <w:t>;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787E50" w:rsidRDefault="000E3E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87E50">
              <w:rPr>
                <w:sz w:val="24"/>
                <w:szCs w:val="24"/>
              </w:rPr>
              <w:t>постоянно</w:t>
            </w:r>
          </w:p>
        </w:tc>
      </w:tr>
      <w:tr w:rsidR="003D4344" w:rsidTr="003D4344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both"/>
            </w:pPr>
          </w:p>
        </w:tc>
      </w:tr>
    </w:tbl>
    <w:p w:rsidR="003D4344" w:rsidRDefault="003D4344" w:rsidP="003D4344">
      <w:pPr>
        <w:ind w:firstLine="709"/>
        <w:jc w:val="both"/>
        <w:rPr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Описание предлагаемого регулирования и иных возможных способов</w:t>
      </w:r>
      <w:r>
        <w:rPr>
          <w:b/>
          <w:sz w:val="24"/>
          <w:szCs w:val="24"/>
        </w:rPr>
        <w:br/>
        <w:t>решения проблемы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Описание предлагаемого способа решения проблемы и </w:t>
      </w:r>
      <w:r w:rsidR="00DD3571">
        <w:rPr>
          <w:sz w:val="24"/>
          <w:szCs w:val="24"/>
        </w:rPr>
        <w:t>преодоления,</w:t>
      </w:r>
      <w:r>
        <w:rPr>
          <w:sz w:val="24"/>
          <w:szCs w:val="24"/>
        </w:rPr>
        <w:t xml:space="preserve"> связанных с ней негативных эффектов:</w:t>
      </w:r>
    </w:p>
    <w:p w:rsidR="0083544B" w:rsidRDefault="0083544B" w:rsidP="003D4344">
      <w:pPr>
        <w:ind w:firstLine="426"/>
        <w:jc w:val="both"/>
        <w:rPr>
          <w:sz w:val="24"/>
          <w:szCs w:val="24"/>
        </w:rPr>
      </w:pPr>
      <w:r w:rsidRPr="0083544B">
        <w:rPr>
          <w:sz w:val="24"/>
          <w:szCs w:val="24"/>
          <w:lang w:eastAsia="ru-RU"/>
        </w:rPr>
        <w:t xml:space="preserve">Способ регулирования заключается в определении </w:t>
      </w:r>
      <w:r w:rsidRPr="0083544B">
        <w:rPr>
          <w:sz w:val="24"/>
          <w:szCs w:val="24"/>
        </w:rPr>
        <w:t xml:space="preserve">границ прилегающих территорий к некоторым организациям и (или) объектам, на которых не допускается розничная продажа алкогольной продукции на территории </w:t>
      </w:r>
      <w:r>
        <w:rPr>
          <w:sz w:val="24"/>
          <w:szCs w:val="24"/>
        </w:rPr>
        <w:t xml:space="preserve">Карабашского </w:t>
      </w:r>
      <w:r w:rsidRPr="0083544B">
        <w:rPr>
          <w:sz w:val="24"/>
          <w:szCs w:val="24"/>
        </w:rPr>
        <w:t>городского округа</w:t>
      </w:r>
      <w:r>
        <w:rPr>
          <w:sz w:val="24"/>
          <w:szCs w:val="24"/>
        </w:rPr>
        <w:t>.</w:t>
      </w:r>
    </w:p>
    <w:p w:rsidR="0083544B" w:rsidRDefault="0083544B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 w:rsidRPr="0083544B">
        <w:rPr>
          <w:sz w:val="24"/>
          <w:szCs w:val="24"/>
        </w:rPr>
        <w:t>5.2. Описание иных способов решения проблемы (с указанием того, каким образом каждым из способов могла бы быть решена проблема</w:t>
      </w:r>
      <w:r>
        <w:rPr>
          <w:sz w:val="24"/>
          <w:szCs w:val="24"/>
        </w:rPr>
        <w:t>):</w:t>
      </w:r>
    </w:p>
    <w:p w:rsidR="00EA4A92" w:rsidRDefault="00EA4A92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5.3. Обоснование выбора предлагаемого способа решения проблемы:</w:t>
      </w:r>
    </w:p>
    <w:p w:rsidR="0083544B" w:rsidRDefault="0083544B" w:rsidP="0083544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A2F2F">
        <w:rPr>
          <w:sz w:val="24"/>
          <w:szCs w:val="24"/>
        </w:rPr>
        <w:t>т.16 ФЗ от 22.11.1995г. № 171-ФЗ «О государственном регулировании производства и оборота этилового спирта, алкогольной и спиртосодержащей продукции»</w:t>
      </w:r>
      <w:r>
        <w:rPr>
          <w:sz w:val="24"/>
          <w:szCs w:val="24"/>
        </w:rPr>
        <w:t>;</w:t>
      </w:r>
    </w:p>
    <w:p w:rsidR="0083544B" w:rsidRPr="00DA2F2F" w:rsidRDefault="0083544B" w:rsidP="0083544B">
      <w:pPr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 Правительства РФ от 27.12.2012г. № 1425 </w:t>
      </w:r>
      <w:r w:rsidRPr="00DA2F2F">
        <w:rPr>
          <w:sz w:val="24"/>
          <w:szCs w:val="24"/>
        </w:rPr>
        <w:t>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 не допускается розничная продажа алкогольной продукции»</w:t>
      </w:r>
      <w:r>
        <w:rPr>
          <w:sz w:val="24"/>
          <w:szCs w:val="24"/>
        </w:rPr>
        <w:t>.</w:t>
      </w:r>
      <w:proofErr w:type="gramEnd"/>
    </w:p>
    <w:p w:rsidR="003D4344" w:rsidRDefault="003D4344" w:rsidP="003D4344">
      <w:pPr>
        <w:rPr>
          <w:sz w:val="24"/>
          <w:szCs w:val="24"/>
        </w:rPr>
      </w:pPr>
    </w:p>
    <w:p w:rsidR="003D4344" w:rsidRDefault="003D4344" w:rsidP="003D4344">
      <w:pPr>
        <w:ind w:firstLine="709"/>
        <w:jc w:val="both"/>
        <w:rPr>
          <w:sz w:val="24"/>
          <w:szCs w:val="24"/>
        </w:rPr>
      </w:pP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Основные группы субъектов предпринимательской и инвестиционной деятельности, иные заинтересованные лица</w:t>
      </w:r>
      <w:r w:rsidRPr="00DB68F3">
        <w:rPr>
          <w:b/>
          <w:sz w:val="24"/>
          <w:szCs w:val="24"/>
        </w:rPr>
        <w:t>, включая органы местного самоуправления, интересы</w:t>
      </w:r>
      <w:r>
        <w:rPr>
          <w:b/>
          <w:sz w:val="24"/>
          <w:szCs w:val="24"/>
        </w:rPr>
        <w:t xml:space="preserve">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8"/>
        <w:gridCol w:w="3672"/>
      </w:tblGrid>
      <w:tr w:rsidR="003D4344" w:rsidTr="00FE56FC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6.1. Группа участников отношений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6.2. Оценка количества участников отношений</w:t>
            </w:r>
          </w:p>
        </w:tc>
      </w:tr>
      <w:tr w:rsidR="00FE56FC" w:rsidTr="00FE56FC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C" w:rsidRPr="00FE56FC" w:rsidRDefault="00897A42" w:rsidP="00FE56FC">
            <w:pPr>
              <w:spacing w:line="276" w:lineRule="auto"/>
            </w:pPr>
            <w:r>
              <w:t>Хозяйствующие субъекты, основной и дополнительный вид деятельности которых розничная торговля алкогольной продукции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C" w:rsidRDefault="006D5CC7" w:rsidP="006D5CC7">
            <w:pPr>
              <w:spacing w:line="276" w:lineRule="auto"/>
              <w:jc w:val="center"/>
            </w:pPr>
            <w:r>
              <w:t>12</w:t>
            </w:r>
          </w:p>
        </w:tc>
      </w:tr>
      <w:tr w:rsidR="003D4344" w:rsidTr="00FE56FC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Pr="00947D24" w:rsidRDefault="00FE56FC">
            <w:pPr>
              <w:spacing w:line="276" w:lineRule="auto"/>
              <w:jc w:val="both"/>
            </w:pPr>
            <w:r w:rsidRPr="00947D24">
              <w:t>ОМС</w:t>
            </w:r>
            <w:r w:rsidR="006F2DD6">
              <w:t>У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both"/>
            </w:pPr>
          </w:p>
        </w:tc>
      </w:tr>
    </w:tbl>
    <w:p w:rsidR="003D4344" w:rsidRDefault="003D4344" w:rsidP="003D4344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Источники данных: </w:t>
      </w:r>
      <w:r w:rsidR="006D5CC7">
        <w:rPr>
          <w:sz w:val="24"/>
          <w:szCs w:val="24"/>
        </w:rPr>
        <w:t>по результатам опроса торговых предприятий</w:t>
      </w:r>
    </w:p>
    <w:p w:rsidR="003D4344" w:rsidRDefault="003D4344" w:rsidP="003D4344">
      <w:pPr>
        <w:ind w:firstLine="709"/>
        <w:jc w:val="both"/>
        <w:rPr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Новые функции, полномочия, обязанности и права органов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местного самоуправления или сведения об их изменении, 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порядок их реализации</w:t>
      </w:r>
    </w:p>
    <w:p w:rsidR="003D4344" w:rsidRDefault="003D4344" w:rsidP="003D4344">
      <w:pPr>
        <w:jc w:val="center"/>
        <w:rPr>
          <w:b/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6"/>
        <w:gridCol w:w="4392"/>
        <w:gridCol w:w="2125"/>
        <w:gridCol w:w="3615"/>
        <w:gridCol w:w="35"/>
      </w:tblGrid>
      <w:tr w:rsidR="003D4344" w:rsidTr="00FE56FC">
        <w:trPr>
          <w:gridBefore w:val="1"/>
          <w:wBefore w:w="6" w:type="dxa"/>
        </w:trPr>
        <w:tc>
          <w:tcPr>
            <w:tcW w:w="4392" w:type="dxa"/>
            <w:hideMark/>
          </w:tcPr>
          <w:p w:rsidR="003D4344" w:rsidRDefault="003D4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t>7.1 Описание новых или изменения существующих функций, полномочий, обязанностей или прав</w:t>
            </w:r>
          </w:p>
        </w:tc>
        <w:tc>
          <w:tcPr>
            <w:tcW w:w="2125" w:type="dxa"/>
            <w:hideMark/>
          </w:tcPr>
          <w:p w:rsidR="003D4344" w:rsidRDefault="003D4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t>7.2 Порядок реализации</w:t>
            </w:r>
          </w:p>
        </w:tc>
        <w:tc>
          <w:tcPr>
            <w:tcW w:w="3650" w:type="dxa"/>
            <w:gridSpan w:val="2"/>
            <w:hideMark/>
          </w:tcPr>
          <w:p w:rsidR="003D4344" w:rsidRDefault="003D4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t>7.3 Оценка изменения трудозатрат и (или) потребностей в иных ресурсах</w:t>
            </w:r>
          </w:p>
        </w:tc>
      </w:tr>
      <w:tr w:rsidR="00897A42" w:rsidTr="00FE56FC">
        <w:trPr>
          <w:gridBefore w:val="1"/>
          <w:wBefore w:w="6" w:type="dxa"/>
        </w:trPr>
        <w:tc>
          <w:tcPr>
            <w:tcW w:w="10167" w:type="dxa"/>
            <w:gridSpan w:val="4"/>
            <w:hideMark/>
          </w:tcPr>
          <w:p w:rsidR="00897A42" w:rsidRPr="00FE56FC" w:rsidRDefault="00897A42" w:rsidP="00897A42">
            <w:pPr>
              <w:spacing w:line="276" w:lineRule="auto"/>
              <w:jc w:val="center"/>
            </w:pPr>
            <w:r>
              <w:t>Наименование органа: Хозяйствующие субъекты, основной и дополнительный вид деятельности которых розничная торговля алкогольной продукции</w:t>
            </w:r>
          </w:p>
        </w:tc>
      </w:tr>
      <w:tr w:rsidR="00897A42" w:rsidTr="00FE56FC">
        <w:trPr>
          <w:gridBefore w:val="1"/>
          <w:wBefore w:w="6" w:type="dxa"/>
        </w:trPr>
        <w:tc>
          <w:tcPr>
            <w:tcW w:w="4392" w:type="dxa"/>
            <w:tcBorders>
              <w:bottom w:val="single" w:sz="4" w:space="0" w:color="auto"/>
            </w:tcBorders>
          </w:tcPr>
          <w:p w:rsidR="00897A42" w:rsidRPr="00897A42" w:rsidRDefault="00897A42">
            <w:pPr>
              <w:spacing w:line="276" w:lineRule="auto"/>
              <w:jc w:val="center"/>
            </w:pPr>
            <w:r w:rsidRPr="00897A42">
              <w:t>отсутствуют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97A42" w:rsidRPr="00897A42" w:rsidRDefault="00897A42">
            <w:pPr>
              <w:spacing w:line="276" w:lineRule="auto"/>
              <w:jc w:val="center"/>
            </w:pPr>
            <w:r w:rsidRPr="00897A42">
              <w:t>нет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897A42" w:rsidRPr="00897A42" w:rsidRDefault="00897A42">
            <w:pPr>
              <w:spacing w:line="276" w:lineRule="auto"/>
              <w:jc w:val="center"/>
            </w:pPr>
            <w:r w:rsidRPr="00897A42">
              <w:t>нет</w:t>
            </w:r>
          </w:p>
        </w:tc>
      </w:tr>
      <w:tr w:rsidR="00897A42" w:rsidTr="00FE56FC">
        <w:trPr>
          <w:gridBefore w:val="1"/>
          <w:wBefore w:w="6" w:type="dxa"/>
        </w:trPr>
        <w:tc>
          <w:tcPr>
            <w:tcW w:w="10167" w:type="dxa"/>
            <w:gridSpan w:val="4"/>
            <w:hideMark/>
          </w:tcPr>
          <w:p w:rsidR="00897A42" w:rsidRDefault="00897A42" w:rsidP="00FE56FC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Наименование органа: ОМС </w:t>
            </w:r>
          </w:p>
        </w:tc>
      </w:tr>
      <w:tr w:rsidR="00897A42" w:rsidTr="00FE56FC">
        <w:trPr>
          <w:gridAfter w:val="1"/>
          <w:wAfter w:w="35" w:type="dxa"/>
          <w:trHeight w:val="384"/>
        </w:trPr>
        <w:tc>
          <w:tcPr>
            <w:tcW w:w="4398" w:type="dxa"/>
            <w:gridSpan w:val="2"/>
          </w:tcPr>
          <w:p w:rsidR="00897A42" w:rsidRPr="00FE56FC" w:rsidRDefault="00897A42" w:rsidP="001B0D07">
            <w:pPr>
              <w:spacing w:line="276" w:lineRule="auto"/>
              <w:jc w:val="center"/>
            </w:pPr>
            <w:r w:rsidRPr="00897A42">
              <w:t>отсутствуют</w:t>
            </w:r>
          </w:p>
        </w:tc>
        <w:tc>
          <w:tcPr>
            <w:tcW w:w="2125" w:type="dxa"/>
          </w:tcPr>
          <w:p w:rsidR="00897A42" w:rsidRPr="00897A42" w:rsidRDefault="00897A42" w:rsidP="00527B47">
            <w:pPr>
              <w:spacing w:line="276" w:lineRule="auto"/>
              <w:jc w:val="center"/>
            </w:pPr>
            <w:r w:rsidRPr="00897A42">
              <w:t>нет</w:t>
            </w:r>
          </w:p>
        </w:tc>
        <w:tc>
          <w:tcPr>
            <w:tcW w:w="3615" w:type="dxa"/>
          </w:tcPr>
          <w:p w:rsidR="00897A42" w:rsidRPr="00897A42" w:rsidRDefault="00897A42" w:rsidP="00527B47">
            <w:pPr>
              <w:spacing w:line="276" w:lineRule="auto"/>
              <w:jc w:val="center"/>
            </w:pPr>
            <w:r w:rsidRPr="00897A42">
              <w:t>нет</w:t>
            </w:r>
          </w:p>
        </w:tc>
      </w:tr>
    </w:tbl>
    <w:p w:rsidR="003D4344" w:rsidRDefault="003D4344" w:rsidP="003D4344">
      <w:pPr>
        <w:jc w:val="center"/>
        <w:rPr>
          <w:b/>
          <w:sz w:val="16"/>
          <w:szCs w:val="16"/>
        </w:rPr>
      </w:pPr>
    </w:p>
    <w:p w:rsidR="00FE56FC" w:rsidRDefault="003D4344" w:rsidP="003D4344">
      <w:pPr>
        <w:jc w:val="center"/>
      </w:pPr>
      <w:r>
        <w:t xml:space="preserve">      </w:t>
      </w:r>
    </w:p>
    <w:p w:rsidR="00FE56FC" w:rsidRDefault="00FE56FC" w:rsidP="003D4344">
      <w:pPr>
        <w:jc w:val="center"/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>8. Оценка соответствующих расходов (возможных поступлений)</w:t>
      </w:r>
    </w:p>
    <w:p w:rsidR="003D4344" w:rsidRPr="00DB68F3" w:rsidRDefault="003D4344" w:rsidP="003D4344">
      <w:pPr>
        <w:spacing w:after="120"/>
        <w:jc w:val="center"/>
        <w:rPr>
          <w:b/>
          <w:sz w:val="24"/>
          <w:szCs w:val="24"/>
        </w:rPr>
      </w:pPr>
      <w:r w:rsidRPr="00DB68F3">
        <w:rPr>
          <w:b/>
          <w:sz w:val="24"/>
          <w:szCs w:val="24"/>
        </w:rPr>
        <w:t xml:space="preserve">бюджетов бюджетной системы Российской Федерации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4"/>
        <w:gridCol w:w="3326"/>
        <w:gridCol w:w="3180"/>
      </w:tblGrid>
      <w:tr w:rsidR="003D4344" w:rsidTr="00A401E0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 xml:space="preserve">8.1. Наименование новой или изменяемой функции, полномочия, </w:t>
            </w:r>
            <w:r>
              <w:lastRenderedPageBreak/>
              <w:t>обязанности или права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lastRenderedPageBreak/>
              <w:t xml:space="preserve">8.2. Качественное описание расходов и возможных </w:t>
            </w:r>
            <w:r>
              <w:lastRenderedPageBreak/>
              <w:t>поступлений бюджетов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lastRenderedPageBreak/>
              <w:t xml:space="preserve">8.3. Количественная оценка расходов и возможных </w:t>
            </w:r>
            <w:r>
              <w:lastRenderedPageBreak/>
              <w:t>поступлений</w:t>
            </w:r>
          </w:p>
        </w:tc>
      </w:tr>
      <w:tr w:rsidR="003D4344" w:rsidTr="00A401E0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both"/>
            </w:pPr>
            <w:r>
              <w:lastRenderedPageBreak/>
              <w:t xml:space="preserve">8.4. </w:t>
            </w:r>
            <w:r>
              <w:rPr>
                <w:i/>
              </w:rPr>
              <w:t xml:space="preserve">Наименование органа: </w:t>
            </w:r>
            <w:r w:rsidR="00A637EE">
              <w:t>Хозяйствующие субъекты, основной и дополнительный вид деятельности которых розничная торговля алкогольной продукции</w:t>
            </w:r>
          </w:p>
        </w:tc>
      </w:tr>
      <w:tr w:rsidR="00A401E0" w:rsidTr="00A401E0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>
            <w:pPr>
              <w:spacing w:line="276" w:lineRule="auto"/>
              <w:rPr>
                <w:i/>
              </w:rPr>
            </w:pPr>
            <w:r>
              <w:t xml:space="preserve">8.4.1 </w:t>
            </w:r>
            <w:r>
              <w:rPr>
                <w:i/>
              </w:rPr>
              <w:t>Функция № (в соответствии с разделом 7)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>
            <w:pPr>
              <w:spacing w:line="276" w:lineRule="auto"/>
              <w:jc w:val="both"/>
              <w:rPr>
                <w:i/>
              </w:rPr>
            </w:pPr>
            <w:r>
              <w:t xml:space="preserve">8.4.2. Единовременные расходы в ____ </w:t>
            </w:r>
            <w:r>
              <w:rPr>
                <w:i/>
              </w:rPr>
              <w:t>(год возникновения):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Pr="00274B86" w:rsidRDefault="00A401E0" w:rsidP="00776255">
            <w:pPr>
              <w:spacing w:line="276" w:lineRule="auto"/>
              <w:jc w:val="both"/>
            </w:pPr>
            <w:r w:rsidRPr="00274B86">
              <w:rPr>
                <w:lang w:eastAsia="ru-RU"/>
              </w:rPr>
              <w:t>Принятие документа не приведёт к возникновению расходов бюджета города</w:t>
            </w:r>
          </w:p>
        </w:tc>
      </w:tr>
      <w:tr w:rsidR="00A401E0" w:rsidTr="00A40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E0" w:rsidRDefault="00A401E0">
            <w:pPr>
              <w:suppressAutoHyphens w:val="0"/>
              <w:rPr>
                <w:i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Default="00A401E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i/>
              </w:rPr>
            </w:pPr>
            <w:r>
              <w:t>8.4.3. Периодические расходы за период</w:t>
            </w:r>
            <w:r>
              <w:rPr>
                <w:i/>
              </w:rPr>
              <w:t xml:space="preserve"> _______ </w:t>
            </w:r>
            <w:r>
              <w:t>годов:</w:t>
            </w:r>
          </w:p>
          <w:p w:rsidR="00A401E0" w:rsidRDefault="00A401E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Pr="00274B86" w:rsidRDefault="00A401E0" w:rsidP="00776255">
            <w:pPr>
              <w:spacing w:line="276" w:lineRule="auto"/>
              <w:jc w:val="both"/>
            </w:pPr>
            <w:r w:rsidRPr="00274B86">
              <w:rPr>
                <w:lang w:eastAsia="ru-RU"/>
              </w:rPr>
              <w:t>Принятие документа не приведёт к возникновению расходов бюджета города</w:t>
            </w:r>
          </w:p>
        </w:tc>
      </w:tr>
      <w:tr w:rsidR="00A401E0" w:rsidTr="00A40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E0" w:rsidRDefault="00A401E0">
            <w:pPr>
              <w:suppressAutoHyphens w:val="0"/>
              <w:rPr>
                <w:i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Default="00A401E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8.4.4. Возможные поступления за период _________ годов:</w:t>
            </w:r>
          </w:p>
          <w:p w:rsidR="00A401E0" w:rsidRDefault="00A401E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Pr="00274B86" w:rsidRDefault="00A401E0" w:rsidP="00776255">
            <w:pPr>
              <w:spacing w:line="276" w:lineRule="auto"/>
              <w:jc w:val="both"/>
            </w:pPr>
            <w:r w:rsidRPr="00274B86">
              <w:rPr>
                <w:lang w:eastAsia="ru-RU"/>
              </w:rPr>
              <w:t>Принятие документа не приведёт к возникновению расходов бюджета города</w:t>
            </w:r>
          </w:p>
        </w:tc>
      </w:tr>
      <w:tr w:rsidR="00A401E0" w:rsidTr="00A401E0"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>
            <w:pPr>
              <w:spacing w:line="276" w:lineRule="auto"/>
              <w:jc w:val="both"/>
            </w:pPr>
            <w:r>
              <w:t>8.5. Итого единовременные расходы: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Pr="00274B86" w:rsidRDefault="00A401E0">
            <w:pPr>
              <w:spacing w:line="276" w:lineRule="auto"/>
              <w:jc w:val="both"/>
            </w:pPr>
            <w:r w:rsidRPr="00274B86">
              <w:t>отсутствуют</w:t>
            </w:r>
          </w:p>
        </w:tc>
      </w:tr>
      <w:tr w:rsidR="00A401E0" w:rsidTr="00A401E0"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>
            <w:pPr>
              <w:spacing w:line="276" w:lineRule="auto"/>
              <w:jc w:val="both"/>
            </w:pPr>
            <w:r>
              <w:t>8.6. Итого периодические расходы за год: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Pr="00274B86" w:rsidRDefault="00A401E0">
            <w:r w:rsidRPr="00274B86">
              <w:t>отсутствуют</w:t>
            </w:r>
          </w:p>
        </w:tc>
      </w:tr>
      <w:tr w:rsidR="00A401E0" w:rsidTr="00A401E0"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>
            <w:pPr>
              <w:spacing w:line="276" w:lineRule="auto"/>
              <w:jc w:val="both"/>
            </w:pPr>
            <w:r>
              <w:t>8.7. Итого возможные поступления за год: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Pr="00274B86" w:rsidRDefault="00A401E0">
            <w:r w:rsidRPr="00274B86">
              <w:t>отсутствуют</w:t>
            </w:r>
          </w:p>
        </w:tc>
      </w:tr>
      <w:tr w:rsidR="00A401E0" w:rsidTr="00A401E0"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>
            <w:pPr>
              <w:spacing w:line="276" w:lineRule="auto"/>
              <w:jc w:val="both"/>
            </w:pPr>
            <w:r>
              <w:t>8.8. Иные сведения о  расходах  (возможных  поступлениях)  бюджетов бюджетной системы Российской Федерации: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Pr="00274B86" w:rsidRDefault="00A401E0">
            <w:r w:rsidRPr="00274B86">
              <w:t>отсутствуют</w:t>
            </w:r>
          </w:p>
        </w:tc>
      </w:tr>
      <w:tr w:rsidR="00A401E0" w:rsidTr="00A401E0"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>
            <w:pPr>
              <w:spacing w:line="276" w:lineRule="auto"/>
              <w:jc w:val="both"/>
            </w:pPr>
            <w:r>
              <w:t>8.9. Источники данных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Pr="00274B86" w:rsidRDefault="00A401E0">
            <w:r w:rsidRPr="00274B86">
              <w:t>отсутствуют</w:t>
            </w:r>
          </w:p>
        </w:tc>
      </w:tr>
    </w:tbl>
    <w:p w:rsidR="003D4344" w:rsidRDefault="003D4344" w:rsidP="003D4344">
      <w:pPr>
        <w:ind w:firstLine="709"/>
        <w:jc w:val="both"/>
        <w:rPr>
          <w:sz w:val="16"/>
          <w:szCs w:val="16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Новые преимущества, а также обязанности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субъектов </w:t>
      </w:r>
      <w:proofErr w:type="gramStart"/>
      <w:r>
        <w:rPr>
          <w:b/>
          <w:sz w:val="24"/>
          <w:szCs w:val="24"/>
        </w:rPr>
        <w:t>предпринимательской</w:t>
      </w:r>
      <w:proofErr w:type="gramEnd"/>
      <w:r>
        <w:rPr>
          <w:b/>
          <w:sz w:val="24"/>
          <w:szCs w:val="24"/>
        </w:rPr>
        <w:t xml:space="preserve"> и инвестиционной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либо изменение содержания </w:t>
      </w:r>
      <w:proofErr w:type="gramStart"/>
      <w:r>
        <w:rPr>
          <w:b/>
          <w:sz w:val="24"/>
          <w:szCs w:val="24"/>
        </w:rPr>
        <w:t>существующих</w:t>
      </w:r>
      <w:proofErr w:type="gramEnd"/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обязанностей, а также порядок организации их исполнения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3342"/>
        <w:gridCol w:w="3052"/>
      </w:tblGrid>
      <w:tr w:rsidR="003D4344" w:rsidTr="003D434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9.1. Группа участников отношений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 xml:space="preserve">9.2. Описание новых преимуществ и обязанностей или изменения содержания существующих обязанностей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9.3. Порядок организации исполнения обязанностей</w:t>
            </w:r>
          </w:p>
        </w:tc>
      </w:tr>
      <w:tr w:rsidR="003D4344" w:rsidTr="003D434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680B17">
            <w:pPr>
              <w:spacing w:line="276" w:lineRule="auto"/>
              <w:jc w:val="both"/>
              <w:rPr>
                <w:i/>
              </w:rPr>
            </w:pPr>
            <w:r>
              <w:t>Хозяйствующие субъекты, основной и дополнительный вид деятельности которых розничная торговля алкогольной продукции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77625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нет</w:t>
            </w:r>
            <w:r w:rsidR="003D4344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776255" w:rsidRDefault="00776255">
            <w:pPr>
              <w:spacing w:line="276" w:lineRule="auto"/>
              <w:jc w:val="both"/>
            </w:pPr>
            <w:r w:rsidRPr="00776255">
              <w:t>ст.16 ФЗ от 22.11.1995г. № 171-ФЗ «О государственном регулировании производства и оборота этилового спирта, алкогольной и спиртосодержащей продукции»</w:t>
            </w:r>
          </w:p>
        </w:tc>
      </w:tr>
      <w:tr w:rsidR="003D4344" w:rsidTr="003D4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44" w:rsidRDefault="003D4344">
            <w:pPr>
              <w:suppressAutoHyphens w:val="0"/>
              <w:rPr>
                <w:i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 xml:space="preserve">№ </w:t>
            </w:r>
            <w:r>
              <w:rPr>
                <w:lang w:val="en-US"/>
              </w:rPr>
              <w:t>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both"/>
            </w:pPr>
          </w:p>
        </w:tc>
      </w:tr>
    </w:tbl>
    <w:p w:rsidR="003D4344" w:rsidRDefault="003D4344" w:rsidP="003D4344">
      <w:pPr>
        <w:ind w:firstLine="709"/>
        <w:jc w:val="both"/>
        <w:rPr>
          <w:sz w:val="16"/>
          <w:szCs w:val="16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Оценка расходов и доходов субъектов </w:t>
      </w:r>
      <w:proofErr w:type="gramStart"/>
      <w:r>
        <w:rPr>
          <w:b/>
          <w:sz w:val="24"/>
          <w:szCs w:val="24"/>
        </w:rPr>
        <w:t>предпринимательской</w:t>
      </w:r>
      <w:proofErr w:type="gramEnd"/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инвестиционной деятельности, </w:t>
      </w:r>
      <w:proofErr w:type="gramStart"/>
      <w:r>
        <w:rPr>
          <w:b/>
          <w:sz w:val="24"/>
          <w:szCs w:val="24"/>
        </w:rPr>
        <w:t>связанных</w:t>
      </w:r>
      <w:proofErr w:type="gramEnd"/>
      <w:r>
        <w:rPr>
          <w:b/>
          <w:sz w:val="24"/>
          <w:szCs w:val="24"/>
        </w:rPr>
        <w:t xml:space="preserve"> с необходимостью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соблюдения установленных обязанностей либо</w:t>
      </w: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изменением содержания таких обязанностей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20"/>
        <w:gridCol w:w="3284"/>
      </w:tblGrid>
      <w:tr w:rsidR="003D4344" w:rsidTr="003D43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10.1. Группа участников отношений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 xml:space="preserve">10.2. Описание новых или изменения содержания существующих обязанностей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10.3. Описание и оценка видов доходов и расходов</w:t>
            </w:r>
          </w:p>
        </w:tc>
      </w:tr>
      <w:tr w:rsidR="003D4344" w:rsidTr="003D43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2935D6">
            <w:pPr>
              <w:spacing w:line="276" w:lineRule="auto"/>
              <w:jc w:val="center"/>
            </w:pPr>
            <w:r>
              <w:t>Хозяйствующие субъекты, основной и дополнительный вид деятельности которых розничная торговля алкогольной продукции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2935D6">
            <w:pPr>
              <w:spacing w:line="276" w:lineRule="auto"/>
              <w:jc w:val="center"/>
            </w:pPr>
            <w:r>
              <w:t>отсутствуют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C0213F">
            <w:pPr>
              <w:spacing w:line="276" w:lineRule="auto"/>
              <w:jc w:val="center"/>
            </w:pPr>
            <w:r>
              <w:t>отсутствуют</w:t>
            </w:r>
          </w:p>
        </w:tc>
      </w:tr>
      <w:tr w:rsidR="003D4344" w:rsidTr="003D43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center"/>
            </w:pPr>
          </w:p>
        </w:tc>
      </w:tr>
      <w:tr w:rsidR="003D4344" w:rsidTr="003D434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both"/>
            </w:pPr>
            <w:r>
              <w:t>10.4. Источники данных:</w:t>
            </w:r>
          </w:p>
        </w:tc>
      </w:tr>
    </w:tbl>
    <w:p w:rsidR="003D4344" w:rsidRDefault="003D4344" w:rsidP="003D4344">
      <w:pPr>
        <w:ind w:firstLine="709"/>
        <w:jc w:val="both"/>
        <w:rPr>
          <w:sz w:val="16"/>
          <w:szCs w:val="16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Риски решения проблемы предложенным способом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регулирования и риски негативных последствий, а также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методов контроля эффективности избранного способа</w:t>
      </w: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достижения целей регулирования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83"/>
        <w:gridCol w:w="2659"/>
        <w:gridCol w:w="2512"/>
      </w:tblGrid>
      <w:tr w:rsidR="003D4344" w:rsidTr="003D43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lastRenderedPageBreak/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 xml:space="preserve">11.2. </w:t>
            </w:r>
            <w:r>
              <w:t>Оценки</w:t>
            </w:r>
          </w:p>
          <w:p w:rsidR="003D4344" w:rsidRDefault="003D4344">
            <w:pPr>
              <w:spacing w:line="276" w:lineRule="auto"/>
              <w:jc w:val="center"/>
            </w:pPr>
            <w:r>
              <w:t>вероятности</w:t>
            </w:r>
          </w:p>
          <w:p w:rsidR="003D4344" w:rsidRDefault="003D4344">
            <w:pPr>
              <w:spacing w:line="276" w:lineRule="auto"/>
              <w:jc w:val="center"/>
            </w:pPr>
            <w:r>
              <w:t>наступления</w:t>
            </w:r>
          </w:p>
          <w:p w:rsidR="003D4344" w:rsidRDefault="003D4344">
            <w:pPr>
              <w:spacing w:line="276" w:lineRule="auto"/>
              <w:jc w:val="center"/>
            </w:pPr>
            <w:r>
              <w:t>рисков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 xml:space="preserve">11.3. </w:t>
            </w:r>
            <w:r>
              <w:t>Методы контроля</w:t>
            </w:r>
          </w:p>
          <w:p w:rsidR="003D4344" w:rsidRDefault="003D4344">
            <w:pPr>
              <w:spacing w:line="276" w:lineRule="auto"/>
              <w:jc w:val="center"/>
            </w:pPr>
            <w:r>
              <w:t>эффективности</w:t>
            </w:r>
          </w:p>
          <w:p w:rsidR="003D4344" w:rsidRDefault="003D4344">
            <w:pPr>
              <w:spacing w:line="276" w:lineRule="auto"/>
              <w:jc w:val="center"/>
            </w:pPr>
            <w:r>
              <w:t>достижения целей</w:t>
            </w:r>
          </w:p>
          <w:p w:rsidR="003D4344" w:rsidRDefault="003D4344">
            <w:pPr>
              <w:spacing w:line="276" w:lineRule="auto"/>
              <w:jc w:val="center"/>
            </w:pPr>
            <w:r>
              <w:t>регулирования</w:t>
            </w:r>
          </w:p>
          <w:p w:rsidR="003D4344" w:rsidRDefault="003D4344">
            <w:pPr>
              <w:spacing w:line="276" w:lineRule="auto"/>
              <w:jc w:val="center"/>
            </w:pPr>
            <w:r>
              <w:t>избранного способа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 xml:space="preserve">11.4. </w:t>
            </w:r>
            <w:r>
              <w:t>Степень</w:t>
            </w:r>
          </w:p>
          <w:p w:rsidR="003D4344" w:rsidRDefault="003D4344">
            <w:pPr>
              <w:spacing w:line="276" w:lineRule="auto"/>
              <w:jc w:val="center"/>
            </w:pPr>
            <w:r>
              <w:t>контроля</w:t>
            </w:r>
          </w:p>
          <w:p w:rsidR="003D4344" w:rsidRDefault="003D43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рисков</w:t>
            </w:r>
          </w:p>
        </w:tc>
      </w:tr>
      <w:tr w:rsidR="003D4344" w:rsidTr="003D4344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52024C" w:rsidRDefault="0052024C" w:rsidP="0052024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024C">
              <w:t>Несоблюдение основных положений постановления  администрации Карабашского городского округа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A02E9B" w:rsidRDefault="0052024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A02E9B">
              <w:t>средняя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A02E9B" w:rsidRDefault="0052024C" w:rsidP="00B066F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A02E9B">
              <w:t xml:space="preserve">Осуществление </w:t>
            </w:r>
            <w:r w:rsidR="00B066F1" w:rsidRPr="00A02E9B">
              <w:t xml:space="preserve">лицензионного </w:t>
            </w:r>
            <w:r w:rsidRPr="00A02E9B">
              <w:t>контроля</w:t>
            </w:r>
          </w:p>
          <w:p w:rsidR="00B066F1" w:rsidRPr="00A02E9B" w:rsidRDefault="00B066F1" w:rsidP="00B066F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A02E9B">
              <w:t>за розничной продажей алкогольной продукции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52024C" w:rsidRDefault="0052024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52024C">
              <w:t>низкая</w:t>
            </w:r>
          </w:p>
        </w:tc>
      </w:tr>
      <w:tr w:rsidR="003D4344" w:rsidTr="003D4344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3D4344" w:rsidTr="003D4344">
        <w:trPr>
          <w:trHeight w:val="5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11.5. Источники данных:</w:t>
            </w:r>
          </w:p>
        </w:tc>
      </w:tr>
    </w:tbl>
    <w:p w:rsidR="003D4344" w:rsidRDefault="003D4344" w:rsidP="003D4344">
      <w:pPr>
        <w:jc w:val="center"/>
        <w:rPr>
          <w:b/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proofErr w:type="gramStart"/>
      <w:r>
        <w:rPr>
          <w:b/>
          <w:sz w:val="24"/>
          <w:szCs w:val="24"/>
        </w:rPr>
        <w:t>Необходимые для достижения заявленных целей</w:t>
      </w:r>
      <w:proofErr w:type="gramEnd"/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регулирования организационно-технические, методологические,</w:t>
      </w:r>
    </w:p>
    <w:p w:rsidR="003D4344" w:rsidRDefault="003D4344" w:rsidP="003D4344">
      <w:pPr>
        <w:spacing w:after="12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информационные и иные мероприятия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1701"/>
        <w:gridCol w:w="1844"/>
        <w:gridCol w:w="1497"/>
        <w:gridCol w:w="2080"/>
      </w:tblGrid>
      <w:tr w:rsidR="003D4344" w:rsidTr="002935D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after="120" w:line="276" w:lineRule="auto"/>
              <w:jc w:val="center"/>
            </w:pPr>
            <w:r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12.2. Сроки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12.3. Описание ожидаемого результата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 xml:space="preserve">12.4.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12.5. Источники финансирования</w:t>
            </w:r>
          </w:p>
        </w:tc>
      </w:tr>
      <w:tr w:rsidR="003722A9" w:rsidTr="002935D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9" w:rsidRPr="0082085F" w:rsidRDefault="003722A9" w:rsidP="00C2080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i/>
              </w:rPr>
            </w:pPr>
            <w:r w:rsidRPr="0082085F">
              <w:rPr>
                <w:i/>
              </w:rPr>
              <w:t xml:space="preserve">Опубликование НПА в </w:t>
            </w:r>
            <w:r w:rsidR="00C20806" w:rsidRPr="0082085F">
              <w:rPr>
                <w:i/>
              </w:rPr>
              <w:t>газете «Карабашский рабочий»</w:t>
            </w:r>
            <w:r w:rsidRPr="0082085F">
              <w:rPr>
                <w:i/>
              </w:rPr>
              <w:t>, на официальном сайте администрации КГО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9" w:rsidRPr="0082085F" w:rsidRDefault="003722A9">
            <w:pPr>
              <w:spacing w:line="276" w:lineRule="auto"/>
              <w:jc w:val="both"/>
            </w:pPr>
            <w:r w:rsidRPr="0082085F">
              <w:t xml:space="preserve">После утверждения проекта постановления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9" w:rsidRPr="0082085F" w:rsidRDefault="003722A9" w:rsidP="00527B47">
            <w:pPr>
              <w:spacing w:line="276" w:lineRule="auto"/>
              <w:jc w:val="both"/>
              <w:rPr>
                <w:i/>
              </w:rPr>
            </w:pPr>
            <w:r w:rsidRPr="0082085F">
              <w:t>Розничная продажа алкогольной продукции в торговых объектах в соответствии с установленными ограничениями;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9" w:rsidRPr="0082085F" w:rsidRDefault="003722A9" w:rsidP="002935D6">
            <w:pPr>
              <w:spacing w:line="276" w:lineRule="auto"/>
              <w:jc w:val="center"/>
            </w:pPr>
            <w:r w:rsidRPr="0082085F">
              <w:t>Не требуется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9" w:rsidRPr="0082085F" w:rsidRDefault="003722A9" w:rsidP="00527B47">
            <w:pPr>
              <w:spacing w:line="276" w:lineRule="auto"/>
              <w:jc w:val="center"/>
            </w:pPr>
            <w:r w:rsidRPr="0082085F">
              <w:t>Не требуется</w:t>
            </w:r>
          </w:p>
        </w:tc>
      </w:tr>
      <w:tr w:rsidR="00B577F4" w:rsidTr="002935D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4" w:rsidRDefault="00B577F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>
            <w:pPr>
              <w:spacing w:line="276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>
            <w:pPr>
              <w:spacing w:line="276" w:lineRule="auto"/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>
            <w:pPr>
              <w:spacing w:line="276" w:lineRule="auto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>
            <w:pPr>
              <w:spacing w:line="276" w:lineRule="auto"/>
              <w:jc w:val="both"/>
            </w:pPr>
          </w:p>
        </w:tc>
      </w:tr>
      <w:tr w:rsidR="00B577F4" w:rsidTr="002935D6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4" w:rsidRDefault="00B577F4">
            <w:pPr>
              <w:spacing w:line="276" w:lineRule="auto"/>
              <w:jc w:val="both"/>
            </w:pPr>
            <w:r>
      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</w:t>
            </w:r>
            <w:r w:rsidR="00A84512" w:rsidRPr="00A84512">
              <w:rPr>
                <w:u w:val="single"/>
              </w:rPr>
              <w:t>0</w:t>
            </w:r>
            <w:r>
              <w:t>_____ млн. руб.</w:t>
            </w:r>
          </w:p>
        </w:tc>
      </w:tr>
    </w:tbl>
    <w:p w:rsidR="002935D6" w:rsidRDefault="002935D6" w:rsidP="003D4344">
      <w:pPr>
        <w:spacing w:after="120"/>
        <w:jc w:val="center"/>
        <w:rPr>
          <w:b/>
          <w:sz w:val="24"/>
          <w:szCs w:val="24"/>
        </w:rPr>
      </w:pP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Описание методов контроля эффективности избранного варианта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2127"/>
        <w:gridCol w:w="2409"/>
      </w:tblGrid>
      <w:tr w:rsidR="003D4344" w:rsidTr="003D43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13.1. Цели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 xml:space="preserve">13.2. Показатели (индикаторы) достижения целей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13.3. Ед. измерения показателя (индикатора)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13.4. Способ расчета показателя (индикатора)</w:t>
            </w:r>
          </w:p>
        </w:tc>
      </w:tr>
      <w:tr w:rsidR="003E5FC0" w:rsidTr="003D43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0" w:rsidRPr="0082085F" w:rsidRDefault="003E5FC0" w:rsidP="001B0D07">
            <w:pPr>
              <w:spacing w:line="276" w:lineRule="auto"/>
              <w:jc w:val="both"/>
              <w:rPr>
                <w:i/>
              </w:rPr>
            </w:pPr>
            <w:r w:rsidRPr="0082085F">
              <w:t>Розничная продажа алкогольной продукции в торговых объектах в соответствии с установленными ограничениями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0" w:rsidRPr="0082085F" w:rsidRDefault="009F50AC" w:rsidP="003E5FC0">
            <w:pPr>
              <w:spacing w:line="276" w:lineRule="auto"/>
              <w:jc w:val="both"/>
              <w:rPr>
                <w:i/>
              </w:rPr>
            </w:pPr>
            <w:r w:rsidRPr="0082085F">
              <w:rPr>
                <w:i/>
              </w:rPr>
              <w:t xml:space="preserve">Соблюдение торговыми предприятиями округа постановления  администрации Карабашского городского округа «Об определении прилегающих территорий, на которых не допускается розничная продажа алкогольной продукции на территории Карабашского </w:t>
            </w:r>
            <w:r w:rsidRPr="0082085F">
              <w:rPr>
                <w:i/>
              </w:rPr>
              <w:lastRenderedPageBreak/>
              <w:t>городского округа»,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0" w:rsidRPr="0082085F" w:rsidRDefault="009F50A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</w:rPr>
            </w:pPr>
            <w:r w:rsidRPr="0082085F">
              <w:rPr>
                <w:i/>
              </w:rPr>
              <w:lastRenderedPageBreak/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0" w:rsidRPr="0082085F" w:rsidRDefault="009F50AC" w:rsidP="009F50A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i/>
              </w:rPr>
            </w:pPr>
            <w:r w:rsidRPr="0082085F">
              <w:rPr>
                <w:i/>
              </w:rPr>
              <w:t xml:space="preserve">Проведение мониторинга по соблюдению торговыми предприятиями округа постановления  администрации Карабашского городского округа «Об определении прилегающих </w:t>
            </w:r>
            <w:r w:rsidRPr="0082085F">
              <w:rPr>
                <w:i/>
              </w:rPr>
              <w:lastRenderedPageBreak/>
              <w:t>территорий, на которых не допускается розничная продажа алкогольной продукции на территории Карабашского городского округа»</w:t>
            </w:r>
          </w:p>
        </w:tc>
      </w:tr>
      <w:tr w:rsidR="003E5FC0" w:rsidTr="003D434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0" w:rsidRDefault="003E5FC0" w:rsidP="002E747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lastRenderedPageBreak/>
              <w:t xml:space="preserve">13.5 Описание </w:t>
            </w:r>
            <w:proofErr w:type="gramStart"/>
            <w:r>
              <w:t>методов контроля эффективности избранного варианта достижения целей</w:t>
            </w:r>
            <w:proofErr w:type="gramEnd"/>
            <w:r>
              <w:t xml:space="preserve"> регулирования (мониторинг достижения индикаторов и иной способ (метод) оценки достижения индикаторов</w:t>
            </w:r>
            <w:r w:rsidRPr="009F19F5">
              <w:t>)</w:t>
            </w:r>
            <w:r w:rsidR="00AA68C1" w:rsidRPr="009F19F5">
              <w:t xml:space="preserve">: </w:t>
            </w:r>
            <w:r w:rsidR="002E747C" w:rsidRPr="009F19F5">
              <w:t>осуществление лицензионного контроля за розничной продажей алкогольной продукции</w:t>
            </w:r>
          </w:p>
        </w:tc>
      </w:tr>
      <w:tr w:rsidR="003E5FC0" w:rsidTr="003D434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0" w:rsidRDefault="003E5FC0" w:rsidP="00B5317B">
            <w:pPr>
              <w:spacing w:line="276" w:lineRule="auto"/>
            </w:pPr>
            <w:r>
              <w:t>13.6 Описание   источников    информации   для   расчета   показателей (индикаторов)</w:t>
            </w:r>
            <w:r w:rsidR="00AA68C1">
              <w:rPr>
                <w:i/>
              </w:rPr>
              <w:t>: п</w:t>
            </w:r>
            <w:r w:rsidR="00AA68C1" w:rsidRPr="0082085F">
              <w:rPr>
                <w:i/>
              </w:rPr>
              <w:t>роведение мониторинга по соблюдению торговыми предприятиями округа постановления  администрации Карабашского городского округа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</w:t>
            </w:r>
          </w:p>
        </w:tc>
      </w:tr>
    </w:tbl>
    <w:p w:rsidR="003D4344" w:rsidRDefault="003D4344" w:rsidP="003D4344">
      <w:pPr>
        <w:ind w:firstLine="709"/>
        <w:jc w:val="both"/>
        <w:rPr>
          <w:sz w:val="16"/>
          <w:szCs w:val="16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 Справка о проведении  публичных консультаций</w:t>
      </w:r>
    </w:p>
    <w:p w:rsidR="0060680C" w:rsidRDefault="003D4344" w:rsidP="0060680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Полный электронный адрес размещения уведомления в информационно-телекоммуникационной сети «Интернет» </w:t>
      </w:r>
      <w:r w:rsidR="0060680C">
        <w:rPr>
          <w:sz w:val="24"/>
          <w:szCs w:val="24"/>
        </w:rPr>
        <w:t>http://karabash-go.ru/economy/orv/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14.2. Срок, в течение которого разработчиком принимались предложения в связи с публичным обсуждением проекта акта: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начало:         «</w:t>
      </w:r>
      <w:r w:rsidR="00D73AE4">
        <w:rPr>
          <w:sz w:val="24"/>
          <w:szCs w:val="24"/>
        </w:rPr>
        <w:t xml:space="preserve"> 01 </w:t>
      </w:r>
      <w:r>
        <w:rPr>
          <w:sz w:val="24"/>
          <w:szCs w:val="24"/>
        </w:rPr>
        <w:t>»</w:t>
      </w:r>
      <w:r w:rsidR="00D73AE4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</w:t>
      </w:r>
      <w:r w:rsidR="00D73AE4">
        <w:rPr>
          <w:sz w:val="24"/>
          <w:szCs w:val="24"/>
        </w:rPr>
        <w:t>7</w:t>
      </w:r>
      <w:r>
        <w:rPr>
          <w:sz w:val="24"/>
          <w:szCs w:val="24"/>
        </w:rPr>
        <w:t>г.;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окончание:   «</w:t>
      </w:r>
      <w:r w:rsidR="0060680C">
        <w:rPr>
          <w:sz w:val="24"/>
          <w:szCs w:val="24"/>
        </w:rPr>
        <w:t xml:space="preserve"> 14</w:t>
      </w:r>
      <w:r w:rsidR="00D73AE4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D73AE4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</w:t>
      </w:r>
      <w:r w:rsidR="00D73AE4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14.3. Сведения о заинтересованных лицах, извещенных о пр</w:t>
      </w:r>
      <w:r w:rsidR="00907AA4">
        <w:rPr>
          <w:sz w:val="24"/>
          <w:szCs w:val="24"/>
        </w:rPr>
        <w:t>оведении публичных консультаций:</w:t>
      </w:r>
    </w:p>
    <w:p w:rsidR="00907AA4" w:rsidRDefault="00907AA4" w:rsidP="00907AA4">
      <w:pPr>
        <w:spacing w:line="276" w:lineRule="auto"/>
        <w:jc w:val="both"/>
        <w:rPr>
          <w:sz w:val="24"/>
          <w:szCs w:val="24"/>
        </w:rPr>
      </w:pPr>
      <w:r w:rsidRPr="00907AA4">
        <w:rPr>
          <w:sz w:val="24"/>
          <w:szCs w:val="24"/>
        </w:rPr>
        <w:t>Хозяйствующие субъекты, основной и дополнительный вид деятельности которых розничная торговля алкогольной продукции</w:t>
      </w:r>
      <w:r>
        <w:rPr>
          <w:sz w:val="24"/>
          <w:szCs w:val="24"/>
        </w:rPr>
        <w:t>;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14.4. Сведения о количестве замечаний и предложений, полученных в связи с публичными консультациями по проекту акта: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Всего замечаний и предложений: ____</w:t>
      </w:r>
      <w:r w:rsidR="007A0A19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______, из них учтено: 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полностью: _____</w:t>
      </w:r>
      <w:r w:rsidR="007A0A19" w:rsidRPr="007A0A19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______, учтено частично: _____</w:t>
      </w:r>
      <w:r w:rsidR="007A0A19" w:rsidRPr="007A0A1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</w:t>
      </w:r>
    </w:p>
    <w:p w:rsidR="003D4344" w:rsidRDefault="003D4344" w:rsidP="003D434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844"/>
        <w:gridCol w:w="7087"/>
      </w:tblGrid>
      <w:tr w:rsidR="003D4344" w:rsidTr="003D4344">
        <w:tc>
          <w:tcPr>
            <w:tcW w:w="1844" w:type="dxa"/>
            <w:hideMark/>
          </w:tcPr>
          <w:p w:rsidR="003D4344" w:rsidRDefault="003D43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3D4344" w:rsidRDefault="003D43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344" w:rsidTr="003D4344">
        <w:tc>
          <w:tcPr>
            <w:tcW w:w="1844" w:type="dxa"/>
            <w:hideMark/>
          </w:tcPr>
          <w:p w:rsidR="003D4344" w:rsidRDefault="003D43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3D4344" w:rsidRDefault="003D43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D4344" w:rsidRDefault="003D4344" w:rsidP="003D4344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344" w:rsidRDefault="003D4344" w:rsidP="003D4344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органа-разработчика                     _______             </w:t>
      </w:r>
      <w:r w:rsidR="00D018D5">
        <w:rPr>
          <w:sz w:val="24"/>
          <w:szCs w:val="24"/>
        </w:rPr>
        <w:t>__</w:t>
      </w:r>
      <w:r w:rsidR="00D018D5" w:rsidRPr="00D018D5">
        <w:rPr>
          <w:sz w:val="24"/>
          <w:szCs w:val="24"/>
          <w:u w:val="single"/>
        </w:rPr>
        <w:t xml:space="preserve"> </w:t>
      </w:r>
      <w:r w:rsidRPr="00D018D5">
        <w:rPr>
          <w:sz w:val="24"/>
          <w:szCs w:val="24"/>
          <w:u w:val="single"/>
        </w:rPr>
        <w:t xml:space="preserve"> </w:t>
      </w:r>
      <w:r w:rsidR="00D018D5" w:rsidRPr="00D018D5">
        <w:rPr>
          <w:sz w:val="24"/>
          <w:szCs w:val="24"/>
          <w:u w:val="single"/>
        </w:rPr>
        <w:t>А.Г. Ахатова</w:t>
      </w:r>
      <w:r w:rsidR="00D018D5">
        <w:rPr>
          <w:sz w:val="24"/>
          <w:szCs w:val="24"/>
        </w:rPr>
        <w:t>__</w:t>
      </w:r>
    </w:p>
    <w:p w:rsidR="003D4344" w:rsidRDefault="003D4344" w:rsidP="003D4344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vertAlign w:val="superscript"/>
        </w:rPr>
        <w:t xml:space="preserve">(расшифровка подписи)                 </w:t>
      </w:r>
    </w:p>
    <w:p w:rsidR="003D4344" w:rsidRDefault="003D4344" w:rsidP="003D4344">
      <w:pPr>
        <w:ind w:left="426"/>
        <w:jc w:val="both"/>
        <w:rPr>
          <w:sz w:val="28"/>
          <w:szCs w:val="28"/>
        </w:rPr>
      </w:pPr>
    </w:p>
    <w:p w:rsidR="003D4344" w:rsidRDefault="003D4344" w:rsidP="003D4344">
      <w:pPr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354DB" w:rsidRDefault="00D354DB" w:rsidP="003D4344"/>
    <w:sectPr w:rsidR="00D354DB" w:rsidSect="003D43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44"/>
    <w:rsid w:val="00020313"/>
    <w:rsid w:val="000E3EA3"/>
    <w:rsid w:val="001040B5"/>
    <w:rsid w:val="001366A5"/>
    <w:rsid w:val="00186E1E"/>
    <w:rsid w:val="00193D21"/>
    <w:rsid w:val="00197966"/>
    <w:rsid w:val="001B0D07"/>
    <w:rsid w:val="00215DA9"/>
    <w:rsid w:val="00274B86"/>
    <w:rsid w:val="00282630"/>
    <w:rsid w:val="002935D6"/>
    <w:rsid w:val="002E747C"/>
    <w:rsid w:val="003722A9"/>
    <w:rsid w:val="003A10FC"/>
    <w:rsid w:val="003D4344"/>
    <w:rsid w:val="003E5FC0"/>
    <w:rsid w:val="004B02DF"/>
    <w:rsid w:val="00504BCC"/>
    <w:rsid w:val="0052024C"/>
    <w:rsid w:val="00527B47"/>
    <w:rsid w:val="00544174"/>
    <w:rsid w:val="00590B8F"/>
    <w:rsid w:val="005E198B"/>
    <w:rsid w:val="0060680C"/>
    <w:rsid w:val="00680B17"/>
    <w:rsid w:val="006D5CC7"/>
    <w:rsid w:val="006F2DD6"/>
    <w:rsid w:val="0073247F"/>
    <w:rsid w:val="00776255"/>
    <w:rsid w:val="00787E50"/>
    <w:rsid w:val="007A0A19"/>
    <w:rsid w:val="0082085F"/>
    <w:rsid w:val="0083544B"/>
    <w:rsid w:val="00897A42"/>
    <w:rsid w:val="00907AA4"/>
    <w:rsid w:val="00947D24"/>
    <w:rsid w:val="009D2167"/>
    <w:rsid w:val="009F19F5"/>
    <w:rsid w:val="009F50AC"/>
    <w:rsid w:val="00A02E9B"/>
    <w:rsid w:val="00A22CF5"/>
    <w:rsid w:val="00A36B35"/>
    <w:rsid w:val="00A401E0"/>
    <w:rsid w:val="00A637EE"/>
    <w:rsid w:val="00A65909"/>
    <w:rsid w:val="00A84512"/>
    <w:rsid w:val="00A90937"/>
    <w:rsid w:val="00A95ECA"/>
    <w:rsid w:val="00AA68C1"/>
    <w:rsid w:val="00B066F1"/>
    <w:rsid w:val="00B16C29"/>
    <w:rsid w:val="00B3267F"/>
    <w:rsid w:val="00B5317B"/>
    <w:rsid w:val="00B577F4"/>
    <w:rsid w:val="00BF58AF"/>
    <w:rsid w:val="00C0213F"/>
    <w:rsid w:val="00C20806"/>
    <w:rsid w:val="00CD4741"/>
    <w:rsid w:val="00D018D5"/>
    <w:rsid w:val="00D226EE"/>
    <w:rsid w:val="00D354DB"/>
    <w:rsid w:val="00D73AE4"/>
    <w:rsid w:val="00DA2F2F"/>
    <w:rsid w:val="00DA59CC"/>
    <w:rsid w:val="00DB542E"/>
    <w:rsid w:val="00DB68F3"/>
    <w:rsid w:val="00DD3571"/>
    <w:rsid w:val="00E13043"/>
    <w:rsid w:val="00E9717B"/>
    <w:rsid w:val="00EA4A92"/>
    <w:rsid w:val="00EC613C"/>
    <w:rsid w:val="00F0661B"/>
    <w:rsid w:val="00F5676E"/>
    <w:rsid w:val="00FB4D2A"/>
    <w:rsid w:val="00FE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434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34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table" w:styleId="a3">
    <w:name w:val="Table Grid"/>
    <w:basedOn w:val="a1"/>
    <w:uiPriority w:val="59"/>
    <w:rsid w:val="00FE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6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57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87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2017-10-12T10:51:00Z</dcterms:created>
  <dcterms:modified xsi:type="dcterms:W3CDTF">2017-10-26T07:40:00Z</dcterms:modified>
</cp:coreProperties>
</file>