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2D" w:rsidRPr="00DC512D" w:rsidRDefault="00DC512D" w:rsidP="00DC512D">
      <w:pPr>
        <w:shd w:val="clear" w:color="auto" w:fill="FFFFFF"/>
        <w:spacing w:after="0" w:line="300" w:lineRule="atLeast"/>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ВНИМАНИЕ! Изменения по плате за НВОС</w:t>
      </w:r>
    </w:p>
    <w:p w:rsidR="00DC512D" w:rsidRPr="00DC512D" w:rsidRDefault="00DC512D" w:rsidP="00DC512D">
      <w:pPr>
        <w:shd w:val="clear" w:color="auto" w:fill="FFFFFF"/>
        <w:spacing w:after="0" w:line="300" w:lineRule="atLeast"/>
        <w:rPr>
          <w:rFonts w:ascii="Tahoma" w:eastAsia="Times New Roman" w:hAnsi="Tahoma" w:cs="Tahoma"/>
          <w:color w:val="333333"/>
          <w:sz w:val="21"/>
          <w:szCs w:val="21"/>
          <w:lang w:eastAsia="ru-RU"/>
        </w:rPr>
      </w:pP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Times New Roman" w:eastAsia="Times New Roman" w:hAnsi="Times New Roman" w:cs="Times New Roman"/>
          <w:b/>
          <w:bCs/>
          <w:color w:val="333333"/>
          <w:sz w:val="28"/>
          <w:lang w:eastAsia="ru-RU"/>
        </w:rPr>
        <w:t>И</w:t>
      </w:r>
      <w:r w:rsidRPr="00DC512D">
        <w:rPr>
          <w:rFonts w:ascii="Times New Roman" w:eastAsia="Times New Roman" w:hAnsi="Times New Roman" w:cs="Times New Roman"/>
          <w:b/>
          <w:bCs/>
          <w:color w:val="333333"/>
          <w:sz w:val="28"/>
          <w:szCs w:val="28"/>
          <w:lang w:eastAsia="ru-RU"/>
        </w:rPr>
        <w:t>зменения по составлению и  порядку сдачи Декларации</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Times New Roman" w:eastAsia="Times New Roman" w:hAnsi="Times New Roman" w:cs="Times New Roman"/>
          <w:b/>
          <w:bCs/>
          <w:color w:val="333333"/>
          <w:sz w:val="28"/>
          <w:szCs w:val="28"/>
          <w:lang w:eastAsia="ru-RU"/>
        </w:rPr>
        <w:t>о плате за негативное воздействие на окружающую среду</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Times New Roman" w:eastAsia="Times New Roman" w:hAnsi="Times New Roman" w:cs="Times New Roman"/>
          <w:b/>
          <w:bCs/>
          <w:color w:val="333333"/>
          <w:sz w:val="28"/>
          <w:szCs w:val="28"/>
          <w:lang w:eastAsia="ru-RU"/>
        </w:rPr>
        <w:t>за 2018 год</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imes New Roman" w:eastAsia="Times New Roman" w:hAnsi="Times New Roman" w:cs="Times New Roman"/>
          <w:color w:val="333333"/>
          <w:sz w:val="24"/>
          <w:szCs w:val="24"/>
          <w:lang w:eastAsia="ru-RU"/>
        </w:rPr>
        <w:t>При расчете платы за негативное воздействие на окружающую среду за 2018 год необходимо применять ставки платы, утвержденные постановлением Правительства РФ от 13.09.2016 № 913 и постановлением Правительства РФ от 29.06.2018 № 758.</w:t>
      </w:r>
    </w:p>
    <w:p w:rsidR="00DC512D" w:rsidRPr="00DC512D" w:rsidRDefault="00E84B93" w:rsidP="00DC512D">
      <w:pPr>
        <w:shd w:val="clear" w:color="auto" w:fill="FFFFFF"/>
        <w:spacing w:after="0" w:line="240" w:lineRule="auto"/>
        <w:ind w:firstLine="300"/>
        <w:jc w:val="both"/>
        <w:rPr>
          <w:rFonts w:ascii="Tahoma" w:eastAsia="Times New Roman" w:hAnsi="Tahoma" w:cs="Tahoma"/>
          <w:color w:val="333333"/>
          <w:sz w:val="21"/>
          <w:szCs w:val="21"/>
          <w:lang w:eastAsia="ru-RU"/>
        </w:rPr>
      </w:pPr>
      <w:hyperlink r:id="rId4" w:history="1">
        <w:r w:rsidR="00DC512D" w:rsidRPr="00DC512D">
          <w:rPr>
            <w:rFonts w:ascii="Times New Roman" w:eastAsia="Times New Roman" w:hAnsi="Times New Roman" w:cs="Times New Roman"/>
            <w:b/>
            <w:bCs/>
            <w:color w:val="337AB7"/>
            <w:sz w:val="24"/>
            <w:szCs w:val="24"/>
            <w:lang w:eastAsia="ru-RU"/>
          </w:rPr>
          <w:t>Постановление Правительства РФ от 13.09.2016 N 913</w:t>
        </w:r>
      </w:hyperlink>
    </w:p>
    <w:p w:rsidR="00DC512D" w:rsidRPr="00DC512D" w:rsidRDefault="00E84B93" w:rsidP="00DC512D">
      <w:pPr>
        <w:shd w:val="clear" w:color="auto" w:fill="FFFFFF"/>
        <w:spacing w:after="0" w:line="240" w:lineRule="auto"/>
        <w:ind w:firstLine="300"/>
        <w:jc w:val="both"/>
        <w:rPr>
          <w:rFonts w:ascii="Tahoma" w:eastAsia="Times New Roman" w:hAnsi="Tahoma" w:cs="Tahoma"/>
          <w:color w:val="333333"/>
          <w:sz w:val="21"/>
          <w:szCs w:val="21"/>
          <w:lang w:eastAsia="ru-RU"/>
        </w:rPr>
      </w:pPr>
      <w:hyperlink r:id="rId5" w:history="1">
        <w:r w:rsidR="00DC512D" w:rsidRPr="00DC512D">
          <w:rPr>
            <w:rFonts w:ascii="Times New Roman" w:eastAsia="Times New Roman" w:hAnsi="Times New Roman" w:cs="Times New Roman"/>
            <w:b/>
            <w:bCs/>
            <w:color w:val="337AB7"/>
            <w:sz w:val="24"/>
            <w:szCs w:val="24"/>
            <w:lang w:eastAsia="ru-RU"/>
          </w:rPr>
          <w:t>Постановление Правительства РФ от 29.06.2018 N 758</w:t>
        </w:r>
      </w:hyperlink>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imes New Roman" w:eastAsia="Times New Roman" w:hAnsi="Times New Roman" w:cs="Times New Roman"/>
          <w:color w:val="333333"/>
          <w:sz w:val="24"/>
          <w:szCs w:val="24"/>
          <w:lang w:eastAsia="ru-RU"/>
        </w:rPr>
        <w:t>С 01.01.2018 года действует новые ставки платы за размещение твердых коммунальных отходов IV класса опасности (малоопасные):</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Arial" w:eastAsia="Times New Roman" w:hAnsi="Arial" w:cs="Arial"/>
          <w:b/>
          <w:bCs/>
          <w:color w:val="333333"/>
          <w:sz w:val="20"/>
          <w:szCs w:val="20"/>
          <w:lang w:eastAsia="ru-RU"/>
        </w:rPr>
        <w:t>СТАВКИ</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Arial" w:eastAsia="Times New Roman" w:hAnsi="Arial" w:cs="Arial"/>
          <w:b/>
          <w:bCs/>
          <w:color w:val="333333"/>
          <w:sz w:val="20"/>
          <w:szCs w:val="20"/>
          <w:lang w:eastAsia="ru-RU"/>
        </w:rPr>
        <w:t>ПЛАТЫ ЗА НЕГАТИВНОЕ ВОЗДЕЙСТВИЕ НА ОКРУЖАЮЩУЮ СРЕДУ</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Arial" w:eastAsia="Times New Roman" w:hAnsi="Arial" w:cs="Arial"/>
          <w:b/>
          <w:bCs/>
          <w:color w:val="333333"/>
          <w:sz w:val="20"/>
          <w:szCs w:val="20"/>
          <w:lang w:eastAsia="ru-RU"/>
        </w:rPr>
        <w:t>ПРИ РАЗМЕЩЕНИИ ТВЕРДЫХ КОММУНАЛЬНЫХ ОТХОДОВ IV КЛАССА</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Arial" w:eastAsia="Times New Roman" w:hAnsi="Arial" w:cs="Arial"/>
          <w:b/>
          <w:bCs/>
          <w:color w:val="333333"/>
          <w:sz w:val="20"/>
          <w:szCs w:val="20"/>
          <w:lang w:eastAsia="ru-RU"/>
        </w:rPr>
        <w:t>ОПАСНОСТИ (МАЛООПАСНЫЕ)</w:t>
      </w:r>
    </w:p>
    <w:p w:rsidR="00DC512D" w:rsidRPr="00DC512D" w:rsidRDefault="00DC512D" w:rsidP="00DC512D">
      <w:pPr>
        <w:shd w:val="clear" w:color="auto" w:fill="FFFFFF"/>
        <w:spacing w:after="0" w:line="240" w:lineRule="auto"/>
        <w:ind w:firstLine="300"/>
        <w:jc w:val="center"/>
        <w:rPr>
          <w:rFonts w:ascii="Tahoma" w:eastAsia="Times New Roman" w:hAnsi="Tahoma" w:cs="Tahoma"/>
          <w:color w:val="333333"/>
          <w:sz w:val="21"/>
          <w:szCs w:val="21"/>
          <w:lang w:eastAsia="ru-RU"/>
        </w:rPr>
      </w:pPr>
      <w:r w:rsidRPr="00DC512D">
        <w:rPr>
          <w:rFonts w:ascii="Arial" w:eastAsia="Times New Roman" w:hAnsi="Arial" w:cs="Arial"/>
          <w:color w:val="333333"/>
          <w:sz w:val="20"/>
          <w:szCs w:val="20"/>
          <w:lang w:eastAsia="ru-RU"/>
        </w:rPr>
        <w:t>(рублей)</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2891"/>
        <w:gridCol w:w="999"/>
        <w:gridCol w:w="1076"/>
        <w:gridCol w:w="1050"/>
        <w:gridCol w:w="1276"/>
        <w:gridCol w:w="1134"/>
        <w:gridCol w:w="992"/>
        <w:gridCol w:w="992"/>
        <w:gridCol w:w="1134"/>
      </w:tblGrid>
      <w:tr w:rsidR="00DC512D" w:rsidRPr="00DC512D" w:rsidTr="00CD74D8">
        <w:trPr>
          <w:jc w:val="center"/>
        </w:trPr>
        <w:tc>
          <w:tcPr>
            <w:tcW w:w="2891" w:type="dxa"/>
            <w:vMerge w:val="restart"/>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Вид отходов</w:t>
            </w:r>
          </w:p>
        </w:tc>
        <w:tc>
          <w:tcPr>
            <w:tcW w:w="8653" w:type="dxa"/>
            <w:gridSpan w:val="8"/>
            <w:shd w:val="clear" w:color="auto" w:fill="auto"/>
            <w:tcMar>
              <w:top w:w="102" w:type="dxa"/>
              <w:left w:w="62" w:type="dxa"/>
              <w:bottom w:w="102" w:type="dxa"/>
              <w:right w:w="62" w:type="dxa"/>
            </w:tcMar>
            <w:hideMark/>
          </w:tcPr>
          <w:p w:rsidR="00DC512D" w:rsidRPr="00DC512D" w:rsidRDefault="00DC512D" w:rsidP="00DC512D">
            <w:pPr>
              <w:spacing w:after="0" w:line="240" w:lineRule="auto"/>
              <w:ind w:firstLine="300"/>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Ставки платы за 1 тонну</w:t>
            </w:r>
          </w:p>
        </w:tc>
      </w:tr>
      <w:tr w:rsidR="00CD74D8" w:rsidRPr="00DC512D" w:rsidTr="00CD74D8">
        <w:trPr>
          <w:jc w:val="center"/>
        </w:trPr>
        <w:tc>
          <w:tcPr>
            <w:tcW w:w="2891" w:type="dxa"/>
            <w:vMerge/>
            <w:shd w:val="clear" w:color="auto" w:fill="auto"/>
            <w:vAlign w:val="center"/>
            <w:hideMark/>
          </w:tcPr>
          <w:p w:rsidR="00DC512D" w:rsidRPr="00DC512D" w:rsidRDefault="00DC512D" w:rsidP="00DC512D">
            <w:pPr>
              <w:spacing w:after="0" w:line="240" w:lineRule="auto"/>
              <w:rPr>
                <w:rFonts w:ascii="Times New Roman" w:eastAsia="Times New Roman" w:hAnsi="Times New Roman" w:cs="Times New Roman"/>
                <w:sz w:val="24"/>
                <w:szCs w:val="24"/>
                <w:lang w:eastAsia="ru-RU"/>
              </w:rPr>
            </w:pPr>
          </w:p>
        </w:tc>
        <w:tc>
          <w:tcPr>
            <w:tcW w:w="999"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2018 год</w:t>
            </w:r>
          </w:p>
        </w:tc>
        <w:tc>
          <w:tcPr>
            <w:tcW w:w="1076"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2019 год</w:t>
            </w:r>
          </w:p>
        </w:tc>
        <w:tc>
          <w:tcPr>
            <w:tcW w:w="1050"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2020 год</w:t>
            </w:r>
          </w:p>
        </w:tc>
        <w:tc>
          <w:tcPr>
            <w:tcW w:w="1276"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2021 год</w:t>
            </w:r>
          </w:p>
        </w:tc>
        <w:tc>
          <w:tcPr>
            <w:tcW w:w="1134"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2022 год</w:t>
            </w:r>
          </w:p>
        </w:tc>
        <w:tc>
          <w:tcPr>
            <w:tcW w:w="992"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2023 год</w:t>
            </w:r>
          </w:p>
        </w:tc>
        <w:tc>
          <w:tcPr>
            <w:tcW w:w="992"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2024 год</w:t>
            </w:r>
          </w:p>
        </w:tc>
        <w:tc>
          <w:tcPr>
            <w:tcW w:w="1134"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2025 год</w:t>
            </w:r>
          </w:p>
        </w:tc>
      </w:tr>
      <w:tr w:rsidR="00CD74D8" w:rsidRPr="00DC512D" w:rsidTr="00CD74D8">
        <w:trPr>
          <w:jc w:val="center"/>
        </w:trPr>
        <w:tc>
          <w:tcPr>
            <w:tcW w:w="2891" w:type="dxa"/>
            <w:shd w:val="clear" w:color="auto" w:fill="auto"/>
            <w:tcMar>
              <w:top w:w="102" w:type="dxa"/>
              <w:left w:w="62" w:type="dxa"/>
              <w:bottom w:w="102" w:type="dxa"/>
              <w:right w:w="62" w:type="dxa"/>
            </w:tcMar>
            <w:hideMark/>
          </w:tcPr>
          <w:p w:rsidR="00DC512D" w:rsidRPr="00DC512D" w:rsidRDefault="00DC512D" w:rsidP="00CD74D8">
            <w:pPr>
              <w:spacing w:after="0" w:line="240" w:lineRule="auto"/>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Твердые коммунальные отходы IV класса опасности (малоопасные)</w:t>
            </w:r>
          </w:p>
        </w:tc>
        <w:tc>
          <w:tcPr>
            <w:tcW w:w="999"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95</w:t>
            </w:r>
          </w:p>
        </w:tc>
        <w:tc>
          <w:tcPr>
            <w:tcW w:w="1076"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194,5</w:t>
            </w:r>
          </w:p>
        </w:tc>
        <w:tc>
          <w:tcPr>
            <w:tcW w:w="1050"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293,9</w:t>
            </w:r>
          </w:p>
        </w:tc>
        <w:tc>
          <w:tcPr>
            <w:tcW w:w="1276"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393,4</w:t>
            </w:r>
          </w:p>
        </w:tc>
        <w:tc>
          <w:tcPr>
            <w:tcW w:w="1134"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492,9</w:t>
            </w:r>
          </w:p>
        </w:tc>
        <w:tc>
          <w:tcPr>
            <w:tcW w:w="992"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592,4</w:t>
            </w:r>
          </w:p>
        </w:tc>
        <w:tc>
          <w:tcPr>
            <w:tcW w:w="992"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691,9</w:t>
            </w:r>
          </w:p>
        </w:tc>
        <w:tc>
          <w:tcPr>
            <w:tcW w:w="1134" w:type="dxa"/>
            <w:shd w:val="clear" w:color="auto" w:fill="auto"/>
            <w:tcMar>
              <w:top w:w="102" w:type="dxa"/>
              <w:left w:w="62" w:type="dxa"/>
              <w:bottom w:w="102" w:type="dxa"/>
              <w:right w:w="62" w:type="dxa"/>
            </w:tcMar>
            <w:hideMark/>
          </w:tcPr>
          <w:p w:rsidR="00DC512D" w:rsidRPr="00DC512D" w:rsidRDefault="00DC512D" w:rsidP="00CD74D8">
            <w:pPr>
              <w:spacing w:after="0" w:line="240" w:lineRule="auto"/>
              <w:jc w:val="center"/>
              <w:rPr>
                <w:rFonts w:ascii="Times New Roman" w:eastAsia="Times New Roman" w:hAnsi="Times New Roman" w:cs="Times New Roman"/>
                <w:sz w:val="24"/>
                <w:szCs w:val="24"/>
                <w:lang w:eastAsia="ru-RU"/>
              </w:rPr>
            </w:pPr>
            <w:r w:rsidRPr="00DC512D">
              <w:rPr>
                <w:rFonts w:ascii="Arial" w:eastAsia="Times New Roman" w:hAnsi="Arial" w:cs="Arial"/>
                <w:sz w:val="20"/>
                <w:szCs w:val="20"/>
                <w:lang w:eastAsia="ru-RU"/>
              </w:rPr>
              <w:t>791,3</w:t>
            </w:r>
          </w:p>
        </w:tc>
      </w:tr>
    </w:tbl>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imes New Roman" w:eastAsia="Times New Roman" w:hAnsi="Times New Roman" w:cs="Times New Roman"/>
          <w:color w:val="333333"/>
          <w:sz w:val="24"/>
          <w:szCs w:val="24"/>
          <w:lang w:eastAsia="ru-RU"/>
        </w:rPr>
        <w:t>Порядок заполнения и форма Декларации о плате за негативное воздействие, утверждены приказом Минприроды России от 09.01.2017 № 3.</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E84B93" w:rsidP="00DC512D">
      <w:pPr>
        <w:shd w:val="clear" w:color="auto" w:fill="FFFFFF"/>
        <w:spacing w:after="0" w:line="240" w:lineRule="auto"/>
        <w:ind w:firstLine="300"/>
        <w:jc w:val="both"/>
        <w:rPr>
          <w:rFonts w:ascii="Tahoma" w:eastAsia="Times New Roman" w:hAnsi="Tahoma" w:cs="Tahoma"/>
          <w:color w:val="333333"/>
          <w:sz w:val="21"/>
          <w:szCs w:val="21"/>
          <w:lang w:eastAsia="ru-RU"/>
        </w:rPr>
      </w:pPr>
      <w:hyperlink r:id="rId6" w:history="1">
        <w:r w:rsidR="00DC512D" w:rsidRPr="00DC512D">
          <w:rPr>
            <w:rFonts w:ascii="Times New Roman" w:eastAsia="Times New Roman" w:hAnsi="Times New Roman" w:cs="Times New Roman"/>
            <w:b/>
            <w:bCs/>
            <w:color w:val="337AB7"/>
            <w:sz w:val="24"/>
            <w:szCs w:val="24"/>
            <w:lang w:eastAsia="ru-RU"/>
          </w:rPr>
          <w:t>Приказ от 09.01.2017 № 3</w:t>
        </w:r>
      </w:hyperlink>
    </w:p>
    <w:p w:rsidR="00DC512D" w:rsidRPr="00DC512D" w:rsidRDefault="00E84B93" w:rsidP="00DC512D">
      <w:pPr>
        <w:shd w:val="clear" w:color="auto" w:fill="FFFFFF"/>
        <w:spacing w:after="0" w:line="240" w:lineRule="auto"/>
        <w:ind w:firstLine="300"/>
        <w:jc w:val="both"/>
        <w:rPr>
          <w:rFonts w:ascii="Tahoma" w:eastAsia="Times New Roman" w:hAnsi="Tahoma" w:cs="Tahoma"/>
          <w:color w:val="333333"/>
          <w:sz w:val="21"/>
          <w:szCs w:val="21"/>
          <w:lang w:eastAsia="ru-RU"/>
        </w:rPr>
      </w:pPr>
      <w:hyperlink r:id="rId7" w:history="1">
        <w:r w:rsidR="00DC512D" w:rsidRPr="00DC512D">
          <w:rPr>
            <w:rFonts w:ascii="Times New Roman" w:eastAsia="Times New Roman" w:hAnsi="Times New Roman" w:cs="Times New Roman"/>
            <w:b/>
            <w:bCs/>
            <w:color w:val="337AB7"/>
            <w:sz w:val="24"/>
            <w:szCs w:val="24"/>
            <w:lang w:eastAsia="ru-RU"/>
          </w:rPr>
          <w:t xml:space="preserve">Форма декларации о плате – </w:t>
        </w:r>
        <w:proofErr w:type="spellStart"/>
        <w:r w:rsidR="00DC512D" w:rsidRPr="00DC512D">
          <w:rPr>
            <w:rFonts w:ascii="Times New Roman" w:eastAsia="Times New Roman" w:hAnsi="Times New Roman" w:cs="Times New Roman"/>
            <w:b/>
            <w:bCs/>
            <w:color w:val="337AB7"/>
            <w:sz w:val="24"/>
            <w:szCs w:val="24"/>
            <w:lang w:eastAsia="ru-RU"/>
          </w:rPr>
          <w:t>xls</w:t>
        </w:r>
        <w:proofErr w:type="spellEnd"/>
      </w:hyperlink>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imes New Roman" w:eastAsia="Times New Roman" w:hAnsi="Times New Roman" w:cs="Times New Roman"/>
          <w:color w:val="333333"/>
          <w:sz w:val="24"/>
          <w:szCs w:val="24"/>
          <w:lang w:eastAsia="ru-RU"/>
        </w:rPr>
        <w:t xml:space="preserve">Декларация составляется в программе «Модуль </w:t>
      </w:r>
      <w:proofErr w:type="spellStart"/>
      <w:r w:rsidRPr="00DC512D">
        <w:rPr>
          <w:rFonts w:ascii="Times New Roman" w:eastAsia="Times New Roman" w:hAnsi="Times New Roman" w:cs="Times New Roman"/>
          <w:color w:val="333333"/>
          <w:sz w:val="24"/>
          <w:szCs w:val="24"/>
          <w:lang w:eastAsia="ru-RU"/>
        </w:rPr>
        <w:t>природопользователя</w:t>
      </w:r>
      <w:proofErr w:type="spellEnd"/>
      <w:r w:rsidRPr="00DC512D">
        <w:rPr>
          <w:rFonts w:ascii="Times New Roman" w:eastAsia="Times New Roman" w:hAnsi="Times New Roman" w:cs="Times New Roman"/>
          <w:color w:val="333333"/>
          <w:sz w:val="24"/>
          <w:szCs w:val="24"/>
          <w:lang w:eastAsia="ru-RU"/>
        </w:rPr>
        <w:t>» (либо в ином  программном обеспечении), выгружается, подписывается ЭП организации и отправляется через Личный кабинет (</w:t>
      </w:r>
      <w:hyperlink r:id="rId8" w:anchor="/" w:history="1">
        <w:r w:rsidRPr="00DC512D">
          <w:rPr>
            <w:rFonts w:ascii="Times New Roman" w:eastAsia="Times New Roman" w:hAnsi="Times New Roman" w:cs="Times New Roman"/>
            <w:color w:val="0000FF"/>
            <w:sz w:val="24"/>
            <w:szCs w:val="24"/>
            <w:u w:val="single"/>
            <w:lang w:eastAsia="ru-RU"/>
          </w:rPr>
          <w:t>https://lk.fsrpn.ru/#/</w:t>
        </w:r>
      </w:hyperlink>
      <w:r w:rsidRPr="00DC512D">
        <w:rPr>
          <w:rFonts w:ascii="Times New Roman" w:eastAsia="Times New Roman" w:hAnsi="Times New Roman" w:cs="Times New Roman"/>
          <w:color w:val="333333"/>
          <w:sz w:val="24"/>
          <w:szCs w:val="24"/>
          <w:lang w:eastAsia="ru-RU"/>
        </w:rPr>
        <w:t>) в соответствующий территориальный орган Росприроднадзора или уполномоченного органа исполнительной власти субъекта Российской Федерации. При этом отчету будет присвоен номер (например, AKOHKCZV). Датой приема отчета считается дата его загрузки на портал приема отчетности.</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imes New Roman" w:eastAsia="Times New Roman" w:hAnsi="Times New Roman" w:cs="Times New Roman"/>
          <w:color w:val="333333"/>
          <w:sz w:val="24"/>
          <w:szCs w:val="24"/>
          <w:lang w:eastAsia="ru-RU"/>
        </w:rPr>
        <w:lastRenderedPageBreak/>
        <w:t>Организации, осуществляющие деятельность на территории Челябинской области,  направляют Декларации о плате в Управление Росприроднадзора по Челябинской области.</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imes New Roman" w:eastAsia="Times New Roman" w:hAnsi="Times New Roman" w:cs="Times New Roman"/>
          <w:color w:val="333333"/>
          <w:sz w:val="24"/>
          <w:szCs w:val="24"/>
          <w:lang w:eastAsia="ru-RU"/>
        </w:rPr>
        <w:t xml:space="preserve">Бесплатное программное обеспечение для формирования отчетности – «Модуль </w:t>
      </w:r>
      <w:proofErr w:type="spellStart"/>
      <w:r w:rsidRPr="00DC512D">
        <w:rPr>
          <w:rFonts w:ascii="Times New Roman" w:eastAsia="Times New Roman" w:hAnsi="Times New Roman" w:cs="Times New Roman"/>
          <w:color w:val="333333"/>
          <w:sz w:val="24"/>
          <w:szCs w:val="24"/>
          <w:lang w:eastAsia="ru-RU"/>
        </w:rPr>
        <w:t>природопользователя</w:t>
      </w:r>
      <w:proofErr w:type="spellEnd"/>
      <w:r w:rsidRPr="00DC512D">
        <w:rPr>
          <w:rFonts w:ascii="Times New Roman" w:eastAsia="Times New Roman" w:hAnsi="Times New Roman" w:cs="Times New Roman"/>
          <w:color w:val="333333"/>
          <w:sz w:val="24"/>
          <w:szCs w:val="24"/>
          <w:lang w:eastAsia="ru-RU"/>
        </w:rPr>
        <w:t>» находится по адресу:</w:t>
      </w:r>
    </w:p>
    <w:p w:rsidR="00DC512D" w:rsidRPr="00DC512D" w:rsidRDefault="00E84B93" w:rsidP="00DC512D">
      <w:pPr>
        <w:shd w:val="clear" w:color="auto" w:fill="FFFFFF"/>
        <w:spacing w:after="0" w:line="240" w:lineRule="auto"/>
        <w:ind w:firstLine="300"/>
        <w:jc w:val="both"/>
        <w:rPr>
          <w:rFonts w:ascii="Tahoma" w:eastAsia="Times New Roman" w:hAnsi="Tahoma" w:cs="Tahoma"/>
          <w:color w:val="333333"/>
          <w:sz w:val="21"/>
          <w:szCs w:val="21"/>
          <w:lang w:eastAsia="ru-RU"/>
        </w:rPr>
      </w:pPr>
      <w:hyperlink r:id="rId9" w:history="1">
        <w:r w:rsidR="00DC512D" w:rsidRPr="00DC512D">
          <w:rPr>
            <w:rFonts w:ascii="Times New Roman" w:eastAsia="Times New Roman" w:hAnsi="Times New Roman" w:cs="Times New Roman"/>
            <w:b/>
            <w:bCs/>
            <w:color w:val="0000FF"/>
            <w:sz w:val="24"/>
            <w:szCs w:val="24"/>
            <w:u w:val="single"/>
            <w:lang w:eastAsia="ru-RU"/>
          </w:rPr>
          <w:t>http://rpn.gov.ru/</w:t>
        </w:r>
      </w:hyperlink>
      <w:r w:rsidR="00DC512D" w:rsidRPr="00DC512D">
        <w:rPr>
          <w:rFonts w:ascii="Times New Roman" w:eastAsia="Times New Roman" w:hAnsi="Times New Roman" w:cs="Times New Roman"/>
          <w:b/>
          <w:bCs/>
          <w:color w:val="333333"/>
          <w:sz w:val="24"/>
          <w:szCs w:val="24"/>
          <w:lang w:eastAsia="ru-RU"/>
        </w:rPr>
        <w:t> </w:t>
      </w:r>
      <w:r w:rsidR="00DC512D" w:rsidRPr="00DC512D">
        <w:rPr>
          <w:rFonts w:ascii="Times New Roman" w:eastAsia="Times New Roman" w:hAnsi="Times New Roman" w:cs="Times New Roman"/>
          <w:color w:val="333333"/>
          <w:sz w:val="24"/>
          <w:szCs w:val="24"/>
          <w:u w:val="single"/>
          <w:lang w:eastAsia="ru-RU"/>
        </w:rPr>
        <w:t>далее раздел</w:t>
      </w:r>
      <w:r w:rsidR="00DC512D" w:rsidRPr="00DC512D">
        <w:rPr>
          <w:rFonts w:ascii="Times New Roman" w:eastAsia="Times New Roman" w:hAnsi="Times New Roman" w:cs="Times New Roman"/>
          <w:b/>
          <w:bCs/>
          <w:color w:val="333333"/>
          <w:sz w:val="24"/>
          <w:szCs w:val="24"/>
          <w:u w:val="single"/>
          <w:lang w:eastAsia="ru-RU"/>
        </w:rPr>
        <w:t> «Деятельность / Разрешительная и учетная деятельность»</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ahoma" w:eastAsia="Times New Roman" w:hAnsi="Tahoma" w:cs="Tahoma"/>
          <w:color w:val="333333"/>
          <w:sz w:val="21"/>
          <w:szCs w:val="21"/>
          <w:lang w:eastAsia="ru-RU"/>
        </w:rPr>
        <w:t> </w:t>
      </w:r>
    </w:p>
    <w:p w:rsidR="00DC512D" w:rsidRPr="00DC512D" w:rsidRDefault="00DC512D" w:rsidP="00DC512D">
      <w:pPr>
        <w:shd w:val="clear" w:color="auto" w:fill="FFFFFF"/>
        <w:spacing w:after="0" w:line="240" w:lineRule="auto"/>
        <w:ind w:firstLine="300"/>
        <w:jc w:val="both"/>
        <w:rPr>
          <w:rFonts w:ascii="Tahoma" w:eastAsia="Times New Roman" w:hAnsi="Tahoma" w:cs="Tahoma"/>
          <w:color w:val="333333"/>
          <w:sz w:val="21"/>
          <w:szCs w:val="21"/>
          <w:lang w:eastAsia="ru-RU"/>
        </w:rPr>
      </w:pPr>
      <w:r w:rsidRPr="00DC512D">
        <w:rPr>
          <w:rFonts w:ascii="Times New Roman" w:eastAsia="Times New Roman" w:hAnsi="Times New Roman" w:cs="Times New Roman"/>
          <w:color w:val="333333"/>
          <w:sz w:val="24"/>
          <w:szCs w:val="24"/>
          <w:lang w:eastAsia="ru-RU"/>
        </w:rPr>
        <w:t>Декларация о плате за негативное воздействие за 2018 год предоставляется один раз в год в электронном виде –  </w:t>
      </w:r>
      <w:r w:rsidRPr="00DC512D">
        <w:rPr>
          <w:rFonts w:ascii="Times New Roman" w:eastAsia="Times New Roman" w:hAnsi="Times New Roman" w:cs="Times New Roman"/>
          <w:b/>
          <w:bCs/>
          <w:color w:val="333333"/>
          <w:sz w:val="24"/>
          <w:szCs w:val="24"/>
          <w:lang w:eastAsia="ru-RU"/>
        </w:rPr>
        <w:t>до 10 марта 2019 года.</w:t>
      </w:r>
    </w:p>
    <w:p w:rsidR="00DC512D" w:rsidRDefault="00DC512D" w:rsidP="00DC512D">
      <w:pPr>
        <w:shd w:val="clear" w:color="auto" w:fill="FFFFFF"/>
        <w:spacing w:after="0" w:line="240" w:lineRule="auto"/>
        <w:ind w:firstLine="300"/>
        <w:jc w:val="both"/>
        <w:rPr>
          <w:rFonts w:ascii="Times New Roman" w:eastAsia="Times New Roman" w:hAnsi="Times New Roman" w:cs="Times New Roman"/>
          <w:b/>
          <w:bCs/>
          <w:color w:val="333333"/>
          <w:sz w:val="24"/>
          <w:szCs w:val="24"/>
          <w:lang w:eastAsia="ru-RU"/>
        </w:rPr>
      </w:pPr>
      <w:r w:rsidRPr="00DC512D">
        <w:rPr>
          <w:rFonts w:ascii="Times New Roman" w:eastAsia="Times New Roman" w:hAnsi="Times New Roman" w:cs="Times New Roman"/>
          <w:color w:val="333333"/>
          <w:sz w:val="24"/>
          <w:szCs w:val="24"/>
          <w:lang w:eastAsia="ru-RU"/>
        </w:rPr>
        <w:t>Срок оплаты за 2018 год – </w:t>
      </w:r>
      <w:r w:rsidRPr="00DC512D">
        <w:rPr>
          <w:rFonts w:ascii="Times New Roman" w:eastAsia="Times New Roman" w:hAnsi="Times New Roman" w:cs="Times New Roman"/>
          <w:b/>
          <w:bCs/>
          <w:color w:val="333333"/>
          <w:sz w:val="24"/>
          <w:szCs w:val="24"/>
          <w:lang w:eastAsia="ru-RU"/>
        </w:rPr>
        <w:t>до 01 марта 2019 года.</w:t>
      </w:r>
    </w:p>
    <w:p w:rsidR="00373C2E" w:rsidRDefault="00373C2E" w:rsidP="00DC512D">
      <w:pPr>
        <w:shd w:val="clear" w:color="auto" w:fill="FFFFFF"/>
        <w:spacing w:after="0" w:line="240" w:lineRule="auto"/>
        <w:ind w:firstLine="300"/>
        <w:jc w:val="both"/>
        <w:rPr>
          <w:rFonts w:ascii="Times New Roman" w:eastAsia="Times New Roman" w:hAnsi="Times New Roman" w:cs="Times New Roman"/>
          <w:b/>
          <w:bCs/>
          <w:color w:val="333333"/>
          <w:sz w:val="24"/>
          <w:szCs w:val="24"/>
          <w:lang w:eastAsia="ru-RU"/>
        </w:rPr>
      </w:pPr>
    </w:p>
    <w:p w:rsidR="00373C2E" w:rsidRPr="00373C2E" w:rsidRDefault="00373C2E" w:rsidP="00373C2E">
      <w:pPr>
        <w:shd w:val="clear" w:color="auto" w:fill="FFFFFF"/>
        <w:spacing w:after="0" w:line="240" w:lineRule="auto"/>
        <w:ind w:firstLine="300"/>
        <w:jc w:val="right"/>
        <w:rPr>
          <w:rFonts w:ascii="Times New Roman" w:eastAsia="Times New Roman" w:hAnsi="Times New Roman" w:cs="Times New Roman"/>
          <w:bCs/>
          <w:color w:val="333333"/>
          <w:sz w:val="24"/>
          <w:szCs w:val="24"/>
          <w:lang w:eastAsia="ru-RU"/>
        </w:rPr>
      </w:pPr>
      <w:r w:rsidRPr="00373C2E">
        <w:rPr>
          <w:rFonts w:ascii="Times New Roman" w:eastAsia="Times New Roman" w:hAnsi="Times New Roman" w:cs="Times New Roman"/>
          <w:bCs/>
          <w:color w:val="333333"/>
          <w:sz w:val="24"/>
          <w:szCs w:val="24"/>
          <w:lang w:eastAsia="ru-RU"/>
        </w:rPr>
        <w:t xml:space="preserve">Источник: </w:t>
      </w:r>
      <w:r w:rsidRPr="00373C2E">
        <w:rPr>
          <w:rFonts w:ascii="Times New Roman" w:hAnsi="Times New Roman" w:cs="Times New Roman"/>
          <w:color w:val="000000"/>
          <w:sz w:val="24"/>
          <w:szCs w:val="24"/>
        </w:rPr>
        <w:t>74.rpn.gov.ru</w:t>
      </w:r>
    </w:p>
    <w:p w:rsidR="00322CE7" w:rsidRDefault="00322CE7"/>
    <w:sectPr w:rsidR="00322CE7" w:rsidSect="00CD74D8">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12D"/>
    <w:rsid w:val="00322CE7"/>
    <w:rsid w:val="00373C2E"/>
    <w:rsid w:val="00CD74D8"/>
    <w:rsid w:val="00DC512D"/>
    <w:rsid w:val="00E84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display-single">
    <w:name w:val="date-display-single"/>
    <w:basedOn w:val="a0"/>
    <w:rsid w:val="00DC512D"/>
  </w:style>
  <w:style w:type="paragraph" w:styleId="a3">
    <w:name w:val="Normal (Web)"/>
    <w:basedOn w:val="a"/>
    <w:uiPriority w:val="99"/>
    <w:semiHidden/>
    <w:unhideWhenUsed/>
    <w:rsid w:val="00DC5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12D"/>
    <w:rPr>
      <w:b/>
      <w:bCs/>
    </w:rPr>
  </w:style>
  <w:style w:type="character" w:customStyle="1" w:styleId="apple-converted-space">
    <w:name w:val="apple-converted-space"/>
    <w:basedOn w:val="a0"/>
    <w:rsid w:val="00DC512D"/>
  </w:style>
  <w:style w:type="character" w:styleId="a5">
    <w:name w:val="Hyperlink"/>
    <w:basedOn w:val="a0"/>
    <w:uiPriority w:val="99"/>
    <w:semiHidden/>
    <w:unhideWhenUsed/>
    <w:rsid w:val="00DC512D"/>
    <w:rPr>
      <w:color w:val="0000FF"/>
      <w:u w:val="single"/>
    </w:rPr>
  </w:style>
  <w:style w:type="paragraph" w:customStyle="1" w:styleId="consplustitle">
    <w:name w:val="consplustitle"/>
    <w:basedOn w:val="a"/>
    <w:rsid w:val="00DC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C51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393572">
      <w:bodyDiv w:val="1"/>
      <w:marLeft w:val="0"/>
      <w:marRight w:val="0"/>
      <w:marTop w:val="0"/>
      <w:marBottom w:val="0"/>
      <w:divBdr>
        <w:top w:val="none" w:sz="0" w:space="0" w:color="auto"/>
        <w:left w:val="none" w:sz="0" w:space="0" w:color="auto"/>
        <w:bottom w:val="none" w:sz="0" w:space="0" w:color="auto"/>
        <w:right w:val="none" w:sz="0" w:space="0" w:color="auto"/>
      </w:divBdr>
      <w:divsChild>
        <w:div w:id="355734653">
          <w:marLeft w:val="0"/>
          <w:marRight w:val="0"/>
          <w:marTop w:val="0"/>
          <w:marBottom w:val="0"/>
          <w:divBdr>
            <w:top w:val="none" w:sz="0" w:space="0" w:color="auto"/>
            <w:left w:val="none" w:sz="0" w:space="0" w:color="auto"/>
            <w:bottom w:val="none" w:sz="0" w:space="0" w:color="auto"/>
            <w:right w:val="none" w:sz="0" w:space="0" w:color="auto"/>
          </w:divBdr>
        </w:div>
        <w:div w:id="418645648">
          <w:marLeft w:val="0"/>
          <w:marRight w:val="0"/>
          <w:marTop w:val="0"/>
          <w:marBottom w:val="0"/>
          <w:divBdr>
            <w:top w:val="none" w:sz="0" w:space="0" w:color="auto"/>
            <w:left w:val="none" w:sz="0" w:space="0" w:color="auto"/>
            <w:bottom w:val="none" w:sz="0" w:space="0" w:color="auto"/>
            <w:right w:val="none" w:sz="0" w:space="0" w:color="auto"/>
          </w:divBdr>
          <w:divsChild>
            <w:div w:id="634600119">
              <w:marLeft w:val="0"/>
              <w:marRight w:val="0"/>
              <w:marTop w:val="0"/>
              <w:marBottom w:val="0"/>
              <w:divBdr>
                <w:top w:val="none" w:sz="0" w:space="0" w:color="auto"/>
                <w:left w:val="none" w:sz="0" w:space="0" w:color="auto"/>
                <w:bottom w:val="none" w:sz="0" w:space="0" w:color="auto"/>
                <w:right w:val="none" w:sz="0" w:space="0" w:color="auto"/>
              </w:divBdr>
              <w:divsChild>
                <w:div w:id="1983264246">
                  <w:marLeft w:val="0"/>
                  <w:marRight w:val="0"/>
                  <w:marTop w:val="0"/>
                  <w:marBottom w:val="0"/>
                  <w:divBdr>
                    <w:top w:val="none" w:sz="0" w:space="0" w:color="auto"/>
                    <w:left w:val="none" w:sz="0" w:space="0" w:color="auto"/>
                    <w:bottom w:val="none" w:sz="0" w:space="0" w:color="auto"/>
                    <w:right w:val="none" w:sz="0" w:space="0" w:color="auto"/>
                  </w:divBdr>
                  <w:divsChild>
                    <w:div w:id="510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3014">
          <w:marLeft w:val="0"/>
          <w:marRight w:val="0"/>
          <w:marTop w:val="0"/>
          <w:marBottom w:val="0"/>
          <w:divBdr>
            <w:top w:val="none" w:sz="0" w:space="0" w:color="auto"/>
            <w:left w:val="none" w:sz="0" w:space="0" w:color="auto"/>
            <w:bottom w:val="none" w:sz="0" w:space="0" w:color="auto"/>
            <w:right w:val="none" w:sz="0" w:space="0" w:color="auto"/>
          </w:divBdr>
          <w:divsChild>
            <w:div w:id="398329241">
              <w:marLeft w:val="0"/>
              <w:marRight w:val="0"/>
              <w:marTop w:val="0"/>
              <w:marBottom w:val="0"/>
              <w:divBdr>
                <w:top w:val="none" w:sz="0" w:space="0" w:color="auto"/>
                <w:left w:val="none" w:sz="0" w:space="0" w:color="auto"/>
                <w:bottom w:val="none" w:sz="0" w:space="0" w:color="auto"/>
                <w:right w:val="none" w:sz="0" w:space="0" w:color="auto"/>
              </w:divBdr>
              <w:divsChild>
                <w:div w:id="824785494">
                  <w:marLeft w:val="0"/>
                  <w:marRight w:val="0"/>
                  <w:marTop w:val="0"/>
                  <w:marBottom w:val="0"/>
                  <w:divBdr>
                    <w:top w:val="none" w:sz="0" w:space="0" w:color="auto"/>
                    <w:left w:val="none" w:sz="0" w:space="0" w:color="auto"/>
                    <w:bottom w:val="none" w:sz="0" w:space="0" w:color="auto"/>
                    <w:right w:val="none" w:sz="0" w:space="0" w:color="auto"/>
                  </w:divBdr>
                  <w:divsChild>
                    <w:div w:id="13998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3336">
          <w:marLeft w:val="0"/>
          <w:marRight w:val="0"/>
          <w:marTop w:val="0"/>
          <w:marBottom w:val="0"/>
          <w:divBdr>
            <w:top w:val="none" w:sz="0" w:space="0" w:color="auto"/>
            <w:left w:val="none" w:sz="0" w:space="0" w:color="auto"/>
            <w:bottom w:val="none" w:sz="0" w:space="0" w:color="auto"/>
            <w:right w:val="none" w:sz="0" w:space="0" w:color="auto"/>
          </w:divBdr>
          <w:divsChild>
            <w:div w:id="1076317358">
              <w:marLeft w:val="0"/>
              <w:marRight w:val="0"/>
              <w:marTop w:val="0"/>
              <w:marBottom w:val="0"/>
              <w:divBdr>
                <w:top w:val="none" w:sz="0" w:space="0" w:color="auto"/>
                <w:left w:val="none" w:sz="0" w:space="0" w:color="auto"/>
                <w:bottom w:val="none" w:sz="0" w:space="0" w:color="auto"/>
                <w:right w:val="none" w:sz="0" w:space="0" w:color="auto"/>
              </w:divBdr>
              <w:divsChild>
                <w:div w:id="945768071">
                  <w:marLeft w:val="0"/>
                  <w:marRight w:val="0"/>
                  <w:marTop w:val="0"/>
                  <w:marBottom w:val="0"/>
                  <w:divBdr>
                    <w:top w:val="none" w:sz="0" w:space="0" w:color="auto"/>
                    <w:left w:val="none" w:sz="0" w:space="0" w:color="auto"/>
                    <w:bottom w:val="none" w:sz="0" w:space="0" w:color="auto"/>
                    <w:right w:val="none" w:sz="0" w:space="0" w:color="auto"/>
                  </w:divBdr>
                  <w:divsChild>
                    <w:div w:id="2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srpn.ru/" TargetMode="External"/><Relationship Id="rId3" Type="http://schemas.openxmlformats.org/officeDocument/2006/relationships/webSettings" Target="webSettings.xml"/><Relationship Id="rId7" Type="http://schemas.openxmlformats.org/officeDocument/2006/relationships/hyperlink" Target="http://74.rpn.gov.ru/sites/default/files/info4prirod/forma_deklaracii_o_plate_za_nvos.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4.rpn.gov.ru/sites/default/files/info4prirod/prikaz_3_ot_09.01.2017_.doc" TargetMode="External"/><Relationship Id="rId11" Type="http://schemas.openxmlformats.org/officeDocument/2006/relationships/theme" Target="theme/theme1.xml"/><Relationship Id="rId5" Type="http://schemas.openxmlformats.org/officeDocument/2006/relationships/hyperlink" Target="http://74.rpn.gov.ru/sites/default/files/info4prirod/pp_758_ot_29.06.2018.docx" TargetMode="External"/><Relationship Id="rId10" Type="http://schemas.openxmlformats.org/officeDocument/2006/relationships/fontTable" Target="fontTable.xml"/><Relationship Id="rId4" Type="http://schemas.openxmlformats.org/officeDocument/2006/relationships/hyperlink" Target="http://74.rpn.gov.ru/sites/default/files/info4prirod/postanovlenie_pravitelstva_913.doc" TargetMode="External"/><Relationship Id="rId9" Type="http://schemas.openxmlformats.org/officeDocument/2006/relationships/hyperlink" Target="http://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2018-11-29T09:10:00Z</dcterms:created>
  <dcterms:modified xsi:type="dcterms:W3CDTF">2018-11-30T05:51:00Z</dcterms:modified>
</cp:coreProperties>
</file>