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A8" w:rsidRDefault="000724A8" w:rsidP="000724A8">
      <w:pPr>
        <w:framePr w:wrap="none" w:vAnchor="page" w:hAnchor="page" w:x="118" w:y="65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743700" cy="9258300"/>
            <wp:effectExtent l="19050" t="0" r="0" b="0"/>
            <wp:docPr id="7" name="Рисунок 7" descr="C:\Users\PERVUS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RVUS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4A8" w:rsidRDefault="000724A8">
      <w:pPr>
        <w:widowControl/>
        <w:autoSpaceDE/>
        <w:autoSpaceDN/>
        <w:adjustRightInd/>
        <w:spacing w:after="200" w:line="276" w:lineRule="auto"/>
        <w:ind w:firstLine="0"/>
        <w:jc w:val="left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:rsidR="000724A8" w:rsidRDefault="000724A8" w:rsidP="00554774">
      <w:pPr>
        <w:shd w:val="clear" w:color="auto" w:fill="FFFFFF"/>
        <w:contextualSpacing/>
        <w:jc w:val="center"/>
        <w:rPr>
          <w:b/>
          <w:bCs/>
          <w:sz w:val="28"/>
          <w:szCs w:val="28"/>
          <w:lang w:val="en-US"/>
        </w:rPr>
      </w:pPr>
    </w:p>
    <w:p w:rsidR="00554774" w:rsidRPr="004325F3" w:rsidRDefault="00554774" w:rsidP="00554774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4325F3">
        <w:rPr>
          <w:b/>
          <w:bCs/>
          <w:sz w:val="28"/>
          <w:szCs w:val="28"/>
        </w:rPr>
        <w:t>Доклад о достигнутых значениях показателей для оценки эффективности деятельности органов местного самоуправления</w:t>
      </w:r>
    </w:p>
    <w:p w:rsidR="00554774" w:rsidRPr="004325F3" w:rsidRDefault="00554774" w:rsidP="00554774">
      <w:pPr>
        <w:shd w:val="clear" w:color="auto" w:fill="FFFFFF"/>
        <w:contextualSpacing/>
        <w:jc w:val="center"/>
      </w:pPr>
      <w:r w:rsidRPr="004325F3">
        <w:rPr>
          <w:b/>
          <w:bCs/>
          <w:sz w:val="28"/>
          <w:szCs w:val="28"/>
        </w:rPr>
        <w:t>Новолялинского городского округа за 201</w:t>
      </w:r>
      <w:r w:rsidR="00B43125">
        <w:rPr>
          <w:b/>
          <w:bCs/>
          <w:sz w:val="28"/>
          <w:szCs w:val="28"/>
        </w:rPr>
        <w:t>6</w:t>
      </w:r>
      <w:r w:rsidRPr="004325F3">
        <w:rPr>
          <w:b/>
          <w:bCs/>
          <w:sz w:val="28"/>
          <w:szCs w:val="28"/>
        </w:rPr>
        <w:t xml:space="preserve"> год и их планируемых значениях на трехлетний период</w:t>
      </w:r>
    </w:p>
    <w:p w:rsidR="00554774" w:rsidRPr="004325F3" w:rsidRDefault="00554774" w:rsidP="00554774">
      <w:pPr>
        <w:shd w:val="clear" w:color="auto" w:fill="FFFFFF"/>
        <w:contextualSpacing/>
        <w:rPr>
          <w:spacing w:val="-2"/>
          <w:sz w:val="28"/>
          <w:szCs w:val="28"/>
        </w:rPr>
      </w:pPr>
    </w:p>
    <w:p w:rsidR="00554774" w:rsidRPr="004325F3" w:rsidRDefault="00554774" w:rsidP="001B45D0">
      <w:pPr>
        <w:shd w:val="clear" w:color="auto" w:fill="FFFFFF"/>
        <w:contextualSpacing/>
      </w:pPr>
      <w:r w:rsidRPr="004325F3">
        <w:rPr>
          <w:spacing w:val="-2"/>
          <w:sz w:val="28"/>
          <w:szCs w:val="28"/>
        </w:rPr>
        <w:t>Доклад</w:t>
      </w:r>
      <w:r w:rsidRPr="004325F3">
        <w:rPr>
          <w:rFonts w:ascii="Arial" w:hAnsi="Arial" w:cs="Arial"/>
          <w:sz w:val="28"/>
          <w:szCs w:val="28"/>
        </w:rPr>
        <w:tab/>
      </w:r>
      <w:r>
        <w:rPr>
          <w:sz w:val="28"/>
          <w:szCs w:val="28"/>
        </w:rPr>
        <w:t xml:space="preserve"> о</w:t>
      </w:r>
      <w:r w:rsidRPr="004325F3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4325F3">
        <w:rPr>
          <w:rFonts w:ascii="Arial" w:hAnsi="Arial" w:cs="Arial"/>
          <w:sz w:val="28"/>
          <w:szCs w:val="28"/>
        </w:rPr>
        <w:tab/>
      </w:r>
      <w:r w:rsidRPr="004325F3">
        <w:rPr>
          <w:spacing w:val="-2"/>
          <w:sz w:val="28"/>
          <w:szCs w:val="28"/>
        </w:rPr>
        <w:t>эффективности</w:t>
      </w:r>
      <w:r>
        <w:rPr>
          <w:spacing w:val="-2"/>
          <w:sz w:val="28"/>
          <w:szCs w:val="28"/>
        </w:rPr>
        <w:t xml:space="preserve"> </w:t>
      </w:r>
      <w:r w:rsidRPr="004325F3">
        <w:rPr>
          <w:rFonts w:ascii="Arial" w:hAnsi="Arial" w:cs="Arial"/>
          <w:sz w:val="28"/>
          <w:szCs w:val="28"/>
        </w:rPr>
        <w:tab/>
      </w:r>
      <w:r w:rsidRPr="004325F3">
        <w:rPr>
          <w:spacing w:val="-2"/>
          <w:sz w:val="28"/>
          <w:szCs w:val="28"/>
        </w:rPr>
        <w:t>деятельности</w:t>
      </w:r>
      <w:r>
        <w:rPr>
          <w:spacing w:val="-2"/>
          <w:sz w:val="28"/>
          <w:szCs w:val="28"/>
        </w:rPr>
        <w:t xml:space="preserve"> </w:t>
      </w:r>
      <w:r w:rsidRPr="004325F3">
        <w:rPr>
          <w:rFonts w:ascii="Arial" w:hAnsi="Arial" w:cs="Arial"/>
          <w:sz w:val="28"/>
          <w:szCs w:val="28"/>
        </w:rPr>
        <w:tab/>
      </w:r>
      <w:r w:rsidRPr="004325F3">
        <w:rPr>
          <w:spacing w:val="-2"/>
          <w:sz w:val="28"/>
          <w:szCs w:val="28"/>
        </w:rPr>
        <w:t>органов</w:t>
      </w:r>
      <w:r>
        <w:rPr>
          <w:spacing w:val="-2"/>
          <w:sz w:val="28"/>
          <w:szCs w:val="28"/>
        </w:rPr>
        <w:t xml:space="preserve"> </w:t>
      </w:r>
      <w:r w:rsidRPr="004325F3">
        <w:rPr>
          <w:rFonts w:ascii="Arial" w:hAnsi="Arial" w:cs="Arial"/>
          <w:sz w:val="28"/>
          <w:szCs w:val="28"/>
        </w:rPr>
        <w:tab/>
      </w:r>
      <w:r w:rsidRPr="004325F3">
        <w:rPr>
          <w:spacing w:val="-2"/>
          <w:sz w:val="28"/>
          <w:szCs w:val="28"/>
        </w:rPr>
        <w:t xml:space="preserve">местного </w:t>
      </w:r>
      <w:r w:rsidRPr="004325F3">
        <w:rPr>
          <w:sz w:val="28"/>
          <w:szCs w:val="28"/>
        </w:rPr>
        <w:t xml:space="preserve">самоуправления Новолялинского городского округа подготовлен во исполнение Указа Президента РФ от 14 октября 2012 года № 1384 «О внесении изменений в Указ Президента Российской Федерации от 28 апреля </w:t>
      </w:r>
      <w:smartTag w:uri="urn:schemas-microsoft-com:office:smarttags" w:element="metricconverter">
        <w:smartTagPr>
          <w:attr w:name="ProductID" w:val="2008 г"/>
        </w:smartTagPr>
        <w:r w:rsidRPr="004325F3">
          <w:rPr>
            <w:sz w:val="28"/>
            <w:szCs w:val="28"/>
          </w:rPr>
          <w:t>2008 г</w:t>
        </w:r>
      </w:smartTag>
      <w:r w:rsidRPr="004325F3">
        <w:rPr>
          <w:sz w:val="28"/>
          <w:szCs w:val="28"/>
        </w:rPr>
        <w:t xml:space="preserve">.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 1317–ПП «О мерах по реализации Указа Президента Российской Федерации от 28 апреля 2008 г. </w:t>
      </w:r>
      <w:hyperlink r:id="rId8" w:history="1">
        <w:r w:rsidRPr="004325F3">
          <w:rPr>
            <w:sz w:val="28"/>
            <w:szCs w:val="28"/>
          </w:rPr>
          <w:t>№</w:t>
        </w:r>
      </w:hyperlink>
      <w:r w:rsidRPr="004325F3">
        <w:rPr>
          <w:sz w:val="28"/>
          <w:szCs w:val="28"/>
        </w:rPr>
        <w:t xml:space="preserve">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</w:t>
      </w:r>
      <w:hyperlink r:id="rId9" w:history="1">
        <w:r w:rsidRPr="004325F3">
          <w:rPr>
            <w:sz w:val="28"/>
            <w:szCs w:val="28"/>
          </w:rPr>
          <w:t>№</w:t>
        </w:r>
      </w:hyperlink>
      <w:r w:rsidRPr="004325F3">
        <w:rPr>
          <w:sz w:val="28"/>
          <w:szCs w:val="28"/>
        </w:rPr>
        <w:t xml:space="preserve"> 601 «Об основных направлениях совершенствования системы государственного управления» и Постановления Правительства Свердловской области от 12.04.2013 года № 485-ПП «О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 области».</w:t>
      </w:r>
    </w:p>
    <w:p w:rsidR="00554774" w:rsidRPr="004325F3" w:rsidRDefault="00554774" w:rsidP="001B45D0">
      <w:pPr>
        <w:shd w:val="clear" w:color="auto" w:fill="FFFFFF"/>
        <w:contextualSpacing/>
      </w:pPr>
      <w:r w:rsidRPr="004325F3">
        <w:rPr>
          <w:sz w:val="28"/>
          <w:szCs w:val="28"/>
        </w:rPr>
        <w:t xml:space="preserve">Показатели доклада отражают действия </w:t>
      </w:r>
      <w:r>
        <w:rPr>
          <w:sz w:val="28"/>
          <w:szCs w:val="28"/>
        </w:rPr>
        <w:t>органов местного самоуправления</w:t>
      </w:r>
      <w:r w:rsidRPr="004325F3">
        <w:rPr>
          <w:sz w:val="28"/>
          <w:szCs w:val="28"/>
        </w:rPr>
        <w:t xml:space="preserve"> Новолялинского городского округа по реализации полномочий, предусмотренных Федеральным законом № 131-ФЗ «Об общих принципах организации местного самоуправления в Российской Федерации». В ходе реализации Закона разграничены полномочия, проведена работа по формированию имущественного комплекса и оптимизации работы систем жизнеобеспечения населения. Наработана и действует определенная нормативно-правовая база.</w:t>
      </w:r>
    </w:p>
    <w:p w:rsidR="00554774" w:rsidRPr="004325F3" w:rsidRDefault="00554774" w:rsidP="001B45D0">
      <w:pPr>
        <w:shd w:val="clear" w:color="auto" w:fill="FFFFFF"/>
        <w:contextualSpacing/>
      </w:pPr>
      <w:r w:rsidRPr="004325F3">
        <w:rPr>
          <w:sz w:val="28"/>
          <w:szCs w:val="28"/>
        </w:rPr>
        <w:t>Повышение эффективности работы органов местного самоуправления является одной из важнейших задач.</w:t>
      </w:r>
    </w:p>
    <w:p w:rsidR="00554774" w:rsidRPr="004325F3" w:rsidRDefault="00554774" w:rsidP="001B45D0">
      <w:pPr>
        <w:shd w:val="clear" w:color="auto" w:fill="FFFFFF"/>
        <w:contextualSpacing/>
      </w:pPr>
      <w:r w:rsidRPr="004325F3">
        <w:rPr>
          <w:sz w:val="28"/>
          <w:szCs w:val="28"/>
        </w:rPr>
        <w:t>От того, насколько успешно реализуются задачи, зависит в конечном</w:t>
      </w:r>
      <w:r w:rsidRPr="004325F3">
        <w:rPr>
          <w:sz w:val="28"/>
          <w:szCs w:val="28"/>
        </w:rPr>
        <w:br/>
        <w:t>итоге и решение многих проблем в сфере жилищно-коммунального хозяйства,</w:t>
      </w:r>
      <w:r w:rsidRPr="004325F3">
        <w:rPr>
          <w:sz w:val="28"/>
          <w:szCs w:val="28"/>
        </w:rPr>
        <w:br/>
        <w:t>транспортного обслуживания населения, образования и культуры,</w:t>
      </w:r>
      <w:r w:rsidRPr="004325F3">
        <w:rPr>
          <w:sz w:val="28"/>
          <w:szCs w:val="28"/>
        </w:rPr>
        <w:br/>
        <w:t xml:space="preserve">социальной поддержки населения, землепользования и ряда </w:t>
      </w:r>
      <w:r w:rsidRPr="004325F3">
        <w:rPr>
          <w:spacing w:val="-10"/>
          <w:sz w:val="28"/>
          <w:szCs w:val="28"/>
        </w:rPr>
        <w:t>других вопросов</w:t>
      </w:r>
      <w:r>
        <w:rPr>
          <w:spacing w:val="-10"/>
          <w:sz w:val="28"/>
          <w:szCs w:val="28"/>
        </w:rPr>
        <w:t xml:space="preserve"> </w:t>
      </w:r>
      <w:r w:rsidRPr="004325F3">
        <w:rPr>
          <w:spacing w:val="-10"/>
          <w:sz w:val="28"/>
          <w:szCs w:val="28"/>
        </w:rPr>
        <w:t xml:space="preserve">непосредственного </w:t>
      </w:r>
      <w:r w:rsidRPr="004325F3">
        <w:rPr>
          <w:spacing w:val="-7"/>
          <w:sz w:val="28"/>
          <w:szCs w:val="28"/>
        </w:rPr>
        <w:t>обеспечения жизнедеятельности</w:t>
      </w:r>
      <w:r w:rsidRPr="004325F3">
        <w:t xml:space="preserve"> </w:t>
      </w:r>
      <w:r w:rsidRPr="004325F3">
        <w:rPr>
          <w:sz w:val="28"/>
          <w:szCs w:val="28"/>
        </w:rPr>
        <w:t>населения муниципального образования.</w:t>
      </w:r>
    </w:p>
    <w:p w:rsidR="00554774" w:rsidRPr="004325F3" w:rsidRDefault="00554774" w:rsidP="001B45D0">
      <w:pPr>
        <w:shd w:val="clear" w:color="auto" w:fill="FFFFFF"/>
        <w:contextualSpacing/>
      </w:pPr>
      <w:r w:rsidRPr="004325F3">
        <w:rPr>
          <w:sz w:val="28"/>
          <w:szCs w:val="28"/>
        </w:rPr>
        <w:t xml:space="preserve">Помимо показателей текущего функционирования муниципалитета, в докладе отражены показатели, обеспечивающие долгосрочное планирование и стратегическое развитие округа. </w:t>
      </w:r>
    </w:p>
    <w:p w:rsidR="00554774" w:rsidRPr="004325F3" w:rsidRDefault="00554774" w:rsidP="001B45D0">
      <w:pPr>
        <w:contextualSpacing/>
        <w:rPr>
          <w:sz w:val="28"/>
          <w:szCs w:val="28"/>
        </w:rPr>
      </w:pPr>
      <w:r w:rsidRPr="004325F3">
        <w:rPr>
          <w:sz w:val="28"/>
          <w:szCs w:val="28"/>
        </w:rPr>
        <w:t xml:space="preserve">Рост благосостояния и повышения качества жизни населения округа </w:t>
      </w:r>
      <w:r>
        <w:rPr>
          <w:sz w:val="28"/>
          <w:szCs w:val="28"/>
        </w:rPr>
        <w:t>может быть</w:t>
      </w:r>
      <w:r w:rsidRPr="004325F3">
        <w:rPr>
          <w:sz w:val="28"/>
          <w:szCs w:val="28"/>
        </w:rPr>
        <w:t xml:space="preserve"> достигнут только при условии создания на территории городского округа стабильного высокопроизводительного, конкурентоспособного промышленного производства, сельского хозяйст</w:t>
      </w:r>
      <w:r w:rsidR="001B45D0">
        <w:rPr>
          <w:sz w:val="28"/>
          <w:szCs w:val="28"/>
        </w:rPr>
        <w:t xml:space="preserve">ва и за счет перехода на </w:t>
      </w:r>
      <w:r w:rsidR="001B45D0">
        <w:rPr>
          <w:sz w:val="28"/>
          <w:szCs w:val="28"/>
        </w:rPr>
        <w:lastRenderedPageBreak/>
        <w:t>новые</w:t>
      </w:r>
      <w:r w:rsidRPr="004325F3">
        <w:rPr>
          <w:sz w:val="28"/>
          <w:szCs w:val="28"/>
        </w:rPr>
        <w:t xml:space="preserve">прогрессивные </w:t>
      </w:r>
      <w:r w:rsidRPr="004325F3">
        <w:rPr>
          <w:sz w:val="28"/>
          <w:szCs w:val="28"/>
        </w:rPr>
        <w:tab/>
        <w:t>энерго-</w:t>
      </w:r>
      <w:r w:rsidRPr="004325F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325F3">
        <w:rPr>
          <w:sz w:val="28"/>
          <w:szCs w:val="28"/>
        </w:rPr>
        <w:t>и ресурсосберегающие технологии, модернизации производственного и аграрного потенциала округа.</w:t>
      </w:r>
    </w:p>
    <w:p w:rsidR="00554774" w:rsidRPr="004325F3" w:rsidRDefault="00554774" w:rsidP="001B45D0">
      <w:pPr>
        <w:contextualSpacing/>
        <w:rPr>
          <w:sz w:val="28"/>
          <w:szCs w:val="28"/>
        </w:rPr>
      </w:pPr>
      <w:r w:rsidRPr="004325F3">
        <w:rPr>
          <w:sz w:val="28"/>
          <w:szCs w:val="28"/>
        </w:rPr>
        <w:t xml:space="preserve">Данную задачу невозможно решить без создания благоприятного инвестиционного и предпринимательского климата. Поэтому работа по привлечению инвестиций на территорию округа является одной из главных приоритетных направлений органов местного самоуправления. Это позволит укрепить бюджет округа, </w:t>
      </w:r>
      <w:r w:rsidRPr="004325F3">
        <w:rPr>
          <w:spacing w:val="-13"/>
          <w:sz w:val="28"/>
          <w:szCs w:val="28"/>
        </w:rPr>
        <w:t>создать условия для эффективного решения</w:t>
      </w:r>
      <w:r w:rsidRPr="004325F3">
        <w:rPr>
          <w:rFonts w:ascii="Arial" w:hAnsi="Arial" w:cs="Arial"/>
          <w:sz w:val="28"/>
          <w:szCs w:val="28"/>
        </w:rPr>
        <w:t xml:space="preserve"> </w:t>
      </w:r>
      <w:r w:rsidRPr="004325F3">
        <w:rPr>
          <w:spacing w:val="-9"/>
          <w:sz w:val="28"/>
          <w:szCs w:val="28"/>
        </w:rPr>
        <w:t>социальных программ,</w:t>
      </w:r>
      <w:r w:rsidRPr="004325F3">
        <w:rPr>
          <w:sz w:val="28"/>
          <w:szCs w:val="28"/>
        </w:rPr>
        <w:t xml:space="preserve"> </w:t>
      </w:r>
      <w:r w:rsidRPr="004325F3">
        <w:rPr>
          <w:spacing w:val="-1"/>
          <w:sz w:val="28"/>
          <w:szCs w:val="28"/>
        </w:rPr>
        <w:t>направленных на улучшение уровня жизни населения округа.</w:t>
      </w:r>
    </w:p>
    <w:p w:rsidR="00554774" w:rsidRPr="004325F3" w:rsidRDefault="00554774" w:rsidP="001B45D0">
      <w:pPr>
        <w:shd w:val="clear" w:color="auto" w:fill="FFFFFF"/>
        <w:contextualSpacing/>
      </w:pPr>
      <w:r w:rsidRPr="004325F3">
        <w:rPr>
          <w:sz w:val="28"/>
          <w:szCs w:val="28"/>
        </w:rPr>
        <w:t>В развитии экономики Новолялинского городского округа в 201</w:t>
      </w:r>
      <w:r w:rsidR="00435181" w:rsidRPr="00435181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году преобладали положительные тенденции, достигнут рост объемов производства. На фоне роста объемов розничного товарооборота, платных и бытовых услуг, сохранилась положительная динамика производственных показателей, таких как выпуск продукции сельского хозяйства, промышленного производства. Увеличились уровень заработной платы и денежных доходов населения, площадь жилищного фонда в расчете на 1 жителя, продолжена реализация социальных программ.</w:t>
      </w:r>
    </w:p>
    <w:p w:rsidR="00554774" w:rsidRPr="004325F3" w:rsidRDefault="00554774" w:rsidP="00554774">
      <w:pPr>
        <w:shd w:val="clear" w:color="auto" w:fill="FFFFFF"/>
        <w:contextualSpacing/>
        <w:jc w:val="center"/>
      </w:pPr>
      <w:r w:rsidRPr="004325F3">
        <w:rPr>
          <w:b/>
          <w:bCs/>
          <w:sz w:val="28"/>
          <w:szCs w:val="28"/>
        </w:rPr>
        <w:t>Экономическое</w:t>
      </w:r>
      <w:r w:rsidRPr="004325F3">
        <w:rPr>
          <w:b/>
          <w:bCs/>
          <w:sz w:val="32"/>
          <w:szCs w:val="32"/>
        </w:rPr>
        <w:t xml:space="preserve"> </w:t>
      </w:r>
      <w:r w:rsidRPr="004325F3">
        <w:rPr>
          <w:b/>
          <w:bCs/>
          <w:sz w:val="28"/>
          <w:szCs w:val="28"/>
        </w:rPr>
        <w:t>развитие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</w:p>
    <w:p w:rsidR="00554774" w:rsidRPr="00C1398A" w:rsidRDefault="00554774" w:rsidP="00554774">
      <w:pPr>
        <w:shd w:val="clear" w:color="auto" w:fill="FFFFFF"/>
        <w:contextualSpacing/>
        <w:rPr>
          <w:sz w:val="28"/>
          <w:szCs w:val="28"/>
        </w:rPr>
      </w:pPr>
      <w:r w:rsidRPr="00C1398A">
        <w:rPr>
          <w:sz w:val="28"/>
          <w:szCs w:val="28"/>
        </w:rPr>
        <w:t>1. Число субъектов малого и среднего предпринимательства в расчете на 10 тыс. человек населения в 201</w:t>
      </w:r>
      <w:r w:rsidR="00435181" w:rsidRPr="00435181">
        <w:rPr>
          <w:sz w:val="28"/>
          <w:szCs w:val="28"/>
        </w:rPr>
        <w:t>6</w:t>
      </w:r>
      <w:r w:rsidRPr="00C1398A">
        <w:rPr>
          <w:sz w:val="28"/>
          <w:szCs w:val="28"/>
        </w:rPr>
        <w:t xml:space="preserve"> году составило </w:t>
      </w:r>
      <w:r w:rsidR="00435181" w:rsidRPr="00435181">
        <w:rPr>
          <w:sz w:val="28"/>
          <w:szCs w:val="28"/>
        </w:rPr>
        <w:t>189.2</w:t>
      </w:r>
      <w:r w:rsidRPr="00C1398A">
        <w:rPr>
          <w:sz w:val="28"/>
          <w:szCs w:val="28"/>
        </w:rPr>
        <w:t xml:space="preserve"> ед.,</w:t>
      </w:r>
      <w:r w:rsidRPr="00F448C8">
        <w:rPr>
          <w:sz w:val="28"/>
          <w:szCs w:val="28"/>
        </w:rPr>
        <w:t xml:space="preserve"> </w:t>
      </w:r>
      <w:r w:rsidRPr="004325F3">
        <w:rPr>
          <w:sz w:val="28"/>
          <w:szCs w:val="28"/>
        </w:rPr>
        <w:t xml:space="preserve">что </w:t>
      </w:r>
      <w:r>
        <w:rPr>
          <w:sz w:val="28"/>
          <w:szCs w:val="28"/>
        </w:rPr>
        <w:t>соответствует значению 201</w:t>
      </w:r>
      <w:r w:rsidR="00435181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Pr="00C1398A">
        <w:rPr>
          <w:sz w:val="28"/>
          <w:szCs w:val="28"/>
        </w:rPr>
        <w:t xml:space="preserve">. </w:t>
      </w:r>
    </w:p>
    <w:p w:rsidR="003D0132" w:rsidRPr="00B6281F" w:rsidRDefault="003D0132" w:rsidP="003D0132">
      <w:pPr>
        <w:shd w:val="clear" w:color="auto" w:fill="FFFFFF"/>
        <w:contextualSpacing/>
        <w:rPr>
          <w:sz w:val="28"/>
          <w:szCs w:val="28"/>
        </w:rPr>
      </w:pPr>
      <w:r w:rsidRPr="00B6281F">
        <w:rPr>
          <w:sz w:val="28"/>
          <w:szCs w:val="28"/>
        </w:rPr>
        <w:t xml:space="preserve">В сравнении с 2015 годом, количество субъектов малого и среднего предпринимательства в Новолялинском городском округе сохранилось на том же уровне и составило в 2016 году 432 ед. </w:t>
      </w:r>
    </w:p>
    <w:p w:rsidR="003D0132" w:rsidRPr="00B6281F" w:rsidRDefault="003D0132" w:rsidP="003D0132">
      <w:pPr>
        <w:shd w:val="clear" w:color="auto" w:fill="FFFFFF"/>
        <w:contextualSpacing/>
        <w:rPr>
          <w:sz w:val="28"/>
          <w:szCs w:val="28"/>
        </w:rPr>
      </w:pPr>
      <w:r w:rsidRPr="00B6281F">
        <w:rPr>
          <w:sz w:val="28"/>
          <w:szCs w:val="28"/>
        </w:rPr>
        <w:t xml:space="preserve">На территории Новолялинского городского округа на 01.01.2017 г. осуществляют свою деятельность 94 субъекта малых и микро- предприятий, </w:t>
      </w:r>
      <w:r w:rsidRPr="00B6281F">
        <w:rPr>
          <w:spacing w:val="-2"/>
          <w:sz w:val="28"/>
          <w:szCs w:val="28"/>
        </w:rPr>
        <w:t>и 338</w:t>
      </w:r>
      <w:r w:rsidRPr="00B6281F">
        <w:rPr>
          <w:sz w:val="28"/>
          <w:szCs w:val="28"/>
        </w:rPr>
        <w:t xml:space="preserve"> </w:t>
      </w:r>
      <w:r w:rsidRPr="00B6281F">
        <w:rPr>
          <w:spacing w:val="-2"/>
          <w:sz w:val="28"/>
          <w:szCs w:val="28"/>
        </w:rPr>
        <w:t>индивидуальных</w:t>
      </w:r>
      <w:r w:rsidRPr="00B6281F">
        <w:rPr>
          <w:sz w:val="28"/>
          <w:szCs w:val="28"/>
        </w:rPr>
        <w:t xml:space="preserve"> предпринимателей. </w:t>
      </w:r>
    </w:p>
    <w:p w:rsidR="00554774" w:rsidRPr="004325F3" w:rsidRDefault="003D0132" w:rsidP="003D0132">
      <w:pPr>
        <w:shd w:val="clear" w:color="auto" w:fill="FFFFFF"/>
        <w:contextualSpacing/>
      </w:pPr>
      <w:r w:rsidRPr="00B6281F">
        <w:rPr>
          <w:sz w:val="28"/>
          <w:szCs w:val="28"/>
        </w:rPr>
        <w:t>Численность занятых в сфере малого предпринимательства составляет 1075 чел.</w:t>
      </w:r>
      <w:r>
        <w:rPr>
          <w:sz w:val="28"/>
          <w:szCs w:val="28"/>
        </w:rPr>
        <w:t xml:space="preserve"> </w:t>
      </w:r>
      <w:r w:rsidR="00554774" w:rsidRPr="004325F3">
        <w:rPr>
          <w:sz w:val="28"/>
          <w:szCs w:val="28"/>
        </w:rPr>
        <w:t>Производственную деятельность осуществляют</w:t>
      </w:r>
      <w:r w:rsidR="00554774">
        <w:rPr>
          <w:sz w:val="28"/>
          <w:szCs w:val="28"/>
        </w:rPr>
        <w:t>: хлебопечение - 4</w:t>
      </w:r>
      <w:r w:rsidR="00554774" w:rsidRPr="004325F3">
        <w:rPr>
          <w:sz w:val="28"/>
          <w:szCs w:val="28"/>
        </w:rPr>
        <w:t xml:space="preserve"> </w:t>
      </w:r>
      <w:r w:rsidR="00554774">
        <w:rPr>
          <w:sz w:val="28"/>
          <w:szCs w:val="28"/>
        </w:rPr>
        <w:t>хлебо</w:t>
      </w:r>
      <w:r w:rsidR="00554774" w:rsidRPr="004325F3">
        <w:rPr>
          <w:sz w:val="28"/>
          <w:szCs w:val="28"/>
        </w:rPr>
        <w:t>пекарни</w:t>
      </w:r>
      <w:r w:rsidR="00554774">
        <w:rPr>
          <w:sz w:val="28"/>
          <w:szCs w:val="28"/>
        </w:rPr>
        <w:t xml:space="preserve"> (ООО «Хлебный двор», ООО «</w:t>
      </w:r>
      <w:r w:rsidR="00554774" w:rsidRPr="00C767BA">
        <w:rPr>
          <w:sz w:val="28"/>
          <w:szCs w:val="28"/>
        </w:rPr>
        <w:t>ЭКОХИМ</w:t>
      </w:r>
      <w:r w:rsidR="00554774">
        <w:rPr>
          <w:sz w:val="28"/>
          <w:szCs w:val="28"/>
        </w:rPr>
        <w:t>», ИП Уколова О.Н., ООО «Меркурий»)</w:t>
      </w:r>
      <w:r w:rsidR="00554774" w:rsidRPr="004325F3">
        <w:rPr>
          <w:sz w:val="28"/>
          <w:szCs w:val="28"/>
        </w:rPr>
        <w:t>, заготовку</w:t>
      </w:r>
      <w:r w:rsidR="00554774">
        <w:rPr>
          <w:sz w:val="28"/>
          <w:szCs w:val="28"/>
        </w:rPr>
        <w:t xml:space="preserve"> и переработку</w:t>
      </w:r>
      <w:r w:rsidR="00554774" w:rsidRPr="004325F3">
        <w:rPr>
          <w:sz w:val="28"/>
          <w:szCs w:val="28"/>
        </w:rPr>
        <w:t xml:space="preserve"> древесины </w:t>
      </w:r>
      <w:r w:rsidR="00554774">
        <w:rPr>
          <w:sz w:val="28"/>
          <w:szCs w:val="28"/>
        </w:rPr>
        <w:t xml:space="preserve">- </w:t>
      </w:r>
      <w:r w:rsidR="00554774" w:rsidRPr="004325F3">
        <w:rPr>
          <w:sz w:val="28"/>
          <w:szCs w:val="28"/>
        </w:rPr>
        <w:t>8 организаций</w:t>
      </w:r>
      <w:r w:rsidR="00554774">
        <w:rPr>
          <w:sz w:val="28"/>
          <w:szCs w:val="28"/>
        </w:rPr>
        <w:t xml:space="preserve"> и ИП</w:t>
      </w:r>
      <w:r w:rsidR="00554774" w:rsidRPr="004325F3">
        <w:rPr>
          <w:sz w:val="28"/>
          <w:szCs w:val="28"/>
        </w:rPr>
        <w:t xml:space="preserve">, производство молока и мяса </w:t>
      </w:r>
      <w:r w:rsidR="00554774">
        <w:rPr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="00554774" w:rsidRPr="004325F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554774">
        <w:rPr>
          <w:sz w:val="28"/>
          <w:szCs w:val="28"/>
        </w:rPr>
        <w:t xml:space="preserve"> и пять </w:t>
      </w:r>
      <w:r>
        <w:rPr>
          <w:sz w:val="28"/>
          <w:szCs w:val="28"/>
        </w:rPr>
        <w:t>крестьянско-фермерских хозяйств.</w:t>
      </w:r>
    </w:p>
    <w:p w:rsidR="003D0132" w:rsidRPr="00B6281F" w:rsidRDefault="003D0132" w:rsidP="003D0132">
      <w:pPr>
        <w:shd w:val="clear" w:color="auto" w:fill="FFFFFF"/>
        <w:contextualSpacing/>
        <w:rPr>
          <w:sz w:val="28"/>
          <w:szCs w:val="28"/>
        </w:rPr>
      </w:pPr>
      <w:r w:rsidRPr="00B6281F">
        <w:rPr>
          <w:sz w:val="28"/>
          <w:szCs w:val="28"/>
        </w:rPr>
        <w:t>Развитие и поддержка предпринимательства является одним из приоритетных направлений политики округа. Основные действия органов местного самоуправления в данной сфере были направлены, в первую очередь, на повышение доступности финансовых средств. В 2016 году на поддержку субъектов малого и среднего предпринимательства за счет средств местного бюджета в виде субсидий было направлено 2,2 млн. руб.</w:t>
      </w:r>
    </w:p>
    <w:p w:rsidR="00F77AF8" w:rsidRDefault="00554774" w:rsidP="00554774">
      <w:pPr>
        <w:contextualSpacing/>
        <w:rPr>
          <w:sz w:val="28"/>
          <w:szCs w:val="28"/>
        </w:rPr>
      </w:pPr>
      <w:r w:rsidRPr="007C7075">
        <w:rPr>
          <w:sz w:val="28"/>
          <w:szCs w:val="28"/>
        </w:rPr>
        <w:t xml:space="preserve">2. </w:t>
      </w:r>
      <w:r w:rsidR="00F77AF8" w:rsidRPr="00B6281F">
        <w:rPr>
          <w:sz w:val="28"/>
          <w:szCs w:val="28"/>
        </w:rPr>
        <w:t>Доля среднесписочной численности работников малых и средних предприятий в среднесписочной численности работников всех предприятий и организаций в 2016 году составила</w:t>
      </w:r>
      <w:r w:rsidR="00F77AF8">
        <w:rPr>
          <w:sz w:val="28"/>
          <w:szCs w:val="28"/>
        </w:rPr>
        <w:t xml:space="preserve"> 15,3%, что соответствует показателю 2015 года.</w:t>
      </w:r>
    </w:p>
    <w:p w:rsidR="00554774" w:rsidRPr="004325F3" w:rsidRDefault="00554774" w:rsidP="00554774">
      <w:pPr>
        <w:contextualSpacing/>
        <w:rPr>
          <w:sz w:val="28"/>
          <w:szCs w:val="28"/>
        </w:rPr>
      </w:pPr>
      <w:r w:rsidRPr="004325F3">
        <w:rPr>
          <w:sz w:val="28"/>
          <w:szCs w:val="28"/>
        </w:rPr>
        <w:t>3. Объем инвестиций в основной капитал (за исключением бюджетных средств) в расчете на одного жителя в 201</w:t>
      </w:r>
      <w:r w:rsidR="00F77AF8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году составил </w:t>
      </w:r>
      <w:r w:rsidR="00F77AF8">
        <w:rPr>
          <w:sz w:val="28"/>
          <w:szCs w:val="28"/>
        </w:rPr>
        <w:t>635 рублей</w:t>
      </w:r>
      <w:r w:rsidRPr="004325F3">
        <w:rPr>
          <w:sz w:val="28"/>
          <w:szCs w:val="28"/>
        </w:rPr>
        <w:t xml:space="preserve">, что </w:t>
      </w:r>
      <w:r w:rsidR="00F77AF8">
        <w:rPr>
          <w:sz w:val="28"/>
          <w:szCs w:val="28"/>
        </w:rPr>
        <w:t xml:space="preserve">выше </w:t>
      </w:r>
      <w:r w:rsidRPr="004325F3">
        <w:rPr>
          <w:sz w:val="28"/>
          <w:szCs w:val="28"/>
        </w:rPr>
        <w:t>уровня 201</w:t>
      </w:r>
      <w:r w:rsidR="00F77AF8">
        <w:rPr>
          <w:sz w:val="28"/>
          <w:szCs w:val="28"/>
        </w:rPr>
        <w:t>5</w:t>
      </w:r>
      <w:r w:rsidRPr="004325F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</w:t>
      </w:r>
      <w:r w:rsidR="00F77AF8">
        <w:rPr>
          <w:sz w:val="28"/>
          <w:szCs w:val="28"/>
        </w:rPr>
        <w:t>57,6 %.</w:t>
      </w:r>
    </w:p>
    <w:p w:rsidR="00554774" w:rsidRPr="004325F3" w:rsidRDefault="00554774" w:rsidP="00554774">
      <w:pPr>
        <w:contextualSpacing/>
        <w:rPr>
          <w:sz w:val="28"/>
          <w:szCs w:val="28"/>
        </w:rPr>
      </w:pPr>
      <w:r w:rsidRPr="00C1398A">
        <w:rPr>
          <w:sz w:val="28"/>
          <w:szCs w:val="28"/>
        </w:rPr>
        <w:lastRenderedPageBreak/>
        <w:t>В последующие годы по данному показателю запланированы значения на 201</w:t>
      </w:r>
      <w:r w:rsidR="00F77AF8">
        <w:rPr>
          <w:sz w:val="28"/>
          <w:szCs w:val="28"/>
        </w:rPr>
        <w:t>7</w:t>
      </w:r>
      <w:r w:rsidRPr="00C1398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- </w:t>
      </w:r>
      <w:r w:rsidR="00F77AF8">
        <w:rPr>
          <w:sz w:val="28"/>
          <w:szCs w:val="28"/>
        </w:rPr>
        <w:t>647,7</w:t>
      </w:r>
      <w:r w:rsidRPr="00C1398A">
        <w:rPr>
          <w:sz w:val="28"/>
          <w:szCs w:val="28"/>
        </w:rPr>
        <w:t xml:space="preserve"> рублей, на 201</w:t>
      </w:r>
      <w:r w:rsidR="00F77AF8">
        <w:rPr>
          <w:sz w:val="28"/>
          <w:szCs w:val="28"/>
        </w:rPr>
        <w:t>8</w:t>
      </w:r>
      <w:r>
        <w:rPr>
          <w:sz w:val="28"/>
          <w:szCs w:val="28"/>
        </w:rPr>
        <w:t xml:space="preserve">- </w:t>
      </w:r>
      <w:r w:rsidRPr="00C1398A">
        <w:rPr>
          <w:sz w:val="28"/>
          <w:szCs w:val="28"/>
        </w:rPr>
        <w:t xml:space="preserve">год </w:t>
      </w:r>
      <w:r w:rsidR="00F77AF8">
        <w:rPr>
          <w:sz w:val="28"/>
          <w:szCs w:val="28"/>
        </w:rPr>
        <w:t>660,7</w:t>
      </w:r>
      <w:r w:rsidRPr="00C1398A">
        <w:rPr>
          <w:sz w:val="28"/>
          <w:szCs w:val="28"/>
        </w:rPr>
        <w:t xml:space="preserve"> рублей, на 201</w:t>
      </w:r>
      <w:r w:rsidR="00F77AF8">
        <w:rPr>
          <w:sz w:val="28"/>
          <w:szCs w:val="28"/>
        </w:rPr>
        <w:t>9</w:t>
      </w:r>
      <w:r w:rsidRPr="00C1398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- </w:t>
      </w:r>
      <w:r w:rsidR="00F77AF8">
        <w:rPr>
          <w:sz w:val="28"/>
          <w:szCs w:val="28"/>
        </w:rPr>
        <w:t>667,3</w:t>
      </w:r>
      <w:r>
        <w:rPr>
          <w:sz w:val="28"/>
          <w:szCs w:val="28"/>
        </w:rPr>
        <w:t xml:space="preserve"> </w:t>
      </w:r>
      <w:r w:rsidRPr="00C1398A">
        <w:rPr>
          <w:sz w:val="28"/>
          <w:szCs w:val="28"/>
        </w:rPr>
        <w:t>р</w:t>
      </w:r>
      <w:r>
        <w:rPr>
          <w:sz w:val="28"/>
          <w:szCs w:val="28"/>
        </w:rPr>
        <w:t>убля</w:t>
      </w:r>
      <w:r w:rsidRPr="00C139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25F3">
        <w:rPr>
          <w:sz w:val="28"/>
          <w:szCs w:val="28"/>
        </w:rPr>
        <w:t xml:space="preserve">Планируется продолжать строительство и реконструкцию объектов инженерной, коммунальной инфраструктуры на территориях жилой застройки, </w:t>
      </w:r>
      <w:r>
        <w:rPr>
          <w:sz w:val="28"/>
          <w:szCs w:val="28"/>
        </w:rPr>
        <w:t xml:space="preserve">строительство многоквартирных домов, </w:t>
      </w:r>
      <w:r w:rsidR="001B45D0">
        <w:rPr>
          <w:sz w:val="28"/>
          <w:szCs w:val="28"/>
        </w:rPr>
        <w:t xml:space="preserve">строительство индивидуального жилья, </w:t>
      </w:r>
      <w:r w:rsidRPr="004325F3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4325F3">
        <w:rPr>
          <w:sz w:val="28"/>
          <w:szCs w:val="28"/>
        </w:rPr>
        <w:t xml:space="preserve"> работ по газификации</w:t>
      </w:r>
      <w:r>
        <w:rPr>
          <w:sz w:val="28"/>
          <w:szCs w:val="28"/>
        </w:rPr>
        <w:t xml:space="preserve"> населенных пунктов</w:t>
      </w:r>
      <w:r w:rsidRPr="004325F3">
        <w:rPr>
          <w:sz w:val="28"/>
          <w:szCs w:val="28"/>
        </w:rPr>
        <w:t>.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 w:rsidRPr="004325F3">
        <w:rPr>
          <w:sz w:val="28"/>
          <w:szCs w:val="28"/>
        </w:rPr>
        <w:t>4. Доля площади земельных участков, являющихся объектами налогообложения земельным налогом, в общей площади территории городского округа в 201</w:t>
      </w:r>
      <w:r w:rsidR="00F77AF8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году составила </w:t>
      </w:r>
      <w:r>
        <w:rPr>
          <w:sz w:val="28"/>
          <w:szCs w:val="28"/>
        </w:rPr>
        <w:t>65</w:t>
      </w:r>
      <w:r w:rsidR="00F77AF8">
        <w:rPr>
          <w:sz w:val="28"/>
          <w:szCs w:val="28"/>
        </w:rPr>
        <w:t>,3</w:t>
      </w:r>
      <w:r>
        <w:rPr>
          <w:sz w:val="28"/>
          <w:szCs w:val="28"/>
        </w:rPr>
        <w:t xml:space="preserve"> </w:t>
      </w:r>
      <w:r w:rsidRPr="004325F3">
        <w:rPr>
          <w:sz w:val="28"/>
          <w:szCs w:val="28"/>
        </w:rPr>
        <w:t>%,</w:t>
      </w:r>
      <w:r>
        <w:rPr>
          <w:sz w:val="28"/>
          <w:szCs w:val="28"/>
        </w:rPr>
        <w:t xml:space="preserve"> что на </w:t>
      </w:r>
      <w:r w:rsidR="00F77AF8">
        <w:rPr>
          <w:sz w:val="28"/>
          <w:szCs w:val="28"/>
        </w:rPr>
        <w:t xml:space="preserve">0,46 </w:t>
      </w:r>
      <w:r>
        <w:rPr>
          <w:sz w:val="28"/>
          <w:szCs w:val="28"/>
        </w:rPr>
        <w:t>%</w:t>
      </w:r>
      <w:r w:rsidRPr="004325F3">
        <w:rPr>
          <w:sz w:val="28"/>
          <w:szCs w:val="28"/>
        </w:rPr>
        <w:t xml:space="preserve"> выше уровня </w:t>
      </w:r>
      <w:r w:rsidR="00F77AF8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4325F3">
        <w:rPr>
          <w:sz w:val="28"/>
          <w:szCs w:val="28"/>
        </w:rPr>
        <w:t>г</w:t>
      </w:r>
      <w:r w:rsidR="00F77AF8">
        <w:rPr>
          <w:sz w:val="28"/>
          <w:szCs w:val="28"/>
        </w:rPr>
        <w:t>ода</w:t>
      </w:r>
      <w:r>
        <w:rPr>
          <w:sz w:val="28"/>
          <w:szCs w:val="28"/>
        </w:rPr>
        <w:t xml:space="preserve">. </w:t>
      </w:r>
      <w:r w:rsidRPr="004325F3">
        <w:rPr>
          <w:sz w:val="28"/>
          <w:szCs w:val="28"/>
        </w:rPr>
        <w:t>В планируемом периоде</w:t>
      </w:r>
      <w:r w:rsidR="0019632E">
        <w:rPr>
          <w:sz w:val="28"/>
          <w:szCs w:val="28"/>
        </w:rPr>
        <w:t xml:space="preserve"> к </w:t>
      </w:r>
      <w:r w:rsidR="0019632E" w:rsidRPr="004325F3">
        <w:rPr>
          <w:sz w:val="28"/>
          <w:szCs w:val="28"/>
        </w:rPr>
        <w:t>201</w:t>
      </w:r>
      <w:r w:rsidR="0019632E">
        <w:rPr>
          <w:sz w:val="28"/>
          <w:szCs w:val="28"/>
        </w:rPr>
        <w:t>7-2019г.</w:t>
      </w:r>
      <w:r w:rsidR="0019632E" w:rsidRPr="004325F3">
        <w:rPr>
          <w:sz w:val="28"/>
          <w:szCs w:val="28"/>
        </w:rPr>
        <w:t>г</w:t>
      </w:r>
      <w:r w:rsidR="0019632E">
        <w:rPr>
          <w:sz w:val="28"/>
          <w:szCs w:val="28"/>
        </w:rPr>
        <w:t xml:space="preserve">. </w:t>
      </w:r>
      <w:r w:rsidRPr="004325F3">
        <w:rPr>
          <w:sz w:val="28"/>
          <w:szCs w:val="28"/>
        </w:rPr>
        <w:t xml:space="preserve">данный показатель </w:t>
      </w:r>
      <w:r w:rsidR="0019632E">
        <w:rPr>
          <w:sz w:val="28"/>
          <w:szCs w:val="28"/>
        </w:rPr>
        <w:t>останется на уровне 2016 года.</w:t>
      </w:r>
    </w:p>
    <w:p w:rsidR="00554774" w:rsidRPr="0084485A" w:rsidRDefault="00554774" w:rsidP="00554774">
      <w:pPr>
        <w:widowControl/>
        <w:rPr>
          <w:sz w:val="28"/>
          <w:szCs w:val="28"/>
        </w:rPr>
      </w:pPr>
      <w:r w:rsidRPr="006A5E12">
        <w:rPr>
          <w:sz w:val="28"/>
          <w:szCs w:val="28"/>
        </w:rPr>
        <w:t>В результате работы межведомственной комиссии</w:t>
      </w:r>
      <w:r w:rsidR="001B45D0" w:rsidRPr="001B45D0">
        <w:rPr>
          <w:sz w:val="28"/>
          <w:szCs w:val="28"/>
        </w:rPr>
        <w:t>, по реализации полномочий по принудительному прекращению пра</w:t>
      </w:r>
      <w:r w:rsidR="001B45D0">
        <w:rPr>
          <w:sz w:val="28"/>
          <w:szCs w:val="28"/>
        </w:rPr>
        <w:t xml:space="preserve">в на земельный участок лиц, не </w:t>
      </w:r>
      <w:r w:rsidR="001B45D0" w:rsidRPr="001B45D0">
        <w:rPr>
          <w:sz w:val="28"/>
          <w:szCs w:val="28"/>
        </w:rPr>
        <w:t>использующих его или использующих не в соответствии с его целевым назначением, с последующим оформлением земельного участка в муниципальную собственность</w:t>
      </w:r>
      <w:r w:rsidRPr="006A5E12">
        <w:rPr>
          <w:sz w:val="28"/>
          <w:szCs w:val="28"/>
        </w:rPr>
        <w:t xml:space="preserve"> за 201</w:t>
      </w:r>
      <w:r w:rsidR="0019632E">
        <w:rPr>
          <w:sz w:val="28"/>
          <w:szCs w:val="28"/>
        </w:rPr>
        <w:t>6</w:t>
      </w:r>
      <w:r w:rsidR="009863C9">
        <w:rPr>
          <w:sz w:val="28"/>
          <w:szCs w:val="28"/>
        </w:rPr>
        <w:t xml:space="preserve"> год</w:t>
      </w:r>
      <w:r w:rsidRPr="006A5E12">
        <w:rPr>
          <w:sz w:val="28"/>
          <w:szCs w:val="28"/>
        </w:rPr>
        <w:t xml:space="preserve"> </w:t>
      </w:r>
      <w:r w:rsidR="001405B7">
        <w:rPr>
          <w:sz w:val="28"/>
          <w:szCs w:val="28"/>
        </w:rPr>
        <w:t>было</w:t>
      </w:r>
      <w:r w:rsidR="009863C9" w:rsidRPr="006C5CE6">
        <w:rPr>
          <w:sz w:val="18"/>
          <w:szCs w:val="18"/>
        </w:rPr>
        <w:t>.</w:t>
      </w:r>
      <w:r w:rsidR="009863C9">
        <w:rPr>
          <w:sz w:val="18"/>
          <w:szCs w:val="18"/>
        </w:rPr>
        <w:t xml:space="preserve"> </w:t>
      </w:r>
      <w:r w:rsidR="009863C9" w:rsidRPr="006A5E12">
        <w:rPr>
          <w:sz w:val="28"/>
          <w:szCs w:val="28"/>
        </w:rPr>
        <w:t>выявлено</w:t>
      </w:r>
      <w:r w:rsidR="009863C9">
        <w:rPr>
          <w:sz w:val="28"/>
          <w:szCs w:val="28"/>
        </w:rPr>
        <w:t xml:space="preserve"> 7</w:t>
      </w:r>
      <w:r w:rsidR="009863C9" w:rsidRPr="006A5E12">
        <w:rPr>
          <w:sz w:val="28"/>
          <w:szCs w:val="28"/>
        </w:rPr>
        <w:t xml:space="preserve"> </w:t>
      </w:r>
      <w:r w:rsidR="009863C9" w:rsidRPr="001405B7">
        <w:rPr>
          <w:sz w:val="28"/>
          <w:szCs w:val="28"/>
        </w:rPr>
        <w:t xml:space="preserve">самовольно занимающих </w:t>
      </w:r>
      <w:r w:rsidR="009863C9">
        <w:rPr>
          <w:sz w:val="28"/>
          <w:szCs w:val="28"/>
        </w:rPr>
        <w:t>земельных участков</w:t>
      </w:r>
      <w:r w:rsidR="0084485A">
        <w:rPr>
          <w:sz w:val="28"/>
          <w:szCs w:val="28"/>
        </w:rPr>
        <w:t xml:space="preserve">, </w:t>
      </w:r>
      <w:r w:rsidR="0084485A" w:rsidRPr="0084485A">
        <w:rPr>
          <w:sz w:val="28"/>
          <w:szCs w:val="28"/>
        </w:rPr>
        <w:t>на 26 земельных участках зарегистрировано право собственности</w:t>
      </w:r>
      <w:r w:rsidR="00D70E52">
        <w:rPr>
          <w:sz w:val="28"/>
          <w:szCs w:val="28"/>
        </w:rPr>
        <w:t xml:space="preserve"> по результатам работы мобильных групп</w:t>
      </w:r>
      <w:r w:rsidR="0084485A">
        <w:rPr>
          <w:sz w:val="28"/>
          <w:szCs w:val="28"/>
        </w:rPr>
        <w:t>.</w:t>
      </w:r>
      <w:r w:rsidR="0084485A" w:rsidRPr="0084485A">
        <w:rPr>
          <w:sz w:val="28"/>
          <w:szCs w:val="28"/>
        </w:rPr>
        <w:t xml:space="preserve"> 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 w:rsidRPr="004325F3">
        <w:rPr>
          <w:sz w:val="28"/>
          <w:szCs w:val="28"/>
        </w:rPr>
        <w:t>5. Доля прибыльных сельскохозяйственн</w:t>
      </w:r>
      <w:r w:rsidR="009863C9">
        <w:rPr>
          <w:sz w:val="28"/>
          <w:szCs w:val="28"/>
        </w:rPr>
        <w:t>ых организаций в 2016</w:t>
      </w:r>
      <w:r w:rsidRPr="004325F3">
        <w:rPr>
          <w:sz w:val="28"/>
          <w:szCs w:val="28"/>
        </w:rPr>
        <w:t xml:space="preserve"> г</w:t>
      </w:r>
      <w:r w:rsidR="009863C9">
        <w:rPr>
          <w:sz w:val="28"/>
          <w:szCs w:val="28"/>
        </w:rPr>
        <w:t>оду составила 100</w:t>
      </w:r>
      <w:r w:rsidRPr="004325F3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r w:rsidR="009913F3">
        <w:rPr>
          <w:sz w:val="28"/>
          <w:szCs w:val="28"/>
        </w:rPr>
        <w:t>Продолжае</w:t>
      </w:r>
      <w:r>
        <w:rPr>
          <w:sz w:val="28"/>
          <w:szCs w:val="28"/>
        </w:rPr>
        <w:t>т</w:t>
      </w:r>
      <w:r w:rsidR="009913F3">
        <w:rPr>
          <w:sz w:val="28"/>
          <w:szCs w:val="28"/>
        </w:rPr>
        <w:t>ся</w:t>
      </w:r>
      <w:r w:rsidRPr="004325F3">
        <w:rPr>
          <w:sz w:val="28"/>
          <w:szCs w:val="28"/>
        </w:rPr>
        <w:t xml:space="preserve"> работ</w:t>
      </w:r>
      <w:r w:rsidR="009913F3">
        <w:rPr>
          <w:sz w:val="28"/>
          <w:szCs w:val="28"/>
        </w:rPr>
        <w:t>а</w:t>
      </w:r>
      <w:r w:rsidRPr="004325F3">
        <w:rPr>
          <w:sz w:val="28"/>
          <w:szCs w:val="28"/>
        </w:rPr>
        <w:t xml:space="preserve"> по закупу молока у граждан, ведущих личное подсобное хозяйство. 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 w:rsidRPr="004325F3">
        <w:rPr>
          <w:sz w:val="28"/>
          <w:szCs w:val="28"/>
        </w:rPr>
        <w:t>6. Доля протяженности автомоби</w:t>
      </w:r>
      <w:r w:rsidR="00D70E52">
        <w:rPr>
          <w:sz w:val="28"/>
          <w:szCs w:val="28"/>
        </w:rPr>
        <w:t xml:space="preserve">льных дорог общего пользования </w:t>
      </w:r>
      <w:r w:rsidRPr="004325F3">
        <w:rPr>
          <w:sz w:val="28"/>
          <w:szCs w:val="28"/>
        </w:rPr>
        <w:t>местного значения</w:t>
      </w:r>
      <w:r>
        <w:rPr>
          <w:sz w:val="28"/>
          <w:szCs w:val="28"/>
        </w:rPr>
        <w:t>,</w:t>
      </w:r>
      <w:r w:rsidRPr="004325F3">
        <w:rPr>
          <w:sz w:val="28"/>
          <w:szCs w:val="28"/>
        </w:rPr>
        <w:t xml:space="preserve"> не отвечающих нормативным требованиям, в общей протяженности автомобильных дорог общего пользования составляет </w:t>
      </w:r>
      <w:r w:rsidR="000E29AB" w:rsidRPr="000E29AB">
        <w:rPr>
          <w:sz w:val="28"/>
          <w:szCs w:val="28"/>
        </w:rPr>
        <w:t>100</w:t>
      </w:r>
      <w:r w:rsidRPr="004325F3">
        <w:rPr>
          <w:sz w:val="28"/>
          <w:szCs w:val="28"/>
        </w:rPr>
        <w:t>%.</w:t>
      </w:r>
    </w:p>
    <w:p w:rsidR="00554774" w:rsidRDefault="00554774" w:rsidP="00554774">
      <w:pPr>
        <w:shd w:val="clear" w:color="auto" w:fill="FFFFFF"/>
        <w:contextualSpacing/>
        <w:rPr>
          <w:sz w:val="28"/>
          <w:szCs w:val="28"/>
        </w:rPr>
      </w:pPr>
      <w:r w:rsidRPr="00460222">
        <w:rPr>
          <w:sz w:val="28"/>
          <w:szCs w:val="28"/>
        </w:rPr>
        <w:t>Кап</w:t>
      </w:r>
      <w:r>
        <w:rPr>
          <w:sz w:val="28"/>
          <w:szCs w:val="28"/>
        </w:rPr>
        <w:t>итальный ремонт дорог</w:t>
      </w:r>
      <w:r w:rsidRPr="00460222">
        <w:rPr>
          <w:sz w:val="28"/>
          <w:szCs w:val="28"/>
        </w:rPr>
        <w:t xml:space="preserve"> общего пользования местного значения не производился в связи с ограниченностью денежных средств в местном бюджете. Привлечение денежных средств из областного бюджета не осуществлялось в связи с отсутствием проектно-сметной документации на указанный вид работ. В будущих периодах планируется составление проектно-сметной документации для возможности софинансирования работ по капитальному ремонту дорог из областного бюджета. </w:t>
      </w:r>
    </w:p>
    <w:p w:rsidR="00554774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Бюджетные ассигнования, запланированные в рамках расходов</w:t>
      </w:r>
      <w:r w:rsidR="00814ADD">
        <w:rPr>
          <w:sz w:val="28"/>
          <w:szCs w:val="28"/>
        </w:rPr>
        <w:t xml:space="preserve"> д</w:t>
      </w:r>
      <w:r>
        <w:rPr>
          <w:sz w:val="28"/>
          <w:szCs w:val="28"/>
        </w:rPr>
        <w:t>орожного фонда направляются на содержание автомобильных дорог. Размер расходов в 201</w:t>
      </w:r>
      <w:r w:rsidR="000E29AB" w:rsidRPr="000E29AB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составил </w:t>
      </w:r>
      <w:r w:rsidR="00814ADD" w:rsidRPr="00814ADD">
        <w:rPr>
          <w:sz w:val="28"/>
          <w:szCs w:val="28"/>
        </w:rPr>
        <w:t>20</w:t>
      </w:r>
      <w:r w:rsidR="00814ADD">
        <w:rPr>
          <w:sz w:val="28"/>
          <w:szCs w:val="28"/>
        </w:rPr>
        <w:t>,</w:t>
      </w:r>
      <w:r w:rsidR="00814ADD" w:rsidRPr="00814ADD">
        <w:rPr>
          <w:sz w:val="28"/>
          <w:szCs w:val="28"/>
        </w:rPr>
        <w:t xml:space="preserve">66 </w:t>
      </w:r>
      <w:r>
        <w:rPr>
          <w:sz w:val="28"/>
          <w:szCs w:val="28"/>
        </w:rPr>
        <w:t xml:space="preserve">млн. рублей, что на </w:t>
      </w:r>
      <w:r w:rsidR="00814ADD">
        <w:rPr>
          <w:sz w:val="28"/>
          <w:szCs w:val="28"/>
        </w:rPr>
        <w:t>6,65</w:t>
      </w:r>
      <w:r>
        <w:rPr>
          <w:sz w:val="28"/>
          <w:szCs w:val="28"/>
        </w:rPr>
        <w:t xml:space="preserve"> млн. рублей или на </w:t>
      </w:r>
      <w:r w:rsidR="00814ADD">
        <w:rPr>
          <w:sz w:val="28"/>
          <w:szCs w:val="28"/>
        </w:rPr>
        <w:t xml:space="preserve">147,5 </w:t>
      </w:r>
      <w:r>
        <w:rPr>
          <w:sz w:val="28"/>
          <w:szCs w:val="28"/>
        </w:rPr>
        <w:t>% больше чем в 201</w:t>
      </w:r>
      <w:r w:rsidR="000E29AB" w:rsidRPr="000E29AB">
        <w:rPr>
          <w:sz w:val="28"/>
          <w:szCs w:val="28"/>
        </w:rPr>
        <w:t>5</w:t>
      </w:r>
      <w:r>
        <w:rPr>
          <w:sz w:val="28"/>
          <w:szCs w:val="28"/>
        </w:rPr>
        <w:t xml:space="preserve"> году.</w:t>
      </w:r>
    </w:p>
    <w:p w:rsidR="00554774" w:rsidRPr="004325F3" w:rsidRDefault="00554774" w:rsidP="00D70E52">
      <w:pPr>
        <w:shd w:val="clear" w:color="auto" w:fill="FFFFFF"/>
        <w:contextualSpacing/>
        <w:rPr>
          <w:sz w:val="28"/>
          <w:szCs w:val="28"/>
        </w:rPr>
      </w:pPr>
      <w:r w:rsidRPr="004325F3">
        <w:rPr>
          <w:sz w:val="28"/>
          <w:szCs w:val="28"/>
        </w:rPr>
        <w:t>7. В 201</w:t>
      </w:r>
      <w:r w:rsidR="00814AD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D70E52">
        <w:rPr>
          <w:sz w:val="28"/>
          <w:szCs w:val="28"/>
        </w:rPr>
        <w:t xml:space="preserve">году </w:t>
      </w:r>
      <w:r w:rsidRPr="004325F3">
        <w:rPr>
          <w:sz w:val="28"/>
          <w:szCs w:val="28"/>
        </w:rPr>
        <w:t>доля, населения, проживающего в населенных пунктах, не имеющих регулярного автобусного или железнодорожного сообщения с административным центром городского округа в общей численности населения городского округа составила 1</w:t>
      </w:r>
      <w:r w:rsidR="00814ADD">
        <w:rPr>
          <w:sz w:val="28"/>
          <w:szCs w:val="28"/>
        </w:rPr>
        <w:t>,3</w:t>
      </w:r>
      <w:r w:rsidR="00DD77B7">
        <w:rPr>
          <w:sz w:val="28"/>
          <w:szCs w:val="28"/>
        </w:rPr>
        <w:t xml:space="preserve">5 </w:t>
      </w:r>
      <w:r w:rsidRPr="004325F3">
        <w:rPr>
          <w:sz w:val="28"/>
          <w:szCs w:val="28"/>
        </w:rPr>
        <w:t xml:space="preserve">%, </w:t>
      </w:r>
      <w:r>
        <w:rPr>
          <w:sz w:val="28"/>
          <w:szCs w:val="28"/>
        </w:rPr>
        <w:t>с 201</w:t>
      </w:r>
      <w:r w:rsidR="00D70E52">
        <w:rPr>
          <w:sz w:val="28"/>
          <w:szCs w:val="28"/>
        </w:rPr>
        <w:t>3</w:t>
      </w:r>
      <w:r w:rsidRPr="004325F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325F3">
        <w:rPr>
          <w:sz w:val="28"/>
          <w:szCs w:val="28"/>
        </w:rPr>
        <w:t xml:space="preserve"> данный показатель </w:t>
      </w:r>
      <w:r w:rsidR="00D70E52">
        <w:rPr>
          <w:sz w:val="28"/>
          <w:szCs w:val="28"/>
        </w:rPr>
        <w:t>не менялся.</w:t>
      </w:r>
    </w:p>
    <w:p w:rsidR="00554774" w:rsidRPr="00B43688" w:rsidRDefault="00554774" w:rsidP="00554774">
      <w:pPr>
        <w:shd w:val="clear" w:color="auto" w:fill="FFFFFF"/>
        <w:contextualSpacing/>
        <w:rPr>
          <w:sz w:val="28"/>
          <w:szCs w:val="28"/>
        </w:rPr>
      </w:pPr>
      <w:r w:rsidRPr="00B43688">
        <w:rPr>
          <w:sz w:val="28"/>
          <w:szCs w:val="28"/>
        </w:rPr>
        <w:t xml:space="preserve">Общая численность жителей проживающих в населенных пунктах, не имеющих автобусного сообщения, </w:t>
      </w:r>
      <w:r w:rsidR="00D70E52">
        <w:rPr>
          <w:sz w:val="28"/>
          <w:szCs w:val="28"/>
        </w:rPr>
        <w:t xml:space="preserve">по данным переписи, составляет </w:t>
      </w:r>
      <w:r w:rsidRPr="00B43688">
        <w:rPr>
          <w:sz w:val="28"/>
          <w:szCs w:val="28"/>
        </w:rPr>
        <w:t>230 человек, или 1</w:t>
      </w:r>
      <w:r w:rsidR="00B43688">
        <w:rPr>
          <w:sz w:val="28"/>
          <w:szCs w:val="28"/>
        </w:rPr>
        <w:t>,35</w:t>
      </w:r>
      <w:r w:rsidRPr="00B43688">
        <w:rPr>
          <w:sz w:val="28"/>
          <w:szCs w:val="28"/>
        </w:rPr>
        <w:t>% от населения городского округа.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325F3">
        <w:rPr>
          <w:sz w:val="28"/>
          <w:szCs w:val="28"/>
        </w:rPr>
        <w:t>Среднемесячная номинальная начисленная заработная плата работников в 201</w:t>
      </w:r>
      <w:r w:rsidR="000A1599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4325F3">
        <w:rPr>
          <w:sz w:val="28"/>
          <w:szCs w:val="28"/>
        </w:rPr>
        <w:t xml:space="preserve"> по Новолялинскому городскому округу составила: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 w:rsidRPr="004325F3">
        <w:rPr>
          <w:sz w:val="28"/>
          <w:szCs w:val="28"/>
        </w:rPr>
        <w:t xml:space="preserve">крупных и средних предприятий и некоммерческих организаций </w:t>
      </w:r>
      <w:r>
        <w:rPr>
          <w:sz w:val="28"/>
          <w:szCs w:val="28"/>
        </w:rPr>
        <w:t xml:space="preserve">– </w:t>
      </w:r>
      <w:r w:rsidR="000A1599">
        <w:rPr>
          <w:sz w:val="28"/>
          <w:szCs w:val="28"/>
        </w:rPr>
        <w:t>23245,0</w:t>
      </w:r>
      <w:r>
        <w:rPr>
          <w:sz w:val="28"/>
          <w:szCs w:val="28"/>
        </w:rPr>
        <w:t xml:space="preserve"> </w:t>
      </w:r>
      <w:r w:rsidRPr="004325F3">
        <w:rPr>
          <w:sz w:val="28"/>
          <w:szCs w:val="28"/>
        </w:rPr>
        <w:t>рублей, темп роста</w:t>
      </w:r>
      <w:r w:rsidR="002A182D">
        <w:rPr>
          <w:sz w:val="28"/>
          <w:szCs w:val="28"/>
        </w:rPr>
        <w:t xml:space="preserve"> </w:t>
      </w:r>
      <w:r w:rsidR="002A182D" w:rsidRPr="004325F3">
        <w:rPr>
          <w:sz w:val="28"/>
          <w:szCs w:val="28"/>
        </w:rPr>
        <w:t>к 201</w:t>
      </w:r>
      <w:r w:rsidR="002A182D">
        <w:rPr>
          <w:sz w:val="28"/>
          <w:szCs w:val="28"/>
        </w:rPr>
        <w:t>5</w:t>
      </w:r>
      <w:r w:rsidR="002A182D" w:rsidRPr="004325F3">
        <w:rPr>
          <w:sz w:val="28"/>
          <w:szCs w:val="28"/>
        </w:rPr>
        <w:t xml:space="preserve"> г</w:t>
      </w:r>
      <w:r w:rsidR="002A182D">
        <w:rPr>
          <w:sz w:val="28"/>
          <w:szCs w:val="28"/>
        </w:rPr>
        <w:t>оду</w:t>
      </w:r>
      <w:r w:rsidRPr="004325F3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ил</w:t>
      </w:r>
      <w:r w:rsidRPr="004325F3">
        <w:rPr>
          <w:sz w:val="28"/>
          <w:szCs w:val="28"/>
        </w:rPr>
        <w:t xml:space="preserve"> </w:t>
      </w:r>
      <w:r w:rsidR="00DE6F9C">
        <w:rPr>
          <w:sz w:val="28"/>
          <w:szCs w:val="28"/>
        </w:rPr>
        <w:t xml:space="preserve">- </w:t>
      </w:r>
      <w:r w:rsidR="000A1599">
        <w:rPr>
          <w:sz w:val="28"/>
          <w:szCs w:val="28"/>
        </w:rPr>
        <w:t>105,2</w:t>
      </w:r>
      <w:r w:rsidRPr="004325F3">
        <w:rPr>
          <w:sz w:val="28"/>
          <w:szCs w:val="28"/>
        </w:rPr>
        <w:t>%, за период 201</w:t>
      </w:r>
      <w:r w:rsidR="000A1599">
        <w:rPr>
          <w:sz w:val="28"/>
          <w:szCs w:val="28"/>
        </w:rPr>
        <w:t>7</w:t>
      </w:r>
      <w:r w:rsidRPr="004325F3">
        <w:rPr>
          <w:sz w:val="28"/>
          <w:szCs w:val="28"/>
        </w:rPr>
        <w:t>-201</w:t>
      </w:r>
      <w:r w:rsidR="000A1599">
        <w:rPr>
          <w:sz w:val="28"/>
          <w:szCs w:val="28"/>
        </w:rPr>
        <w:t>9</w:t>
      </w:r>
      <w:r w:rsidRPr="004325F3">
        <w:rPr>
          <w:sz w:val="28"/>
          <w:szCs w:val="28"/>
        </w:rPr>
        <w:t xml:space="preserve"> </w:t>
      </w:r>
      <w:r w:rsidRPr="004325F3">
        <w:rPr>
          <w:sz w:val="28"/>
          <w:szCs w:val="28"/>
        </w:rPr>
        <w:lastRenderedPageBreak/>
        <w:t xml:space="preserve">г.г. данный показатель планируется увеличить до </w:t>
      </w:r>
      <w:r w:rsidR="000A1599">
        <w:rPr>
          <w:sz w:val="28"/>
          <w:szCs w:val="28"/>
        </w:rPr>
        <w:t>26909,0</w:t>
      </w:r>
      <w:r w:rsidRPr="004325F3">
        <w:rPr>
          <w:sz w:val="28"/>
          <w:szCs w:val="28"/>
        </w:rPr>
        <w:t xml:space="preserve"> рублей;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 w:rsidRPr="004325F3">
        <w:rPr>
          <w:sz w:val="28"/>
          <w:szCs w:val="28"/>
        </w:rPr>
        <w:t>муниципальных дошкольных образовательных учреждений</w:t>
      </w:r>
      <w:r w:rsidR="002A182D">
        <w:rPr>
          <w:sz w:val="28"/>
          <w:szCs w:val="28"/>
        </w:rPr>
        <w:t xml:space="preserve">- </w:t>
      </w:r>
      <w:r w:rsidR="000A1599">
        <w:rPr>
          <w:sz w:val="28"/>
          <w:szCs w:val="28"/>
        </w:rPr>
        <w:t>19713,9</w:t>
      </w:r>
      <w:r w:rsidRPr="004325F3">
        <w:rPr>
          <w:sz w:val="28"/>
          <w:szCs w:val="28"/>
        </w:rPr>
        <w:t xml:space="preserve"> </w:t>
      </w:r>
      <w:r w:rsidR="002A182D">
        <w:rPr>
          <w:sz w:val="28"/>
          <w:szCs w:val="28"/>
        </w:rPr>
        <w:t>рублей, темп роста</w:t>
      </w:r>
      <w:r w:rsidR="002A182D" w:rsidRPr="002A182D">
        <w:rPr>
          <w:sz w:val="28"/>
          <w:szCs w:val="28"/>
        </w:rPr>
        <w:t xml:space="preserve"> </w:t>
      </w:r>
      <w:r w:rsidR="002A182D" w:rsidRPr="004325F3">
        <w:rPr>
          <w:sz w:val="28"/>
          <w:szCs w:val="28"/>
        </w:rPr>
        <w:t>к 201</w:t>
      </w:r>
      <w:r w:rsidR="002A182D">
        <w:rPr>
          <w:sz w:val="28"/>
          <w:szCs w:val="28"/>
        </w:rPr>
        <w:t>5</w:t>
      </w:r>
      <w:r w:rsidR="002A182D" w:rsidRPr="004325F3">
        <w:rPr>
          <w:sz w:val="28"/>
          <w:szCs w:val="28"/>
        </w:rPr>
        <w:t xml:space="preserve"> г</w:t>
      </w:r>
      <w:r w:rsidR="002A182D">
        <w:rPr>
          <w:sz w:val="28"/>
          <w:szCs w:val="28"/>
        </w:rPr>
        <w:t>оду составил- 104,4</w:t>
      </w:r>
      <w:r w:rsidR="002A182D" w:rsidRPr="004325F3">
        <w:rPr>
          <w:sz w:val="28"/>
          <w:szCs w:val="28"/>
        </w:rPr>
        <w:t>%</w:t>
      </w:r>
      <w:r w:rsidR="002A182D">
        <w:rPr>
          <w:sz w:val="28"/>
          <w:szCs w:val="28"/>
        </w:rPr>
        <w:t xml:space="preserve"> </w:t>
      </w:r>
      <w:r w:rsidRPr="004325F3">
        <w:rPr>
          <w:sz w:val="28"/>
          <w:szCs w:val="28"/>
        </w:rPr>
        <w:t>, за период 201</w:t>
      </w:r>
      <w:r w:rsidR="002A182D">
        <w:rPr>
          <w:sz w:val="28"/>
          <w:szCs w:val="28"/>
        </w:rPr>
        <w:t>7</w:t>
      </w:r>
      <w:r w:rsidRPr="004325F3">
        <w:rPr>
          <w:sz w:val="28"/>
          <w:szCs w:val="28"/>
        </w:rPr>
        <w:t>-201</w:t>
      </w:r>
      <w:r w:rsidR="002A182D">
        <w:rPr>
          <w:sz w:val="28"/>
          <w:szCs w:val="28"/>
        </w:rPr>
        <w:t>9</w:t>
      </w:r>
      <w:r w:rsidRPr="004325F3">
        <w:rPr>
          <w:sz w:val="28"/>
          <w:szCs w:val="28"/>
        </w:rPr>
        <w:t xml:space="preserve"> г.г. данный показатель планируется увеличить до </w:t>
      </w:r>
      <w:r w:rsidR="002A182D">
        <w:rPr>
          <w:sz w:val="28"/>
          <w:szCs w:val="28"/>
        </w:rPr>
        <w:t>20526,0</w:t>
      </w:r>
      <w:r w:rsidRPr="004325F3">
        <w:rPr>
          <w:sz w:val="28"/>
          <w:szCs w:val="28"/>
        </w:rPr>
        <w:t>рублей;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 w:rsidRPr="004325F3">
        <w:rPr>
          <w:sz w:val="28"/>
          <w:szCs w:val="28"/>
        </w:rPr>
        <w:t>муниципальных общеобразовательных учреждений</w:t>
      </w:r>
      <w:r w:rsidR="002A182D">
        <w:rPr>
          <w:sz w:val="28"/>
          <w:szCs w:val="28"/>
        </w:rPr>
        <w:t>- 26954,0 рубля</w:t>
      </w:r>
      <w:r w:rsidRPr="004325F3">
        <w:rPr>
          <w:sz w:val="28"/>
          <w:szCs w:val="28"/>
        </w:rPr>
        <w:t xml:space="preserve">, темп роста </w:t>
      </w:r>
      <w:r w:rsidR="002A182D" w:rsidRPr="004325F3">
        <w:rPr>
          <w:sz w:val="28"/>
          <w:szCs w:val="28"/>
        </w:rPr>
        <w:t>к 201</w:t>
      </w:r>
      <w:r w:rsidR="002A182D">
        <w:rPr>
          <w:sz w:val="28"/>
          <w:szCs w:val="28"/>
        </w:rPr>
        <w:t>5</w:t>
      </w:r>
      <w:r w:rsidR="002A182D" w:rsidRPr="004325F3">
        <w:rPr>
          <w:sz w:val="28"/>
          <w:szCs w:val="28"/>
        </w:rPr>
        <w:t xml:space="preserve"> г</w:t>
      </w:r>
      <w:r w:rsidR="002A182D">
        <w:rPr>
          <w:sz w:val="28"/>
          <w:szCs w:val="28"/>
        </w:rPr>
        <w:t>оду</w:t>
      </w:r>
      <w:r w:rsidR="002A182D" w:rsidRPr="004325F3">
        <w:rPr>
          <w:sz w:val="28"/>
          <w:szCs w:val="28"/>
        </w:rPr>
        <w:t xml:space="preserve"> </w:t>
      </w:r>
      <w:r w:rsidRPr="004325F3">
        <w:rPr>
          <w:sz w:val="28"/>
          <w:szCs w:val="28"/>
        </w:rPr>
        <w:t>состав</w:t>
      </w:r>
      <w:r>
        <w:rPr>
          <w:sz w:val="28"/>
          <w:szCs w:val="28"/>
        </w:rPr>
        <w:t>и</w:t>
      </w:r>
      <w:r w:rsidRPr="004325F3">
        <w:rPr>
          <w:sz w:val="28"/>
          <w:szCs w:val="28"/>
        </w:rPr>
        <w:t xml:space="preserve">л </w:t>
      </w:r>
      <w:r w:rsidR="002C5389">
        <w:rPr>
          <w:sz w:val="28"/>
          <w:szCs w:val="28"/>
        </w:rPr>
        <w:t>100,4%</w:t>
      </w:r>
      <w:r>
        <w:rPr>
          <w:sz w:val="28"/>
          <w:szCs w:val="28"/>
        </w:rPr>
        <w:t>,</w:t>
      </w:r>
      <w:r w:rsidRPr="004325F3">
        <w:rPr>
          <w:sz w:val="28"/>
          <w:szCs w:val="28"/>
        </w:rPr>
        <w:t xml:space="preserve"> за период 201</w:t>
      </w:r>
      <w:r w:rsidR="002C5389">
        <w:rPr>
          <w:sz w:val="28"/>
          <w:szCs w:val="28"/>
        </w:rPr>
        <w:t>7</w:t>
      </w:r>
      <w:r w:rsidRPr="004325F3">
        <w:rPr>
          <w:sz w:val="28"/>
          <w:szCs w:val="28"/>
        </w:rPr>
        <w:t>-201</w:t>
      </w:r>
      <w:r w:rsidR="002C5389">
        <w:rPr>
          <w:sz w:val="28"/>
          <w:szCs w:val="28"/>
        </w:rPr>
        <w:t>9</w:t>
      </w:r>
      <w:r w:rsidRPr="004325F3">
        <w:rPr>
          <w:sz w:val="28"/>
          <w:szCs w:val="28"/>
        </w:rPr>
        <w:t xml:space="preserve"> г.г. данный показатель планируется увеличить до </w:t>
      </w:r>
      <w:r w:rsidR="002C5389">
        <w:rPr>
          <w:sz w:val="28"/>
          <w:szCs w:val="28"/>
        </w:rPr>
        <w:t>27856,0</w:t>
      </w:r>
      <w:r w:rsidRPr="004325F3">
        <w:rPr>
          <w:sz w:val="28"/>
          <w:szCs w:val="28"/>
        </w:rPr>
        <w:t xml:space="preserve"> рублей;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4325F3">
        <w:rPr>
          <w:sz w:val="28"/>
          <w:szCs w:val="28"/>
        </w:rPr>
        <w:t>учителей муниципаль</w:t>
      </w:r>
      <w:r w:rsidR="002C5389">
        <w:rPr>
          <w:sz w:val="28"/>
          <w:szCs w:val="28"/>
        </w:rPr>
        <w:t xml:space="preserve">ных образовательных учреждений- </w:t>
      </w:r>
      <w:r w:rsidR="00A90EE9" w:rsidRPr="00A90EE9">
        <w:rPr>
          <w:sz w:val="28"/>
          <w:szCs w:val="28"/>
        </w:rPr>
        <w:t>3</w:t>
      </w:r>
      <w:r w:rsidR="00A90EE9">
        <w:rPr>
          <w:sz w:val="28"/>
          <w:szCs w:val="28"/>
        </w:rPr>
        <w:t>2867,50</w:t>
      </w:r>
      <w:r w:rsidRPr="004325F3">
        <w:rPr>
          <w:sz w:val="28"/>
          <w:szCs w:val="28"/>
        </w:rPr>
        <w:t xml:space="preserve"> рублей, темп роста</w:t>
      </w:r>
      <w:r w:rsidR="002C5389">
        <w:rPr>
          <w:sz w:val="28"/>
          <w:szCs w:val="28"/>
        </w:rPr>
        <w:t xml:space="preserve"> </w:t>
      </w:r>
      <w:r w:rsidR="002C5389" w:rsidRPr="004325F3">
        <w:rPr>
          <w:sz w:val="28"/>
          <w:szCs w:val="28"/>
        </w:rPr>
        <w:t>к 201</w:t>
      </w:r>
      <w:r w:rsidR="002C5389">
        <w:rPr>
          <w:sz w:val="28"/>
          <w:szCs w:val="28"/>
        </w:rPr>
        <w:t>5</w:t>
      </w:r>
      <w:r w:rsidR="002C5389" w:rsidRPr="004325F3">
        <w:rPr>
          <w:sz w:val="28"/>
          <w:szCs w:val="28"/>
        </w:rPr>
        <w:t xml:space="preserve"> г</w:t>
      </w:r>
      <w:r w:rsidR="002C5389">
        <w:rPr>
          <w:sz w:val="28"/>
          <w:szCs w:val="28"/>
        </w:rPr>
        <w:t>оду</w:t>
      </w:r>
      <w:r w:rsidRPr="004325F3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</w:t>
      </w:r>
      <w:r w:rsidRPr="004325F3">
        <w:rPr>
          <w:sz w:val="28"/>
          <w:szCs w:val="28"/>
        </w:rPr>
        <w:t xml:space="preserve">л </w:t>
      </w:r>
      <w:r>
        <w:rPr>
          <w:sz w:val="28"/>
          <w:szCs w:val="28"/>
        </w:rPr>
        <w:t>9</w:t>
      </w:r>
      <w:r w:rsidR="00A90EE9">
        <w:rPr>
          <w:sz w:val="28"/>
          <w:szCs w:val="28"/>
        </w:rPr>
        <w:t>9,2</w:t>
      </w:r>
      <w:r>
        <w:rPr>
          <w:sz w:val="28"/>
          <w:szCs w:val="28"/>
        </w:rPr>
        <w:t>%</w:t>
      </w:r>
      <w:r w:rsidRPr="004325F3">
        <w:rPr>
          <w:sz w:val="28"/>
          <w:szCs w:val="28"/>
        </w:rPr>
        <w:t>, за период 201</w:t>
      </w:r>
      <w:r w:rsidR="002C5389">
        <w:rPr>
          <w:sz w:val="28"/>
          <w:szCs w:val="28"/>
        </w:rPr>
        <w:t>7</w:t>
      </w:r>
      <w:r w:rsidRPr="004325F3">
        <w:rPr>
          <w:sz w:val="28"/>
          <w:szCs w:val="28"/>
        </w:rPr>
        <w:t>-201</w:t>
      </w:r>
      <w:r w:rsidR="002C5389">
        <w:rPr>
          <w:sz w:val="28"/>
          <w:szCs w:val="28"/>
        </w:rPr>
        <w:t>9</w:t>
      </w:r>
      <w:r w:rsidRPr="004325F3">
        <w:rPr>
          <w:sz w:val="28"/>
          <w:szCs w:val="28"/>
        </w:rPr>
        <w:t xml:space="preserve"> г.г. данный показатель планируется увеличить до </w:t>
      </w:r>
      <w:r w:rsidR="002C5389">
        <w:rPr>
          <w:sz w:val="28"/>
          <w:szCs w:val="28"/>
        </w:rPr>
        <w:t>33948</w:t>
      </w:r>
      <w:r w:rsidRPr="004325F3">
        <w:rPr>
          <w:sz w:val="28"/>
          <w:szCs w:val="28"/>
        </w:rPr>
        <w:t xml:space="preserve"> рублей;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 w:rsidRPr="004325F3">
        <w:rPr>
          <w:sz w:val="28"/>
          <w:szCs w:val="28"/>
        </w:rPr>
        <w:t xml:space="preserve">муниципальных </w:t>
      </w:r>
      <w:r w:rsidR="002C5389">
        <w:rPr>
          <w:sz w:val="28"/>
          <w:szCs w:val="28"/>
        </w:rPr>
        <w:t>учреждений культуры и искусства- 23591,5</w:t>
      </w:r>
      <w:r w:rsidRPr="004325F3">
        <w:rPr>
          <w:sz w:val="28"/>
          <w:szCs w:val="28"/>
        </w:rPr>
        <w:t xml:space="preserve"> рублей, темп роста</w:t>
      </w:r>
      <w:r w:rsidR="002C5389" w:rsidRPr="002C5389">
        <w:rPr>
          <w:sz w:val="28"/>
          <w:szCs w:val="28"/>
        </w:rPr>
        <w:t xml:space="preserve"> </w:t>
      </w:r>
      <w:r w:rsidR="002C5389" w:rsidRPr="004325F3">
        <w:rPr>
          <w:sz w:val="28"/>
          <w:szCs w:val="28"/>
        </w:rPr>
        <w:t>к 201</w:t>
      </w:r>
      <w:r w:rsidR="002C5389">
        <w:rPr>
          <w:sz w:val="28"/>
          <w:szCs w:val="28"/>
        </w:rPr>
        <w:t>5 году</w:t>
      </w:r>
      <w:r w:rsidRPr="004325F3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</w:t>
      </w:r>
      <w:r w:rsidRPr="004325F3">
        <w:rPr>
          <w:sz w:val="28"/>
          <w:szCs w:val="28"/>
        </w:rPr>
        <w:t xml:space="preserve">л </w:t>
      </w:r>
      <w:r w:rsidR="002C5389">
        <w:rPr>
          <w:sz w:val="28"/>
          <w:szCs w:val="28"/>
        </w:rPr>
        <w:t>98,27</w:t>
      </w:r>
      <w:r w:rsidRPr="004325F3">
        <w:rPr>
          <w:sz w:val="28"/>
          <w:szCs w:val="28"/>
        </w:rPr>
        <w:t>%, за период 201</w:t>
      </w:r>
      <w:r w:rsidR="002C5389">
        <w:rPr>
          <w:sz w:val="28"/>
          <w:szCs w:val="28"/>
        </w:rPr>
        <w:t>7</w:t>
      </w:r>
      <w:r w:rsidRPr="004325F3">
        <w:rPr>
          <w:sz w:val="28"/>
          <w:szCs w:val="28"/>
        </w:rPr>
        <w:t>-201</w:t>
      </w:r>
      <w:r w:rsidR="002C5389">
        <w:rPr>
          <w:sz w:val="28"/>
          <w:szCs w:val="28"/>
        </w:rPr>
        <w:t>9</w:t>
      </w:r>
      <w:r w:rsidRPr="004325F3">
        <w:rPr>
          <w:sz w:val="28"/>
          <w:szCs w:val="28"/>
        </w:rPr>
        <w:t xml:space="preserve"> г.г. данный показатель планируется увеличить до </w:t>
      </w:r>
      <w:r w:rsidR="002C5389">
        <w:rPr>
          <w:sz w:val="28"/>
          <w:szCs w:val="28"/>
        </w:rPr>
        <w:t>28543,0</w:t>
      </w:r>
      <w:r w:rsidRPr="004325F3">
        <w:rPr>
          <w:sz w:val="28"/>
          <w:szCs w:val="28"/>
        </w:rPr>
        <w:t xml:space="preserve"> рублей;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 w:rsidRPr="004325F3">
        <w:rPr>
          <w:sz w:val="28"/>
          <w:szCs w:val="28"/>
        </w:rPr>
        <w:t>муниципальных учреждений физической культуры и спорта</w:t>
      </w:r>
      <w:r w:rsidR="002C5389">
        <w:rPr>
          <w:sz w:val="28"/>
          <w:szCs w:val="28"/>
        </w:rPr>
        <w:t xml:space="preserve">- </w:t>
      </w:r>
      <w:r w:rsidR="00CE7323" w:rsidRPr="00CE7323">
        <w:rPr>
          <w:sz w:val="28"/>
          <w:szCs w:val="28"/>
        </w:rPr>
        <w:t>1</w:t>
      </w:r>
      <w:r w:rsidR="00CE7323">
        <w:rPr>
          <w:sz w:val="28"/>
          <w:szCs w:val="28"/>
        </w:rPr>
        <w:t>4652,86</w:t>
      </w:r>
      <w:r w:rsidRPr="004325F3">
        <w:rPr>
          <w:sz w:val="28"/>
          <w:szCs w:val="28"/>
        </w:rPr>
        <w:t xml:space="preserve"> рублей, темп роста</w:t>
      </w:r>
      <w:r w:rsidR="002C5389">
        <w:rPr>
          <w:sz w:val="28"/>
          <w:szCs w:val="28"/>
        </w:rPr>
        <w:t xml:space="preserve"> к 2015 году</w:t>
      </w:r>
      <w:r w:rsidRPr="004325F3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ил</w:t>
      </w:r>
      <w:r w:rsidRPr="004325F3">
        <w:rPr>
          <w:sz w:val="28"/>
          <w:szCs w:val="28"/>
        </w:rPr>
        <w:t xml:space="preserve"> </w:t>
      </w:r>
      <w:r w:rsidR="00CE7323">
        <w:rPr>
          <w:sz w:val="28"/>
          <w:szCs w:val="28"/>
        </w:rPr>
        <w:t>118</w:t>
      </w:r>
      <w:r w:rsidR="002C5389">
        <w:rPr>
          <w:sz w:val="28"/>
          <w:szCs w:val="28"/>
        </w:rPr>
        <w:t>,5</w:t>
      </w:r>
      <w:r w:rsidRPr="004325F3">
        <w:rPr>
          <w:sz w:val="28"/>
          <w:szCs w:val="28"/>
        </w:rPr>
        <w:t>%, за период 201</w:t>
      </w:r>
      <w:r w:rsidR="002C5389">
        <w:rPr>
          <w:sz w:val="28"/>
          <w:szCs w:val="28"/>
        </w:rPr>
        <w:t>7</w:t>
      </w:r>
      <w:r w:rsidRPr="004325F3">
        <w:rPr>
          <w:sz w:val="28"/>
          <w:szCs w:val="28"/>
        </w:rPr>
        <w:t>-201</w:t>
      </w:r>
      <w:r w:rsidR="002C5389">
        <w:rPr>
          <w:sz w:val="28"/>
          <w:szCs w:val="28"/>
        </w:rPr>
        <w:t>9</w:t>
      </w:r>
      <w:r w:rsidRPr="004325F3">
        <w:rPr>
          <w:sz w:val="28"/>
          <w:szCs w:val="28"/>
        </w:rPr>
        <w:t xml:space="preserve"> г.г. данный показатель планируется увеличить до </w:t>
      </w:r>
      <w:r w:rsidR="00CE7323">
        <w:rPr>
          <w:sz w:val="28"/>
          <w:szCs w:val="28"/>
        </w:rPr>
        <w:t>16962,5</w:t>
      </w:r>
      <w:r>
        <w:rPr>
          <w:sz w:val="28"/>
          <w:szCs w:val="28"/>
        </w:rPr>
        <w:t xml:space="preserve"> </w:t>
      </w:r>
      <w:r w:rsidRPr="004325F3">
        <w:rPr>
          <w:sz w:val="28"/>
          <w:szCs w:val="28"/>
        </w:rPr>
        <w:t>рублей;</w:t>
      </w:r>
    </w:p>
    <w:p w:rsidR="00554774" w:rsidRPr="004325F3" w:rsidRDefault="00554774" w:rsidP="00554774">
      <w:pPr>
        <w:shd w:val="clear" w:color="auto" w:fill="FFFFFF"/>
        <w:contextualSpacing/>
        <w:rPr>
          <w:b/>
          <w:sz w:val="28"/>
          <w:szCs w:val="28"/>
        </w:rPr>
      </w:pPr>
    </w:p>
    <w:p w:rsidR="00554774" w:rsidRPr="004325F3" w:rsidRDefault="00554774" w:rsidP="00554774">
      <w:pPr>
        <w:shd w:val="clear" w:color="auto" w:fill="FFFFFF"/>
        <w:contextualSpacing/>
        <w:jc w:val="center"/>
        <w:rPr>
          <w:sz w:val="28"/>
          <w:szCs w:val="28"/>
        </w:rPr>
      </w:pPr>
      <w:r w:rsidRPr="004325F3">
        <w:rPr>
          <w:b/>
          <w:bCs/>
          <w:spacing w:val="-3"/>
          <w:sz w:val="28"/>
          <w:szCs w:val="28"/>
        </w:rPr>
        <w:t>Дошкольное образование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</w:p>
    <w:p w:rsidR="00576885" w:rsidRPr="00B6281F" w:rsidRDefault="00576885" w:rsidP="00576885">
      <w:pPr>
        <w:rPr>
          <w:sz w:val="28"/>
          <w:szCs w:val="28"/>
        </w:rPr>
      </w:pPr>
      <w:r w:rsidRPr="00B6281F">
        <w:rPr>
          <w:sz w:val="28"/>
          <w:szCs w:val="28"/>
        </w:rPr>
        <w:t xml:space="preserve">В 2016 году в Новолялинском городском округе образовательные услуги оказывали </w:t>
      </w:r>
      <w:r w:rsidRPr="00B6281F">
        <w:rPr>
          <w:spacing w:val="-15"/>
          <w:sz w:val="28"/>
          <w:szCs w:val="28"/>
        </w:rPr>
        <w:t xml:space="preserve">11 муниципальных </w:t>
      </w:r>
      <w:r w:rsidRPr="00B6281F">
        <w:rPr>
          <w:sz w:val="28"/>
          <w:szCs w:val="28"/>
        </w:rPr>
        <w:t>общеобразовательных учреждений. Всего обучающихся 2354 человека</w:t>
      </w:r>
      <w:r w:rsidR="009913F3">
        <w:rPr>
          <w:sz w:val="28"/>
          <w:szCs w:val="28"/>
        </w:rPr>
        <w:t>.</w:t>
      </w:r>
      <w:r w:rsidRPr="00B6281F">
        <w:rPr>
          <w:sz w:val="28"/>
          <w:szCs w:val="28"/>
        </w:rPr>
        <w:t xml:space="preserve"> 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Pr="004325F3">
        <w:rPr>
          <w:sz w:val="28"/>
          <w:szCs w:val="28"/>
        </w:rPr>
        <w:t>. 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 в 201</w:t>
      </w:r>
      <w:r w:rsidR="00576885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4325F3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</w:t>
      </w:r>
      <w:r w:rsidRPr="004325F3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4325F3">
        <w:rPr>
          <w:sz w:val="28"/>
          <w:szCs w:val="28"/>
        </w:rPr>
        <w:t xml:space="preserve"> 76,</w:t>
      </w:r>
      <w:r>
        <w:rPr>
          <w:sz w:val="28"/>
          <w:szCs w:val="28"/>
        </w:rPr>
        <w:t>5</w:t>
      </w:r>
      <w:r w:rsidRPr="004325F3">
        <w:rPr>
          <w:sz w:val="28"/>
          <w:szCs w:val="28"/>
        </w:rPr>
        <w:t xml:space="preserve">%, что </w:t>
      </w:r>
      <w:r>
        <w:rPr>
          <w:sz w:val="28"/>
          <w:szCs w:val="28"/>
        </w:rPr>
        <w:t>соответствует показателю</w:t>
      </w:r>
      <w:r w:rsidRPr="004325F3">
        <w:rPr>
          <w:sz w:val="28"/>
          <w:szCs w:val="28"/>
        </w:rPr>
        <w:t xml:space="preserve"> 201</w:t>
      </w:r>
      <w:r w:rsidR="00576885">
        <w:rPr>
          <w:sz w:val="28"/>
          <w:szCs w:val="28"/>
        </w:rPr>
        <w:t>5</w:t>
      </w:r>
      <w:r w:rsidRPr="004325F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325F3">
        <w:rPr>
          <w:sz w:val="28"/>
          <w:szCs w:val="28"/>
        </w:rPr>
        <w:t>, до 201</w:t>
      </w:r>
      <w:r w:rsidR="00576885">
        <w:rPr>
          <w:sz w:val="28"/>
          <w:szCs w:val="28"/>
        </w:rPr>
        <w:t>9</w:t>
      </w:r>
      <w:r w:rsidRPr="004325F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325F3">
        <w:rPr>
          <w:sz w:val="28"/>
          <w:szCs w:val="28"/>
        </w:rPr>
        <w:t xml:space="preserve"> планируется повысить данный результат до </w:t>
      </w:r>
      <w:r>
        <w:rPr>
          <w:sz w:val="28"/>
          <w:szCs w:val="28"/>
        </w:rPr>
        <w:t>7</w:t>
      </w:r>
      <w:r w:rsidRPr="004325F3">
        <w:rPr>
          <w:sz w:val="28"/>
          <w:szCs w:val="28"/>
        </w:rPr>
        <w:t>7</w:t>
      </w:r>
      <w:r>
        <w:rPr>
          <w:sz w:val="28"/>
          <w:szCs w:val="28"/>
        </w:rPr>
        <w:t>,3</w:t>
      </w:r>
      <w:r w:rsidRPr="004325F3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10</w:t>
      </w:r>
      <w:r w:rsidRPr="004325F3">
        <w:rPr>
          <w:sz w:val="28"/>
          <w:szCs w:val="28"/>
        </w:rPr>
        <w:t>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 в 201</w:t>
      </w:r>
      <w:r w:rsidR="00576885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4325F3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</w:t>
      </w:r>
      <w:r w:rsidRPr="004325F3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4325F3">
        <w:rPr>
          <w:sz w:val="28"/>
          <w:szCs w:val="28"/>
        </w:rPr>
        <w:t xml:space="preserve"> </w:t>
      </w:r>
      <w:r>
        <w:rPr>
          <w:sz w:val="28"/>
          <w:szCs w:val="28"/>
        </w:rPr>
        <w:t>6,3</w:t>
      </w:r>
      <w:r w:rsidRPr="004325F3">
        <w:rPr>
          <w:sz w:val="28"/>
          <w:szCs w:val="28"/>
        </w:rPr>
        <w:t xml:space="preserve">%, что </w:t>
      </w:r>
      <w:r w:rsidR="00576885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>показател</w:t>
      </w:r>
      <w:r w:rsidR="00576885">
        <w:rPr>
          <w:sz w:val="28"/>
          <w:szCs w:val="28"/>
        </w:rPr>
        <w:t>ю</w:t>
      </w:r>
      <w:r>
        <w:rPr>
          <w:sz w:val="28"/>
          <w:szCs w:val="28"/>
        </w:rPr>
        <w:t xml:space="preserve"> 201</w:t>
      </w:r>
      <w:r w:rsidR="00576885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Pr="004325F3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4325F3">
        <w:rPr>
          <w:sz w:val="28"/>
          <w:szCs w:val="28"/>
        </w:rPr>
        <w:t xml:space="preserve"> 201</w:t>
      </w:r>
      <w:r w:rsidR="00576885">
        <w:rPr>
          <w:sz w:val="28"/>
          <w:szCs w:val="28"/>
        </w:rPr>
        <w:t>9</w:t>
      </w:r>
      <w:r w:rsidRPr="004325F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4325F3">
        <w:rPr>
          <w:sz w:val="28"/>
          <w:szCs w:val="28"/>
        </w:rPr>
        <w:t xml:space="preserve"> данный показатель планируется довести до </w:t>
      </w:r>
      <w:r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%. </w:t>
      </w:r>
    </w:p>
    <w:p w:rsidR="00554774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11</w:t>
      </w:r>
      <w:r w:rsidRPr="004325F3">
        <w:rPr>
          <w:sz w:val="28"/>
          <w:szCs w:val="28"/>
        </w:rPr>
        <w:t>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201</w:t>
      </w:r>
      <w:r w:rsidR="00576885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4325F3">
        <w:rPr>
          <w:sz w:val="28"/>
          <w:szCs w:val="28"/>
        </w:rPr>
        <w:t xml:space="preserve"> по Новолялинскому городскому округу составила</w:t>
      </w:r>
      <w:r>
        <w:rPr>
          <w:sz w:val="28"/>
          <w:szCs w:val="28"/>
        </w:rPr>
        <w:t xml:space="preserve"> </w:t>
      </w:r>
      <w:r w:rsidR="00576885">
        <w:rPr>
          <w:sz w:val="28"/>
          <w:szCs w:val="28"/>
        </w:rPr>
        <w:t xml:space="preserve">7,14 </w:t>
      </w:r>
      <w:r>
        <w:rPr>
          <w:sz w:val="28"/>
          <w:szCs w:val="28"/>
        </w:rPr>
        <w:t>%,</w:t>
      </w:r>
      <w:r w:rsidR="00576885">
        <w:rPr>
          <w:sz w:val="28"/>
          <w:szCs w:val="28"/>
        </w:rPr>
        <w:t xml:space="preserve"> в сравнении с 2015 годом</w:t>
      </w:r>
      <w:r>
        <w:rPr>
          <w:sz w:val="28"/>
          <w:szCs w:val="28"/>
        </w:rPr>
        <w:t xml:space="preserve"> </w:t>
      </w:r>
      <w:r w:rsidRPr="004325F3">
        <w:rPr>
          <w:sz w:val="28"/>
          <w:szCs w:val="28"/>
        </w:rPr>
        <w:t>данный показ</w:t>
      </w:r>
      <w:r>
        <w:rPr>
          <w:sz w:val="28"/>
          <w:szCs w:val="28"/>
        </w:rPr>
        <w:t xml:space="preserve">атель остался неизменным. </w:t>
      </w:r>
    </w:p>
    <w:p w:rsidR="00554774" w:rsidRPr="004325F3" w:rsidRDefault="00554774" w:rsidP="00554774">
      <w:pPr>
        <w:shd w:val="clear" w:color="auto" w:fill="FFFFFF"/>
        <w:contextualSpacing/>
      </w:pPr>
      <w:r w:rsidRPr="004325F3">
        <w:rPr>
          <w:sz w:val="28"/>
          <w:szCs w:val="28"/>
        </w:rPr>
        <w:t>Для достижения положит</w:t>
      </w:r>
      <w:r w:rsidR="00576885">
        <w:rPr>
          <w:sz w:val="28"/>
          <w:szCs w:val="28"/>
        </w:rPr>
        <w:t>ельных значений по вышеуказанному показателю</w:t>
      </w:r>
      <w:r w:rsidRPr="004325F3">
        <w:rPr>
          <w:sz w:val="28"/>
          <w:szCs w:val="28"/>
        </w:rPr>
        <w:t xml:space="preserve"> необходимо осуществлять капитальные ремонты зданий, строительство новых зданий </w:t>
      </w:r>
      <w:r>
        <w:rPr>
          <w:sz w:val="28"/>
          <w:szCs w:val="28"/>
        </w:rPr>
        <w:t>дошкольных образовательных учреждений</w:t>
      </w:r>
      <w:r w:rsidRPr="004325F3">
        <w:rPr>
          <w:sz w:val="28"/>
          <w:szCs w:val="28"/>
        </w:rPr>
        <w:t xml:space="preserve"> в Новолялинском городском округе.</w:t>
      </w:r>
    </w:p>
    <w:p w:rsidR="00554774" w:rsidRPr="004325F3" w:rsidRDefault="00554774" w:rsidP="00554774">
      <w:pPr>
        <w:shd w:val="clear" w:color="auto" w:fill="FFFFFF"/>
        <w:contextualSpacing/>
        <w:rPr>
          <w:b/>
          <w:bCs/>
          <w:sz w:val="28"/>
          <w:szCs w:val="28"/>
        </w:rPr>
      </w:pPr>
    </w:p>
    <w:p w:rsidR="00554774" w:rsidRPr="004325F3" w:rsidRDefault="00554774" w:rsidP="00554774">
      <w:pPr>
        <w:shd w:val="clear" w:color="auto" w:fill="FFFFFF"/>
        <w:contextualSpacing/>
        <w:jc w:val="center"/>
      </w:pPr>
      <w:r w:rsidRPr="004325F3">
        <w:rPr>
          <w:b/>
          <w:bCs/>
          <w:sz w:val="28"/>
          <w:szCs w:val="28"/>
        </w:rPr>
        <w:t>Общее и дополнительное образование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</w:p>
    <w:p w:rsidR="00554774" w:rsidRPr="004325F3" w:rsidRDefault="00554774" w:rsidP="00554774">
      <w:pPr>
        <w:ind w:firstLine="720"/>
        <w:contextualSpacing/>
        <w:rPr>
          <w:sz w:val="28"/>
          <w:szCs w:val="28"/>
        </w:rPr>
      </w:pPr>
      <w:r w:rsidRPr="004325F3">
        <w:rPr>
          <w:sz w:val="28"/>
          <w:szCs w:val="28"/>
        </w:rPr>
        <w:t xml:space="preserve">В Новолялинском городском округе обеспечено стабильное </w:t>
      </w:r>
      <w:r w:rsidRPr="004325F3">
        <w:rPr>
          <w:sz w:val="28"/>
          <w:szCs w:val="28"/>
        </w:rPr>
        <w:lastRenderedPageBreak/>
        <w:t>функционирование системы общего образования и созданы предпосылки для ее дальнейшего развития, а именно:</w:t>
      </w:r>
    </w:p>
    <w:p w:rsidR="00FE3B13" w:rsidRPr="00B6281F" w:rsidRDefault="006C16F8" w:rsidP="00FE3B1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в</w:t>
      </w:r>
      <w:r w:rsidR="00FE3B13" w:rsidRPr="00B6281F">
        <w:rPr>
          <w:sz w:val="28"/>
          <w:szCs w:val="28"/>
        </w:rPr>
        <w:t xml:space="preserve">се общеобразовательные учреждения оснащены компьютерной и мультимедийной техникой, интерактивными досками. Осуществляется плановая замена устаревшей компьютерной техники. На один компьютер приходится 5 обучающихся. Все школы подключены к сети Интернет с оплатой трафика за счет средств областного бюджета. Все школы подключены по технологии </w:t>
      </w:r>
      <w:r w:rsidR="00FE3B13" w:rsidRPr="00B6281F">
        <w:rPr>
          <w:sz w:val="28"/>
          <w:szCs w:val="28"/>
          <w:lang w:val="en-US"/>
        </w:rPr>
        <w:t>ADSL</w:t>
      </w:r>
      <w:r w:rsidR="00FE3B13" w:rsidRPr="00B6281F">
        <w:rPr>
          <w:sz w:val="28"/>
          <w:szCs w:val="28"/>
        </w:rPr>
        <w:t xml:space="preserve"> или GPON со скоростью доступа не менее 2 Мбит/с. Во всех образовательных учреждениях созданы официальные сайты в сети Интернет, на которых размещается вся необходимая информация.   </w:t>
      </w:r>
    </w:p>
    <w:p w:rsidR="00FE3B13" w:rsidRPr="00B6281F" w:rsidRDefault="00FE3B13" w:rsidP="00FE3B13">
      <w:pPr>
        <w:rPr>
          <w:sz w:val="28"/>
          <w:szCs w:val="28"/>
        </w:rPr>
      </w:pPr>
      <w:r w:rsidRPr="00B6281F">
        <w:rPr>
          <w:sz w:val="28"/>
          <w:szCs w:val="28"/>
        </w:rPr>
        <w:t>Общее количество педагогических работников общеобразовательных учреждений остается стабильным с 2015 года и составляет 222 человека. Все педагогические работники проходят курсы повышение квалификации в плановом порядке. Основное направление повышения квалификации педагогических работников – реализация требований федеральных государственных образовательных стандартов.</w:t>
      </w:r>
    </w:p>
    <w:p w:rsidR="00554774" w:rsidRPr="004325F3" w:rsidRDefault="00554774" w:rsidP="00554774">
      <w:pPr>
        <w:ind w:firstLine="567"/>
        <w:contextualSpacing/>
        <w:rPr>
          <w:sz w:val="28"/>
          <w:szCs w:val="28"/>
        </w:rPr>
      </w:pPr>
      <w:r w:rsidRPr="004325F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325F3">
        <w:rPr>
          <w:sz w:val="28"/>
          <w:szCs w:val="28"/>
        </w:rPr>
        <w:t>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 в 201</w:t>
      </w:r>
      <w:r w:rsidR="00FE3B13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4325F3">
        <w:rPr>
          <w:sz w:val="28"/>
          <w:szCs w:val="28"/>
        </w:rPr>
        <w:t xml:space="preserve"> составила </w:t>
      </w:r>
      <w:r w:rsidR="00FE3B13">
        <w:rPr>
          <w:sz w:val="28"/>
          <w:szCs w:val="28"/>
        </w:rPr>
        <w:t>100</w:t>
      </w:r>
      <w:r w:rsidRPr="004325F3">
        <w:rPr>
          <w:sz w:val="28"/>
          <w:szCs w:val="28"/>
        </w:rPr>
        <w:t xml:space="preserve">%, что на </w:t>
      </w:r>
      <w:r>
        <w:rPr>
          <w:sz w:val="28"/>
          <w:szCs w:val="28"/>
        </w:rPr>
        <w:t>0,</w:t>
      </w:r>
      <w:r w:rsidR="00FE3B13">
        <w:rPr>
          <w:sz w:val="28"/>
          <w:szCs w:val="28"/>
        </w:rPr>
        <w:t>8</w:t>
      </w:r>
      <w:r w:rsidRPr="004325F3">
        <w:rPr>
          <w:sz w:val="28"/>
          <w:szCs w:val="28"/>
        </w:rPr>
        <w:t>% выше показателя 201</w:t>
      </w:r>
      <w:r w:rsidR="00FE3B13">
        <w:rPr>
          <w:sz w:val="28"/>
          <w:szCs w:val="28"/>
        </w:rPr>
        <w:t>5</w:t>
      </w:r>
      <w:r w:rsidRPr="004325F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FE3B13">
        <w:rPr>
          <w:sz w:val="28"/>
          <w:szCs w:val="28"/>
        </w:rPr>
        <w:t xml:space="preserve">, </w:t>
      </w:r>
      <w:r w:rsidRPr="004325F3">
        <w:rPr>
          <w:sz w:val="28"/>
          <w:szCs w:val="28"/>
        </w:rPr>
        <w:t>на период 201</w:t>
      </w:r>
      <w:r w:rsidR="00FE3B13">
        <w:rPr>
          <w:sz w:val="28"/>
          <w:szCs w:val="28"/>
        </w:rPr>
        <w:t>7</w:t>
      </w:r>
      <w:r w:rsidRPr="004325F3">
        <w:rPr>
          <w:sz w:val="28"/>
          <w:szCs w:val="28"/>
        </w:rPr>
        <w:t>-201</w:t>
      </w:r>
      <w:r w:rsidR="00FE3B13">
        <w:rPr>
          <w:sz w:val="28"/>
          <w:szCs w:val="28"/>
        </w:rPr>
        <w:t>9</w:t>
      </w:r>
      <w:r w:rsidRPr="004325F3">
        <w:rPr>
          <w:sz w:val="28"/>
          <w:szCs w:val="28"/>
        </w:rPr>
        <w:t xml:space="preserve"> г.г. </w:t>
      </w:r>
      <w:r>
        <w:rPr>
          <w:sz w:val="28"/>
          <w:szCs w:val="28"/>
        </w:rPr>
        <w:t xml:space="preserve">значение </w:t>
      </w:r>
      <w:r w:rsidRPr="004325F3">
        <w:rPr>
          <w:sz w:val="28"/>
          <w:szCs w:val="28"/>
        </w:rPr>
        <w:t>показател</w:t>
      </w:r>
      <w:r>
        <w:rPr>
          <w:sz w:val="28"/>
          <w:szCs w:val="28"/>
        </w:rPr>
        <w:t>я планируется сохранить на уровне</w:t>
      </w:r>
      <w:r w:rsidRPr="004325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325F3">
        <w:rPr>
          <w:sz w:val="28"/>
          <w:szCs w:val="28"/>
        </w:rPr>
        <w:t xml:space="preserve">100%. </w:t>
      </w:r>
    </w:p>
    <w:p w:rsidR="00893185" w:rsidRPr="004325F3" w:rsidRDefault="00554774" w:rsidP="00893185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13</w:t>
      </w:r>
      <w:r w:rsidRPr="004325F3">
        <w:rPr>
          <w:sz w:val="28"/>
          <w:szCs w:val="28"/>
        </w:rPr>
        <w:t>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в 201</w:t>
      </w:r>
      <w:r w:rsidR="00FE3B13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4325F3">
        <w:rPr>
          <w:sz w:val="28"/>
          <w:szCs w:val="28"/>
        </w:rPr>
        <w:t xml:space="preserve"> составила </w:t>
      </w:r>
      <w:r w:rsidR="00FE3B13">
        <w:rPr>
          <w:sz w:val="28"/>
          <w:szCs w:val="28"/>
        </w:rPr>
        <w:t>0%</w:t>
      </w:r>
      <w:r>
        <w:rPr>
          <w:sz w:val="28"/>
          <w:szCs w:val="28"/>
        </w:rPr>
        <w:t>,</w:t>
      </w:r>
      <w:r w:rsidR="00FE3B13">
        <w:rPr>
          <w:sz w:val="28"/>
          <w:szCs w:val="28"/>
        </w:rPr>
        <w:t xml:space="preserve"> в 2015 году данный показатель составлял 0,8 %,</w:t>
      </w:r>
      <w:r w:rsidRPr="004325F3">
        <w:rPr>
          <w:sz w:val="28"/>
          <w:szCs w:val="28"/>
        </w:rPr>
        <w:t xml:space="preserve"> на период 201</w:t>
      </w:r>
      <w:r w:rsidR="00FE3B13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FE3B13">
        <w:rPr>
          <w:sz w:val="28"/>
          <w:szCs w:val="28"/>
        </w:rPr>
        <w:t>9</w:t>
      </w:r>
      <w:r w:rsidRPr="004325F3">
        <w:rPr>
          <w:sz w:val="28"/>
          <w:szCs w:val="28"/>
        </w:rPr>
        <w:t xml:space="preserve"> г.г. </w:t>
      </w:r>
      <w:r w:rsidR="00893185">
        <w:rPr>
          <w:sz w:val="28"/>
          <w:szCs w:val="28"/>
        </w:rPr>
        <w:t xml:space="preserve">значение </w:t>
      </w:r>
      <w:r w:rsidR="00893185" w:rsidRPr="004325F3">
        <w:rPr>
          <w:sz w:val="28"/>
          <w:szCs w:val="28"/>
        </w:rPr>
        <w:t>показател</w:t>
      </w:r>
      <w:r w:rsidR="00893185">
        <w:rPr>
          <w:sz w:val="28"/>
          <w:szCs w:val="28"/>
        </w:rPr>
        <w:t>я планируется сохранить на уровне</w:t>
      </w:r>
      <w:r w:rsidR="00893185" w:rsidRPr="004325F3">
        <w:rPr>
          <w:sz w:val="28"/>
          <w:szCs w:val="28"/>
        </w:rPr>
        <w:t xml:space="preserve"> </w:t>
      </w:r>
      <w:r w:rsidR="00893185">
        <w:rPr>
          <w:sz w:val="28"/>
          <w:szCs w:val="28"/>
        </w:rPr>
        <w:t xml:space="preserve">- </w:t>
      </w:r>
      <w:r w:rsidR="00893185" w:rsidRPr="004325F3">
        <w:rPr>
          <w:sz w:val="28"/>
          <w:szCs w:val="28"/>
        </w:rPr>
        <w:t xml:space="preserve">0%. </w:t>
      </w:r>
    </w:p>
    <w:p w:rsidR="00554774" w:rsidRPr="004325F3" w:rsidRDefault="00554774" w:rsidP="0055477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14</w:t>
      </w:r>
      <w:r w:rsidRPr="004325F3">
        <w:rPr>
          <w:sz w:val="28"/>
          <w:szCs w:val="28"/>
        </w:rPr>
        <w:t>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в 201</w:t>
      </w:r>
      <w:r w:rsidR="00893185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4325F3">
        <w:rPr>
          <w:sz w:val="28"/>
          <w:szCs w:val="28"/>
        </w:rPr>
        <w:t xml:space="preserve"> составляет 73%, что </w:t>
      </w:r>
      <w:r>
        <w:rPr>
          <w:sz w:val="28"/>
          <w:szCs w:val="28"/>
        </w:rPr>
        <w:t>соответствует показателю 201</w:t>
      </w:r>
      <w:r w:rsidR="00893185">
        <w:rPr>
          <w:sz w:val="28"/>
          <w:szCs w:val="28"/>
        </w:rPr>
        <w:t>4</w:t>
      </w:r>
      <w:r>
        <w:rPr>
          <w:sz w:val="28"/>
          <w:szCs w:val="28"/>
        </w:rPr>
        <w:t xml:space="preserve"> и 201</w:t>
      </w:r>
      <w:r w:rsidR="00893185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554774" w:rsidRDefault="00554774" w:rsidP="0055477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15</w:t>
      </w:r>
      <w:r w:rsidRPr="004325F3">
        <w:rPr>
          <w:sz w:val="28"/>
          <w:szCs w:val="28"/>
        </w:rPr>
        <w:t>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в 201</w:t>
      </w:r>
      <w:r w:rsidR="00893185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4325F3">
        <w:rPr>
          <w:sz w:val="28"/>
          <w:szCs w:val="28"/>
        </w:rPr>
        <w:t xml:space="preserve"> составила </w:t>
      </w:r>
      <w:r w:rsidR="00A90EE9">
        <w:rPr>
          <w:sz w:val="28"/>
          <w:szCs w:val="28"/>
        </w:rPr>
        <w:t>45,45</w:t>
      </w:r>
      <w:r w:rsidRPr="004325F3">
        <w:rPr>
          <w:sz w:val="28"/>
          <w:szCs w:val="28"/>
        </w:rPr>
        <w:t xml:space="preserve">%, </w:t>
      </w:r>
      <w:r w:rsidR="00893185">
        <w:rPr>
          <w:sz w:val="28"/>
          <w:szCs w:val="28"/>
        </w:rPr>
        <w:t xml:space="preserve">что на </w:t>
      </w:r>
      <w:r w:rsidR="00A90EE9">
        <w:rPr>
          <w:sz w:val="28"/>
          <w:szCs w:val="28"/>
        </w:rPr>
        <w:t>9</w:t>
      </w:r>
      <w:r w:rsidR="00893185">
        <w:rPr>
          <w:sz w:val="28"/>
          <w:szCs w:val="28"/>
        </w:rPr>
        <w:t xml:space="preserve">% </w:t>
      </w:r>
      <w:r w:rsidR="00A90EE9">
        <w:rPr>
          <w:sz w:val="28"/>
          <w:szCs w:val="28"/>
        </w:rPr>
        <w:t>выше</w:t>
      </w:r>
      <w:r w:rsidR="00893185">
        <w:rPr>
          <w:sz w:val="28"/>
          <w:szCs w:val="28"/>
        </w:rPr>
        <w:t xml:space="preserve"> показателя 2015 года</w:t>
      </w:r>
      <w:r w:rsidRPr="004325F3">
        <w:rPr>
          <w:sz w:val="28"/>
          <w:szCs w:val="28"/>
        </w:rPr>
        <w:t>, на период 201</w:t>
      </w:r>
      <w:r w:rsidR="00893185">
        <w:rPr>
          <w:sz w:val="28"/>
          <w:szCs w:val="28"/>
        </w:rPr>
        <w:t>7</w:t>
      </w:r>
      <w:r w:rsidRPr="004325F3">
        <w:rPr>
          <w:sz w:val="28"/>
          <w:szCs w:val="28"/>
        </w:rPr>
        <w:t>-201</w:t>
      </w:r>
      <w:r w:rsidR="00893185">
        <w:rPr>
          <w:sz w:val="28"/>
          <w:szCs w:val="28"/>
        </w:rPr>
        <w:t>9</w:t>
      </w:r>
      <w:r w:rsidRPr="004325F3">
        <w:rPr>
          <w:sz w:val="28"/>
          <w:szCs w:val="28"/>
        </w:rPr>
        <w:t xml:space="preserve"> г.г. данный показатель планируется довести до </w:t>
      </w:r>
      <w:r>
        <w:rPr>
          <w:sz w:val="28"/>
          <w:szCs w:val="28"/>
        </w:rPr>
        <w:t>9</w:t>
      </w:r>
      <w:r w:rsidRPr="004325F3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554774" w:rsidRPr="004325F3" w:rsidRDefault="00554774" w:rsidP="0055477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16</w:t>
      </w:r>
      <w:r w:rsidRPr="004325F3">
        <w:rPr>
          <w:sz w:val="28"/>
          <w:szCs w:val="28"/>
        </w:rPr>
        <w:t xml:space="preserve">. Доля детей первой и второй групп здоровья в общей численности обучающихся в муниципальных общеобразовательных учреждениях Новолялинского городского округа </w:t>
      </w:r>
      <w:r>
        <w:rPr>
          <w:sz w:val="28"/>
          <w:szCs w:val="28"/>
        </w:rPr>
        <w:t>в 201</w:t>
      </w:r>
      <w:r w:rsidR="004B720B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Pr="004325F3">
        <w:rPr>
          <w:sz w:val="28"/>
          <w:szCs w:val="28"/>
        </w:rPr>
        <w:t>состав</w:t>
      </w:r>
      <w:r>
        <w:rPr>
          <w:sz w:val="28"/>
          <w:szCs w:val="28"/>
        </w:rPr>
        <w:t>и</w:t>
      </w:r>
      <w:r w:rsidRPr="004325F3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4325F3">
        <w:rPr>
          <w:sz w:val="28"/>
          <w:szCs w:val="28"/>
        </w:rPr>
        <w:t xml:space="preserve"> </w:t>
      </w:r>
      <w:r>
        <w:rPr>
          <w:sz w:val="28"/>
          <w:szCs w:val="28"/>
        </w:rPr>
        <w:t>80,</w:t>
      </w:r>
      <w:r w:rsidR="004B720B">
        <w:rPr>
          <w:sz w:val="28"/>
          <w:szCs w:val="28"/>
        </w:rPr>
        <w:t>3</w:t>
      </w:r>
      <w:r w:rsidRPr="004325F3">
        <w:rPr>
          <w:sz w:val="28"/>
          <w:szCs w:val="28"/>
        </w:rPr>
        <w:t xml:space="preserve">%, что на </w:t>
      </w:r>
      <w:r w:rsidR="004B720B">
        <w:rPr>
          <w:sz w:val="28"/>
          <w:szCs w:val="28"/>
        </w:rPr>
        <w:t>0,1</w:t>
      </w:r>
      <w:r w:rsidRPr="004325F3">
        <w:rPr>
          <w:sz w:val="28"/>
          <w:szCs w:val="28"/>
        </w:rPr>
        <w:t xml:space="preserve">% </w:t>
      </w:r>
      <w:r>
        <w:rPr>
          <w:sz w:val="28"/>
          <w:szCs w:val="28"/>
        </w:rPr>
        <w:t>выше</w:t>
      </w:r>
      <w:r w:rsidRPr="004325F3">
        <w:rPr>
          <w:sz w:val="28"/>
          <w:szCs w:val="28"/>
        </w:rPr>
        <w:t xml:space="preserve"> значения 201</w:t>
      </w:r>
      <w:r w:rsidR="004B720B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="004B720B">
        <w:rPr>
          <w:sz w:val="28"/>
          <w:szCs w:val="28"/>
        </w:rPr>
        <w:t>.</w:t>
      </w:r>
    </w:p>
    <w:p w:rsidR="00554774" w:rsidRDefault="00554774" w:rsidP="0055477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17</w:t>
      </w:r>
      <w:r w:rsidRPr="004325F3">
        <w:rPr>
          <w:sz w:val="28"/>
          <w:szCs w:val="28"/>
        </w:rPr>
        <w:t xml:space="preserve">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Новолялинского городского округа </w:t>
      </w:r>
      <w:r>
        <w:rPr>
          <w:sz w:val="28"/>
          <w:szCs w:val="28"/>
        </w:rPr>
        <w:t>в 201</w:t>
      </w:r>
      <w:r w:rsidR="004B720B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Pr="004325F3">
        <w:rPr>
          <w:sz w:val="28"/>
          <w:szCs w:val="28"/>
        </w:rPr>
        <w:t>состав</w:t>
      </w:r>
      <w:r>
        <w:rPr>
          <w:sz w:val="28"/>
          <w:szCs w:val="28"/>
        </w:rPr>
        <w:t>и</w:t>
      </w:r>
      <w:r w:rsidRPr="004325F3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4325F3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82432F" w:rsidRPr="0082432F">
        <w:rPr>
          <w:sz w:val="28"/>
          <w:szCs w:val="28"/>
        </w:rPr>
        <w:t>23</w:t>
      </w:r>
      <w:r w:rsidRPr="004325F3">
        <w:rPr>
          <w:sz w:val="28"/>
          <w:szCs w:val="28"/>
        </w:rPr>
        <w:t>%, что</w:t>
      </w:r>
      <w:r w:rsidR="0082432F">
        <w:rPr>
          <w:sz w:val="28"/>
          <w:szCs w:val="28"/>
        </w:rPr>
        <w:t xml:space="preserve"> на 2,5 %</w:t>
      </w:r>
      <w:r w:rsidRPr="004325F3">
        <w:rPr>
          <w:sz w:val="28"/>
          <w:szCs w:val="28"/>
        </w:rPr>
        <w:t xml:space="preserve"> </w:t>
      </w:r>
      <w:r w:rsidR="0082432F">
        <w:rPr>
          <w:sz w:val="28"/>
          <w:szCs w:val="28"/>
        </w:rPr>
        <w:t>ниже</w:t>
      </w:r>
      <w:r>
        <w:rPr>
          <w:sz w:val="28"/>
          <w:szCs w:val="28"/>
        </w:rPr>
        <w:t xml:space="preserve"> </w:t>
      </w:r>
      <w:r w:rsidR="0082432F">
        <w:rPr>
          <w:sz w:val="28"/>
          <w:szCs w:val="28"/>
        </w:rPr>
        <w:t>значения</w:t>
      </w:r>
      <w:r w:rsidRPr="004325F3">
        <w:rPr>
          <w:sz w:val="28"/>
          <w:szCs w:val="28"/>
        </w:rPr>
        <w:t xml:space="preserve"> 201</w:t>
      </w:r>
      <w:r w:rsidR="0082432F">
        <w:rPr>
          <w:sz w:val="28"/>
          <w:szCs w:val="28"/>
        </w:rPr>
        <w:t>5</w:t>
      </w:r>
      <w:r w:rsidRPr="004325F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4B720B">
        <w:rPr>
          <w:sz w:val="28"/>
          <w:szCs w:val="28"/>
        </w:rPr>
        <w:t>.</w:t>
      </w:r>
    </w:p>
    <w:p w:rsidR="00554774" w:rsidRPr="004325F3" w:rsidRDefault="00554774" w:rsidP="0055477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Pr="004325F3">
        <w:rPr>
          <w:sz w:val="28"/>
          <w:szCs w:val="28"/>
        </w:rPr>
        <w:t xml:space="preserve">. Расходы бюджета муниципального образования на общее образование в расчете на 1 обучающегося в муниципальных общеобразовательных учреждениях Новолялинского городского округа </w:t>
      </w:r>
      <w:r>
        <w:rPr>
          <w:sz w:val="28"/>
          <w:szCs w:val="28"/>
        </w:rPr>
        <w:t>в 201</w:t>
      </w:r>
      <w:r w:rsidR="00D257ED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Pr="004325F3">
        <w:rPr>
          <w:sz w:val="28"/>
          <w:szCs w:val="28"/>
        </w:rPr>
        <w:t>состав</w:t>
      </w:r>
      <w:r>
        <w:rPr>
          <w:sz w:val="28"/>
          <w:szCs w:val="28"/>
        </w:rPr>
        <w:t>и</w:t>
      </w:r>
      <w:r w:rsidRPr="004325F3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4325F3">
        <w:rPr>
          <w:sz w:val="28"/>
          <w:szCs w:val="28"/>
        </w:rPr>
        <w:t xml:space="preserve"> </w:t>
      </w:r>
      <w:r w:rsidR="00D257ED">
        <w:rPr>
          <w:sz w:val="28"/>
          <w:szCs w:val="28"/>
        </w:rPr>
        <w:t>93,29</w:t>
      </w:r>
      <w:r w:rsidRPr="004325F3">
        <w:rPr>
          <w:sz w:val="28"/>
          <w:szCs w:val="28"/>
        </w:rPr>
        <w:t xml:space="preserve"> тыс. рублей, что на </w:t>
      </w:r>
      <w:r w:rsidR="00D257ED">
        <w:rPr>
          <w:sz w:val="28"/>
          <w:szCs w:val="28"/>
        </w:rPr>
        <w:t>4,09</w:t>
      </w:r>
      <w:r w:rsidRPr="004325F3">
        <w:rPr>
          <w:sz w:val="28"/>
          <w:szCs w:val="28"/>
        </w:rPr>
        <w:t xml:space="preserve"> тыс. рублей выше </w:t>
      </w:r>
      <w:r w:rsidR="00C92051">
        <w:rPr>
          <w:sz w:val="28"/>
          <w:szCs w:val="28"/>
        </w:rPr>
        <w:t>расходов</w:t>
      </w:r>
      <w:r w:rsidRPr="004325F3">
        <w:rPr>
          <w:sz w:val="28"/>
          <w:szCs w:val="28"/>
        </w:rPr>
        <w:t xml:space="preserve"> 201</w:t>
      </w:r>
      <w:r w:rsidR="00D257ED">
        <w:rPr>
          <w:sz w:val="28"/>
          <w:szCs w:val="28"/>
        </w:rPr>
        <w:t>5</w:t>
      </w:r>
      <w:r w:rsidRPr="004325F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325F3">
        <w:rPr>
          <w:sz w:val="28"/>
          <w:szCs w:val="28"/>
        </w:rPr>
        <w:t xml:space="preserve">. </w:t>
      </w:r>
    </w:p>
    <w:p w:rsidR="00554774" w:rsidRPr="004325F3" w:rsidRDefault="00554774" w:rsidP="00554774">
      <w:pPr>
        <w:ind w:firstLine="567"/>
        <w:contextualSpacing/>
        <w:rPr>
          <w:sz w:val="28"/>
          <w:szCs w:val="28"/>
        </w:rPr>
      </w:pPr>
      <w:r w:rsidRPr="004325F3">
        <w:rPr>
          <w:sz w:val="28"/>
          <w:szCs w:val="28"/>
        </w:rPr>
        <w:t>Система дополнительного образования детей занимает важное место в системе непрерывного образования Новолялинского городского округа и призвана обеспечить детям дополнительные возможности для духовного, интеллектуального и физического развития, удовлетворения их творческих и образовательных потребностей. Дополнительное образование детей обеспечивает их адаптацию к жизни в обществе, профессиональную ориентацию, а также выявление и поддержку одаренных и талантливых детей. Это сфера свободного выбора детьми и подростками разнообразных программ дополнительного образования детей в соответствии с их склонностями и способностями.</w:t>
      </w:r>
    </w:p>
    <w:p w:rsidR="00D257ED" w:rsidRPr="00B6281F" w:rsidRDefault="00D257ED" w:rsidP="00D257ED">
      <w:pPr>
        <w:shd w:val="clear" w:color="auto" w:fill="FFFFFF"/>
        <w:rPr>
          <w:sz w:val="28"/>
          <w:szCs w:val="28"/>
        </w:rPr>
      </w:pPr>
      <w:r w:rsidRPr="00B6281F">
        <w:rPr>
          <w:sz w:val="28"/>
          <w:szCs w:val="28"/>
        </w:rPr>
        <w:t>В системе дополнительного образования Новолялинского городского округа функционируют 4 учреждения дополнительного образования детей: Детско-юношеская спортивная школа (37 объединений дополнительного образования), Дом детского творчества «Радуга» (118 объединений), Детско-юношеский центр патриотического воспитания (13 объединений) и Новолялинская детская школа искусств с филиалом в поселке Лобва (всего 7 отделений). В целях увеличения доступности услуг дополнительного образования, организована работа структурных подразделений на базе общеобразовательных учреждений города Новая Ляля и поселке Лобва. В целом дополнительным образованием охвачено 83 % детей в возрасте от 4 до 18 лет.</w:t>
      </w:r>
      <w:r w:rsidR="006C16F8">
        <w:rPr>
          <w:sz w:val="28"/>
          <w:szCs w:val="28"/>
        </w:rPr>
        <w:t xml:space="preserve"> Этот</w:t>
      </w:r>
      <w:r w:rsidR="00C92051">
        <w:rPr>
          <w:sz w:val="28"/>
          <w:szCs w:val="28"/>
        </w:rPr>
        <w:t xml:space="preserve"> </w:t>
      </w:r>
      <w:r w:rsidR="006C16F8">
        <w:rPr>
          <w:sz w:val="28"/>
          <w:szCs w:val="28"/>
        </w:rPr>
        <w:t>показатель остается стабильным</w:t>
      </w:r>
      <w:r w:rsidR="00C92051">
        <w:rPr>
          <w:sz w:val="28"/>
          <w:szCs w:val="28"/>
        </w:rPr>
        <w:t xml:space="preserve"> </w:t>
      </w:r>
      <w:r w:rsidRPr="00B6281F">
        <w:rPr>
          <w:sz w:val="28"/>
          <w:szCs w:val="28"/>
        </w:rPr>
        <w:t xml:space="preserve">с 2013 года. </w:t>
      </w:r>
    </w:p>
    <w:p w:rsidR="00D257ED" w:rsidRPr="00B6281F" w:rsidRDefault="00C92051" w:rsidP="00D257ED">
      <w:pPr>
        <w:rPr>
          <w:sz w:val="28"/>
          <w:szCs w:val="28"/>
        </w:rPr>
      </w:pPr>
      <w:r>
        <w:rPr>
          <w:sz w:val="28"/>
          <w:szCs w:val="28"/>
        </w:rPr>
        <w:t xml:space="preserve">В детских школах искусств </w:t>
      </w:r>
      <w:r w:rsidR="00D257ED" w:rsidRPr="00B6281F">
        <w:rPr>
          <w:sz w:val="28"/>
          <w:szCs w:val="28"/>
        </w:rPr>
        <w:t>в</w:t>
      </w:r>
      <w:r>
        <w:rPr>
          <w:sz w:val="28"/>
          <w:szCs w:val="28"/>
        </w:rPr>
        <w:t xml:space="preserve"> 2016 году </w:t>
      </w:r>
      <w:r w:rsidR="00D257ED" w:rsidRPr="00B6281F">
        <w:rPr>
          <w:sz w:val="28"/>
          <w:szCs w:val="28"/>
        </w:rPr>
        <w:t>обучалось 566 человек от 4 до 17 лет. Детские школы иск</w:t>
      </w:r>
      <w:r w:rsidR="006C16F8">
        <w:rPr>
          <w:sz w:val="28"/>
          <w:szCs w:val="28"/>
        </w:rPr>
        <w:t>усств оказывают услуги населению</w:t>
      </w:r>
      <w:r w:rsidR="00D257ED" w:rsidRPr="00B6281F">
        <w:rPr>
          <w:sz w:val="28"/>
          <w:szCs w:val="28"/>
        </w:rPr>
        <w:t xml:space="preserve"> по 2 программам дополнительного образования в области искусств, пр</w:t>
      </w:r>
      <w:r>
        <w:rPr>
          <w:sz w:val="28"/>
          <w:szCs w:val="28"/>
        </w:rPr>
        <w:t xml:space="preserve">оцент охвата детей обучением в ДШИ составляет 20 % </w:t>
      </w:r>
      <w:r w:rsidR="00D257ED" w:rsidRPr="00B6281F">
        <w:rPr>
          <w:sz w:val="28"/>
          <w:szCs w:val="28"/>
        </w:rPr>
        <w:t>от общего числа детей в возрасте от 4 до 17 лет.</w:t>
      </w:r>
    </w:p>
    <w:p w:rsidR="00554774" w:rsidRPr="004325F3" w:rsidRDefault="00554774" w:rsidP="00554774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19. Доля детей в возрасте 5-</w:t>
      </w:r>
      <w:r w:rsidRPr="004325F3">
        <w:rPr>
          <w:sz w:val="28"/>
          <w:szCs w:val="28"/>
        </w:rPr>
        <w:t>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 в 201</w:t>
      </w:r>
      <w:r w:rsidR="00D257ED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4325F3">
        <w:rPr>
          <w:sz w:val="28"/>
          <w:szCs w:val="28"/>
        </w:rPr>
        <w:t xml:space="preserve"> составила 83%, </w:t>
      </w:r>
      <w:r>
        <w:rPr>
          <w:sz w:val="28"/>
          <w:szCs w:val="28"/>
        </w:rPr>
        <w:t xml:space="preserve">в сравнении с </w:t>
      </w:r>
      <w:r w:rsidR="00D257ED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D257E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годом </w:t>
      </w:r>
      <w:r w:rsidRPr="004325F3">
        <w:rPr>
          <w:sz w:val="28"/>
          <w:szCs w:val="28"/>
        </w:rPr>
        <w:t>данный показатель не изменился, за период 201</w:t>
      </w:r>
      <w:r w:rsidR="00D257ED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C92051">
        <w:rPr>
          <w:sz w:val="28"/>
          <w:szCs w:val="28"/>
        </w:rPr>
        <w:t>9</w:t>
      </w:r>
      <w:r w:rsidRPr="004325F3">
        <w:rPr>
          <w:sz w:val="28"/>
          <w:szCs w:val="28"/>
        </w:rPr>
        <w:t xml:space="preserve"> г.г. значение показателя планируется </w:t>
      </w:r>
      <w:r>
        <w:rPr>
          <w:sz w:val="28"/>
          <w:szCs w:val="28"/>
        </w:rPr>
        <w:t>сохранить неизменным</w:t>
      </w:r>
      <w:r w:rsidRPr="004325F3">
        <w:rPr>
          <w:sz w:val="28"/>
          <w:szCs w:val="28"/>
        </w:rPr>
        <w:t xml:space="preserve">. </w:t>
      </w:r>
    </w:p>
    <w:p w:rsidR="00554774" w:rsidRPr="004325F3" w:rsidRDefault="00554774" w:rsidP="00C92051">
      <w:pPr>
        <w:shd w:val="clear" w:color="auto" w:fill="FFFFFF"/>
        <w:ind w:firstLine="0"/>
        <w:contextualSpacing/>
        <w:jc w:val="center"/>
        <w:rPr>
          <w:b/>
          <w:sz w:val="28"/>
          <w:szCs w:val="28"/>
        </w:rPr>
      </w:pPr>
      <w:r w:rsidRPr="004325F3">
        <w:rPr>
          <w:b/>
          <w:sz w:val="28"/>
          <w:szCs w:val="28"/>
        </w:rPr>
        <w:t>Культура</w:t>
      </w:r>
    </w:p>
    <w:p w:rsidR="00554774" w:rsidRPr="004325F3" w:rsidRDefault="00554774" w:rsidP="00554774">
      <w:pPr>
        <w:shd w:val="clear" w:color="auto" w:fill="FFFFFF"/>
        <w:contextualSpacing/>
        <w:rPr>
          <w:b/>
          <w:sz w:val="28"/>
          <w:szCs w:val="28"/>
        </w:rPr>
      </w:pPr>
    </w:p>
    <w:p w:rsidR="00D257ED" w:rsidRPr="00B6281F" w:rsidRDefault="00C92051" w:rsidP="00D257ED">
      <w:pPr>
        <w:rPr>
          <w:sz w:val="28"/>
          <w:szCs w:val="28"/>
        </w:rPr>
      </w:pPr>
      <w:r>
        <w:rPr>
          <w:sz w:val="28"/>
          <w:szCs w:val="28"/>
        </w:rPr>
        <w:t>Обеспеченность культурно</w:t>
      </w:r>
      <w:r w:rsidR="00D257ED" w:rsidRPr="00B6281F">
        <w:rPr>
          <w:sz w:val="28"/>
          <w:szCs w:val="28"/>
        </w:rPr>
        <w:t>- до</w:t>
      </w:r>
      <w:r>
        <w:rPr>
          <w:sz w:val="28"/>
          <w:szCs w:val="28"/>
        </w:rPr>
        <w:t xml:space="preserve">суговыми учреждениями в округе </w:t>
      </w:r>
      <w:r w:rsidR="00D257ED" w:rsidRPr="00B6281F">
        <w:rPr>
          <w:sz w:val="28"/>
          <w:szCs w:val="28"/>
        </w:rPr>
        <w:t xml:space="preserve">составляет 100% (по нормативу 50 зрительских мест на 1000 жителей). В 2016 году культурно - </w:t>
      </w:r>
      <w:r>
        <w:rPr>
          <w:sz w:val="28"/>
          <w:szCs w:val="28"/>
        </w:rPr>
        <w:t xml:space="preserve">досуговыми учреждениями округа </w:t>
      </w:r>
      <w:r w:rsidR="00D257ED" w:rsidRPr="00B6281F">
        <w:rPr>
          <w:sz w:val="28"/>
          <w:szCs w:val="28"/>
        </w:rPr>
        <w:t>проведено 2293 культурно - массовых</w:t>
      </w:r>
      <w:r>
        <w:rPr>
          <w:sz w:val="28"/>
          <w:szCs w:val="28"/>
        </w:rPr>
        <w:t xml:space="preserve"> мероприятия, которые посетили </w:t>
      </w:r>
      <w:r w:rsidR="00D257ED" w:rsidRPr="00B6281F">
        <w:rPr>
          <w:sz w:val="28"/>
          <w:szCs w:val="28"/>
        </w:rPr>
        <w:t>90,5 тыс. челове</w:t>
      </w:r>
      <w:r>
        <w:rPr>
          <w:sz w:val="28"/>
          <w:szCs w:val="28"/>
        </w:rPr>
        <w:t>к, увеличение числа посетителей</w:t>
      </w:r>
      <w:r w:rsidR="00D257ED" w:rsidRPr="00B6281F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уровню 2015 года составило 4 % </w:t>
      </w:r>
      <w:r w:rsidR="00D257ED" w:rsidRPr="00B6281F">
        <w:rPr>
          <w:sz w:val="28"/>
          <w:szCs w:val="28"/>
        </w:rPr>
        <w:t xml:space="preserve">или 3,8 тыс. человек. Каждый житель округа в 2016 году, в среднем 4 раза побывал на мероприятиях. 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20</w:t>
      </w:r>
      <w:r w:rsidRPr="004325F3">
        <w:rPr>
          <w:sz w:val="28"/>
          <w:szCs w:val="28"/>
        </w:rPr>
        <w:t>. Уровень фактической обеспеченности учреждениями культуры от нормативной потребности в Новолялинском городском округе за 201</w:t>
      </w:r>
      <w:r w:rsidR="00774433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год </w:t>
      </w:r>
      <w:r w:rsidRPr="004325F3">
        <w:rPr>
          <w:sz w:val="28"/>
          <w:szCs w:val="28"/>
        </w:rPr>
        <w:lastRenderedPageBreak/>
        <w:t>состав</w:t>
      </w:r>
      <w:r>
        <w:rPr>
          <w:sz w:val="28"/>
          <w:szCs w:val="28"/>
        </w:rPr>
        <w:t>и</w:t>
      </w:r>
      <w:r w:rsidRPr="004325F3">
        <w:rPr>
          <w:sz w:val="28"/>
          <w:szCs w:val="28"/>
        </w:rPr>
        <w:t>л: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 w:rsidRPr="004325F3">
        <w:rPr>
          <w:sz w:val="28"/>
          <w:szCs w:val="28"/>
        </w:rPr>
        <w:t xml:space="preserve">клубами и учреждениями клубного типа </w:t>
      </w:r>
      <w:r>
        <w:rPr>
          <w:sz w:val="28"/>
          <w:szCs w:val="28"/>
        </w:rPr>
        <w:t xml:space="preserve">- </w:t>
      </w:r>
      <w:r w:rsidRPr="004325F3">
        <w:rPr>
          <w:sz w:val="28"/>
          <w:szCs w:val="28"/>
        </w:rPr>
        <w:t xml:space="preserve">66,7%, что </w:t>
      </w:r>
      <w:r>
        <w:rPr>
          <w:sz w:val="28"/>
          <w:szCs w:val="28"/>
        </w:rPr>
        <w:t>соответствует уровню 201</w:t>
      </w:r>
      <w:r w:rsidR="00774433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  <w:r w:rsidRPr="004325F3">
        <w:rPr>
          <w:sz w:val="28"/>
          <w:szCs w:val="28"/>
        </w:rPr>
        <w:t xml:space="preserve"> 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 w:rsidRPr="004325F3">
        <w:rPr>
          <w:sz w:val="28"/>
          <w:szCs w:val="28"/>
        </w:rPr>
        <w:t>библиотеками</w:t>
      </w:r>
      <w:r>
        <w:rPr>
          <w:sz w:val="28"/>
          <w:szCs w:val="28"/>
        </w:rPr>
        <w:t xml:space="preserve"> - 77,8%, что соответствует уровню 201</w:t>
      </w:r>
      <w:r w:rsidR="00774433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Pr="004325F3">
        <w:rPr>
          <w:sz w:val="28"/>
          <w:szCs w:val="28"/>
        </w:rPr>
        <w:t xml:space="preserve">; 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парками культуры и отдыха- </w:t>
      </w:r>
      <w:r w:rsidRPr="004325F3">
        <w:rPr>
          <w:sz w:val="28"/>
          <w:szCs w:val="28"/>
        </w:rPr>
        <w:t>0%.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21</w:t>
      </w:r>
      <w:r w:rsidRPr="004325F3">
        <w:rPr>
          <w:sz w:val="28"/>
          <w:szCs w:val="28"/>
        </w:rPr>
        <w:t>. Доля мун</w:t>
      </w:r>
      <w:r>
        <w:rPr>
          <w:sz w:val="28"/>
          <w:szCs w:val="28"/>
        </w:rPr>
        <w:t xml:space="preserve">иципальных учреждений культуры, </w:t>
      </w:r>
      <w:r w:rsidRPr="004325F3">
        <w:rPr>
          <w:sz w:val="28"/>
          <w:szCs w:val="28"/>
        </w:rPr>
        <w:t xml:space="preserve">здания которых находятся в аварийном состоянии или требуют капитального ремонта, в общем количестве муниципальных учреждений культуры </w:t>
      </w:r>
      <w:r>
        <w:rPr>
          <w:sz w:val="28"/>
          <w:szCs w:val="28"/>
        </w:rPr>
        <w:t>в 201</w:t>
      </w:r>
      <w:r w:rsidR="00774433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Pr="004325F3">
        <w:rPr>
          <w:sz w:val="28"/>
          <w:szCs w:val="28"/>
        </w:rPr>
        <w:t>состав</w:t>
      </w:r>
      <w:r>
        <w:rPr>
          <w:sz w:val="28"/>
          <w:szCs w:val="28"/>
        </w:rPr>
        <w:t>и</w:t>
      </w:r>
      <w:r w:rsidRPr="004325F3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4325F3">
        <w:rPr>
          <w:sz w:val="28"/>
          <w:szCs w:val="28"/>
        </w:rPr>
        <w:t xml:space="preserve"> </w:t>
      </w:r>
      <w:r w:rsidR="00774433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%, что </w:t>
      </w:r>
      <w:r w:rsidR="00774433">
        <w:rPr>
          <w:sz w:val="28"/>
          <w:szCs w:val="28"/>
        </w:rPr>
        <w:t xml:space="preserve">ниже </w:t>
      </w:r>
      <w:r>
        <w:rPr>
          <w:sz w:val="28"/>
          <w:szCs w:val="28"/>
        </w:rPr>
        <w:t>показателя 201</w:t>
      </w:r>
      <w:r w:rsidR="00774433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325F3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4325F3">
        <w:rPr>
          <w:sz w:val="28"/>
          <w:szCs w:val="28"/>
        </w:rPr>
        <w:t xml:space="preserve"> на </w:t>
      </w:r>
      <w:r w:rsidR="00774433">
        <w:rPr>
          <w:sz w:val="28"/>
          <w:szCs w:val="28"/>
        </w:rPr>
        <w:t>36,1%</w:t>
      </w:r>
      <w:r>
        <w:rPr>
          <w:sz w:val="28"/>
          <w:szCs w:val="28"/>
        </w:rPr>
        <w:t>.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22. Объекты</w:t>
      </w:r>
      <w:r w:rsidRPr="004325F3">
        <w:rPr>
          <w:sz w:val="28"/>
          <w:szCs w:val="28"/>
        </w:rPr>
        <w:t xml:space="preserve"> культурного наследия, находящихся в муницип</w:t>
      </w:r>
      <w:r>
        <w:rPr>
          <w:sz w:val="28"/>
          <w:szCs w:val="28"/>
        </w:rPr>
        <w:t>альной собственности и требующие</w:t>
      </w:r>
      <w:r w:rsidRPr="004325F3">
        <w:rPr>
          <w:sz w:val="28"/>
          <w:szCs w:val="28"/>
        </w:rPr>
        <w:t xml:space="preserve"> консервации или реставрации</w:t>
      </w:r>
      <w:r>
        <w:rPr>
          <w:sz w:val="28"/>
          <w:szCs w:val="28"/>
        </w:rPr>
        <w:t xml:space="preserve"> отсутствуют</w:t>
      </w:r>
      <w:r w:rsidRPr="004325F3">
        <w:rPr>
          <w:sz w:val="28"/>
          <w:szCs w:val="28"/>
        </w:rPr>
        <w:t>.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</w:p>
    <w:p w:rsidR="00554774" w:rsidRPr="004325F3" w:rsidRDefault="00554774" w:rsidP="00554774">
      <w:pPr>
        <w:shd w:val="clear" w:color="auto" w:fill="FFFFFF"/>
        <w:contextualSpacing/>
        <w:jc w:val="center"/>
      </w:pPr>
      <w:r w:rsidRPr="004325F3">
        <w:rPr>
          <w:b/>
          <w:bCs/>
          <w:sz w:val="28"/>
          <w:szCs w:val="28"/>
        </w:rPr>
        <w:t>Физическая культура и спорт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</w:p>
    <w:p w:rsidR="00B774F7" w:rsidRPr="00B6281F" w:rsidRDefault="00B774F7" w:rsidP="00B774F7">
      <w:pPr>
        <w:shd w:val="clear" w:color="auto" w:fill="FFFFFF"/>
        <w:rPr>
          <w:sz w:val="28"/>
          <w:szCs w:val="28"/>
        </w:rPr>
      </w:pPr>
      <w:r w:rsidRPr="00B6281F">
        <w:rPr>
          <w:sz w:val="28"/>
          <w:szCs w:val="28"/>
        </w:rPr>
        <w:t>Физическая культура и спорт с каждым годом приобретает большую социальную силу и значимость и является не только эффективным средством физического развития человека, укрепления и охраны его здоровья, но и сферой общения и появления социальной активности людей, разумной формой организации и проведения досуга.</w:t>
      </w:r>
    </w:p>
    <w:p w:rsidR="00B774F7" w:rsidRPr="00B6281F" w:rsidRDefault="00B774F7" w:rsidP="00B774F7">
      <w:pPr>
        <w:shd w:val="clear" w:color="auto" w:fill="FFFFFF"/>
        <w:rPr>
          <w:spacing w:val="-5"/>
          <w:sz w:val="28"/>
          <w:szCs w:val="28"/>
        </w:rPr>
      </w:pPr>
      <w:r w:rsidRPr="00B6281F">
        <w:rPr>
          <w:sz w:val="28"/>
          <w:szCs w:val="28"/>
        </w:rPr>
        <w:t>На территории округа 70 спортивных сооружений. Р</w:t>
      </w:r>
      <w:r w:rsidR="00126D02">
        <w:rPr>
          <w:sz w:val="28"/>
          <w:szCs w:val="28"/>
        </w:rPr>
        <w:t xml:space="preserve">абота ведется в соответствии с </w:t>
      </w:r>
      <w:r w:rsidRPr="00B6281F">
        <w:rPr>
          <w:sz w:val="28"/>
          <w:szCs w:val="28"/>
        </w:rPr>
        <w:t xml:space="preserve">муниципальной программой </w:t>
      </w:r>
      <w:r w:rsidR="00126D02">
        <w:rPr>
          <w:spacing w:val="-5"/>
          <w:sz w:val="28"/>
          <w:szCs w:val="28"/>
        </w:rPr>
        <w:t xml:space="preserve">«Развитие физической культуры, </w:t>
      </w:r>
      <w:r w:rsidRPr="00B6281F">
        <w:rPr>
          <w:spacing w:val="-5"/>
          <w:sz w:val="28"/>
          <w:szCs w:val="28"/>
        </w:rPr>
        <w:t xml:space="preserve">спорта и молодежной политики в </w:t>
      </w:r>
      <w:r w:rsidR="00126D02">
        <w:rPr>
          <w:spacing w:val="-5"/>
          <w:sz w:val="28"/>
          <w:szCs w:val="28"/>
        </w:rPr>
        <w:t xml:space="preserve">Новолялинском городском округе </w:t>
      </w:r>
      <w:r w:rsidRPr="00B6281F">
        <w:rPr>
          <w:spacing w:val="-5"/>
          <w:sz w:val="28"/>
          <w:szCs w:val="28"/>
        </w:rPr>
        <w:t>до 2020 года», утвержденной постановлением главы Новолялинского гор</w:t>
      </w:r>
      <w:r w:rsidR="00126D02">
        <w:rPr>
          <w:spacing w:val="-5"/>
          <w:sz w:val="28"/>
          <w:szCs w:val="28"/>
        </w:rPr>
        <w:t>одского округа от 01.09.2014 №</w:t>
      </w:r>
      <w:r w:rsidRPr="00B6281F">
        <w:rPr>
          <w:spacing w:val="-5"/>
          <w:sz w:val="28"/>
          <w:szCs w:val="28"/>
        </w:rPr>
        <w:t xml:space="preserve"> 1006.</w:t>
      </w:r>
    </w:p>
    <w:p w:rsidR="00B774F7" w:rsidRPr="00B6281F" w:rsidRDefault="00B774F7" w:rsidP="00B774F7">
      <w:pPr>
        <w:rPr>
          <w:i/>
          <w:sz w:val="28"/>
          <w:szCs w:val="28"/>
        </w:rPr>
      </w:pPr>
      <w:r w:rsidRPr="00B6281F">
        <w:rPr>
          <w:sz w:val="28"/>
          <w:szCs w:val="28"/>
        </w:rPr>
        <w:t>С каждым годом наблюдается динамика роста занимающегося населения физической культурой и спортом. В течение 2016 года на территории Новолялинского городского округ</w:t>
      </w:r>
      <w:r w:rsidR="00126D02">
        <w:rPr>
          <w:sz w:val="28"/>
          <w:szCs w:val="28"/>
        </w:rPr>
        <w:t xml:space="preserve">а организовано и проведено 195 </w:t>
      </w:r>
      <w:r w:rsidRPr="00B6281F">
        <w:rPr>
          <w:sz w:val="28"/>
          <w:szCs w:val="28"/>
        </w:rPr>
        <w:t>физкультурных и спортивных мероприятий, в</w:t>
      </w:r>
      <w:r w:rsidR="00126D02">
        <w:rPr>
          <w:sz w:val="28"/>
          <w:szCs w:val="28"/>
        </w:rPr>
        <w:t xml:space="preserve"> которых приняли участие более 43 тыс.</w:t>
      </w:r>
      <w:r w:rsidRPr="00B6281F">
        <w:rPr>
          <w:sz w:val="28"/>
          <w:szCs w:val="28"/>
        </w:rPr>
        <w:t xml:space="preserve"> человек, более 50 агитационно - пропагандистких мероприятий по формированию здо</w:t>
      </w:r>
      <w:r w:rsidR="00126D02">
        <w:rPr>
          <w:sz w:val="28"/>
          <w:szCs w:val="28"/>
        </w:rPr>
        <w:t>рового образа жизни с участием около 9 тыс.</w:t>
      </w:r>
      <w:r w:rsidRPr="00B6281F">
        <w:rPr>
          <w:sz w:val="28"/>
          <w:szCs w:val="28"/>
        </w:rPr>
        <w:t xml:space="preserve"> участников.</w:t>
      </w:r>
    </w:p>
    <w:p w:rsidR="00B774F7" w:rsidRPr="00B6281F" w:rsidRDefault="00B774F7" w:rsidP="00B774F7">
      <w:pPr>
        <w:pStyle w:val="a8"/>
        <w:ind w:left="0" w:right="0" w:firstLine="709"/>
        <w:rPr>
          <w:sz w:val="28"/>
          <w:szCs w:val="28"/>
        </w:rPr>
      </w:pPr>
      <w:r w:rsidRPr="00B6281F">
        <w:rPr>
          <w:sz w:val="28"/>
          <w:szCs w:val="28"/>
        </w:rPr>
        <w:t>Пополняются и обновляются спортивным оборудованием и инвентарем спортивные сооружения. В 2016 году приобретено спортинвентаря и оборудования на сумму 598 тыс. рублей.</w:t>
      </w:r>
    </w:p>
    <w:p w:rsidR="00B774F7" w:rsidRPr="00B6281F" w:rsidRDefault="00B774F7" w:rsidP="00B774F7">
      <w:pPr>
        <w:rPr>
          <w:sz w:val="28"/>
          <w:szCs w:val="28"/>
        </w:rPr>
      </w:pPr>
      <w:r w:rsidRPr="00B6281F">
        <w:rPr>
          <w:sz w:val="28"/>
          <w:szCs w:val="28"/>
        </w:rPr>
        <w:t xml:space="preserve">Для любителей здорового образа жизни, </w:t>
      </w:r>
      <w:r w:rsidR="00126D02">
        <w:rPr>
          <w:sz w:val="28"/>
          <w:szCs w:val="28"/>
        </w:rPr>
        <w:t xml:space="preserve">предоставляются платные услуги </w:t>
      </w:r>
      <w:r w:rsidRPr="00B6281F">
        <w:rPr>
          <w:sz w:val="28"/>
          <w:szCs w:val="28"/>
        </w:rPr>
        <w:t>для занятий в тренажерных залах, занятия по фитнесу, бильярду, настольному теннису. Учреждения оказывают услуги по прокату спортивного инвентаря.</w:t>
      </w:r>
    </w:p>
    <w:p w:rsidR="00C308D8" w:rsidRPr="004325F3" w:rsidRDefault="00554774" w:rsidP="00542C3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23</w:t>
      </w:r>
      <w:r w:rsidRPr="004325F3">
        <w:rPr>
          <w:sz w:val="28"/>
          <w:szCs w:val="28"/>
        </w:rPr>
        <w:t>. Доля населения, систематически занимающегося физической культурой и спортом в Новолялинском городском округе</w:t>
      </w:r>
      <w:r>
        <w:rPr>
          <w:sz w:val="28"/>
          <w:szCs w:val="28"/>
        </w:rPr>
        <w:t xml:space="preserve"> в 201</w:t>
      </w:r>
      <w:r w:rsidR="00B774F7">
        <w:rPr>
          <w:sz w:val="28"/>
          <w:szCs w:val="28"/>
        </w:rPr>
        <w:t>6</w:t>
      </w:r>
      <w:r>
        <w:rPr>
          <w:sz w:val="28"/>
          <w:szCs w:val="28"/>
        </w:rPr>
        <w:t xml:space="preserve"> году </w:t>
      </w:r>
      <w:r w:rsidRPr="004325F3">
        <w:rPr>
          <w:sz w:val="28"/>
          <w:szCs w:val="28"/>
        </w:rPr>
        <w:t>состав</w:t>
      </w:r>
      <w:r>
        <w:rPr>
          <w:sz w:val="28"/>
          <w:szCs w:val="28"/>
        </w:rPr>
        <w:t>и</w:t>
      </w:r>
      <w:r w:rsidRPr="004325F3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4325F3">
        <w:rPr>
          <w:sz w:val="28"/>
          <w:szCs w:val="28"/>
        </w:rPr>
        <w:t xml:space="preserve"> </w:t>
      </w:r>
      <w:r w:rsidR="00B774F7">
        <w:rPr>
          <w:sz w:val="28"/>
          <w:szCs w:val="28"/>
        </w:rPr>
        <w:t>36,64</w:t>
      </w:r>
      <w:r w:rsidRPr="004325F3">
        <w:rPr>
          <w:sz w:val="28"/>
          <w:szCs w:val="28"/>
        </w:rPr>
        <w:t xml:space="preserve">%, что </w:t>
      </w:r>
      <w:r>
        <w:rPr>
          <w:sz w:val="28"/>
          <w:szCs w:val="28"/>
        </w:rPr>
        <w:t xml:space="preserve">на </w:t>
      </w:r>
      <w:r w:rsidR="00B774F7">
        <w:rPr>
          <w:sz w:val="28"/>
          <w:szCs w:val="28"/>
        </w:rPr>
        <w:t>3,4</w:t>
      </w:r>
      <w:r w:rsidRPr="004325F3">
        <w:rPr>
          <w:sz w:val="28"/>
          <w:szCs w:val="28"/>
        </w:rPr>
        <w:t xml:space="preserve">% выше доли </w:t>
      </w:r>
      <w:r w:rsidR="00B774F7">
        <w:rPr>
          <w:sz w:val="28"/>
          <w:szCs w:val="28"/>
        </w:rPr>
        <w:t>2015</w:t>
      </w:r>
      <w:r w:rsidRPr="004325F3">
        <w:rPr>
          <w:sz w:val="28"/>
          <w:szCs w:val="28"/>
        </w:rPr>
        <w:t xml:space="preserve"> г</w:t>
      </w:r>
      <w:r>
        <w:rPr>
          <w:sz w:val="28"/>
          <w:szCs w:val="28"/>
        </w:rPr>
        <w:t>ода, за период 201</w:t>
      </w:r>
      <w:r w:rsidR="00B774F7">
        <w:rPr>
          <w:sz w:val="28"/>
          <w:szCs w:val="28"/>
        </w:rPr>
        <w:t>7</w:t>
      </w:r>
      <w:r w:rsidRPr="004325F3">
        <w:rPr>
          <w:sz w:val="28"/>
          <w:szCs w:val="28"/>
        </w:rPr>
        <w:t>-201</w:t>
      </w:r>
      <w:r w:rsidR="00B774F7">
        <w:rPr>
          <w:sz w:val="28"/>
          <w:szCs w:val="28"/>
        </w:rPr>
        <w:t>9</w:t>
      </w:r>
      <w:r w:rsidRPr="004325F3">
        <w:rPr>
          <w:sz w:val="28"/>
          <w:szCs w:val="28"/>
        </w:rPr>
        <w:t xml:space="preserve"> г.г. уровень данного показателя планируется достичь</w:t>
      </w:r>
      <w:r w:rsidR="00126D02">
        <w:rPr>
          <w:sz w:val="28"/>
          <w:szCs w:val="28"/>
        </w:rPr>
        <w:t xml:space="preserve"> до</w:t>
      </w:r>
      <w:r w:rsidRPr="004325F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B774F7">
        <w:rPr>
          <w:sz w:val="28"/>
          <w:szCs w:val="28"/>
        </w:rPr>
        <w:t>8</w:t>
      </w:r>
      <w:r w:rsidR="00542C34">
        <w:rPr>
          <w:sz w:val="28"/>
          <w:szCs w:val="28"/>
        </w:rPr>
        <w:t>%.</w:t>
      </w:r>
    </w:p>
    <w:p w:rsidR="00554774" w:rsidRPr="004325F3" w:rsidRDefault="00554774" w:rsidP="00554774">
      <w:pPr>
        <w:shd w:val="clear" w:color="auto" w:fill="FFFFFF"/>
        <w:contextualSpacing/>
      </w:pPr>
    </w:p>
    <w:p w:rsidR="00554774" w:rsidRPr="004325F3" w:rsidRDefault="00554774" w:rsidP="00554774">
      <w:pPr>
        <w:shd w:val="clear" w:color="auto" w:fill="FFFFFF"/>
        <w:contextualSpacing/>
        <w:jc w:val="center"/>
        <w:rPr>
          <w:sz w:val="28"/>
          <w:szCs w:val="28"/>
        </w:rPr>
      </w:pPr>
      <w:r w:rsidRPr="004325F3">
        <w:rPr>
          <w:b/>
          <w:bCs/>
          <w:spacing w:val="-1"/>
          <w:sz w:val="28"/>
          <w:szCs w:val="28"/>
        </w:rPr>
        <w:t>Жилищное строительство и обеспечение граждан жильем</w:t>
      </w:r>
    </w:p>
    <w:p w:rsidR="00554774" w:rsidRPr="004325F3" w:rsidRDefault="00554774" w:rsidP="00554774">
      <w:pPr>
        <w:shd w:val="clear" w:color="auto" w:fill="FFFFFF"/>
        <w:contextualSpacing/>
        <w:rPr>
          <w:spacing w:val="-2"/>
          <w:sz w:val="28"/>
          <w:szCs w:val="28"/>
        </w:rPr>
      </w:pP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4325F3">
        <w:rPr>
          <w:sz w:val="28"/>
          <w:szCs w:val="28"/>
        </w:rPr>
        <w:t>Общая площадь жилых помещений, приходящаяся в среднем на одного жителя, - всего по Новолялинскому городскому округу за 201</w:t>
      </w:r>
      <w:r w:rsidR="00266C7F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4325F3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</w:t>
      </w:r>
      <w:r w:rsidRPr="004325F3">
        <w:rPr>
          <w:sz w:val="28"/>
          <w:szCs w:val="28"/>
        </w:rPr>
        <w:t>л</w:t>
      </w:r>
      <w:r>
        <w:rPr>
          <w:sz w:val="28"/>
          <w:szCs w:val="28"/>
        </w:rPr>
        <w:t>а 24,</w:t>
      </w:r>
      <w:r w:rsidR="00266C7F">
        <w:rPr>
          <w:sz w:val="28"/>
          <w:szCs w:val="28"/>
        </w:rPr>
        <w:t>9</w:t>
      </w:r>
      <w:r>
        <w:rPr>
          <w:sz w:val="28"/>
          <w:szCs w:val="28"/>
        </w:rPr>
        <w:t xml:space="preserve"> кв.м.</w:t>
      </w:r>
      <w:r w:rsidRPr="004325F3">
        <w:rPr>
          <w:sz w:val="28"/>
          <w:szCs w:val="28"/>
        </w:rPr>
        <w:t>, в сравнении с 201</w:t>
      </w:r>
      <w:r w:rsidR="00266C7F">
        <w:rPr>
          <w:sz w:val="28"/>
          <w:szCs w:val="28"/>
        </w:rPr>
        <w:t>5</w:t>
      </w:r>
      <w:r w:rsidRPr="004325F3">
        <w:rPr>
          <w:sz w:val="28"/>
          <w:szCs w:val="28"/>
        </w:rPr>
        <w:t xml:space="preserve"> годом значение показателя увеличилось на </w:t>
      </w:r>
      <w:r>
        <w:rPr>
          <w:sz w:val="28"/>
          <w:szCs w:val="28"/>
        </w:rPr>
        <w:t>0,</w:t>
      </w:r>
      <w:r w:rsidR="00266C7F">
        <w:rPr>
          <w:sz w:val="28"/>
          <w:szCs w:val="28"/>
        </w:rPr>
        <w:t>54</w:t>
      </w:r>
      <w:r>
        <w:rPr>
          <w:sz w:val="28"/>
          <w:szCs w:val="28"/>
        </w:rPr>
        <w:t xml:space="preserve"> кв.м.</w:t>
      </w:r>
      <w:r w:rsidRPr="004325F3">
        <w:rPr>
          <w:sz w:val="28"/>
          <w:szCs w:val="28"/>
        </w:rPr>
        <w:t>,</w:t>
      </w:r>
      <w:r w:rsidR="00266C7F">
        <w:rPr>
          <w:sz w:val="28"/>
          <w:szCs w:val="28"/>
        </w:rPr>
        <w:t xml:space="preserve"> </w:t>
      </w:r>
      <w:r w:rsidRPr="004325F3">
        <w:rPr>
          <w:sz w:val="28"/>
          <w:szCs w:val="28"/>
        </w:rPr>
        <w:t>к 201</w:t>
      </w:r>
      <w:r w:rsidR="00266C7F">
        <w:rPr>
          <w:sz w:val="28"/>
          <w:szCs w:val="28"/>
        </w:rPr>
        <w:t>9</w:t>
      </w:r>
      <w:r w:rsidRPr="004325F3">
        <w:rPr>
          <w:sz w:val="28"/>
          <w:szCs w:val="28"/>
        </w:rPr>
        <w:t xml:space="preserve"> году значение пока</w:t>
      </w:r>
      <w:r>
        <w:rPr>
          <w:sz w:val="28"/>
          <w:szCs w:val="28"/>
        </w:rPr>
        <w:t xml:space="preserve">зателя планируется </w:t>
      </w:r>
      <w:r>
        <w:rPr>
          <w:sz w:val="28"/>
          <w:szCs w:val="28"/>
        </w:rPr>
        <w:lastRenderedPageBreak/>
        <w:t>довести до 26,</w:t>
      </w:r>
      <w:r w:rsidR="00266C7F">
        <w:rPr>
          <w:sz w:val="28"/>
          <w:szCs w:val="28"/>
        </w:rPr>
        <w:t>36</w:t>
      </w:r>
      <w:r>
        <w:rPr>
          <w:sz w:val="28"/>
          <w:szCs w:val="28"/>
        </w:rPr>
        <w:t xml:space="preserve"> кв. м.</w:t>
      </w:r>
      <w:r w:rsidRPr="004325F3">
        <w:rPr>
          <w:sz w:val="28"/>
          <w:szCs w:val="28"/>
        </w:rPr>
        <w:t xml:space="preserve">, 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 w:rsidRPr="004325F3">
        <w:rPr>
          <w:sz w:val="28"/>
          <w:szCs w:val="28"/>
        </w:rPr>
        <w:t xml:space="preserve">в том числе, </w:t>
      </w:r>
      <w:r>
        <w:rPr>
          <w:sz w:val="28"/>
          <w:szCs w:val="28"/>
        </w:rPr>
        <w:t xml:space="preserve">площадь </w:t>
      </w:r>
      <w:r w:rsidRPr="004325F3">
        <w:rPr>
          <w:sz w:val="28"/>
          <w:szCs w:val="28"/>
        </w:rPr>
        <w:t>введенная в действие за один год состав</w:t>
      </w:r>
      <w:r>
        <w:rPr>
          <w:sz w:val="28"/>
          <w:szCs w:val="28"/>
        </w:rPr>
        <w:t>и</w:t>
      </w:r>
      <w:r w:rsidRPr="004325F3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4325F3"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 w:rsidR="00266C7F">
        <w:rPr>
          <w:sz w:val="28"/>
          <w:szCs w:val="28"/>
        </w:rPr>
        <w:t>39</w:t>
      </w:r>
      <w:r>
        <w:rPr>
          <w:sz w:val="28"/>
          <w:szCs w:val="28"/>
        </w:rPr>
        <w:t xml:space="preserve"> кв.м.</w:t>
      </w:r>
      <w:r w:rsidRPr="004325F3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</w:t>
      </w:r>
      <w:r w:rsidR="000D6AEF">
        <w:rPr>
          <w:sz w:val="28"/>
          <w:szCs w:val="28"/>
        </w:rPr>
        <w:t>0,2</w:t>
      </w:r>
      <w:r>
        <w:rPr>
          <w:sz w:val="28"/>
          <w:szCs w:val="28"/>
        </w:rPr>
        <w:t xml:space="preserve"> кв.м.</w:t>
      </w:r>
      <w:r w:rsidRPr="004325F3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 показателя 201</w:t>
      </w:r>
      <w:r w:rsidR="000D6AEF">
        <w:rPr>
          <w:sz w:val="28"/>
          <w:szCs w:val="28"/>
        </w:rPr>
        <w:t>5 года.</w:t>
      </w:r>
    </w:p>
    <w:p w:rsidR="000D6AEF" w:rsidRPr="00B6281F" w:rsidRDefault="000D6AEF" w:rsidP="000D6AEF">
      <w:pPr>
        <w:rPr>
          <w:sz w:val="28"/>
          <w:szCs w:val="28"/>
        </w:rPr>
      </w:pPr>
      <w:r w:rsidRPr="00B6281F">
        <w:rPr>
          <w:sz w:val="28"/>
          <w:szCs w:val="28"/>
        </w:rPr>
        <w:t>В 2016 году сданы в эксплуатацию пять многоквартирных жилых домов общей площадью 6085,00 кв.м.</w:t>
      </w:r>
      <w:r w:rsidRPr="00B6281F">
        <w:rPr>
          <w:rStyle w:val="apple-style-span"/>
          <w:sz w:val="28"/>
          <w:szCs w:val="28"/>
        </w:rPr>
        <w:t xml:space="preserve"> Построено, реконструировано и введено в эксплуатацию индивидуального жилищного строительства в количестве 10 домов общей площадью </w:t>
      </w:r>
      <w:smartTag w:uri="urn:schemas-microsoft-com:office:smarttags" w:element="metricconverter">
        <w:smartTagPr>
          <w:attr w:name="ProductID" w:val="1367,5 кв. м"/>
        </w:smartTagPr>
        <w:r w:rsidRPr="00B6281F">
          <w:rPr>
            <w:rStyle w:val="apple-style-span"/>
            <w:sz w:val="28"/>
            <w:szCs w:val="28"/>
          </w:rPr>
          <w:t>1367,5 кв. м</w:t>
        </w:r>
      </w:smartTag>
      <w:r w:rsidRPr="00B6281F">
        <w:rPr>
          <w:rStyle w:val="apple-style-span"/>
          <w:sz w:val="28"/>
          <w:szCs w:val="28"/>
        </w:rPr>
        <w:t xml:space="preserve">. </w:t>
      </w:r>
      <w:r w:rsidRPr="00B6281F">
        <w:rPr>
          <w:sz w:val="28"/>
          <w:szCs w:val="28"/>
        </w:rPr>
        <w:t xml:space="preserve">Увеличение вновь введенных площадей жилых помещений в планируемом периоде ожидается в связи с реализацией, на территории городского округа, программы по переселению граждан из жилья, признанного аварийным. 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4325F3">
        <w:rPr>
          <w:sz w:val="28"/>
          <w:szCs w:val="28"/>
        </w:rPr>
        <w:t>Площадь земельных участков, предоставленных для строительства в расчете на 10 тыс. человек населения, - всего по Новолялинскому городскому округу в 201</w:t>
      </w:r>
      <w:r w:rsidR="000D6AEF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году состав</w:t>
      </w:r>
      <w:r>
        <w:rPr>
          <w:sz w:val="28"/>
          <w:szCs w:val="28"/>
        </w:rPr>
        <w:t>и</w:t>
      </w:r>
      <w:r w:rsidRPr="004325F3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4325F3">
        <w:rPr>
          <w:sz w:val="28"/>
          <w:szCs w:val="28"/>
        </w:rPr>
        <w:t xml:space="preserve"> </w:t>
      </w:r>
      <w:r w:rsidR="000D6AEF">
        <w:rPr>
          <w:sz w:val="28"/>
          <w:szCs w:val="28"/>
        </w:rPr>
        <w:t>1,71</w:t>
      </w:r>
      <w:r w:rsidRPr="004325F3">
        <w:rPr>
          <w:sz w:val="28"/>
          <w:szCs w:val="28"/>
        </w:rPr>
        <w:t xml:space="preserve"> гектар,</w:t>
      </w:r>
      <w:r>
        <w:rPr>
          <w:sz w:val="28"/>
          <w:szCs w:val="28"/>
        </w:rPr>
        <w:t xml:space="preserve"> что ниже показателя 201</w:t>
      </w:r>
      <w:r w:rsidR="000D6AEF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</w:t>
      </w:r>
      <w:r w:rsidR="000D6AEF">
        <w:rPr>
          <w:sz w:val="28"/>
          <w:szCs w:val="28"/>
        </w:rPr>
        <w:t>4,1 гектар</w:t>
      </w:r>
      <w:r w:rsidR="006C16F8">
        <w:rPr>
          <w:sz w:val="28"/>
          <w:szCs w:val="28"/>
        </w:rPr>
        <w:t>а</w:t>
      </w:r>
      <w:r w:rsidR="000D6AEF">
        <w:rPr>
          <w:sz w:val="28"/>
          <w:szCs w:val="28"/>
        </w:rPr>
        <w:t>:</w:t>
      </w:r>
      <w:r w:rsidRPr="004325F3">
        <w:rPr>
          <w:sz w:val="28"/>
          <w:szCs w:val="28"/>
        </w:rPr>
        <w:t xml:space="preserve"> 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 w:rsidRPr="004325F3">
        <w:rPr>
          <w:sz w:val="28"/>
          <w:szCs w:val="28"/>
        </w:rPr>
        <w:t>в том числе 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201</w:t>
      </w:r>
      <w:r w:rsidR="009A7729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году состав</w:t>
      </w:r>
      <w:r>
        <w:rPr>
          <w:sz w:val="28"/>
          <w:szCs w:val="28"/>
        </w:rPr>
        <w:t>и</w:t>
      </w:r>
      <w:r w:rsidRPr="004325F3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4325F3">
        <w:rPr>
          <w:sz w:val="28"/>
          <w:szCs w:val="28"/>
        </w:rPr>
        <w:t xml:space="preserve"> </w:t>
      </w:r>
      <w:r w:rsidR="009A7729">
        <w:rPr>
          <w:sz w:val="28"/>
          <w:szCs w:val="28"/>
        </w:rPr>
        <w:t>1,71 гектар</w:t>
      </w:r>
      <w:r w:rsidRPr="004325F3">
        <w:rPr>
          <w:sz w:val="28"/>
          <w:szCs w:val="28"/>
        </w:rPr>
        <w:t>, в сравнении с 201</w:t>
      </w:r>
      <w:r w:rsidR="009A7729">
        <w:rPr>
          <w:sz w:val="28"/>
          <w:szCs w:val="28"/>
        </w:rPr>
        <w:t>5</w:t>
      </w:r>
      <w:r w:rsidRPr="004325F3">
        <w:rPr>
          <w:sz w:val="28"/>
          <w:szCs w:val="28"/>
        </w:rPr>
        <w:t xml:space="preserve"> годом показатель </w:t>
      </w:r>
      <w:r>
        <w:rPr>
          <w:sz w:val="28"/>
          <w:szCs w:val="28"/>
        </w:rPr>
        <w:t>снизился</w:t>
      </w:r>
      <w:r w:rsidRPr="004325F3">
        <w:rPr>
          <w:sz w:val="28"/>
          <w:szCs w:val="28"/>
        </w:rPr>
        <w:t xml:space="preserve"> на </w:t>
      </w:r>
      <w:r w:rsidR="009A7729">
        <w:rPr>
          <w:sz w:val="28"/>
          <w:szCs w:val="28"/>
        </w:rPr>
        <w:t xml:space="preserve">2,74 </w:t>
      </w:r>
      <w:r w:rsidRPr="004325F3">
        <w:rPr>
          <w:sz w:val="28"/>
          <w:szCs w:val="28"/>
        </w:rPr>
        <w:t>гектар</w:t>
      </w:r>
      <w:r w:rsidR="009A7729">
        <w:rPr>
          <w:sz w:val="28"/>
          <w:szCs w:val="28"/>
        </w:rPr>
        <w:t>а</w:t>
      </w:r>
      <w:r w:rsidRPr="004325F3">
        <w:rPr>
          <w:sz w:val="28"/>
          <w:szCs w:val="28"/>
        </w:rPr>
        <w:t>.</w:t>
      </w:r>
    </w:p>
    <w:p w:rsidR="00554774" w:rsidRPr="00D860FC" w:rsidRDefault="00554774" w:rsidP="00554774">
      <w:pPr>
        <w:shd w:val="clear" w:color="auto" w:fill="FFFFFF"/>
        <w:contextualSpacing/>
      </w:pPr>
      <w:r w:rsidRPr="00D860FC">
        <w:rPr>
          <w:sz w:val="28"/>
          <w:szCs w:val="28"/>
        </w:rPr>
        <w:t>Предоставление земельных участков под жилищное строительст</w:t>
      </w:r>
      <w:r w:rsidR="00A4773D">
        <w:rPr>
          <w:sz w:val="28"/>
          <w:szCs w:val="28"/>
        </w:rPr>
        <w:t xml:space="preserve">во </w:t>
      </w:r>
      <w:r w:rsidRPr="00D860FC">
        <w:rPr>
          <w:sz w:val="28"/>
          <w:szCs w:val="28"/>
        </w:rPr>
        <w:t xml:space="preserve">осуществляется в основном гражданам для возведения индивидуальных жилых домов, предоставленные земельные участки не имеют полного комплекса инфраструктуры. </w:t>
      </w:r>
    </w:p>
    <w:p w:rsidR="00554774" w:rsidRPr="00EF5094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26</w:t>
      </w:r>
      <w:r w:rsidRPr="004325F3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4325F3">
        <w:rPr>
          <w:sz w:val="28"/>
          <w:szCs w:val="28"/>
        </w:rPr>
        <w:t>емельны</w:t>
      </w:r>
      <w:r>
        <w:rPr>
          <w:sz w:val="28"/>
          <w:szCs w:val="28"/>
        </w:rPr>
        <w:t>е участки, предоставленные</w:t>
      </w:r>
      <w:r w:rsidRPr="004325F3">
        <w:rPr>
          <w:sz w:val="28"/>
          <w:szCs w:val="28"/>
        </w:rPr>
        <w:t xml:space="preserve">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201</w:t>
      </w:r>
      <w:r w:rsidR="009A7729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отсутствуют.</w:t>
      </w:r>
    </w:p>
    <w:p w:rsidR="00554774" w:rsidRPr="004325F3" w:rsidRDefault="00554774" w:rsidP="00554774">
      <w:pPr>
        <w:shd w:val="clear" w:color="auto" w:fill="FFFFFF"/>
        <w:contextualSpacing/>
        <w:rPr>
          <w:spacing w:val="-2"/>
          <w:sz w:val="28"/>
          <w:szCs w:val="28"/>
        </w:rPr>
      </w:pPr>
    </w:p>
    <w:p w:rsidR="00554774" w:rsidRPr="004325F3" w:rsidRDefault="00554774" w:rsidP="00554774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4325F3">
        <w:rPr>
          <w:b/>
          <w:bCs/>
          <w:sz w:val="28"/>
          <w:szCs w:val="28"/>
        </w:rPr>
        <w:t>Жилищно-коммунальное хозяйство</w:t>
      </w:r>
    </w:p>
    <w:p w:rsidR="00554774" w:rsidRPr="004325F3" w:rsidRDefault="00554774" w:rsidP="00554774">
      <w:pPr>
        <w:shd w:val="clear" w:color="auto" w:fill="FFFFFF"/>
        <w:contextualSpacing/>
        <w:jc w:val="center"/>
        <w:rPr>
          <w:sz w:val="28"/>
          <w:szCs w:val="28"/>
        </w:rPr>
      </w:pPr>
    </w:p>
    <w:p w:rsidR="00B43688" w:rsidRPr="00B6281F" w:rsidRDefault="00B43688" w:rsidP="00B43688">
      <w:pPr>
        <w:shd w:val="clear" w:color="auto" w:fill="FFFFFF"/>
        <w:contextualSpacing/>
        <w:rPr>
          <w:sz w:val="28"/>
          <w:szCs w:val="28"/>
        </w:rPr>
      </w:pPr>
      <w:r w:rsidRPr="00B6281F">
        <w:rPr>
          <w:sz w:val="28"/>
          <w:szCs w:val="28"/>
        </w:rPr>
        <w:t>Жилищно-коммунальное хозяйство, как сфера жизнеобеспечения, во многом определяет возможности и темпы социально-экономического развития округа.</w:t>
      </w:r>
    </w:p>
    <w:p w:rsidR="00B43688" w:rsidRPr="00B6281F" w:rsidRDefault="00B43688" w:rsidP="00B43688">
      <w:pPr>
        <w:shd w:val="clear" w:color="auto" w:fill="FFFFFF"/>
        <w:contextualSpacing/>
        <w:rPr>
          <w:sz w:val="28"/>
          <w:szCs w:val="28"/>
        </w:rPr>
      </w:pPr>
      <w:r w:rsidRPr="00B6281F">
        <w:rPr>
          <w:spacing w:val="-2"/>
          <w:sz w:val="28"/>
          <w:szCs w:val="28"/>
        </w:rPr>
        <w:t>Обслуживанием</w:t>
      </w:r>
      <w:r w:rsidRPr="00B6281F">
        <w:rPr>
          <w:sz w:val="28"/>
          <w:szCs w:val="28"/>
        </w:rPr>
        <w:tab/>
        <w:t xml:space="preserve"> </w:t>
      </w:r>
      <w:r w:rsidRPr="00B6281F">
        <w:rPr>
          <w:spacing w:val="-2"/>
          <w:sz w:val="28"/>
          <w:szCs w:val="28"/>
        </w:rPr>
        <w:t>жилищного</w:t>
      </w:r>
      <w:r w:rsidRPr="00B6281F">
        <w:rPr>
          <w:sz w:val="28"/>
          <w:szCs w:val="28"/>
        </w:rPr>
        <w:tab/>
      </w:r>
      <w:r w:rsidRPr="00B6281F">
        <w:rPr>
          <w:spacing w:val="-3"/>
          <w:sz w:val="28"/>
          <w:szCs w:val="28"/>
        </w:rPr>
        <w:t>фонда</w:t>
      </w:r>
      <w:r w:rsidRPr="00B6281F">
        <w:rPr>
          <w:sz w:val="28"/>
          <w:szCs w:val="28"/>
        </w:rPr>
        <w:tab/>
        <w:t>и</w:t>
      </w:r>
      <w:r w:rsidRPr="00B6281F">
        <w:rPr>
          <w:sz w:val="28"/>
          <w:szCs w:val="28"/>
        </w:rPr>
        <w:tab/>
      </w:r>
      <w:r w:rsidRPr="00B6281F">
        <w:rPr>
          <w:spacing w:val="-2"/>
          <w:sz w:val="28"/>
          <w:szCs w:val="28"/>
        </w:rPr>
        <w:t xml:space="preserve">оказанием </w:t>
      </w:r>
      <w:r w:rsidRPr="00B6281F">
        <w:rPr>
          <w:spacing w:val="-1"/>
          <w:sz w:val="28"/>
          <w:szCs w:val="28"/>
        </w:rPr>
        <w:t>жилищно-</w:t>
      </w:r>
      <w:r w:rsidRPr="00B6281F">
        <w:rPr>
          <w:sz w:val="28"/>
          <w:szCs w:val="28"/>
        </w:rPr>
        <w:t>коммунальных услуг занимаются 10 организаций различных форм собственности, в том числе 8  предприятий коммунального хозяйства и 2 управляющие компании.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27</w:t>
      </w:r>
      <w:r w:rsidRPr="004325F3">
        <w:rPr>
          <w:sz w:val="28"/>
          <w:szCs w:val="28"/>
        </w:rPr>
        <w:t>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 за 201</w:t>
      </w:r>
      <w:r w:rsidR="00B43688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4325F3">
        <w:rPr>
          <w:sz w:val="28"/>
          <w:szCs w:val="28"/>
        </w:rPr>
        <w:t xml:space="preserve"> по Новолялинскому городскому округу составила </w:t>
      </w:r>
      <w:r>
        <w:rPr>
          <w:sz w:val="28"/>
          <w:szCs w:val="28"/>
        </w:rPr>
        <w:t>100</w:t>
      </w:r>
      <w:r w:rsidRPr="004325F3">
        <w:rPr>
          <w:sz w:val="28"/>
          <w:szCs w:val="28"/>
        </w:rPr>
        <w:t xml:space="preserve">%. </w:t>
      </w:r>
      <w:r>
        <w:rPr>
          <w:sz w:val="28"/>
          <w:szCs w:val="28"/>
        </w:rPr>
        <w:t>По отношению к 201</w:t>
      </w:r>
      <w:r w:rsidR="00B43688">
        <w:rPr>
          <w:sz w:val="28"/>
          <w:szCs w:val="28"/>
        </w:rPr>
        <w:t>5</w:t>
      </w:r>
      <w:r w:rsidRPr="004325F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4325F3">
        <w:rPr>
          <w:sz w:val="28"/>
          <w:szCs w:val="28"/>
        </w:rPr>
        <w:t xml:space="preserve"> показатель </w:t>
      </w:r>
      <w:r w:rsidR="00B43688">
        <w:rPr>
          <w:sz w:val="28"/>
          <w:szCs w:val="28"/>
        </w:rPr>
        <w:t>не изменился</w:t>
      </w:r>
      <w:r w:rsidRPr="004325F3">
        <w:rPr>
          <w:sz w:val="28"/>
          <w:szCs w:val="28"/>
        </w:rPr>
        <w:t>. На плановый период 201</w:t>
      </w:r>
      <w:r w:rsidR="00B43688">
        <w:rPr>
          <w:sz w:val="28"/>
          <w:szCs w:val="28"/>
        </w:rPr>
        <w:t>7</w:t>
      </w:r>
      <w:r w:rsidRPr="004325F3">
        <w:rPr>
          <w:sz w:val="28"/>
          <w:szCs w:val="28"/>
        </w:rPr>
        <w:t>-201</w:t>
      </w:r>
      <w:r w:rsidR="00B43688">
        <w:rPr>
          <w:sz w:val="28"/>
          <w:szCs w:val="28"/>
        </w:rPr>
        <w:t>9</w:t>
      </w:r>
      <w:r w:rsidRPr="004325F3">
        <w:rPr>
          <w:sz w:val="28"/>
          <w:szCs w:val="28"/>
        </w:rPr>
        <w:t xml:space="preserve"> г.г. данная величина будет составлять 100%.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 w:rsidRPr="004325F3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4325F3">
        <w:rPr>
          <w:sz w:val="28"/>
          <w:szCs w:val="28"/>
        </w:rPr>
        <w:t xml:space="preserve">.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</w:t>
      </w:r>
      <w:r w:rsidRPr="004325F3">
        <w:rPr>
          <w:sz w:val="28"/>
          <w:szCs w:val="28"/>
        </w:rPr>
        <w:lastRenderedPageBreak/>
        <w:t>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</w:r>
      <w:r>
        <w:rPr>
          <w:sz w:val="28"/>
          <w:szCs w:val="28"/>
        </w:rPr>
        <w:t xml:space="preserve"> в 201</w:t>
      </w:r>
      <w:r w:rsidR="00B43688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году составила </w:t>
      </w:r>
      <w:r w:rsidR="00A4773D">
        <w:rPr>
          <w:sz w:val="28"/>
          <w:szCs w:val="28"/>
        </w:rPr>
        <w:t>80</w:t>
      </w:r>
      <w:r w:rsidRPr="004325F3">
        <w:rPr>
          <w:sz w:val="28"/>
          <w:szCs w:val="28"/>
        </w:rPr>
        <w:t xml:space="preserve">%. </w:t>
      </w:r>
      <w:r w:rsidR="00A4773D" w:rsidRPr="004325F3">
        <w:rPr>
          <w:sz w:val="28"/>
          <w:szCs w:val="28"/>
        </w:rPr>
        <w:t>в сравнении с 201</w:t>
      </w:r>
      <w:r w:rsidR="00A4773D">
        <w:rPr>
          <w:sz w:val="28"/>
          <w:szCs w:val="28"/>
        </w:rPr>
        <w:t>5</w:t>
      </w:r>
      <w:r w:rsidR="00A4773D" w:rsidRPr="004325F3">
        <w:rPr>
          <w:sz w:val="28"/>
          <w:szCs w:val="28"/>
        </w:rPr>
        <w:t xml:space="preserve"> годом показатель </w:t>
      </w:r>
      <w:r w:rsidR="00A4773D">
        <w:rPr>
          <w:sz w:val="28"/>
          <w:szCs w:val="28"/>
        </w:rPr>
        <w:t>увеличился</w:t>
      </w:r>
      <w:r w:rsidR="00A4773D" w:rsidRPr="004325F3">
        <w:rPr>
          <w:sz w:val="28"/>
          <w:szCs w:val="28"/>
        </w:rPr>
        <w:t xml:space="preserve"> на </w:t>
      </w:r>
      <w:r w:rsidR="00A4773D">
        <w:rPr>
          <w:sz w:val="28"/>
          <w:szCs w:val="28"/>
        </w:rPr>
        <w:t>13 %</w:t>
      </w:r>
      <w:r w:rsidR="00A4773D" w:rsidRPr="004325F3">
        <w:rPr>
          <w:sz w:val="28"/>
          <w:szCs w:val="28"/>
        </w:rPr>
        <w:t>.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29</w:t>
      </w:r>
      <w:r w:rsidRPr="004325F3">
        <w:rPr>
          <w:sz w:val="28"/>
          <w:szCs w:val="28"/>
        </w:rPr>
        <w:t>. Доля многоквартирных домов, расположенных на земельных участках, в отношении которых осуществлен государственный кадастровый учет по Новолялинскому городскому округу в 201</w:t>
      </w:r>
      <w:r w:rsidR="00542C34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4325F3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</w:t>
      </w:r>
      <w:r w:rsidRPr="004325F3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4325F3">
        <w:rPr>
          <w:sz w:val="28"/>
          <w:szCs w:val="28"/>
        </w:rPr>
        <w:t xml:space="preserve"> 3</w:t>
      </w:r>
      <w:r>
        <w:rPr>
          <w:sz w:val="28"/>
          <w:szCs w:val="28"/>
        </w:rPr>
        <w:t>3</w:t>
      </w:r>
      <w:r w:rsidRPr="004325F3">
        <w:rPr>
          <w:sz w:val="28"/>
          <w:szCs w:val="28"/>
        </w:rPr>
        <w:t>%. В сравнении с 201</w:t>
      </w:r>
      <w:r w:rsidR="00542C34">
        <w:rPr>
          <w:sz w:val="28"/>
          <w:szCs w:val="28"/>
        </w:rPr>
        <w:t>5</w:t>
      </w:r>
      <w:r w:rsidRPr="004325F3">
        <w:rPr>
          <w:sz w:val="28"/>
          <w:szCs w:val="28"/>
        </w:rPr>
        <w:t xml:space="preserve"> г</w:t>
      </w:r>
      <w:r>
        <w:rPr>
          <w:sz w:val="28"/>
          <w:szCs w:val="28"/>
        </w:rPr>
        <w:t>одом</w:t>
      </w:r>
      <w:r w:rsidRPr="004325F3">
        <w:rPr>
          <w:sz w:val="28"/>
          <w:szCs w:val="28"/>
        </w:rPr>
        <w:t xml:space="preserve"> данный показатель </w:t>
      </w:r>
      <w:r w:rsidR="00542C34">
        <w:rPr>
          <w:sz w:val="28"/>
          <w:szCs w:val="28"/>
        </w:rPr>
        <w:t>не изменился.</w:t>
      </w:r>
    </w:p>
    <w:p w:rsidR="00542C34" w:rsidRPr="00B6281F" w:rsidRDefault="00554774" w:rsidP="00542C3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30</w:t>
      </w:r>
      <w:r w:rsidRPr="004325F3">
        <w:rPr>
          <w:sz w:val="28"/>
          <w:szCs w:val="28"/>
        </w:rPr>
        <w:t xml:space="preserve">. </w:t>
      </w:r>
      <w:r w:rsidR="00542C34" w:rsidRPr="00B6281F">
        <w:rPr>
          <w:sz w:val="28"/>
          <w:szCs w:val="28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по Новолялинскому городскому округу в 2016 году составила </w:t>
      </w:r>
      <w:r w:rsidR="00343162" w:rsidRPr="00343162">
        <w:rPr>
          <w:sz w:val="28"/>
          <w:szCs w:val="28"/>
        </w:rPr>
        <w:t>2</w:t>
      </w:r>
      <w:r w:rsidR="00343162">
        <w:rPr>
          <w:sz w:val="28"/>
          <w:szCs w:val="28"/>
        </w:rPr>
        <w:t>2,</w:t>
      </w:r>
      <w:r w:rsidR="00343162" w:rsidRPr="00343162">
        <w:rPr>
          <w:sz w:val="28"/>
          <w:szCs w:val="28"/>
        </w:rPr>
        <w:t>55</w:t>
      </w:r>
      <w:r w:rsidR="00542C34" w:rsidRPr="00B6281F">
        <w:rPr>
          <w:sz w:val="28"/>
          <w:szCs w:val="28"/>
        </w:rPr>
        <w:t xml:space="preserve">%, что выше соответствующего показателя 2015 года на </w:t>
      </w:r>
      <w:r w:rsidR="00343162">
        <w:rPr>
          <w:sz w:val="28"/>
          <w:szCs w:val="28"/>
        </w:rPr>
        <w:t>11,</w:t>
      </w:r>
      <w:r w:rsidR="00343162" w:rsidRPr="00343162">
        <w:rPr>
          <w:sz w:val="28"/>
          <w:szCs w:val="28"/>
        </w:rPr>
        <w:t>66</w:t>
      </w:r>
      <w:r w:rsidR="00542C34" w:rsidRPr="00B6281F">
        <w:rPr>
          <w:sz w:val="28"/>
          <w:szCs w:val="28"/>
        </w:rPr>
        <w:t xml:space="preserve">%. </w:t>
      </w:r>
    </w:p>
    <w:p w:rsidR="00542C34" w:rsidRPr="00D860FC" w:rsidRDefault="00542C34" w:rsidP="00542C34">
      <w:pPr>
        <w:shd w:val="clear" w:color="auto" w:fill="FFFFFF"/>
        <w:contextualSpacing/>
        <w:rPr>
          <w:bCs/>
          <w:sz w:val="28"/>
          <w:szCs w:val="28"/>
        </w:rPr>
      </w:pPr>
    </w:p>
    <w:p w:rsidR="00554774" w:rsidRPr="00D860FC" w:rsidRDefault="00554774" w:rsidP="00554774">
      <w:pPr>
        <w:shd w:val="clear" w:color="auto" w:fill="FFFFFF"/>
        <w:contextualSpacing/>
        <w:jc w:val="center"/>
        <w:rPr>
          <w:b/>
        </w:rPr>
      </w:pPr>
      <w:r w:rsidRPr="00D860FC">
        <w:rPr>
          <w:b/>
          <w:bCs/>
          <w:sz w:val="28"/>
          <w:szCs w:val="28"/>
        </w:rPr>
        <w:t>Организация муниципального управления</w:t>
      </w:r>
    </w:p>
    <w:p w:rsidR="00554774" w:rsidRPr="002E2900" w:rsidRDefault="00554774" w:rsidP="00554774">
      <w:pPr>
        <w:shd w:val="clear" w:color="auto" w:fill="FFFFFF"/>
        <w:contextualSpacing/>
        <w:rPr>
          <w:sz w:val="28"/>
          <w:szCs w:val="28"/>
        </w:rPr>
      </w:pPr>
    </w:p>
    <w:p w:rsidR="00223A0F" w:rsidRPr="00B6281F" w:rsidRDefault="00223A0F" w:rsidP="00223A0F">
      <w:pPr>
        <w:pStyle w:val="Pa2"/>
        <w:spacing w:line="240" w:lineRule="auto"/>
        <w:ind w:firstLine="709"/>
        <w:jc w:val="both"/>
        <w:rPr>
          <w:sz w:val="28"/>
          <w:szCs w:val="28"/>
        </w:rPr>
      </w:pPr>
      <w:r w:rsidRPr="00B6281F">
        <w:rPr>
          <w:sz w:val="28"/>
          <w:szCs w:val="28"/>
        </w:rPr>
        <w:t>Бюджет Новолялинского г</w:t>
      </w:r>
      <w:r w:rsidR="00A4773D">
        <w:rPr>
          <w:sz w:val="28"/>
          <w:szCs w:val="28"/>
        </w:rPr>
        <w:t>ородского округа на 2016 год ут</w:t>
      </w:r>
      <w:r w:rsidRPr="00B6281F">
        <w:rPr>
          <w:sz w:val="28"/>
          <w:szCs w:val="28"/>
        </w:rPr>
        <w:t xml:space="preserve">вержден Решением Думы Новолялинского городского округа пятого созыва от 24.12.2015 г. № 270 с общим объемом доходов 707,9 млн. руб. и общим объемом расходов 713,5 </w:t>
      </w:r>
      <w:r w:rsidR="002E2D92">
        <w:rPr>
          <w:sz w:val="28"/>
          <w:szCs w:val="28"/>
        </w:rPr>
        <w:t>млн. руб., дефицит бюджета пред</w:t>
      </w:r>
      <w:r w:rsidRPr="00B6281F">
        <w:rPr>
          <w:sz w:val="28"/>
          <w:szCs w:val="28"/>
        </w:rPr>
        <w:t>усмотрен в размере 5,6 млн. руб.</w:t>
      </w:r>
    </w:p>
    <w:p w:rsidR="00223A0F" w:rsidRPr="00B6281F" w:rsidRDefault="00223A0F" w:rsidP="00223A0F">
      <w:pPr>
        <w:pStyle w:val="Pa2"/>
        <w:spacing w:line="240" w:lineRule="auto"/>
        <w:ind w:firstLine="709"/>
        <w:jc w:val="both"/>
        <w:rPr>
          <w:sz w:val="28"/>
          <w:szCs w:val="28"/>
        </w:rPr>
      </w:pPr>
      <w:r w:rsidRPr="00B6281F">
        <w:rPr>
          <w:sz w:val="28"/>
          <w:szCs w:val="28"/>
        </w:rPr>
        <w:t>В течение финансового год</w:t>
      </w:r>
      <w:r w:rsidR="002E2D92">
        <w:rPr>
          <w:sz w:val="28"/>
          <w:szCs w:val="28"/>
        </w:rPr>
        <w:t>а в бюджет внесены следующие из</w:t>
      </w:r>
      <w:r w:rsidRPr="00B6281F">
        <w:rPr>
          <w:sz w:val="28"/>
          <w:szCs w:val="28"/>
        </w:rPr>
        <w:t xml:space="preserve">менения: </w:t>
      </w:r>
    </w:p>
    <w:p w:rsidR="00223A0F" w:rsidRPr="00B6281F" w:rsidRDefault="00223A0F" w:rsidP="00223A0F">
      <w:pPr>
        <w:pStyle w:val="Pa2"/>
        <w:spacing w:line="240" w:lineRule="auto"/>
        <w:ind w:firstLine="709"/>
        <w:jc w:val="both"/>
        <w:rPr>
          <w:sz w:val="28"/>
          <w:szCs w:val="28"/>
        </w:rPr>
      </w:pPr>
      <w:r w:rsidRPr="00B6281F">
        <w:rPr>
          <w:sz w:val="28"/>
          <w:szCs w:val="28"/>
        </w:rPr>
        <w:t>– увеличен общий объем доходов на сумму 22,4 млн. руб., в том числе собственные налоговые и неналоговые доходы – на 0,8 млн. руб., безвозмездные поступления – на 21,6 млн. руб.;</w:t>
      </w:r>
    </w:p>
    <w:p w:rsidR="00223A0F" w:rsidRPr="00B6281F" w:rsidRDefault="00223A0F" w:rsidP="00223A0F">
      <w:pPr>
        <w:pStyle w:val="Pa2"/>
        <w:spacing w:line="240" w:lineRule="auto"/>
        <w:ind w:firstLine="709"/>
        <w:jc w:val="both"/>
        <w:rPr>
          <w:sz w:val="28"/>
          <w:szCs w:val="28"/>
        </w:rPr>
      </w:pPr>
      <w:r w:rsidRPr="00B6281F">
        <w:rPr>
          <w:sz w:val="28"/>
          <w:szCs w:val="28"/>
        </w:rPr>
        <w:t>– увеличен общий объем расходов на 93,8 млн. руб.</w:t>
      </w:r>
    </w:p>
    <w:p w:rsidR="00223A0F" w:rsidRPr="00B6281F" w:rsidRDefault="00223A0F" w:rsidP="00223A0F">
      <w:pPr>
        <w:pStyle w:val="Pa2"/>
        <w:spacing w:line="240" w:lineRule="auto"/>
        <w:ind w:firstLine="709"/>
        <w:jc w:val="both"/>
        <w:rPr>
          <w:sz w:val="28"/>
          <w:szCs w:val="28"/>
        </w:rPr>
      </w:pPr>
      <w:r w:rsidRPr="00B6281F">
        <w:rPr>
          <w:sz w:val="28"/>
          <w:szCs w:val="28"/>
        </w:rPr>
        <w:t>Доходов в 2016 году поступило на сумму 715,7 млн. руб. при плане 730,3 млн. руб., выполнение составило 98,0% от годового плана, что больше фактических поступлений прошлого года на 186,1 млн. руб.</w:t>
      </w:r>
    </w:p>
    <w:p w:rsidR="00223A0F" w:rsidRPr="00B6281F" w:rsidRDefault="00223A0F" w:rsidP="00223A0F">
      <w:pPr>
        <w:pStyle w:val="Pa2"/>
        <w:spacing w:line="240" w:lineRule="auto"/>
        <w:ind w:firstLine="709"/>
        <w:jc w:val="both"/>
        <w:rPr>
          <w:sz w:val="28"/>
          <w:szCs w:val="28"/>
        </w:rPr>
      </w:pPr>
      <w:r w:rsidRPr="00B6281F">
        <w:rPr>
          <w:sz w:val="28"/>
          <w:szCs w:val="28"/>
        </w:rPr>
        <w:t xml:space="preserve">Налоговых и неналоговых </w:t>
      </w:r>
      <w:r w:rsidR="002E2D92">
        <w:rPr>
          <w:sz w:val="28"/>
          <w:szCs w:val="28"/>
        </w:rPr>
        <w:t>доходов поступило в местный бюд</w:t>
      </w:r>
      <w:r w:rsidRPr="00B6281F">
        <w:rPr>
          <w:sz w:val="28"/>
          <w:szCs w:val="28"/>
        </w:rPr>
        <w:t>жет 268,2 млн. руб., при плане 27</w:t>
      </w:r>
      <w:r w:rsidR="002E2D92">
        <w:rPr>
          <w:sz w:val="28"/>
          <w:szCs w:val="28"/>
        </w:rPr>
        <w:t>7,0 млн. руб., или 96,8% от пла</w:t>
      </w:r>
      <w:r w:rsidRPr="00B6281F">
        <w:rPr>
          <w:sz w:val="28"/>
          <w:szCs w:val="28"/>
        </w:rPr>
        <w:t>на, что на 42,3 млн. руб. больше прошлого года.</w:t>
      </w:r>
    </w:p>
    <w:p w:rsidR="00223A0F" w:rsidRDefault="00223A0F" w:rsidP="00223A0F">
      <w:pPr>
        <w:pStyle w:val="Pa2"/>
        <w:spacing w:line="240" w:lineRule="auto"/>
        <w:ind w:firstLine="709"/>
        <w:jc w:val="both"/>
        <w:rPr>
          <w:sz w:val="28"/>
          <w:szCs w:val="28"/>
        </w:rPr>
      </w:pPr>
      <w:r w:rsidRPr="00B6281F">
        <w:rPr>
          <w:sz w:val="28"/>
          <w:szCs w:val="28"/>
        </w:rPr>
        <w:t>Наибольший удельный вес в налоговых и неналоговых доходах составил налог на доходы физических лиц – 83,7% или 210,7 млн. руб., увеличение данного показателя в сравнении с прошлым го</w:t>
      </w:r>
      <w:r w:rsidRPr="00B6281F">
        <w:rPr>
          <w:sz w:val="28"/>
          <w:szCs w:val="28"/>
        </w:rPr>
        <w:softHyphen/>
        <w:t xml:space="preserve">дом произошло на 21,5 млн. руб. </w:t>
      </w:r>
    </w:p>
    <w:p w:rsidR="008B6C17" w:rsidRPr="00F03344" w:rsidRDefault="008B6C17" w:rsidP="00F03344">
      <w:pPr>
        <w:pStyle w:val="Pa2"/>
        <w:spacing w:line="240" w:lineRule="auto"/>
        <w:ind w:firstLine="709"/>
        <w:jc w:val="both"/>
        <w:rPr>
          <w:sz w:val="28"/>
          <w:szCs w:val="28"/>
        </w:rPr>
      </w:pPr>
      <w:r w:rsidRPr="00B6281F">
        <w:rPr>
          <w:sz w:val="28"/>
          <w:szCs w:val="28"/>
        </w:rPr>
        <w:t xml:space="preserve">Расходная часть бюджета исполнена на сумму 772,7 млн. руб., при плане 807,3 млн. руб., или </w:t>
      </w:r>
      <w:r w:rsidR="002E2D92">
        <w:rPr>
          <w:sz w:val="28"/>
          <w:szCs w:val="28"/>
        </w:rPr>
        <w:t>95,7%, и на 71,0 млн. руб. мень</w:t>
      </w:r>
      <w:r w:rsidRPr="00B6281F">
        <w:rPr>
          <w:sz w:val="28"/>
          <w:szCs w:val="28"/>
        </w:rPr>
        <w:t>ше показателя прошлого года.</w:t>
      </w:r>
    </w:p>
    <w:p w:rsidR="008B6C17" w:rsidRPr="00E03E44" w:rsidRDefault="008B6C17" w:rsidP="00E03E44">
      <w:pPr>
        <w:pStyle w:val="Pa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E44">
        <w:rPr>
          <w:sz w:val="28"/>
          <w:szCs w:val="28"/>
        </w:rPr>
        <w:t>1</w:t>
      </w:r>
      <w:r w:rsidRPr="004325F3">
        <w:rPr>
          <w:sz w:val="28"/>
          <w:szCs w:val="28"/>
        </w:rPr>
        <w:t xml:space="preserve">. Доля </w:t>
      </w:r>
      <w:r>
        <w:rPr>
          <w:sz w:val="28"/>
          <w:szCs w:val="28"/>
        </w:rPr>
        <w:t xml:space="preserve">налоговых и неналоговых доходов местного бюджета </w:t>
      </w:r>
      <w:r w:rsidR="00E03E44">
        <w:rPr>
          <w:sz w:val="28"/>
          <w:szCs w:val="28"/>
        </w:rPr>
        <w:t>(</w:t>
      </w:r>
      <w:r>
        <w:rPr>
          <w:sz w:val="28"/>
          <w:szCs w:val="28"/>
        </w:rPr>
        <w:t>за исключением поступлений налоговых доходов по дополнительным нормативам отчислений)</w:t>
      </w:r>
      <w:r w:rsidR="00F03344">
        <w:rPr>
          <w:sz w:val="28"/>
          <w:szCs w:val="28"/>
        </w:rPr>
        <w:t xml:space="preserve"> в общем объеме собственных доходов бюджета муниципального </w:t>
      </w:r>
      <w:r w:rsidR="00F03344">
        <w:rPr>
          <w:sz w:val="28"/>
          <w:szCs w:val="28"/>
        </w:rPr>
        <w:lastRenderedPageBreak/>
        <w:t>образования (без учета субвенций)</w:t>
      </w:r>
      <w:r>
        <w:rPr>
          <w:sz w:val="28"/>
          <w:szCs w:val="28"/>
        </w:rPr>
        <w:t xml:space="preserve"> </w:t>
      </w:r>
      <w:r w:rsidRPr="004325F3">
        <w:rPr>
          <w:sz w:val="28"/>
          <w:szCs w:val="28"/>
        </w:rPr>
        <w:t>за 201</w:t>
      </w:r>
      <w:r w:rsidR="00F03344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год составила </w:t>
      </w:r>
      <w:r w:rsidR="00F03344">
        <w:rPr>
          <w:sz w:val="28"/>
          <w:szCs w:val="28"/>
        </w:rPr>
        <w:t>21,91</w:t>
      </w:r>
      <w:r w:rsidRPr="004325F3">
        <w:rPr>
          <w:sz w:val="28"/>
          <w:szCs w:val="28"/>
        </w:rPr>
        <w:t xml:space="preserve">%, что </w:t>
      </w:r>
      <w:r>
        <w:rPr>
          <w:sz w:val="28"/>
          <w:szCs w:val="28"/>
        </w:rPr>
        <w:t>выше</w:t>
      </w:r>
      <w:r w:rsidRPr="004325F3">
        <w:rPr>
          <w:sz w:val="28"/>
          <w:szCs w:val="28"/>
        </w:rPr>
        <w:t xml:space="preserve"> показателя 201</w:t>
      </w:r>
      <w:r w:rsidR="00F03344">
        <w:rPr>
          <w:sz w:val="28"/>
          <w:szCs w:val="28"/>
        </w:rPr>
        <w:t>5</w:t>
      </w:r>
      <w:r w:rsidRPr="004325F3">
        <w:rPr>
          <w:sz w:val="28"/>
          <w:szCs w:val="28"/>
        </w:rPr>
        <w:t xml:space="preserve"> года на </w:t>
      </w:r>
      <w:r w:rsidR="00F03344">
        <w:rPr>
          <w:sz w:val="28"/>
          <w:szCs w:val="28"/>
        </w:rPr>
        <w:t>11,27%.</w:t>
      </w:r>
    </w:p>
    <w:p w:rsidR="00554774" w:rsidRPr="004325F3" w:rsidRDefault="00554774" w:rsidP="00554774">
      <w:pPr>
        <w:pStyle w:val="Pa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E44">
        <w:rPr>
          <w:sz w:val="28"/>
          <w:szCs w:val="28"/>
        </w:rPr>
        <w:t>2</w:t>
      </w:r>
      <w:r w:rsidRPr="004325F3">
        <w:rPr>
          <w:sz w:val="28"/>
          <w:szCs w:val="28"/>
        </w:rPr>
        <w:t>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 за 201</w:t>
      </w:r>
      <w:r w:rsidR="00572A12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год составила </w:t>
      </w:r>
      <w:r w:rsidR="00572A12">
        <w:rPr>
          <w:sz w:val="28"/>
          <w:szCs w:val="28"/>
        </w:rPr>
        <w:t>5,07</w:t>
      </w:r>
      <w:r w:rsidRPr="004325F3">
        <w:rPr>
          <w:sz w:val="28"/>
          <w:szCs w:val="28"/>
        </w:rPr>
        <w:t xml:space="preserve">%, что </w:t>
      </w:r>
      <w:r>
        <w:rPr>
          <w:sz w:val="28"/>
          <w:szCs w:val="28"/>
        </w:rPr>
        <w:t>выше</w:t>
      </w:r>
      <w:r w:rsidRPr="004325F3">
        <w:rPr>
          <w:sz w:val="28"/>
          <w:szCs w:val="28"/>
        </w:rPr>
        <w:t xml:space="preserve"> показателя 201</w:t>
      </w:r>
      <w:r w:rsidR="00572A12">
        <w:rPr>
          <w:sz w:val="28"/>
          <w:szCs w:val="28"/>
        </w:rPr>
        <w:t>5</w:t>
      </w:r>
      <w:r w:rsidRPr="004325F3">
        <w:rPr>
          <w:sz w:val="28"/>
          <w:szCs w:val="28"/>
        </w:rPr>
        <w:t xml:space="preserve"> года на </w:t>
      </w:r>
      <w:r w:rsidR="00572A12">
        <w:rPr>
          <w:sz w:val="28"/>
          <w:szCs w:val="28"/>
        </w:rPr>
        <w:t>0,87%.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33. Не завершенное</w:t>
      </w:r>
      <w:r w:rsidRPr="004325F3">
        <w:rPr>
          <w:sz w:val="28"/>
          <w:szCs w:val="28"/>
        </w:rPr>
        <w:t xml:space="preserve"> в у</w:t>
      </w:r>
      <w:r>
        <w:rPr>
          <w:sz w:val="28"/>
          <w:szCs w:val="28"/>
        </w:rPr>
        <w:t>становленные сроки строительство, осуществляемое</w:t>
      </w:r>
      <w:r w:rsidRPr="004325F3">
        <w:rPr>
          <w:sz w:val="28"/>
          <w:szCs w:val="28"/>
        </w:rPr>
        <w:t xml:space="preserve"> за счет средств бюджета городского округа (муниципального района) по Новолялинскому городскому округу за 201</w:t>
      </w:r>
      <w:r w:rsidR="00572A12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год </w:t>
      </w:r>
      <w:r>
        <w:rPr>
          <w:sz w:val="28"/>
          <w:szCs w:val="28"/>
        </w:rPr>
        <w:t>отсутствует.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4325F3">
        <w:rPr>
          <w:sz w:val="28"/>
          <w:szCs w:val="28"/>
        </w:rPr>
        <w:t xml:space="preserve">4. </w:t>
      </w:r>
      <w:r>
        <w:rPr>
          <w:sz w:val="28"/>
          <w:szCs w:val="28"/>
        </w:rPr>
        <w:t>Просроченная кредиторская</w:t>
      </w:r>
      <w:r w:rsidRPr="004325F3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4325F3">
        <w:rPr>
          <w:sz w:val="28"/>
          <w:szCs w:val="28"/>
        </w:rPr>
        <w:t xml:space="preserve">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по Но</w:t>
      </w:r>
      <w:r>
        <w:rPr>
          <w:sz w:val="28"/>
          <w:szCs w:val="28"/>
        </w:rPr>
        <w:t xml:space="preserve">волялинскому городскому округу </w:t>
      </w:r>
      <w:r w:rsidRPr="004325F3">
        <w:rPr>
          <w:sz w:val="28"/>
          <w:szCs w:val="28"/>
        </w:rPr>
        <w:t>за 201</w:t>
      </w:r>
      <w:r w:rsidR="00572A12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год </w:t>
      </w:r>
      <w:r>
        <w:rPr>
          <w:sz w:val="28"/>
          <w:szCs w:val="28"/>
        </w:rPr>
        <w:t>отсутствует</w:t>
      </w:r>
      <w:r w:rsidRPr="004325F3">
        <w:rPr>
          <w:sz w:val="28"/>
          <w:szCs w:val="28"/>
        </w:rPr>
        <w:t>, за предшествующий трехлетний период и плановый трехлетний период значение показателя остается неизменным.</w:t>
      </w:r>
    </w:p>
    <w:p w:rsidR="00572A12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4325F3">
        <w:rPr>
          <w:sz w:val="28"/>
          <w:szCs w:val="28"/>
        </w:rPr>
        <w:t>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за 201</w:t>
      </w:r>
      <w:r w:rsidR="00572A12">
        <w:rPr>
          <w:sz w:val="28"/>
          <w:szCs w:val="28"/>
        </w:rPr>
        <w:t>6</w:t>
      </w:r>
      <w:r w:rsidRPr="004325F3">
        <w:rPr>
          <w:sz w:val="28"/>
          <w:szCs w:val="28"/>
        </w:rPr>
        <w:t xml:space="preserve"> год составили </w:t>
      </w:r>
      <w:r w:rsidR="000E52D7">
        <w:rPr>
          <w:sz w:val="28"/>
          <w:szCs w:val="28"/>
        </w:rPr>
        <w:t>3244,72</w:t>
      </w:r>
      <w:r w:rsidR="00B27FD1">
        <w:rPr>
          <w:sz w:val="28"/>
          <w:szCs w:val="28"/>
        </w:rPr>
        <w:t xml:space="preserve"> рубля</w:t>
      </w:r>
      <w:r w:rsidRPr="004325F3">
        <w:rPr>
          <w:sz w:val="28"/>
          <w:szCs w:val="28"/>
        </w:rPr>
        <w:t>, что выше показателя 201</w:t>
      </w:r>
      <w:r w:rsidR="00572A12">
        <w:rPr>
          <w:sz w:val="28"/>
          <w:szCs w:val="28"/>
        </w:rPr>
        <w:t>5</w:t>
      </w:r>
      <w:r w:rsidRPr="004325F3">
        <w:rPr>
          <w:sz w:val="28"/>
          <w:szCs w:val="28"/>
        </w:rPr>
        <w:t xml:space="preserve"> года на </w:t>
      </w:r>
      <w:r w:rsidR="000E52D7">
        <w:rPr>
          <w:sz w:val="28"/>
          <w:szCs w:val="28"/>
        </w:rPr>
        <w:t>1024,57</w:t>
      </w:r>
      <w:r>
        <w:rPr>
          <w:sz w:val="28"/>
          <w:szCs w:val="28"/>
        </w:rPr>
        <w:t xml:space="preserve"> рубл</w:t>
      </w:r>
      <w:r w:rsidR="00572A12">
        <w:rPr>
          <w:sz w:val="28"/>
          <w:szCs w:val="28"/>
        </w:rPr>
        <w:t>я.</w:t>
      </w:r>
      <w:r w:rsidRPr="004325F3">
        <w:rPr>
          <w:sz w:val="28"/>
          <w:szCs w:val="28"/>
        </w:rPr>
        <w:t xml:space="preserve"> 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36</w:t>
      </w:r>
      <w:r w:rsidRPr="004325F3">
        <w:rPr>
          <w:sz w:val="28"/>
          <w:szCs w:val="28"/>
        </w:rPr>
        <w:t xml:space="preserve">. </w:t>
      </w:r>
      <w:r>
        <w:rPr>
          <w:sz w:val="28"/>
          <w:szCs w:val="28"/>
        </w:rPr>
        <w:t>Г</w:t>
      </w:r>
      <w:r w:rsidRPr="004325F3">
        <w:rPr>
          <w:sz w:val="28"/>
          <w:szCs w:val="28"/>
        </w:rPr>
        <w:t xml:space="preserve">енеральный план Новолялинского городского округа разработан и утвержден </w:t>
      </w:r>
      <w:r>
        <w:rPr>
          <w:sz w:val="28"/>
          <w:szCs w:val="28"/>
        </w:rPr>
        <w:t xml:space="preserve">в 2012 году, кроме того в соответствии с Градостроительным кодексом РФ в 2012 году разработаны и утверждены </w:t>
      </w:r>
      <w:r w:rsidRPr="00CB455E">
        <w:rPr>
          <w:sz w:val="28"/>
          <w:szCs w:val="28"/>
        </w:rPr>
        <w:t>генеральные планы города Новая Ляля</w:t>
      </w:r>
      <w:r>
        <w:rPr>
          <w:sz w:val="28"/>
          <w:szCs w:val="28"/>
        </w:rPr>
        <w:t xml:space="preserve"> и </w:t>
      </w:r>
      <w:r w:rsidRPr="00CB455E">
        <w:rPr>
          <w:sz w:val="28"/>
          <w:szCs w:val="28"/>
        </w:rPr>
        <w:t>поселка Лобва</w:t>
      </w:r>
      <w:r>
        <w:rPr>
          <w:sz w:val="28"/>
          <w:szCs w:val="28"/>
        </w:rPr>
        <w:t xml:space="preserve"> Новолялинского района</w:t>
      </w:r>
      <w:r w:rsidRPr="00CB455E">
        <w:rPr>
          <w:sz w:val="28"/>
          <w:szCs w:val="28"/>
        </w:rPr>
        <w:t>.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Pr="004325F3">
        <w:rPr>
          <w:sz w:val="28"/>
          <w:szCs w:val="28"/>
        </w:rPr>
        <w:t xml:space="preserve">7. Удовлетворенность населения </w:t>
      </w:r>
      <w:r>
        <w:rPr>
          <w:sz w:val="28"/>
          <w:szCs w:val="28"/>
        </w:rPr>
        <w:t>организацией транспортного обслуживания в муниципальном образовании в 201</w:t>
      </w:r>
      <w:r w:rsidR="0065324A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составила </w:t>
      </w:r>
      <w:r w:rsidR="0065324A">
        <w:rPr>
          <w:sz w:val="28"/>
          <w:szCs w:val="28"/>
        </w:rPr>
        <w:t>99,3</w:t>
      </w:r>
      <w:r w:rsidRPr="00A0579A">
        <w:rPr>
          <w:sz w:val="28"/>
          <w:szCs w:val="28"/>
        </w:rPr>
        <w:t>%</w:t>
      </w:r>
      <w:r>
        <w:rPr>
          <w:sz w:val="28"/>
          <w:szCs w:val="28"/>
        </w:rPr>
        <w:t>, в</w:t>
      </w:r>
      <w:r w:rsidRPr="00CB455E">
        <w:rPr>
          <w:sz w:val="28"/>
          <w:szCs w:val="28"/>
        </w:rPr>
        <w:t xml:space="preserve"> прогнозируем</w:t>
      </w:r>
      <w:r>
        <w:rPr>
          <w:sz w:val="28"/>
          <w:szCs w:val="28"/>
        </w:rPr>
        <w:t>ом</w:t>
      </w:r>
      <w:r w:rsidRPr="00CB455E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CB455E">
        <w:rPr>
          <w:sz w:val="28"/>
          <w:szCs w:val="28"/>
        </w:rPr>
        <w:t xml:space="preserve"> данный показатель </w:t>
      </w:r>
      <w:r>
        <w:rPr>
          <w:sz w:val="28"/>
          <w:szCs w:val="28"/>
        </w:rPr>
        <w:t>планируется повысить до 100 %.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38. Удовлетворенность населения качеством автомобильных дорог в муниципальном образовании в 201</w:t>
      </w:r>
      <w:r w:rsidR="0065324A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составила </w:t>
      </w:r>
      <w:r w:rsidR="0065324A">
        <w:rPr>
          <w:sz w:val="28"/>
          <w:szCs w:val="28"/>
        </w:rPr>
        <w:t>100</w:t>
      </w:r>
      <w:r>
        <w:rPr>
          <w:sz w:val="28"/>
          <w:szCs w:val="28"/>
        </w:rPr>
        <w:t>%, в</w:t>
      </w:r>
      <w:r w:rsidRPr="00CB455E">
        <w:rPr>
          <w:sz w:val="28"/>
          <w:szCs w:val="28"/>
        </w:rPr>
        <w:t xml:space="preserve"> прогнозируем</w:t>
      </w:r>
      <w:r>
        <w:rPr>
          <w:sz w:val="28"/>
          <w:szCs w:val="28"/>
        </w:rPr>
        <w:t>ом</w:t>
      </w:r>
      <w:r w:rsidRPr="00CB455E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CB455E">
        <w:rPr>
          <w:sz w:val="28"/>
          <w:szCs w:val="28"/>
        </w:rPr>
        <w:t xml:space="preserve"> данный показатель </w:t>
      </w:r>
      <w:r>
        <w:rPr>
          <w:sz w:val="28"/>
          <w:szCs w:val="28"/>
        </w:rPr>
        <w:t xml:space="preserve">планируется </w:t>
      </w:r>
      <w:r w:rsidR="0065324A">
        <w:rPr>
          <w:sz w:val="28"/>
          <w:szCs w:val="28"/>
        </w:rPr>
        <w:t>сохранить на уровне 100</w:t>
      </w:r>
      <w:r>
        <w:rPr>
          <w:sz w:val="28"/>
          <w:szCs w:val="28"/>
        </w:rPr>
        <w:t>%.</w:t>
      </w:r>
    </w:p>
    <w:p w:rsidR="00554774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39. Удовлетворенность населения жилищно-коммунальными услугами, уровнем организации теплоснабжения (снабжения населения топливом), водоснабжения (водоотведения), электроснабжения, газоснабжения в 201</w:t>
      </w:r>
      <w:r w:rsidR="0065324A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составила </w:t>
      </w:r>
      <w:r w:rsidR="0065324A">
        <w:rPr>
          <w:sz w:val="28"/>
          <w:szCs w:val="28"/>
        </w:rPr>
        <w:t>62,5</w:t>
      </w:r>
      <w:r>
        <w:rPr>
          <w:sz w:val="28"/>
          <w:szCs w:val="28"/>
        </w:rPr>
        <w:t>%, в</w:t>
      </w:r>
      <w:r w:rsidRPr="00CB455E">
        <w:rPr>
          <w:sz w:val="28"/>
          <w:szCs w:val="28"/>
        </w:rPr>
        <w:t xml:space="preserve"> прогнозируем</w:t>
      </w:r>
      <w:r>
        <w:rPr>
          <w:sz w:val="28"/>
          <w:szCs w:val="28"/>
        </w:rPr>
        <w:t>ом</w:t>
      </w:r>
      <w:r w:rsidRPr="00CB455E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е</w:t>
      </w:r>
      <w:r w:rsidRPr="00CB455E">
        <w:rPr>
          <w:sz w:val="28"/>
          <w:szCs w:val="28"/>
        </w:rPr>
        <w:t xml:space="preserve"> данный показатель</w:t>
      </w:r>
      <w:r>
        <w:rPr>
          <w:sz w:val="28"/>
          <w:szCs w:val="28"/>
        </w:rPr>
        <w:t xml:space="preserve"> планируется </w:t>
      </w:r>
      <w:r w:rsidRPr="00CB455E">
        <w:rPr>
          <w:sz w:val="28"/>
          <w:szCs w:val="28"/>
        </w:rPr>
        <w:t>повысит</w:t>
      </w:r>
      <w:r>
        <w:rPr>
          <w:sz w:val="28"/>
          <w:szCs w:val="28"/>
        </w:rPr>
        <w:t xml:space="preserve">ь </w:t>
      </w:r>
      <w:r w:rsidRPr="00CB455E">
        <w:rPr>
          <w:sz w:val="28"/>
          <w:szCs w:val="28"/>
        </w:rPr>
        <w:t xml:space="preserve">до </w:t>
      </w:r>
      <w:r>
        <w:rPr>
          <w:sz w:val="28"/>
          <w:szCs w:val="28"/>
        </w:rPr>
        <w:t>9</w:t>
      </w:r>
      <w:r w:rsidR="0065324A">
        <w:rPr>
          <w:sz w:val="28"/>
          <w:szCs w:val="28"/>
        </w:rPr>
        <w:t>0</w:t>
      </w:r>
      <w:r>
        <w:rPr>
          <w:sz w:val="28"/>
          <w:szCs w:val="28"/>
        </w:rPr>
        <w:t>%.</w:t>
      </w:r>
    </w:p>
    <w:p w:rsidR="00554774" w:rsidRPr="004325F3" w:rsidRDefault="00554774" w:rsidP="00554774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4325F3">
        <w:rPr>
          <w:sz w:val="28"/>
          <w:szCs w:val="28"/>
        </w:rPr>
        <w:t xml:space="preserve">Среднегодовая численность постоянного населения </w:t>
      </w:r>
      <w:r>
        <w:rPr>
          <w:sz w:val="28"/>
          <w:szCs w:val="28"/>
        </w:rPr>
        <w:t>в 2015 году составила 21,99</w:t>
      </w:r>
      <w:r w:rsidRPr="004325F3">
        <w:rPr>
          <w:sz w:val="28"/>
          <w:szCs w:val="28"/>
        </w:rPr>
        <w:t xml:space="preserve"> тыс. человек</w:t>
      </w:r>
      <w:r>
        <w:rPr>
          <w:sz w:val="28"/>
          <w:szCs w:val="28"/>
        </w:rPr>
        <w:t xml:space="preserve">, что на 0,57 </w:t>
      </w:r>
      <w:r w:rsidRPr="004325F3">
        <w:rPr>
          <w:sz w:val="28"/>
          <w:szCs w:val="28"/>
        </w:rPr>
        <w:t>тыс. человек</w:t>
      </w:r>
      <w:r>
        <w:rPr>
          <w:sz w:val="28"/>
          <w:szCs w:val="28"/>
        </w:rPr>
        <w:t xml:space="preserve"> ниже значения 2013 года и на 0,25 </w:t>
      </w:r>
      <w:r w:rsidRPr="004325F3">
        <w:rPr>
          <w:sz w:val="28"/>
          <w:szCs w:val="28"/>
        </w:rPr>
        <w:t>тыс. человек</w:t>
      </w:r>
      <w:r>
        <w:rPr>
          <w:sz w:val="28"/>
          <w:szCs w:val="28"/>
        </w:rPr>
        <w:t xml:space="preserve"> ниже значения 2014 года.</w:t>
      </w:r>
    </w:p>
    <w:p w:rsidR="00554774" w:rsidRPr="004325F3" w:rsidRDefault="00554774" w:rsidP="00554774">
      <w:pPr>
        <w:contextualSpacing/>
        <w:rPr>
          <w:sz w:val="28"/>
          <w:szCs w:val="28"/>
        </w:rPr>
      </w:pPr>
      <w:r w:rsidRPr="004325F3">
        <w:rPr>
          <w:sz w:val="28"/>
          <w:szCs w:val="28"/>
        </w:rPr>
        <w:t>Среднегодовая численность постоянного населения Новолялинско</w:t>
      </w:r>
      <w:r w:rsidR="002E2D92">
        <w:rPr>
          <w:sz w:val="28"/>
          <w:szCs w:val="28"/>
        </w:rPr>
        <w:t xml:space="preserve">го городского округа по данным </w:t>
      </w:r>
      <w:r w:rsidRPr="004325F3">
        <w:rPr>
          <w:sz w:val="28"/>
          <w:szCs w:val="28"/>
        </w:rPr>
        <w:t>Территориально</w:t>
      </w:r>
      <w:r w:rsidR="002E2D92">
        <w:rPr>
          <w:sz w:val="28"/>
          <w:szCs w:val="28"/>
        </w:rPr>
        <w:t xml:space="preserve">го органа Федеральной </w:t>
      </w:r>
      <w:r>
        <w:rPr>
          <w:sz w:val="28"/>
          <w:szCs w:val="28"/>
        </w:rPr>
        <w:t xml:space="preserve">службы </w:t>
      </w:r>
      <w:r w:rsidRPr="004325F3">
        <w:rPr>
          <w:sz w:val="28"/>
          <w:szCs w:val="28"/>
        </w:rPr>
        <w:t xml:space="preserve">Государственной статистики по Свердловской области </w:t>
      </w:r>
      <w:r w:rsidR="0065324A">
        <w:rPr>
          <w:sz w:val="28"/>
          <w:szCs w:val="28"/>
        </w:rPr>
        <w:t>на 01.01.2017</w:t>
      </w:r>
      <w:r w:rsidRPr="004325F3">
        <w:rPr>
          <w:sz w:val="28"/>
          <w:szCs w:val="28"/>
        </w:rPr>
        <w:t xml:space="preserve"> год</w:t>
      </w:r>
      <w:r w:rsidR="0065324A">
        <w:rPr>
          <w:sz w:val="28"/>
          <w:szCs w:val="28"/>
        </w:rPr>
        <w:t>а</w:t>
      </w:r>
      <w:r w:rsidRPr="004325F3">
        <w:rPr>
          <w:sz w:val="28"/>
          <w:szCs w:val="28"/>
        </w:rPr>
        <w:t xml:space="preserve"> составила </w:t>
      </w:r>
      <w:r w:rsidR="0065324A">
        <w:rPr>
          <w:sz w:val="28"/>
          <w:szCs w:val="28"/>
        </w:rPr>
        <w:t>21832</w:t>
      </w:r>
      <w:r w:rsidRPr="004325F3">
        <w:rPr>
          <w:sz w:val="28"/>
          <w:szCs w:val="28"/>
        </w:rPr>
        <w:t xml:space="preserve"> человек</w:t>
      </w:r>
      <w:r w:rsidR="0065324A">
        <w:rPr>
          <w:sz w:val="28"/>
          <w:szCs w:val="28"/>
        </w:rPr>
        <w:t>а, что ниже показателя 2015 года на 158 человек</w:t>
      </w:r>
      <w:r w:rsidRPr="004325F3">
        <w:rPr>
          <w:sz w:val="28"/>
          <w:szCs w:val="28"/>
        </w:rPr>
        <w:t xml:space="preserve">, численность населения в городском округе постоянно </w:t>
      </w:r>
      <w:r w:rsidR="002E2D92">
        <w:rPr>
          <w:sz w:val="28"/>
          <w:szCs w:val="28"/>
        </w:rPr>
        <w:t xml:space="preserve">снижается. Причинами </w:t>
      </w:r>
      <w:r>
        <w:rPr>
          <w:sz w:val="28"/>
          <w:szCs w:val="28"/>
        </w:rPr>
        <w:t xml:space="preserve">снижения </w:t>
      </w:r>
      <w:r w:rsidRPr="004325F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старение населения, прекращение деятельности крупных</w:t>
      </w:r>
      <w:r w:rsidRPr="004325F3">
        <w:rPr>
          <w:sz w:val="28"/>
          <w:szCs w:val="28"/>
        </w:rPr>
        <w:t xml:space="preserve"> предприятий</w:t>
      </w:r>
      <w:r>
        <w:rPr>
          <w:sz w:val="28"/>
          <w:szCs w:val="28"/>
        </w:rPr>
        <w:t xml:space="preserve">, </w:t>
      </w:r>
      <w:r w:rsidRPr="004325F3">
        <w:rPr>
          <w:sz w:val="28"/>
          <w:szCs w:val="28"/>
        </w:rPr>
        <w:t>низки</w:t>
      </w:r>
      <w:r w:rsidR="008E51A4">
        <w:rPr>
          <w:sz w:val="28"/>
          <w:szCs w:val="28"/>
        </w:rPr>
        <w:t xml:space="preserve">й уровень </w:t>
      </w:r>
      <w:r>
        <w:rPr>
          <w:sz w:val="28"/>
          <w:szCs w:val="28"/>
        </w:rPr>
        <w:t>заработной платы</w:t>
      </w:r>
      <w:r w:rsidRPr="004325F3">
        <w:rPr>
          <w:sz w:val="28"/>
          <w:szCs w:val="28"/>
        </w:rPr>
        <w:t>.</w:t>
      </w:r>
    </w:p>
    <w:p w:rsidR="00554774" w:rsidRPr="004325F3" w:rsidRDefault="00554774" w:rsidP="00554774">
      <w:pPr>
        <w:contextualSpacing/>
        <w:rPr>
          <w:b/>
          <w:sz w:val="28"/>
          <w:szCs w:val="28"/>
        </w:rPr>
      </w:pPr>
    </w:p>
    <w:p w:rsidR="00554774" w:rsidRPr="004325F3" w:rsidRDefault="00554774" w:rsidP="00554774">
      <w:pPr>
        <w:contextualSpacing/>
        <w:jc w:val="center"/>
        <w:rPr>
          <w:b/>
          <w:bCs/>
          <w:sz w:val="28"/>
          <w:szCs w:val="28"/>
        </w:rPr>
      </w:pPr>
      <w:r w:rsidRPr="004325F3">
        <w:rPr>
          <w:b/>
          <w:bCs/>
          <w:sz w:val="28"/>
          <w:szCs w:val="28"/>
        </w:rPr>
        <w:lastRenderedPageBreak/>
        <w:t>Энергосбережение и повышение энергетической эффективности</w:t>
      </w:r>
    </w:p>
    <w:p w:rsidR="00554774" w:rsidRPr="004325F3" w:rsidRDefault="00554774" w:rsidP="00554774">
      <w:pPr>
        <w:contextualSpacing/>
        <w:rPr>
          <w:sz w:val="28"/>
          <w:szCs w:val="28"/>
        </w:rPr>
      </w:pPr>
    </w:p>
    <w:p w:rsidR="00554774" w:rsidRPr="005C747F" w:rsidRDefault="00554774" w:rsidP="00554774">
      <w:pPr>
        <w:contextualSpacing/>
        <w:rPr>
          <w:sz w:val="28"/>
          <w:szCs w:val="28"/>
        </w:rPr>
      </w:pPr>
      <w:r>
        <w:rPr>
          <w:sz w:val="28"/>
          <w:szCs w:val="28"/>
        </w:rPr>
        <w:t>41</w:t>
      </w:r>
      <w:r w:rsidRPr="005C747F">
        <w:rPr>
          <w:sz w:val="28"/>
          <w:szCs w:val="28"/>
        </w:rPr>
        <w:t>. Удельная величина потребления энергетических ресурсов в многоквартирных домах по Новоляли</w:t>
      </w:r>
      <w:r>
        <w:rPr>
          <w:sz w:val="28"/>
          <w:szCs w:val="28"/>
        </w:rPr>
        <w:t>нскому городскому округу за 201</w:t>
      </w:r>
      <w:r w:rsidR="0065324A">
        <w:rPr>
          <w:sz w:val="28"/>
          <w:szCs w:val="28"/>
        </w:rPr>
        <w:t>6</w:t>
      </w:r>
      <w:r w:rsidRPr="005C747F">
        <w:rPr>
          <w:sz w:val="28"/>
          <w:szCs w:val="28"/>
        </w:rPr>
        <w:t xml:space="preserve"> год составила:</w:t>
      </w:r>
    </w:p>
    <w:p w:rsidR="00554774" w:rsidRPr="005C747F" w:rsidRDefault="00554774" w:rsidP="00554774">
      <w:pPr>
        <w:contextualSpacing/>
        <w:rPr>
          <w:sz w:val="28"/>
          <w:szCs w:val="28"/>
        </w:rPr>
      </w:pPr>
      <w:r w:rsidRPr="005C747F">
        <w:rPr>
          <w:sz w:val="28"/>
          <w:szCs w:val="28"/>
        </w:rPr>
        <w:t xml:space="preserve">электрическая энергия </w:t>
      </w:r>
      <w:r>
        <w:rPr>
          <w:sz w:val="28"/>
          <w:szCs w:val="28"/>
        </w:rPr>
        <w:t>107</w:t>
      </w:r>
      <w:r w:rsidR="0065324A">
        <w:rPr>
          <w:sz w:val="28"/>
          <w:szCs w:val="28"/>
        </w:rPr>
        <w:t>4,10</w:t>
      </w:r>
      <w:r w:rsidRPr="005C747F">
        <w:rPr>
          <w:sz w:val="28"/>
          <w:szCs w:val="28"/>
        </w:rPr>
        <w:t xml:space="preserve"> кВт/ч на 1 проживающего;</w:t>
      </w:r>
    </w:p>
    <w:p w:rsidR="00554774" w:rsidRPr="005C747F" w:rsidRDefault="00554774" w:rsidP="00554774">
      <w:pPr>
        <w:contextualSpacing/>
        <w:rPr>
          <w:sz w:val="28"/>
          <w:szCs w:val="28"/>
        </w:rPr>
      </w:pPr>
      <w:r w:rsidRPr="005C747F">
        <w:rPr>
          <w:sz w:val="28"/>
          <w:szCs w:val="28"/>
        </w:rPr>
        <w:t>тепловая энергия 0,2</w:t>
      </w:r>
      <w:r w:rsidR="0065324A">
        <w:rPr>
          <w:sz w:val="28"/>
          <w:szCs w:val="28"/>
        </w:rPr>
        <w:t>5</w:t>
      </w:r>
      <w:r w:rsidRPr="005C747F">
        <w:rPr>
          <w:sz w:val="28"/>
          <w:szCs w:val="28"/>
        </w:rPr>
        <w:t xml:space="preserve"> Гкал на 1 кв.метр общей площади;</w:t>
      </w:r>
    </w:p>
    <w:p w:rsidR="00554774" w:rsidRPr="005C747F" w:rsidRDefault="00554774" w:rsidP="00554774">
      <w:pPr>
        <w:contextualSpacing/>
        <w:rPr>
          <w:sz w:val="28"/>
          <w:szCs w:val="28"/>
        </w:rPr>
      </w:pPr>
      <w:r w:rsidRPr="005C747F">
        <w:rPr>
          <w:sz w:val="28"/>
          <w:szCs w:val="28"/>
        </w:rPr>
        <w:t xml:space="preserve">горячая вода </w:t>
      </w:r>
      <w:r w:rsidR="00E04284">
        <w:rPr>
          <w:sz w:val="28"/>
          <w:szCs w:val="28"/>
        </w:rPr>
        <w:t>33,84</w:t>
      </w:r>
      <w:r w:rsidRPr="005C747F">
        <w:rPr>
          <w:sz w:val="28"/>
          <w:szCs w:val="28"/>
        </w:rPr>
        <w:t xml:space="preserve"> куб.метров на 1 проживающего;</w:t>
      </w:r>
    </w:p>
    <w:p w:rsidR="00554774" w:rsidRPr="005C747F" w:rsidRDefault="00554774" w:rsidP="00554774">
      <w:pPr>
        <w:contextualSpacing/>
        <w:rPr>
          <w:sz w:val="28"/>
          <w:szCs w:val="28"/>
        </w:rPr>
      </w:pPr>
      <w:r w:rsidRPr="005C747F">
        <w:rPr>
          <w:sz w:val="28"/>
          <w:szCs w:val="28"/>
        </w:rPr>
        <w:t xml:space="preserve">холодная вода </w:t>
      </w:r>
      <w:r w:rsidR="00E04284">
        <w:rPr>
          <w:sz w:val="28"/>
          <w:szCs w:val="28"/>
        </w:rPr>
        <w:t>30,24</w:t>
      </w:r>
      <w:r w:rsidRPr="005C747F">
        <w:rPr>
          <w:sz w:val="28"/>
          <w:szCs w:val="28"/>
        </w:rPr>
        <w:t xml:space="preserve"> куб.метров на 1 проживающего.</w:t>
      </w:r>
    </w:p>
    <w:p w:rsidR="00554774" w:rsidRPr="005C747F" w:rsidRDefault="00554774" w:rsidP="00554774">
      <w:pPr>
        <w:contextualSpacing/>
        <w:rPr>
          <w:sz w:val="28"/>
          <w:szCs w:val="28"/>
        </w:rPr>
      </w:pPr>
      <w:r w:rsidRPr="005C747F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5C747F">
        <w:rPr>
          <w:sz w:val="28"/>
          <w:szCs w:val="28"/>
        </w:rPr>
        <w:t>. Удельная величина потребления энергетических ресурсов муниципальными бюджетными учреждениями Новолялинского городского округа за 201</w:t>
      </w:r>
      <w:r w:rsidR="00E04284">
        <w:rPr>
          <w:sz w:val="28"/>
          <w:szCs w:val="28"/>
        </w:rPr>
        <w:t>6</w:t>
      </w:r>
      <w:r w:rsidRPr="005C747F">
        <w:rPr>
          <w:sz w:val="28"/>
          <w:szCs w:val="28"/>
        </w:rPr>
        <w:t xml:space="preserve"> год составила:</w:t>
      </w:r>
    </w:p>
    <w:p w:rsidR="00554774" w:rsidRPr="005C747F" w:rsidRDefault="00554774" w:rsidP="00554774">
      <w:pPr>
        <w:contextualSpacing/>
        <w:rPr>
          <w:sz w:val="28"/>
          <w:szCs w:val="28"/>
        </w:rPr>
      </w:pPr>
      <w:r w:rsidRPr="005C747F">
        <w:rPr>
          <w:sz w:val="28"/>
          <w:szCs w:val="28"/>
        </w:rPr>
        <w:t xml:space="preserve">электрическая энергия </w:t>
      </w:r>
      <w:r w:rsidR="00E04284">
        <w:rPr>
          <w:sz w:val="28"/>
          <w:szCs w:val="28"/>
        </w:rPr>
        <w:t>164,2</w:t>
      </w:r>
      <w:r w:rsidRPr="005C747F">
        <w:rPr>
          <w:sz w:val="28"/>
          <w:szCs w:val="28"/>
        </w:rPr>
        <w:t xml:space="preserve"> кВт/ч на 1 человека населения;</w:t>
      </w:r>
    </w:p>
    <w:p w:rsidR="00554774" w:rsidRPr="005C747F" w:rsidRDefault="00554774" w:rsidP="00554774">
      <w:pPr>
        <w:contextualSpacing/>
        <w:rPr>
          <w:sz w:val="28"/>
          <w:szCs w:val="28"/>
        </w:rPr>
      </w:pPr>
      <w:r w:rsidRPr="005C747F">
        <w:rPr>
          <w:sz w:val="28"/>
          <w:szCs w:val="28"/>
        </w:rPr>
        <w:t>тепловая энергия 0,2</w:t>
      </w:r>
      <w:r w:rsidR="00E04284">
        <w:rPr>
          <w:sz w:val="28"/>
          <w:szCs w:val="28"/>
        </w:rPr>
        <w:t>2</w:t>
      </w:r>
      <w:r w:rsidRPr="005C747F">
        <w:rPr>
          <w:sz w:val="28"/>
          <w:szCs w:val="28"/>
        </w:rPr>
        <w:t xml:space="preserve"> Гкал на 1 кв.метр общей площади;</w:t>
      </w:r>
    </w:p>
    <w:p w:rsidR="00554774" w:rsidRPr="005C747F" w:rsidRDefault="00554774" w:rsidP="00554774">
      <w:pPr>
        <w:contextualSpacing/>
        <w:rPr>
          <w:sz w:val="28"/>
          <w:szCs w:val="28"/>
        </w:rPr>
      </w:pPr>
      <w:r w:rsidRPr="005C747F">
        <w:rPr>
          <w:sz w:val="28"/>
          <w:szCs w:val="28"/>
        </w:rPr>
        <w:t>горячая вода 0,</w:t>
      </w:r>
      <w:r>
        <w:rPr>
          <w:sz w:val="28"/>
          <w:szCs w:val="28"/>
        </w:rPr>
        <w:t>0</w:t>
      </w:r>
      <w:r w:rsidR="00E0428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C747F">
        <w:rPr>
          <w:sz w:val="28"/>
          <w:szCs w:val="28"/>
        </w:rPr>
        <w:t>куб.метров на 1 человека населения;</w:t>
      </w:r>
    </w:p>
    <w:p w:rsidR="00554774" w:rsidRDefault="00554774" w:rsidP="00554774">
      <w:pPr>
        <w:contextualSpacing/>
        <w:rPr>
          <w:sz w:val="28"/>
          <w:szCs w:val="28"/>
        </w:rPr>
      </w:pPr>
      <w:r w:rsidRPr="005C747F">
        <w:rPr>
          <w:sz w:val="28"/>
          <w:szCs w:val="28"/>
        </w:rPr>
        <w:t xml:space="preserve">холодная вода </w:t>
      </w:r>
      <w:r>
        <w:rPr>
          <w:sz w:val="28"/>
          <w:szCs w:val="28"/>
        </w:rPr>
        <w:t>1</w:t>
      </w:r>
      <w:r w:rsidRPr="005C747F">
        <w:rPr>
          <w:sz w:val="28"/>
          <w:szCs w:val="28"/>
        </w:rPr>
        <w:t>,</w:t>
      </w:r>
      <w:r w:rsidR="00E04284">
        <w:rPr>
          <w:sz w:val="28"/>
          <w:szCs w:val="28"/>
        </w:rPr>
        <w:t>22</w:t>
      </w:r>
      <w:r w:rsidRPr="005C747F">
        <w:rPr>
          <w:sz w:val="28"/>
          <w:szCs w:val="28"/>
        </w:rPr>
        <w:t xml:space="preserve"> куб куб.метров на 1 человека населения.</w:t>
      </w:r>
    </w:p>
    <w:p w:rsidR="00997270" w:rsidRPr="00B6281F" w:rsidRDefault="006C16F8" w:rsidP="0099727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FD7226">
        <w:rPr>
          <w:sz w:val="28"/>
          <w:szCs w:val="28"/>
        </w:rPr>
        <w:t>муниципальной программы</w:t>
      </w:r>
      <w:r w:rsidR="00554774" w:rsidRPr="006A6BDC">
        <w:rPr>
          <w:sz w:val="28"/>
          <w:szCs w:val="28"/>
        </w:rPr>
        <w:t xml:space="preserve"> «Развитие жилищно-коммунального хозяйства и повышение энергетической эффективности Новолялинского городского округа до 2020</w:t>
      </w:r>
      <w:r w:rsidR="00554774">
        <w:rPr>
          <w:sz w:val="28"/>
          <w:szCs w:val="28"/>
        </w:rPr>
        <w:t xml:space="preserve"> года</w:t>
      </w:r>
      <w:r w:rsidR="00554774" w:rsidRPr="006A6BDC">
        <w:rPr>
          <w:sz w:val="28"/>
          <w:szCs w:val="28"/>
        </w:rPr>
        <w:t>» (утверждена постановлением главы Новолялинского городского округа от 21.07.2014</w:t>
      </w:r>
      <w:r w:rsidR="00554774">
        <w:rPr>
          <w:sz w:val="28"/>
          <w:szCs w:val="28"/>
        </w:rPr>
        <w:t xml:space="preserve"> </w:t>
      </w:r>
      <w:r w:rsidR="00554774" w:rsidRPr="006A6BDC">
        <w:rPr>
          <w:sz w:val="28"/>
          <w:szCs w:val="28"/>
        </w:rPr>
        <w:t>года</w:t>
      </w:r>
      <w:r w:rsidR="00FD7226">
        <w:rPr>
          <w:sz w:val="28"/>
          <w:szCs w:val="28"/>
        </w:rPr>
        <w:t xml:space="preserve"> №818) </w:t>
      </w:r>
      <w:r w:rsidR="00997270" w:rsidRPr="00B6281F">
        <w:rPr>
          <w:sz w:val="28"/>
          <w:szCs w:val="28"/>
        </w:rPr>
        <w:t>за счет средств областного и местного бюджетов начаты строительные работы по объекту:</w:t>
      </w:r>
      <w:r w:rsidR="00997270" w:rsidRPr="00B6281F">
        <w:rPr>
          <w:sz w:val="28"/>
          <w:szCs w:val="28"/>
          <w:lang w:eastAsia="ar-SA"/>
        </w:rPr>
        <w:t xml:space="preserve"> Газопровод высокого и низкого давления с установкой ГРПБ-7, ГРПБ-15, ГРПБ-16, ГРПБ-17, ГРПБ-18 в г. Новая Ляля»</w:t>
      </w:r>
      <w:r w:rsidR="008E51A4">
        <w:rPr>
          <w:sz w:val="28"/>
          <w:szCs w:val="28"/>
        </w:rPr>
        <w:t>. Освоено 3,2 млн. рублей.</w:t>
      </w:r>
    </w:p>
    <w:p w:rsidR="00997270" w:rsidRPr="00B6281F" w:rsidRDefault="00997270" w:rsidP="00997270">
      <w:pPr>
        <w:rPr>
          <w:sz w:val="28"/>
          <w:szCs w:val="28"/>
        </w:rPr>
      </w:pPr>
      <w:r w:rsidRPr="00B6281F">
        <w:rPr>
          <w:sz w:val="28"/>
          <w:szCs w:val="28"/>
        </w:rPr>
        <w:t>Завершено строительство и введены в эксплуата</w:t>
      </w:r>
      <w:r w:rsidR="008E51A4">
        <w:rPr>
          <w:sz w:val="28"/>
          <w:szCs w:val="28"/>
        </w:rPr>
        <w:t xml:space="preserve">цию газопроводы по </w:t>
      </w:r>
      <w:r w:rsidRPr="00B6281F">
        <w:rPr>
          <w:sz w:val="28"/>
          <w:szCs w:val="28"/>
        </w:rPr>
        <w:t xml:space="preserve">улицам Энгельса, Уральская, Труда, Кима, Рабочая в г. Новая Ляля, общей протяженностью 2,1 км. На 01.01.2017 г. 6 домов подключены к природному газу, работа по подключению продолжается. </w:t>
      </w:r>
    </w:p>
    <w:p w:rsidR="00997270" w:rsidRPr="00B6281F" w:rsidRDefault="00997270" w:rsidP="00997270">
      <w:pPr>
        <w:rPr>
          <w:sz w:val="28"/>
          <w:szCs w:val="28"/>
        </w:rPr>
      </w:pPr>
      <w:r w:rsidRPr="00B6281F">
        <w:rPr>
          <w:sz w:val="28"/>
          <w:szCs w:val="28"/>
        </w:rPr>
        <w:t>На постоянной основе осуществляется капитальный ремонт муниципального жилищного фонда городского округа: замена кровли, ремонт отопительных печей, замена инженерных сетей и ремонт жилых помещений в специализированном жилищном фонде. Количество помещений, в которых произведен ремонт, составило: 12 ед. в г. Новая Ляля и 4 ед. в п. Лобва. Общая площадь отремонтированных домов составила 3260 кв.м., затраты местного бюджета составили 1,9 млн. рублей.</w:t>
      </w:r>
    </w:p>
    <w:p w:rsidR="00997270" w:rsidRPr="00B6281F" w:rsidRDefault="00997270" w:rsidP="00997270">
      <w:pPr>
        <w:rPr>
          <w:sz w:val="28"/>
          <w:szCs w:val="28"/>
        </w:rPr>
      </w:pPr>
      <w:r w:rsidRPr="00B6281F">
        <w:rPr>
          <w:sz w:val="28"/>
          <w:szCs w:val="28"/>
        </w:rPr>
        <w:t>В рамкам реализации региональной программы капитального ремонта общего имущества многоквартирных домов на территории округа произведен капитальный ремонт 6 многоквартирных домов, из них в г. Новая Ляля: ул. Республики № 7А, 9А, 15, ул.Заводская 28  и п. Лобв: ул.Ленина № 51,53, ул.Школьная № 1,3,5. Общие  затраты регионального фонда в 2016г. составили 13,4 млн. рублей, план 2016 г. выполнен в полном объеме.</w:t>
      </w:r>
    </w:p>
    <w:p w:rsidR="00554774" w:rsidRPr="006A6BDC" w:rsidRDefault="00554774" w:rsidP="00554774">
      <w:pPr>
        <w:contextualSpacing/>
        <w:rPr>
          <w:sz w:val="28"/>
          <w:szCs w:val="28"/>
        </w:rPr>
      </w:pPr>
    </w:p>
    <w:p w:rsidR="00951EA8" w:rsidRDefault="00951EA8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951EA8" w:rsidRDefault="00951EA8" w:rsidP="00951EA8">
      <w:pPr>
        <w:widowControl/>
        <w:autoSpaceDE/>
        <w:autoSpaceDN/>
        <w:adjustRightInd/>
        <w:ind w:firstLine="0"/>
        <w:jc w:val="left"/>
        <w:rPr>
          <w:rFonts w:ascii="Calibri" w:hAnsi="Calibri"/>
          <w:color w:val="000000"/>
          <w:sz w:val="22"/>
          <w:szCs w:val="22"/>
        </w:rPr>
        <w:sectPr w:rsidR="00951EA8" w:rsidSect="009D35A9">
          <w:footerReference w:type="even" r:id="rId10"/>
          <w:footerReference w:type="default" r:id="rId11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516"/>
        <w:gridCol w:w="4208"/>
        <w:gridCol w:w="1387"/>
        <w:gridCol w:w="1406"/>
        <w:gridCol w:w="1116"/>
        <w:gridCol w:w="1116"/>
        <w:gridCol w:w="1116"/>
        <w:gridCol w:w="1116"/>
        <w:gridCol w:w="1116"/>
        <w:gridCol w:w="1116"/>
        <w:gridCol w:w="1395"/>
      </w:tblGrid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0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51EA8">
              <w:rPr>
                <w:color w:val="000000"/>
                <w:sz w:val="28"/>
                <w:szCs w:val="28"/>
              </w:rPr>
              <w:t>Показатели эффективности деятельности органов местного самоуправления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951EA8" w:rsidRPr="00951EA8" w:rsidTr="00951EA8">
        <w:trPr>
          <w:trHeight w:val="20"/>
        </w:trPr>
        <w:tc>
          <w:tcPr>
            <w:tcW w:w="4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Отчетная информация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Примечание</w:t>
            </w:r>
          </w:p>
        </w:tc>
      </w:tr>
      <w:tr w:rsidR="00951EA8" w:rsidRPr="00951EA8" w:rsidTr="00951EA8">
        <w:trPr>
          <w:trHeight w:val="20"/>
        </w:trPr>
        <w:tc>
          <w:tcPr>
            <w:tcW w:w="4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2013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2014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2015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2018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2019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14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1EA8">
              <w:rPr>
                <w:b/>
                <w:bCs/>
                <w:sz w:val="24"/>
                <w:szCs w:val="24"/>
              </w:rPr>
              <w:t>Экономическое развитие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 xml:space="preserve">Число субъектов малого и среднего предпринимательства в расчете </w:t>
            </w:r>
            <w:r w:rsidRPr="00951EA8">
              <w:rPr>
                <w:sz w:val="24"/>
                <w:szCs w:val="24"/>
              </w:rPr>
              <w:br/>
              <w:t>на 10 тыс. человек населения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единиц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185,28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192,04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189,20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189,20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191,00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193,00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195,00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 xml:space="preserve"> 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14,70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14,70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16,20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 xml:space="preserve">Объем инвестиций в основной капитал </w:t>
            </w:r>
            <w:r w:rsidRPr="00951EA8">
              <w:rPr>
                <w:sz w:val="24"/>
                <w:szCs w:val="24"/>
              </w:rPr>
              <w:br/>
              <w:t xml:space="preserve">(за исключением бюджетных средств) </w:t>
            </w:r>
            <w:r w:rsidRPr="00951EA8">
              <w:rPr>
                <w:sz w:val="24"/>
                <w:szCs w:val="24"/>
              </w:rPr>
              <w:br/>
              <w:t>в расчете на 1 жителя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рублей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711,00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399,00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403,00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635,00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647,70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660,70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667,30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4.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65,30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5.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</w:t>
            </w:r>
            <w:r w:rsidRPr="00951EA8">
              <w:rPr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99,40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98,60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98,60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1,35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1,35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8.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рублей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крупных и средних предприятий и некоммерческих организаций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19571,50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21093,60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22085,20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23245,00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24407,00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25628,00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26909,00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муниципальных дошкольных образовательных учреждений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15778,90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16862,40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18883,20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19713,90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20126,00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20320,00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20526,00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муниципальных общеобразовательных учреждений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25878,80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26966,70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26845,40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26954,40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27056,00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27456,00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27856,00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учителей муниципальных общеобразовательных учреждений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33809,00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32809,00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33139,00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32867,50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33148,00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33548,00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33948,00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муниципальных учреждений культуры и искусства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16184,60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20514,70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24006,70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23591,50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28543,00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28543,00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28543,00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муниципальных учреждений физической культуры и спорта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10790,13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12149,50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12364,40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14652,86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15385,50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16154,78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16962,50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51EA8">
              <w:rPr>
                <w:b/>
                <w:bCs/>
                <w:sz w:val="24"/>
                <w:szCs w:val="24"/>
              </w:rPr>
              <w:t>Дошкольное образование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9.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76,30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77,30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 xml:space="preserve">Доля детей в возрасте 1 - 6 лет, </w:t>
            </w:r>
            <w:r w:rsidRPr="00951EA8">
              <w:rPr>
                <w:sz w:val="24"/>
                <w:szCs w:val="24"/>
              </w:rPr>
              <w:lastRenderedPageBreak/>
              <w:t>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14,30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14,30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7,14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7,14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14,30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14,30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14,30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Общее и дополнительное образование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12.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99,30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99,20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13.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14.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73,00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36,00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36,36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36,36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45,45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18,18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9,09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9,09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16.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 xml:space="preserve">Доля детей первой и второй групп здоровья </w:t>
            </w:r>
            <w:r w:rsidRPr="00951EA8">
              <w:rPr>
                <w:sz w:val="24"/>
                <w:szCs w:val="24"/>
              </w:rPr>
              <w:br/>
              <w:t>в общей численности обучающихся в муниципальных общеобразовательных учреждениях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77,80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78,20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80,20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80,30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80,20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80,20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80,20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17.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4,15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1,95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4,34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4,23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4,23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4,23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4,23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18.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тыс. руб.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88,10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88,80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89,20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93,29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94,89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94,89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94,89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19.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 xml:space="preserve">Доля детей в возрасте 5 - 18 лет, </w:t>
            </w:r>
            <w:r w:rsidRPr="00951EA8">
              <w:rPr>
                <w:sz w:val="24"/>
                <w:szCs w:val="24"/>
              </w:rPr>
              <w:br/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Культура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20.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 xml:space="preserve">Уровень фактической обеспеченности учреждениями культуры от </w:t>
            </w:r>
            <w:r w:rsidRPr="00951EA8">
              <w:rPr>
                <w:sz w:val="24"/>
                <w:szCs w:val="24"/>
              </w:rPr>
              <w:lastRenderedPageBreak/>
              <w:t>нормативной потребности: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клубами и учреждениями клубного типа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66,70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66,70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66,70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66,70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библиотеками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77,80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77,80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77,80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77,80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парками культуры и отдыха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21.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21,05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15,79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42,10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11,77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11,77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11,77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22.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23.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23,82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27,30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33,26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36,64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37,00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24.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кв. метров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23,40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23,90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24,36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24,90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25,33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26,10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26,36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в том числе</w:t>
            </w:r>
            <w:r w:rsidRPr="00951EA8">
              <w:rPr>
                <w:sz w:val="24"/>
                <w:szCs w:val="24"/>
              </w:rPr>
              <w:br/>
              <w:t>введенная в действие за один год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25.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гектар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5,90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12,60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5,81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в том числе</w:t>
            </w:r>
            <w:r w:rsidRPr="00951EA8">
              <w:rPr>
                <w:sz w:val="24"/>
                <w:szCs w:val="24"/>
              </w:rPr>
              <w:br/>
              <w:t xml:space="preserve">земельных участков, предоставленных </w:t>
            </w:r>
            <w:r w:rsidRPr="00951EA8">
              <w:rPr>
                <w:sz w:val="24"/>
                <w:szCs w:val="24"/>
              </w:rPr>
              <w:lastRenderedPageBreak/>
              <w:t>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lastRenderedPageBreak/>
              <w:t>кв. метров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4,54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4,45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1,70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кв. метров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 xml:space="preserve">объектов жилищного строительства - </w:t>
            </w:r>
            <w:r w:rsidRPr="00951EA8">
              <w:rPr>
                <w:sz w:val="24"/>
                <w:szCs w:val="24"/>
              </w:rPr>
              <w:br/>
              <w:t>в течение 3 лет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кв. метров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иных объектов капитального строительства - в течение 5 лет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кв. метров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Жилищно-коммунальное хозяйство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27.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98,00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28.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 xml:space="preserve"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</w:t>
            </w:r>
            <w:r w:rsidRPr="00951EA8">
              <w:rPr>
                <w:sz w:val="24"/>
                <w:szCs w:val="24"/>
              </w:rPr>
              <w:lastRenderedPageBreak/>
              <w:t xml:space="preserve">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32,39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33,00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33,00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30.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1,52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6,14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10,89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22,55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6,50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Организация муниципального управления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31.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15,39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11,61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21,91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22,18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22,62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5,20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4,20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5,07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9,80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9,80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9,80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33.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41405,90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7506,00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34.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35.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рублей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1565,05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1685,11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2220,15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3244,72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2083,90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2190,00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2230,00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36.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да/нет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37.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 xml:space="preserve">Удовлетворенность населения </w:t>
            </w:r>
            <w:r w:rsidRPr="00951EA8">
              <w:rPr>
                <w:sz w:val="24"/>
                <w:szCs w:val="24"/>
              </w:rPr>
              <w:br/>
              <w:t>орган6изацией  транспортного  обслужитвания в муниицпальном  образовании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99,30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99,30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99,30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99,30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Удовлетворенность населения качеством  автомобильных дорог в муниципальном  образовании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85,71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39.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Удовлетворенность населения жилищно - коммунальными услугами, уровень организации теплоснабжения (снабжение населения топливом), водоснабжения, водоотведения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процентов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40,00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86,70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62,50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80,00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90,00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40.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Среднегодовая численность постоянного населения, электроснабжения, газоснабжения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тыс. чел.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22,56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22,24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21,99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21,80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21,79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21,61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21,58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15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41.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кв/ч на 1 проживающего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698,06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725,70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1078,46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1074,10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1063,40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1052,70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1042,20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гкал на 1 кв.метр общ. Площади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горячая вода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51EA8">
              <w:rPr>
                <w:color w:val="000000"/>
                <w:sz w:val="24"/>
                <w:szCs w:val="24"/>
              </w:rPr>
              <w:t>куб. метров на 1 проживающего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32,39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24,21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34,54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33,84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33,20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32,80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куб. метров на 1 проживающего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32,56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34,47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30,24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29,94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29,63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29,34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42.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 xml:space="preserve">Удельная величина потребления </w:t>
            </w:r>
            <w:r w:rsidRPr="00951EA8">
              <w:rPr>
                <w:sz w:val="24"/>
                <w:szCs w:val="24"/>
              </w:rPr>
              <w:lastRenderedPageBreak/>
              <w:t>энергетических ресурсов муниципальными бюджетными учреждениями: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кв/ч на 1 проживающего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171,80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166,80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167,00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164,20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162,60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160,80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157,80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гкал на 1 кв.метр общ. Площади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0,21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0,20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0,22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0,21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0,21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0,21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горячая вода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51EA8">
              <w:rPr>
                <w:color w:val="000000"/>
                <w:sz w:val="24"/>
                <w:szCs w:val="24"/>
              </w:rPr>
              <w:t>куб. метров на 1 проживающего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куб. метров на 1 проживающего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1,58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1,34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1,22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  <w:tr w:rsidR="00951EA8" w:rsidRPr="00951EA8" w:rsidTr="00951EA8">
        <w:trPr>
          <w:trHeight w:val="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EA8" w:rsidRPr="00951EA8" w:rsidRDefault="00951EA8" w:rsidP="00951EA8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951EA8">
              <w:rPr>
                <w:sz w:val="24"/>
                <w:szCs w:val="24"/>
              </w:rPr>
              <w:t> </w:t>
            </w:r>
          </w:p>
        </w:tc>
      </w:tr>
    </w:tbl>
    <w:p w:rsidR="00DF03A1" w:rsidRPr="00951EA8" w:rsidRDefault="00DF03A1" w:rsidP="00951EA8">
      <w:pPr>
        <w:ind w:firstLine="0"/>
        <w:rPr>
          <w:lang w:val="en-US"/>
        </w:rPr>
      </w:pPr>
    </w:p>
    <w:sectPr w:rsidR="00DF03A1" w:rsidRPr="00951EA8" w:rsidSect="00951EA8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BEA" w:rsidRDefault="001F2BEA" w:rsidP="00A81E9B">
      <w:r>
        <w:separator/>
      </w:r>
    </w:p>
  </w:endnote>
  <w:endnote w:type="continuationSeparator" w:id="1">
    <w:p w:rsidR="001F2BEA" w:rsidRDefault="001F2BEA" w:rsidP="00A81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C9" w:rsidRDefault="00D94AD6" w:rsidP="00B035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31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5C9" w:rsidRDefault="001F2BEA" w:rsidP="00DE3E0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C9" w:rsidRDefault="00D94AD6" w:rsidP="00B035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31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41CE">
      <w:rPr>
        <w:rStyle w:val="a5"/>
        <w:noProof/>
      </w:rPr>
      <w:t>22</w:t>
    </w:r>
    <w:r>
      <w:rPr>
        <w:rStyle w:val="a5"/>
      </w:rPr>
      <w:fldChar w:fldCharType="end"/>
    </w:r>
  </w:p>
  <w:p w:rsidR="00C345C9" w:rsidRDefault="001F2BEA" w:rsidP="00DE3E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BEA" w:rsidRDefault="001F2BEA" w:rsidP="00A81E9B">
      <w:r>
        <w:separator/>
      </w:r>
    </w:p>
  </w:footnote>
  <w:footnote w:type="continuationSeparator" w:id="1">
    <w:p w:rsidR="001F2BEA" w:rsidRDefault="001F2BEA" w:rsidP="00A81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53691"/>
    <w:multiLevelType w:val="hybridMultilevel"/>
    <w:tmpl w:val="FD1CABC2"/>
    <w:lvl w:ilvl="0" w:tplc="E0A6F5FA">
      <w:start w:val="1"/>
      <w:numFmt w:val="decimal"/>
      <w:lvlText w:val="%1."/>
      <w:lvlJc w:val="left"/>
      <w:pPr>
        <w:tabs>
          <w:tab w:val="num" w:pos="3450"/>
        </w:tabs>
        <w:ind w:left="3450" w:hanging="39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774"/>
    <w:rsid w:val="000724A8"/>
    <w:rsid w:val="000A1599"/>
    <w:rsid w:val="000A7E50"/>
    <w:rsid w:val="000D6AEF"/>
    <w:rsid w:val="000E29AB"/>
    <w:rsid w:val="000E52D7"/>
    <w:rsid w:val="00126D02"/>
    <w:rsid w:val="001405B7"/>
    <w:rsid w:val="00152DA8"/>
    <w:rsid w:val="0019632E"/>
    <w:rsid w:val="001B45D0"/>
    <w:rsid w:val="001E18DB"/>
    <w:rsid w:val="001E2AD6"/>
    <w:rsid w:val="001F2BEA"/>
    <w:rsid w:val="002023C9"/>
    <w:rsid w:val="00223A0F"/>
    <w:rsid w:val="00266C7F"/>
    <w:rsid w:val="00283CD2"/>
    <w:rsid w:val="002A182D"/>
    <w:rsid w:val="002A5E52"/>
    <w:rsid w:val="002C5389"/>
    <w:rsid w:val="002E277F"/>
    <w:rsid w:val="002E2D92"/>
    <w:rsid w:val="00343162"/>
    <w:rsid w:val="00354D97"/>
    <w:rsid w:val="003D0132"/>
    <w:rsid w:val="003D5EF0"/>
    <w:rsid w:val="00435181"/>
    <w:rsid w:val="004B2030"/>
    <w:rsid w:val="004B720B"/>
    <w:rsid w:val="004C41CE"/>
    <w:rsid w:val="00542C34"/>
    <w:rsid w:val="00554774"/>
    <w:rsid w:val="00572A12"/>
    <w:rsid w:val="00576885"/>
    <w:rsid w:val="00642FA0"/>
    <w:rsid w:val="00650818"/>
    <w:rsid w:val="0065324A"/>
    <w:rsid w:val="0069777A"/>
    <w:rsid w:val="006C16F8"/>
    <w:rsid w:val="00774433"/>
    <w:rsid w:val="007B6237"/>
    <w:rsid w:val="00814ADD"/>
    <w:rsid w:val="0082432F"/>
    <w:rsid w:val="00841B37"/>
    <w:rsid w:val="0084485A"/>
    <w:rsid w:val="008711DA"/>
    <w:rsid w:val="00893185"/>
    <w:rsid w:val="00896717"/>
    <w:rsid w:val="008B21B1"/>
    <w:rsid w:val="008B6C17"/>
    <w:rsid w:val="008E51A4"/>
    <w:rsid w:val="0095183F"/>
    <w:rsid w:val="00951EA8"/>
    <w:rsid w:val="009863C9"/>
    <w:rsid w:val="009913F3"/>
    <w:rsid w:val="00997270"/>
    <w:rsid w:val="009A7729"/>
    <w:rsid w:val="009B4FDB"/>
    <w:rsid w:val="00A4773D"/>
    <w:rsid w:val="00A81E9B"/>
    <w:rsid w:val="00A90EE9"/>
    <w:rsid w:val="00B118EE"/>
    <w:rsid w:val="00B27FD1"/>
    <w:rsid w:val="00B43125"/>
    <w:rsid w:val="00B43688"/>
    <w:rsid w:val="00B774F7"/>
    <w:rsid w:val="00C308D8"/>
    <w:rsid w:val="00C92051"/>
    <w:rsid w:val="00CE7323"/>
    <w:rsid w:val="00CE7D7D"/>
    <w:rsid w:val="00D257ED"/>
    <w:rsid w:val="00D70E52"/>
    <w:rsid w:val="00D94AD6"/>
    <w:rsid w:val="00DD77B7"/>
    <w:rsid w:val="00DE6F9C"/>
    <w:rsid w:val="00DF03A1"/>
    <w:rsid w:val="00E03E44"/>
    <w:rsid w:val="00E04284"/>
    <w:rsid w:val="00E9232F"/>
    <w:rsid w:val="00F03344"/>
    <w:rsid w:val="00F77AF8"/>
    <w:rsid w:val="00FA2E97"/>
    <w:rsid w:val="00FD7226"/>
    <w:rsid w:val="00F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74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54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54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54774"/>
  </w:style>
  <w:style w:type="character" w:customStyle="1" w:styleId="apple-style-span">
    <w:name w:val="apple-style-span"/>
    <w:basedOn w:val="a0"/>
    <w:rsid w:val="00554774"/>
  </w:style>
  <w:style w:type="paragraph" w:styleId="a6">
    <w:name w:val="Body Text Indent"/>
    <w:basedOn w:val="a"/>
    <w:link w:val="a7"/>
    <w:rsid w:val="00554774"/>
    <w:pPr>
      <w:spacing w:after="120"/>
      <w:ind w:left="283" w:firstLine="0"/>
      <w:jc w:val="left"/>
    </w:pPr>
  </w:style>
  <w:style w:type="character" w:customStyle="1" w:styleId="a7">
    <w:name w:val="Основной текст с отступом Знак"/>
    <w:basedOn w:val="a0"/>
    <w:link w:val="a6"/>
    <w:rsid w:val="00554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2">
    <w:name w:val="Pa2"/>
    <w:basedOn w:val="a"/>
    <w:next w:val="a"/>
    <w:uiPriority w:val="99"/>
    <w:rsid w:val="00554774"/>
    <w:pPr>
      <w:widowControl/>
      <w:spacing w:line="161" w:lineRule="atLeast"/>
      <w:ind w:firstLine="0"/>
      <w:jc w:val="left"/>
    </w:pPr>
    <w:rPr>
      <w:rFonts w:eastAsia="Calibri"/>
      <w:sz w:val="24"/>
      <w:szCs w:val="24"/>
      <w:lang w:eastAsia="en-US"/>
    </w:rPr>
  </w:style>
  <w:style w:type="paragraph" w:styleId="a8">
    <w:name w:val="Block Text"/>
    <w:basedOn w:val="a"/>
    <w:rsid w:val="00B774F7"/>
    <w:pPr>
      <w:widowControl/>
      <w:overflowPunct w:val="0"/>
      <w:ind w:left="-180" w:right="175" w:firstLine="0"/>
    </w:pPr>
    <w:rPr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724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4A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951EA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51EA8"/>
    <w:rPr>
      <w:color w:val="800080"/>
      <w:u w:val="single"/>
    </w:rPr>
  </w:style>
  <w:style w:type="paragraph" w:customStyle="1" w:styleId="xl64">
    <w:name w:val="xl64"/>
    <w:basedOn w:val="a"/>
    <w:rsid w:val="00951E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951E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951E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951E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951E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51E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51E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51E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72">
    <w:name w:val="xl72"/>
    <w:basedOn w:val="a"/>
    <w:rsid w:val="00951E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951EA8"/>
    <w:pPr>
      <w:widowControl/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0"/>
      <w:jc w:val="left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951E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951E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951E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951EA8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51EA8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sz w:val="28"/>
      <w:szCs w:val="28"/>
    </w:rPr>
  </w:style>
  <w:style w:type="paragraph" w:customStyle="1" w:styleId="xl79">
    <w:name w:val="xl79"/>
    <w:basedOn w:val="a"/>
    <w:rsid w:val="00951E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951EA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951E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951EA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951E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51EA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951EA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951EA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951EA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customStyle="1" w:styleId="xl88">
    <w:name w:val="xl88"/>
    <w:basedOn w:val="a"/>
    <w:rsid w:val="00951EA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4C41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C41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DD5507C0FB1D4C087A02EB86EF790D07377CF02F91192F6671FBA756CC4B8078F03A0041CF219GAj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2DD5507C0FB1D4C087A02EB86EF790D07278C904FC1192F6671FBA756CC4B8078F03A0041CF218GAj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6300</Words>
  <Characters>35911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Pervushina</dc:creator>
  <cp:lastModifiedBy>Pervushina</cp:lastModifiedBy>
  <cp:revision>40</cp:revision>
  <cp:lastPrinted>2017-04-25T07:37:00Z</cp:lastPrinted>
  <dcterms:created xsi:type="dcterms:W3CDTF">2017-04-19T10:50:00Z</dcterms:created>
  <dcterms:modified xsi:type="dcterms:W3CDTF">2017-04-27T08:00:00Z</dcterms:modified>
</cp:coreProperties>
</file>