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5486400" cy="4484218"/>
            <wp:effectExtent l="0" t="0" r="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01.02.2021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задолженность по состоянию на 01.02.2021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F0D3E"/>
    <w:rsid w:val="003E17A3"/>
    <w:rsid w:val="004C5C6C"/>
    <w:rsid w:val="0051013D"/>
    <w:rsid w:val="006D130C"/>
    <w:rsid w:val="00CB7946"/>
    <w:rsid w:val="00D17A5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01.02.2021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294623.5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01.02.2021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299144.8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81081520"/>
        <c:axId val="581079952"/>
      </c:barChart>
      <c:catAx>
        <c:axId val="58108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79952"/>
        <c:crosses val="autoZero"/>
        <c:auto val="1"/>
        <c:lblAlgn val="ctr"/>
        <c:lblOffset val="100"/>
        <c:noMultiLvlLbl val="0"/>
      </c:catAx>
      <c:valAx>
        <c:axId val="581079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8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01.02.2021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6631.6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на 01.02.2021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10893.8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81080736"/>
        <c:axId val="581078776"/>
        <c:axId val="0"/>
      </c:bar3DChart>
      <c:catAx>
        <c:axId val="58108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78776"/>
        <c:crosses val="autoZero"/>
        <c:auto val="1"/>
        <c:lblAlgn val="ctr"/>
        <c:lblOffset val="100"/>
        <c:noMultiLvlLbl val="0"/>
      </c:catAx>
      <c:valAx>
        <c:axId val="58107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8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01.02.2021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37130796150481188"/>
          <c:w val="0.84581200787401578"/>
          <c:h val="0.3174359455068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82590.8</c:v>
                </c:pt>
                <c:pt idx="1">
                  <c:v>3686.7</c:v>
                </c:pt>
                <c:pt idx="2" formatCode="#,##0">
                  <c:v>152398</c:v>
                </c:pt>
                <c:pt idx="3">
                  <c:v>2628.7</c:v>
                </c:pt>
                <c:pt idx="4">
                  <c:v>51794.7</c:v>
                </c:pt>
                <c:pt idx="5">
                  <c:v>1524.6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#,##0.00">
                  <c:v>3717.1</c:v>
                </c:pt>
                <c:pt idx="1">
                  <c:v>162.6</c:v>
                </c:pt>
                <c:pt idx="2">
                  <c:v>0</c:v>
                </c:pt>
                <c:pt idx="3">
                  <c:v>0</c:v>
                </c:pt>
                <c:pt idx="4" formatCode="#,##0.00">
                  <c:v>5402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81077208"/>
        <c:axId val="581074072"/>
        <c:axId val="0"/>
      </c:bar3DChart>
      <c:catAx>
        <c:axId val="58107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74072"/>
        <c:crosses val="autoZero"/>
        <c:auto val="1"/>
        <c:lblAlgn val="ctr"/>
        <c:lblOffset val="100"/>
        <c:noMultiLvlLbl val="0"/>
      </c:catAx>
      <c:valAx>
        <c:axId val="58107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77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01.02.2021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6"/>
          <c:y val="0.2138687946544566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50905.1</c:v>
                </c:pt>
                <c:pt idx="1">
                  <c:v>305.60000000000002</c:v>
                </c:pt>
                <c:pt idx="2">
                  <c:v>7442.2</c:v>
                </c:pt>
                <c:pt idx="3">
                  <c:v>9056</c:v>
                </c:pt>
                <c:pt idx="4">
                  <c:v>69912.5</c:v>
                </c:pt>
                <c:pt idx="5">
                  <c:v>241</c:v>
                </c:pt>
                <c:pt idx="6">
                  <c:v>116289.4</c:v>
                </c:pt>
                <c:pt idx="7" formatCode="#,##0.00">
                  <c:v>27964.6</c:v>
                </c:pt>
                <c:pt idx="8">
                  <c:v>16308.5</c:v>
                </c:pt>
                <c:pt idx="9">
                  <c:v>300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3211.8</c:v>
                </c:pt>
                <c:pt idx="1">
                  <c:v>20</c:v>
                </c:pt>
                <c:pt idx="2">
                  <c:v>646.29999999999995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4500.3999999999996</c:v>
                </c:pt>
                <c:pt idx="7">
                  <c:v>2049.5</c:v>
                </c:pt>
                <c:pt idx="8">
                  <c:v>465.5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1085832"/>
        <c:axId val="581086224"/>
      </c:barChart>
      <c:catAx>
        <c:axId val="581085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86224"/>
        <c:crosses val="autoZero"/>
        <c:auto val="1"/>
        <c:lblAlgn val="ctr"/>
        <c:lblOffset val="100"/>
        <c:noMultiLvlLbl val="0"/>
      </c:catAx>
      <c:valAx>
        <c:axId val="58108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8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дефицит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01.01.2021</c:v>
                </c:pt>
                <c:pt idx="1">
                  <c:v>на 01.02.2021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-2084</c:v>
                </c:pt>
                <c:pt idx="1">
                  <c:v>-2084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4323288"/>
        <c:axId val="474325640"/>
      </c:lineChart>
      <c:catAx>
        <c:axId val="47432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325640"/>
        <c:crosses val="autoZero"/>
        <c:auto val="1"/>
        <c:lblAlgn val="ctr"/>
        <c:lblOffset val="100"/>
        <c:noMultiLvlLbl val="0"/>
      </c:catAx>
      <c:valAx>
        <c:axId val="474325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32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2021-02-08T07:28:00Z</cp:lastPrinted>
  <dcterms:created xsi:type="dcterms:W3CDTF">2021-02-08T06:09:00Z</dcterms:created>
  <dcterms:modified xsi:type="dcterms:W3CDTF">2021-02-08T07:30:00Z</dcterms:modified>
</cp:coreProperties>
</file>