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0B" w:rsidRDefault="00830D0B">
      <w:bookmarkStart w:id="0" w:name="_GoBack"/>
      <w:bookmarkEnd w:id="0"/>
    </w:p>
    <w:p w:rsidR="0009404C" w:rsidRDefault="0009404C"/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color w:val="FF0000"/>
          <w:szCs w:val="28"/>
          <w:lang w:eastAsia="zh-CN"/>
        </w:rPr>
      </w:pPr>
      <w:r>
        <w:rPr>
          <w:rFonts w:eastAsia="SimSun" w:cs="Times New Roman"/>
          <w:noProof/>
          <w:color w:val="FF0000"/>
          <w:szCs w:val="28"/>
          <w:lang w:eastAsia="ru-RU"/>
        </w:rPr>
        <w:drawing>
          <wp:inline distT="0" distB="0" distL="0" distR="0">
            <wp:extent cx="857250" cy="1352550"/>
            <wp:effectExtent l="0" t="0" r="0" b="0"/>
            <wp:docPr id="1" name="Рисунок 1" descr="gari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i-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 w:val="56"/>
          <w:szCs w:val="56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 w:val="56"/>
          <w:szCs w:val="56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 w:val="56"/>
          <w:szCs w:val="56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 w:val="56"/>
          <w:szCs w:val="56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b/>
          <w:sz w:val="72"/>
          <w:szCs w:val="72"/>
          <w:lang w:eastAsia="zh-CN"/>
        </w:rPr>
      </w:pPr>
      <w:r w:rsidRPr="0009404C">
        <w:rPr>
          <w:rFonts w:eastAsia="SimSun" w:cs="Times New Roman"/>
          <w:b/>
          <w:sz w:val="72"/>
          <w:szCs w:val="72"/>
          <w:lang w:eastAsia="zh-CN"/>
        </w:rPr>
        <w:t xml:space="preserve">Доклад </w:t>
      </w: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b/>
          <w:sz w:val="56"/>
          <w:szCs w:val="56"/>
          <w:lang w:eastAsia="zh-CN"/>
        </w:rPr>
      </w:pPr>
      <w:r w:rsidRPr="0009404C">
        <w:rPr>
          <w:rFonts w:eastAsia="SimSun" w:cs="Times New Roman"/>
          <w:b/>
          <w:sz w:val="56"/>
          <w:szCs w:val="56"/>
          <w:lang w:eastAsia="zh-CN"/>
        </w:rPr>
        <w:t xml:space="preserve">главы Гаринского городского округа Лыжина А.Г. </w:t>
      </w:r>
    </w:p>
    <w:p w:rsidR="0009404C" w:rsidRPr="0009404C" w:rsidRDefault="00455ADF" w:rsidP="00455ADF">
      <w:pPr>
        <w:spacing w:after="0" w:line="240" w:lineRule="auto"/>
        <w:jc w:val="center"/>
        <w:rPr>
          <w:rFonts w:eastAsia="SimSun" w:cs="Times New Roman"/>
          <w:b/>
          <w:i/>
          <w:sz w:val="56"/>
          <w:szCs w:val="56"/>
          <w:lang w:eastAsia="zh-CN"/>
        </w:rPr>
      </w:pPr>
      <w:r>
        <w:rPr>
          <w:rFonts w:eastAsia="SimSun" w:cs="Times New Roman"/>
          <w:b/>
          <w:i/>
          <w:sz w:val="56"/>
          <w:szCs w:val="56"/>
          <w:lang w:eastAsia="zh-CN"/>
        </w:rPr>
        <w:t>О достигнутых значениях показателей для оценки эффективности органов местного самоуправления Гаринского городского округа  за</w:t>
      </w:r>
      <w:r w:rsidR="0009404C" w:rsidRPr="0009404C">
        <w:rPr>
          <w:rFonts w:eastAsia="SimSun" w:cs="Times New Roman"/>
          <w:b/>
          <w:i/>
          <w:sz w:val="56"/>
          <w:szCs w:val="56"/>
          <w:lang w:eastAsia="zh-CN"/>
        </w:rPr>
        <w:t xml:space="preserve"> 201</w:t>
      </w:r>
      <w:r w:rsidR="00364BBB">
        <w:rPr>
          <w:rFonts w:eastAsia="SimSun" w:cs="Times New Roman"/>
          <w:b/>
          <w:i/>
          <w:sz w:val="56"/>
          <w:szCs w:val="56"/>
          <w:lang w:eastAsia="zh-CN"/>
        </w:rPr>
        <w:t>4</w:t>
      </w:r>
      <w:r>
        <w:rPr>
          <w:rFonts w:eastAsia="SimSun" w:cs="Times New Roman"/>
          <w:b/>
          <w:i/>
          <w:sz w:val="56"/>
          <w:szCs w:val="56"/>
          <w:lang w:eastAsia="zh-CN"/>
        </w:rPr>
        <w:t xml:space="preserve"> год и планируемых значениях на 3-летний период</w:t>
      </w: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 w:val="56"/>
          <w:szCs w:val="56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 w:val="56"/>
          <w:szCs w:val="56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Default="0009404C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332E33" w:rsidRPr="0009404C" w:rsidRDefault="00332E33" w:rsidP="0009404C">
      <w:pPr>
        <w:spacing w:after="0" w:line="240" w:lineRule="auto"/>
        <w:jc w:val="center"/>
        <w:rPr>
          <w:rFonts w:eastAsia="SimSun" w:cs="Times New Roman"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rPr>
          <w:rFonts w:eastAsia="SimSun" w:cs="Times New Roman"/>
          <w:szCs w:val="28"/>
          <w:lang w:eastAsia="zh-CN"/>
        </w:rPr>
      </w:pPr>
      <w:r>
        <w:rPr>
          <w:rFonts w:eastAsia="SimSun" w:cs="Times New Roman"/>
          <w:szCs w:val="28"/>
          <w:lang w:eastAsia="zh-CN"/>
        </w:rPr>
        <w:t xml:space="preserve">                                                               р.п. Гари</w:t>
      </w:r>
    </w:p>
    <w:p w:rsidR="00F41242" w:rsidRDefault="00F41242" w:rsidP="0009404C">
      <w:pPr>
        <w:spacing w:after="0" w:line="240" w:lineRule="auto"/>
        <w:jc w:val="center"/>
        <w:rPr>
          <w:rFonts w:eastAsia="SimSun" w:cs="Times New Roman"/>
          <w:b/>
          <w:szCs w:val="28"/>
          <w:lang w:eastAsia="zh-CN"/>
        </w:rPr>
      </w:pPr>
    </w:p>
    <w:p w:rsidR="0009404C" w:rsidRPr="0009404C" w:rsidRDefault="0009404C" w:rsidP="0009404C">
      <w:pPr>
        <w:spacing w:after="0" w:line="240" w:lineRule="auto"/>
        <w:jc w:val="center"/>
        <w:rPr>
          <w:rFonts w:eastAsia="SimSun" w:cs="Times New Roman"/>
          <w:b/>
          <w:szCs w:val="28"/>
          <w:lang w:eastAsia="zh-CN"/>
        </w:rPr>
      </w:pPr>
      <w:r w:rsidRPr="0009404C">
        <w:rPr>
          <w:rFonts w:eastAsia="SimSun" w:cs="Times New Roman"/>
          <w:b/>
          <w:szCs w:val="28"/>
          <w:lang w:eastAsia="zh-CN"/>
        </w:rPr>
        <w:t>СОДЕРЖАНИЕ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7023"/>
        <w:gridCol w:w="1701"/>
      </w:tblGrid>
      <w:tr w:rsidR="0009404C" w:rsidRPr="0009404C" w:rsidTr="00332E33">
        <w:tc>
          <w:tcPr>
            <w:tcW w:w="916" w:type="dxa"/>
            <w:shd w:val="clear" w:color="auto" w:fill="auto"/>
          </w:tcPr>
          <w:p w:rsidR="0009404C" w:rsidRPr="0009404C" w:rsidRDefault="0009404C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09404C">
              <w:rPr>
                <w:rFonts w:eastAsia="Times New Roman" w:cs="Times New Roman"/>
                <w:szCs w:val="28"/>
                <w:lang w:eastAsia="zh-CN"/>
              </w:rPr>
              <w:t>№</w:t>
            </w:r>
          </w:p>
        </w:tc>
        <w:tc>
          <w:tcPr>
            <w:tcW w:w="7023" w:type="dxa"/>
            <w:shd w:val="clear" w:color="auto" w:fill="auto"/>
          </w:tcPr>
          <w:p w:rsidR="0009404C" w:rsidRPr="0009404C" w:rsidRDefault="0009404C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09404C">
              <w:rPr>
                <w:rFonts w:eastAsia="Times New Roman" w:cs="Times New Roman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9404C" w:rsidRPr="0009404C" w:rsidRDefault="0009404C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09404C">
              <w:rPr>
                <w:rFonts w:eastAsia="Times New Roman" w:cs="Times New Roman"/>
                <w:szCs w:val="28"/>
                <w:lang w:eastAsia="zh-CN"/>
              </w:rPr>
              <w:t>Страница</w:t>
            </w:r>
          </w:p>
        </w:tc>
      </w:tr>
      <w:tr w:rsidR="008E09FC" w:rsidRPr="0009404C" w:rsidTr="00332E33">
        <w:tc>
          <w:tcPr>
            <w:tcW w:w="916" w:type="dxa"/>
            <w:shd w:val="clear" w:color="auto" w:fill="auto"/>
          </w:tcPr>
          <w:p w:rsidR="008E09FC" w:rsidRPr="0009404C" w:rsidRDefault="008E09FC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7023" w:type="dxa"/>
            <w:shd w:val="clear" w:color="auto" w:fill="auto"/>
          </w:tcPr>
          <w:p w:rsidR="008E09FC" w:rsidRPr="00AD2925" w:rsidRDefault="008E09FC" w:rsidP="009A4640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AD2925">
              <w:rPr>
                <w:rFonts w:eastAsia="Times New Roman" w:cs="Times New Roman"/>
                <w:b/>
                <w:szCs w:val="28"/>
                <w:lang w:eastAsia="zh-CN"/>
              </w:rPr>
              <w:t>В</w:t>
            </w:r>
            <w:r w:rsidR="009A4640" w:rsidRPr="00AD2925">
              <w:rPr>
                <w:rFonts w:eastAsia="Times New Roman" w:cs="Times New Roman"/>
                <w:b/>
                <w:szCs w:val="28"/>
                <w:lang w:eastAsia="zh-CN"/>
              </w:rPr>
              <w:t>ведение</w:t>
            </w:r>
          </w:p>
        </w:tc>
        <w:tc>
          <w:tcPr>
            <w:tcW w:w="1701" w:type="dxa"/>
            <w:shd w:val="clear" w:color="auto" w:fill="auto"/>
          </w:tcPr>
          <w:p w:rsidR="008E09FC" w:rsidRPr="0009404C" w:rsidRDefault="00F41242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3</w:t>
            </w:r>
          </w:p>
        </w:tc>
      </w:tr>
      <w:tr w:rsidR="00F123C5" w:rsidRPr="0009404C" w:rsidTr="00332E33">
        <w:tc>
          <w:tcPr>
            <w:tcW w:w="916" w:type="dxa"/>
            <w:shd w:val="clear" w:color="auto" w:fill="auto"/>
          </w:tcPr>
          <w:p w:rsidR="00F123C5" w:rsidRPr="0009404C" w:rsidRDefault="00F123C5" w:rsidP="00F123C5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F123C5" w:rsidRPr="0009404C" w:rsidRDefault="00F123C5" w:rsidP="00F123C5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Бюджет Гаринского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F123C5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4</w:t>
            </w:r>
          </w:p>
        </w:tc>
      </w:tr>
      <w:tr w:rsidR="0009404C" w:rsidRPr="0009404C" w:rsidTr="00332E33">
        <w:tc>
          <w:tcPr>
            <w:tcW w:w="916" w:type="dxa"/>
            <w:shd w:val="clear" w:color="auto" w:fill="auto"/>
          </w:tcPr>
          <w:p w:rsidR="0009404C" w:rsidRPr="00F41242" w:rsidRDefault="00F41242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F41242">
              <w:rPr>
                <w:rFonts w:eastAsia="Times New Roman" w:cs="Times New Roman"/>
                <w:szCs w:val="28"/>
                <w:lang w:eastAsia="zh-CN"/>
              </w:rPr>
              <w:t>2</w:t>
            </w:r>
          </w:p>
        </w:tc>
        <w:tc>
          <w:tcPr>
            <w:tcW w:w="7023" w:type="dxa"/>
            <w:shd w:val="clear" w:color="auto" w:fill="auto"/>
          </w:tcPr>
          <w:p w:rsidR="0009404C" w:rsidRPr="0009404C" w:rsidRDefault="0009404C" w:rsidP="0009404C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Оказание услуг населению</w:t>
            </w:r>
          </w:p>
        </w:tc>
        <w:tc>
          <w:tcPr>
            <w:tcW w:w="1701" w:type="dxa"/>
            <w:shd w:val="clear" w:color="auto" w:fill="auto"/>
          </w:tcPr>
          <w:p w:rsidR="0009404C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9</w:t>
            </w:r>
          </w:p>
        </w:tc>
      </w:tr>
      <w:tr w:rsidR="0009404C" w:rsidRPr="0009404C" w:rsidTr="00332E33">
        <w:tc>
          <w:tcPr>
            <w:tcW w:w="916" w:type="dxa"/>
            <w:shd w:val="clear" w:color="auto" w:fill="auto"/>
          </w:tcPr>
          <w:p w:rsidR="0009404C" w:rsidRPr="00F41242" w:rsidRDefault="00F41242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F41242">
              <w:rPr>
                <w:rFonts w:eastAsia="Times New Roman" w:cs="Times New Roman"/>
                <w:szCs w:val="28"/>
                <w:lang w:eastAsia="zh-CN"/>
              </w:rPr>
              <w:t>2</w:t>
            </w:r>
            <w:r w:rsidR="009C5F29" w:rsidRPr="00F41242">
              <w:rPr>
                <w:rFonts w:eastAsia="Times New Roman" w:cs="Times New Roman"/>
                <w:szCs w:val="28"/>
                <w:lang w:eastAsia="zh-CN"/>
              </w:rPr>
              <w:t>.1</w:t>
            </w:r>
          </w:p>
        </w:tc>
        <w:tc>
          <w:tcPr>
            <w:tcW w:w="7023" w:type="dxa"/>
            <w:shd w:val="clear" w:color="auto" w:fill="auto"/>
          </w:tcPr>
          <w:p w:rsidR="0009404C" w:rsidRPr="0009404C" w:rsidRDefault="009C5F29" w:rsidP="0009404C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Производство и распределение воды</w:t>
            </w:r>
          </w:p>
        </w:tc>
        <w:tc>
          <w:tcPr>
            <w:tcW w:w="1701" w:type="dxa"/>
            <w:shd w:val="clear" w:color="auto" w:fill="auto"/>
          </w:tcPr>
          <w:p w:rsidR="0009404C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9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F41242" w:rsidRDefault="00F41242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F41242">
              <w:rPr>
                <w:rFonts w:eastAsia="Times New Roman" w:cs="Times New Roman"/>
                <w:szCs w:val="28"/>
                <w:lang w:eastAsia="zh-CN"/>
              </w:rPr>
              <w:t>2</w:t>
            </w:r>
            <w:r w:rsidR="009C5F29" w:rsidRPr="00F41242">
              <w:rPr>
                <w:rFonts w:eastAsia="Times New Roman" w:cs="Times New Roman"/>
                <w:szCs w:val="28"/>
                <w:lang w:eastAsia="zh-CN"/>
              </w:rPr>
              <w:t>.2</w:t>
            </w:r>
          </w:p>
        </w:tc>
        <w:tc>
          <w:tcPr>
            <w:tcW w:w="7023" w:type="dxa"/>
            <w:shd w:val="clear" w:color="auto" w:fill="auto"/>
          </w:tcPr>
          <w:p w:rsidR="009C5F29" w:rsidRDefault="009C5F29" w:rsidP="0009404C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Оказание транспортных услуг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10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F41242" w:rsidRDefault="00F41242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F41242">
              <w:rPr>
                <w:rFonts w:eastAsia="Times New Roman" w:cs="Times New Roman"/>
                <w:szCs w:val="28"/>
                <w:lang w:eastAsia="zh-CN"/>
              </w:rPr>
              <w:t>3</w:t>
            </w:r>
          </w:p>
        </w:tc>
        <w:tc>
          <w:tcPr>
            <w:tcW w:w="7023" w:type="dxa"/>
            <w:shd w:val="clear" w:color="auto" w:fill="auto"/>
          </w:tcPr>
          <w:p w:rsidR="009C5F29" w:rsidRDefault="009C5F29" w:rsidP="0009404C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t>Инвестиционная деятельность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10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60047E" w:rsidRDefault="00F41242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3</w:t>
            </w:r>
            <w:r w:rsidR="009C5F29" w:rsidRPr="0060047E">
              <w:rPr>
                <w:rFonts w:eastAsia="Times New Roman" w:cs="Times New Roman"/>
                <w:szCs w:val="28"/>
                <w:lang w:eastAsia="zh-CN"/>
              </w:rPr>
              <w:t>.1</w:t>
            </w:r>
          </w:p>
        </w:tc>
        <w:tc>
          <w:tcPr>
            <w:tcW w:w="7023" w:type="dxa"/>
            <w:shd w:val="clear" w:color="auto" w:fill="auto"/>
          </w:tcPr>
          <w:p w:rsidR="009C5F29" w:rsidRDefault="009C5F29" w:rsidP="0009404C">
            <w:pPr>
              <w:spacing w:after="0" w:line="240" w:lineRule="auto"/>
            </w:pPr>
            <w:r>
              <w:t>Строительная индустрия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11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60047E" w:rsidRDefault="00F41242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3</w:t>
            </w:r>
            <w:r w:rsidR="009C5F29" w:rsidRPr="0060047E">
              <w:rPr>
                <w:rFonts w:eastAsia="Times New Roman" w:cs="Times New Roman"/>
                <w:szCs w:val="28"/>
                <w:lang w:eastAsia="zh-CN"/>
              </w:rPr>
              <w:t>.2</w:t>
            </w:r>
          </w:p>
        </w:tc>
        <w:tc>
          <w:tcPr>
            <w:tcW w:w="7023" w:type="dxa"/>
            <w:shd w:val="clear" w:color="auto" w:fill="auto"/>
          </w:tcPr>
          <w:p w:rsidR="009C5F29" w:rsidRDefault="009C5F29" w:rsidP="0009404C">
            <w:pPr>
              <w:spacing w:after="0" w:line="240" w:lineRule="auto"/>
            </w:pPr>
            <w:r>
              <w:t>Жилищное строительство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11</w:t>
            </w:r>
          </w:p>
        </w:tc>
      </w:tr>
      <w:tr w:rsidR="007C7277" w:rsidRPr="0009404C" w:rsidTr="00332E33">
        <w:tc>
          <w:tcPr>
            <w:tcW w:w="916" w:type="dxa"/>
            <w:shd w:val="clear" w:color="auto" w:fill="auto"/>
          </w:tcPr>
          <w:p w:rsidR="007C7277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3</w:t>
            </w:r>
            <w:r w:rsidR="007C7277" w:rsidRPr="0060047E">
              <w:rPr>
                <w:rFonts w:eastAsia="Times New Roman" w:cs="Times New Roman"/>
                <w:szCs w:val="28"/>
                <w:lang w:eastAsia="zh-CN"/>
              </w:rPr>
              <w:t>.3</w:t>
            </w:r>
          </w:p>
        </w:tc>
        <w:tc>
          <w:tcPr>
            <w:tcW w:w="7023" w:type="dxa"/>
            <w:shd w:val="clear" w:color="auto" w:fill="auto"/>
          </w:tcPr>
          <w:p w:rsidR="007C7277" w:rsidRDefault="007C7277" w:rsidP="0009404C">
            <w:pPr>
              <w:spacing w:after="0" w:line="240" w:lineRule="auto"/>
            </w:pPr>
            <w:r>
              <w:t>Земельные отношения</w:t>
            </w:r>
          </w:p>
        </w:tc>
        <w:tc>
          <w:tcPr>
            <w:tcW w:w="1701" w:type="dxa"/>
            <w:shd w:val="clear" w:color="auto" w:fill="auto"/>
          </w:tcPr>
          <w:p w:rsidR="007C7277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12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4</w:t>
            </w:r>
          </w:p>
        </w:tc>
        <w:tc>
          <w:tcPr>
            <w:tcW w:w="7023" w:type="dxa"/>
            <w:shd w:val="clear" w:color="auto" w:fill="auto"/>
          </w:tcPr>
          <w:p w:rsidR="009C5F29" w:rsidRPr="0060047E" w:rsidRDefault="009C5F29" w:rsidP="0060047E">
            <w:pPr>
              <w:spacing w:after="0" w:line="240" w:lineRule="auto"/>
            </w:pPr>
            <w:r w:rsidRPr="0060047E">
              <w:t>Жилищно-коммунальное хозяйство</w:t>
            </w:r>
            <w:r w:rsidR="004408E8" w:rsidRPr="0060047E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13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F123C5" w:rsidRDefault="0060047E" w:rsidP="00A01A98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5</w:t>
            </w:r>
          </w:p>
        </w:tc>
        <w:tc>
          <w:tcPr>
            <w:tcW w:w="7023" w:type="dxa"/>
            <w:shd w:val="clear" w:color="auto" w:fill="auto"/>
          </w:tcPr>
          <w:p w:rsidR="009C5F29" w:rsidRDefault="009C5F29" w:rsidP="0009404C">
            <w:pPr>
              <w:spacing w:after="0" w:line="240" w:lineRule="auto"/>
            </w:pPr>
            <w:r>
              <w:t>Строительство и ремонт дорог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</w:p>
        </w:tc>
      </w:tr>
      <w:tr w:rsidR="009C5F29" w:rsidRPr="0009404C" w:rsidTr="00332E33">
        <w:tc>
          <w:tcPr>
            <w:tcW w:w="916" w:type="dxa"/>
            <w:shd w:val="clear" w:color="auto" w:fill="auto"/>
          </w:tcPr>
          <w:p w:rsidR="009C5F29" w:rsidRPr="00F123C5" w:rsidRDefault="000510B5" w:rsidP="00A01A98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6</w:t>
            </w:r>
          </w:p>
        </w:tc>
        <w:tc>
          <w:tcPr>
            <w:tcW w:w="7023" w:type="dxa"/>
            <w:shd w:val="clear" w:color="auto" w:fill="auto"/>
          </w:tcPr>
          <w:p w:rsidR="009C5F29" w:rsidRPr="000510B5" w:rsidRDefault="000510B5" w:rsidP="00AE59D9">
            <w:pPr>
              <w:spacing w:after="0" w:line="240" w:lineRule="auto"/>
            </w:pPr>
            <w:r w:rsidRPr="000510B5">
              <w:t>Мероприятия по благоустройству Гаринского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9C5F2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7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Потребительский рынок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16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8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Малое предпринимательство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16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9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Сельское хозяйство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17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10</w:t>
            </w:r>
          </w:p>
        </w:tc>
        <w:tc>
          <w:tcPr>
            <w:tcW w:w="7023" w:type="dxa"/>
            <w:shd w:val="clear" w:color="auto" w:fill="auto"/>
          </w:tcPr>
          <w:p w:rsidR="00AE59D9" w:rsidRPr="0071423B" w:rsidRDefault="001945D3" w:rsidP="0009404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Работа административной комиссии, созданной</w:t>
            </w:r>
            <w:r w:rsidR="00AE59D9" w:rsidRPr="0071423B">
              <w:rPr>
                <w:szCs w:val="28"/>
              </w:rPr>
              <w:t xml:space="preserve"> в соответствии с Законом Свердловской области от 23.05.2011 г. № 31-ОЗ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17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11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Уровень жизни населения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18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12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Занятость населения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18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13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Пожарная безопасность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18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14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Экология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20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60047E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Социальные индикаторы качества жизни населения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21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AE59D9" w:rsidP="0041572A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1</w:t>
            </w:r>
            <w:r w:rsidR="0041572A">
              <w:rPr>
                <w:rFonts w:eastAsia="Times New Roman" w:cs="Times New Roman"/>
                <w:szCs w:val="28"/>
                <w:lang w:eastAsia="zh-CN"/>
              </w:rPr>
              <w:t>5</w:t>
            </w:r>
            <w:r w:rsidRPr="0060047E">
              <w:rPr>
                <w:rFonts w:eastAsia="Times New Roman" w:cs="Times New Roman"/>
                <w:szCs w:val="28"/>
                <w:lang w:eastAsia="zh-CN"/>
              </w:rPr>
              <w:t>.1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Демография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21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AE59D9" w:rsidRPr="0060047E">
              <w:rPr>
                <w:rFonts w:eastAsia="Times New Roman" w:cs="Times New Roman"/>
                <w:szCs w:val="28"/>
                <w:lang w:eastAsia="zh-CN"/>
              </w:rPr>
              <w:t>.2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>
              <w:t>Здравоохранение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21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AE59D9" w:rsidRPr="0060047E">
              <w:rPr>
                <w:rFonts w:eastAsia="Times New Roman" w:cs="Times New Roman"/>
                <w:szCs w:val="28"/>
                <w:lang w:eastAsia="zh-CN"/>
              </w:rPr>
              <w:t>.3</w:t>
            </w:r>
          </w:p>
        </w:tc>
        <w:tc>
          <w:tcPr>
            <w:tcW w:w="7023" w:type="dxa"/>
            <w:shd w:val="clear" w:color="auto" w:fill="auto"/>
          </w:tcPr>
          <w:p w:rsidR="00AE59D9" w:rsidRDefault="00AE59D9" w:rsidP="0009404C">
            <w:pPr>
              <w:spacing w:after="0" w:line="240" w:lineRule="auto"/>
            </w:pPr>
            <w:r w:rsidRPr="002D1D12">
              <w:t>Травматизм и гибель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22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AE59D9" w:rsidRPr="0060047E">
              <w:rPr>
                <w:rFonts w:eastAsia="Times New Roman" w:cs="Times New Roman"/>
                <w:szCs w:val="28"/>
                <w:lang w:eastAsia="zh-CN"/>
              </w:rPr>
              <w:t>.4</w:t>
            </w:r>
          </w:p>
        </w:tc>
        <w:tc>
          <w:tcPr>
            <w:tcW w:w="7023" w:type="dxa"/>
            <w:shd w:val="clear" w:color="auto" w:fill="auto"/>
          </w:tcPr>
          <w:p w:rsidR="00AE59D9" w:rsidRPr="006E64FB" w:rsidRDefault="00AE59D9" w:rsidP="0009404C">
            <w:pPr>
              <w:spacing w:after="0" w:line="240" w:lineRule="auto"/>
              <w:rPr>
                <w:color w:val="FF0000"/>
              </w:rPr>
            </w:pPr>
            <w:r w:rsidRPr="002D1D12">
              <w:t>Доступность и качество образования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23</w:t>
            </w:r>
          </w:p>
        </w:tc>
      </w:tr>
      <w:tr w:rsidR="00AE59D9" w:rsidRPr="0009404C" w:rsidTr="00332E33">
        <w:tc>
          <w:tcPr>
            <w:tcW w:w="916" w:type="dxa"/>
            <w:shd w:val="clear" w:color="auto" w:fill="auto"/>
          </w:tcPr>
          <w:p w:rsidR="00AE59D9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A01A98" w:rsidRPr="0060047E">
              <w:rPr>
                <w:rFonts w:eastAsia="Times New Roman" w:cs="Times New Roman"/>
                <w:szCs w:val="28"/>
                <w:lang w:eastAsia="zh-CN"/>
              </w:rPr>
              <w:t>.4.1</w:t>
            </w:r>
          </w:p>
        </w:tc>
        <w:tc>
          <w:tcPr>
            <w:tcW w:w="7023" w:type="dxa"/>
            <w:shd w:val="clear" w:color="auto" w:fill="auto"/>
          </w:tcPr>
          <w:p w:rsidR="00AE59D9" w:rsidRPr="006E64FB" w:rsidRDefault="00A01A98" w:rsidP="0009404C">
            <w:pPr>
              <w:spacing w:after="0" w:line="240" w:lineRule="auto"/>
              <w:rPr>
                <w:color w:val="FF0000"/>
              </w:rPr>
            </w:pPr>
            <w:r w:rsidRPr="002D1D12">
              <w:t>Организация горячего питания учащихся общеобразовательных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AE59D9" w:rsidRPr="0009404C" w:rsidRDefault="001A5AE3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26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A01A98" w:rsidRPr="0060047E">
              <w:rPr>
                <w:rFonts w:eastAsia="Times New Roman" w:cs="Times New Roman"/>
                <w:szCs w:val="28"/>
                <w:lang w:eastAsia="zh-CN"/>
              </w:rPr>
              <w:t>.4.2</w:t>
            </w:r>
          </w:p>
        </w:tc>
        <w:tc>
          <w:tcPr>
            <w:tcW w:w="7023" w:type="dxa"/>
            <w:shd w:val="clear" w:color="auto" w:fill="auto"/>
          </w:tcPr>
          <w:p w:rsidR="00A01A98" w:rsidRPr="006E64FB" w:rsidRDefault="00A01A98" w:rsidP="0009404C">
            <w:pPr>
              <w:spacing w:after="0" w:line="240" w:lineRule="auto"/>
              <w:rPr>
                <w:color w:val="FF0000"/>
              </w:rPr>
            </w:pPr>
            <w:r w:rsidRPr="0041572A">
              <w:t>Летний отдых, оздоровление и трудоустройство детей и подростков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1A5AE3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27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</w:t>
            </w:r>
            <w:r w:rsidR="00057942" w:rsidRPr="0060047E">
              <w:rPr>
                <w:rFonts w:eastAsia="Times New Roman" w:cs="Times New Roman"/>
                <w:szCs w:val="28"/>
                <w:lang w:eastAsia="zh-CN"/>
              </w:rPr>
              <w:t>.</w:t>
            </w:r>
            <w:r>
              <w:rPr>
                <w:rFonts w:eastAsia="Times New Roman" w:cs="Times New Roman"/>
                <w:szCs w:val="28"/>
                <w:lang w:eastAsia="zh-CN"/>
              </w:rPr>
              <w:t>5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Культура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27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15.6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Молодёжная политика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B8254A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28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15.7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Развитие физкультуры и спорта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1A5AE3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30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16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Правопорядок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1A5AE3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30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16</w:t>
            </w:r>
            <w:r w:rsidR="00A01A98" w:rsidRPr="0060047E">
              <w:rPr>
                <w:rFonts w:eastAsia="Times New Roman" w:cs="Times New Roman"/>
                <w:szCs w:val="28"/>
                <w:lang w:eastAsia="zh-CN"/>
              </w:rPr>
              <w:t>.1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Состояние преступности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1A5AE3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30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A01A98" w:rsidP="0041572A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 w:rsidRPr="0060047E">
              <w:rPr>
                <w:rFonts w:eastAsia="Times New Roman" w:cs="Times New Roman"/>
                <w:szCs w:val="28"/>
                <w:lang w:eastAsia="zh-CN"/>
              </w:rPr>
              <w:t>1</w:t>
            </w:r>
            <w:r w:rsidR="0041572A">
              <w:rPr>
                <w:rFonts w:eastAsia="Times New Roman" w:cs="Times New Roman"/>
                <w:szCs w:val="28"/>
                <w:lang w:eastAsia="zh-CN"/>
              </w:rPr>
              <w:t>6</w:t>
            </w:r>
            <w:r w:rsidRPr="0060047E">
              <w:rPr>
                <w:rFonts w:eastAsia="Times New Roman" w:cs="Times New Roman"/>
                <w:szCs w:val="28"/>
                <w:lang w:eastAsia="zh-CN"/>
              </w:rPr>
              <w:t>.2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Преступность несовершеннолетних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1A5AE3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30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16</w:t>
            </w:r>
            <w:r w:rsidR="00A01A98" w:rsidRPr="0060047E">
              <w:rPr>
                <w:rFonts w:eastAsia="Times New Roman" w:cs="Times New Roman"/>
                <w:szCs w:val="28"/>
                <w:lang w:eastAsia="zh-CN"/>
              </w:rPr>
              <w:t>.3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Дорожно-транспортные происшествия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1A5AE3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31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16</w:t>
            </w:r>
            <w:r w:rsidR="00A01A98" w:rsidRPr="0060047E">
              <w:rPr>
                <w:rFonts w:eastAsia="Times New Roman" w:cs="Times New Roman"/>
                <w:szCs w:val="28"/>
                <w:lang w:eastAsia="zh-CN"/>
              </w:rPr>
              <w:t>.4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Антинаркотическая ситуация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1A5AE3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31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17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Средства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1A5AE3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32</w:t>
            </w:r>
          </w:p>
        </w:tc>
      </w:tr>
      <w:tr w:rsidR="00A01A98" w:rsidRPr="0009404C" w:rsidTr="00332E33">
        <w:tc>
          <w:tcPr>
            <w:tcW w:w="916" w:type="dxa"/>
            <w:shd w:val="clear" w:color="auto" w:fill="auto"/>
          </w:tcPr>
          <w:p w:rsidR="00A01A98" w:rsidRPr="0060047E" w:rsidRDefault="0041572A" w:rsidP="00A01A98">
            <w:pPr>
              <w:spacing w:after="0" w:line="240" w:lineRule="auto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18</w:t>
            </w:r>
          </w:p>
        </w:tc>
        <w:tc>
          <w:tcPr>
            <w:tcW w:w="7023" w:type="dxa"/>
            <w:shd w:val="clear" w:color="auto" w:fill="auto"/>
          </w:tcPr>
          <w:p w:rsidR="00A01A98" w:rsidRDefault="00A01A98" w:rsidP="0009404C">
            <w:pPr>
              <w:spacing w:after="0" w:line="240" w:lineRule="auto"/>
            </w:pPr>
            <w:r>
              <w:t>Работа с обращениями граждан, поступившими в адрес администрации</w:t>
            </w:r>
          </w:p>
        </w:tc>
        <w:tc>
          <w:tcPr>
            <w:tcW w:w="1701" w:type="dxa"/>
            <w:shd w:val="clear" w:color="auto" w:fill="auto"/>
          </w:tcPr>
          <w:p w:rsidR="00A01A98" w:rsidRPr="0009404C" w:rsidRDefault="001A5AE3" w:rsidP="000940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32</w:t>
            </w:r>
          </w:p>
        </w:tc>
      </w:tr>
    </w:tbl>
    <w:p w:rsidR="00BD2806" w:rsidRDefault="00BD2806" w:rsidP="00957A58">
      <w:pPr>
        <w:spacing w:after="0" w:line="240" w:lineRule="auto"/>
        <w:rPr>
          <w:b/>
        </w:rPr>
      </w:pPr>
    </w:p>
    <w:p w:rsidR="00BD2806" w:rsidRDefault="00BD2806" w:rsidP="00957A58">
      <w:pPr>
        <w:spacing w:after="0" w:line="240" w:lineRule="auto"/>
        <w:rPr>
          <w:b/>
        </w:rPr>
      </w:pPr>
    </w:p>
    <w:p w:rsidR="0009404C" w:rsidRDefault="00957A58" w:rsidP="00537F54">
      <w:pPr>
        <w:spacing w:after="0" w:line="240" w:lineRule="auto"/>
        <w:ind w:firstLine="708"/>
        <w:rPr>
          <w:b/>
        </w:rPr>
      </w:pPr>
      <w:r w:rsidRPr="001217DA">
        <w:rPr>
          <w:b/>
        </w:rPr>
        <w:t>Введение</w:t>
      </w:r>
    </w:p>
    <w:p w:rsidR="001217DA" w:rsidRDefault="001217DA" w:rsidP="00DF2522">
      <w:pPr>
        <w:spacing w:after="0" w:line="240" w:lineRule="auto"/>
        <w:ind w:firstLine="708"/>
        <w:jc w:val="both"/>
      </w:pPr>
      <w:r w:rsidRPr="00DF2522">
        <w:t xml:space="preserve">В 2014 году работа Администрации Гаринского городского округа строилась в </w:t>
      </w:r>
      <w:r w:rsidR="00DF2522">
        <w:t xml:space="preserve"> пределах полномочий, определенных федеральным, областным законодательством и Уставом Гаринского городского округа. </w:t>
      </w:r>
    </w:p>
    <w:p w:rsidR="001217DA" w:rsidRPr="00DF2522" w:rsidRDefault="00DF2522" w:rsidP="00DF2522">
      <w:pPr>
        <w:spacing w:after="0" w:line="240" w:lineRule="auto"/>
        <w:ind w:firstLine="708"/>
        <w:jc w:val="both"/>
      </w:pPr>
      <w:r>
        <w:t xml:space="preserve"> Реализация всех полномочий городского округа во многом зависит от обеспеченности финансами, так как именно состояние бюджета определяет наши возможности в решении поставленных перед нами задач.    </w:t>
      </w:r>
    </w:p>
    <w:p w:rsidR="00890EC5" w:rsidRDefault="00957A58" w:rsidP="001B44AB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t>Осн</w:t>
      </w:r>
      <w:r w:rsidR="001217DA">
        <w:t>овным достижением по итогам 2014</w:t>
      </w:r>
      <w:r>
        <w:t xml:space="preserve"> года является </w:t>
      </w:r>
      <w:r w:rsidR="00013349" w:rsidRPr="00013349">
        <w:rPr>
          <w:rFonts w:eastAsia="Times New Roman" w:cs="Times New Roman"/>
          <w:szCs w:val="28"/>
          <w:lang w:eastAsia="ru-RU"/>
        </w:rPr>
        <w:t xml:space="preserve">сохранение стабильной ситуации в Гаринском городском округе. </w:t>
      </w:r>
    </w:p>
    <w:p w:rsidR="00013349" w:rsidRDefault="00DF2522" w:rsidP="00013349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013349" w:rsidRPr="00013349">
        <w:rPr>
          <w:rFonts w:eastAsia="Times New Roman" w:cs="Times New Roman"/>
          <w:szCs w:val="28"/>
          <w:lang w:eastAsia="ru-RU"/>
        </w:rPr>
        <w:t xml:space="preserve">Наблюдается рост бюджетных инвестиций в социальную сферу и инфраструктуру городского округа, увеличилась заработная плата, возросла продолжительность жизни. </w:t>
      </w:r>
    </w:p>
    <w:p w:rsidR="00CB78A1" w:rsidRPr="00E44F96" w:rsidRDefault="00CB78A1" w:rsidP="00CB78A1">
      <w:pPr>
        <w:tabs>
          <w:tab w:val="left" w:pos="5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E44F96">
        <w:rPr>
          <w:szCs w:val="28"/>
        </w:rPr>
        <w:t>В целях реализации требований пункта 3 статьи 7 Федерального закона от 27.07.2010 г. № 210-ФЗ «Об организации предоставления государственных и муниципальных услуг» в Гаринском городском округе проведена следующая работа:</w:t>
      </w:r>
    </w:p>
    <w:p w:rsidR="00CB78A1" w:rsidRPr="00E44F96" w:rsidRDefault="00CB78A1" w:rsidP="00CB78A1">
      <w:pPr>
        <w:tabs>
          <w:tab w:val="left" w:pos="5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1) </w:t>
      </w:r>
      <w:r w:rsidRPr="00E44F96">
        <w:rPr>
          <w:szCs w:val="28"/>
        </w:rPr>
        <w:t>В Администрации Гаринского городского округа разработаны и утверждены 57 административных регламентов, регулирующих предоставление муниципальных услуг и функций,  а также в соответствии с  поэтапным планом мероприятий, обеспечивающего  выполнение поручений и достижение целевых показателей, установленных Указом Президента Российской Федерации от 7 мая 2012 года  № 601</w:t>
      </w:r>
      <w:r>
        <w:rPr>
          <w:szCs w:val="28"/>
        </w:rPr>
        <w:t>.</w:t>
      </w:r>
      <w:proofErr w:type="gramEnd"/>
    </w:p>
    <w:p w:rsidR="00CB78A1" w:rsidRPr="0092151E" w:rsidRDefault="00CB78A1" w:rsidP="00CB78A1">
      <w:pPr>
        <w:spacing w:after="0" w:line="240" w:lineRule="auto"/>
        <w:jc w:val="both"/>
        <w:rPr>
          <w:rFonts w:eastAsia="Calibri"/>
        </w:rPr>
      </w:pPr>
      <w:r w:rsidRPr="00A269CD">
        <w:rPr>
          <w:color w:val="FF0000"/>
          <w:szCs w:val="28"/>
        </w:rPr>
        <w:tab/>
      </w:r>
      <w:r w:rsidRPr="00345B76">
        <w:rPr>
          <w:szCs w:val="28"/>
        </w:rPr>
        <w:t>2</w:t>
      </w:r>
      <w:r w:rsidRPr="00345B76">
        <w:rPr>
          <w:rFonts w:eastAsia="Calibri"/>
        </w:rPr>
        <w:t>)</w:t>
      </w:r>
      <w:r>
        <w:rPr>
          <w:rFonts w:eastAsia="Calibri"/>
        </w:rPr>
        <w:t xml:space="preserve"> </w:t>
      </w:r>
      <w:r w:rsidRPr="0092151E">
        <w:rPr>
          <w:rFonts w:eastAsia="Calibri"/>
        </w:rPr>
        <w:t>Количество осуществленных межведомственных электронных запросов с начала 2014 года (для ИОГВ – субъекта) – 151 (специалисты работают только через Портал   Росреестра), общее количество межведомственных запросов, направленных на бумажном носителе - 89.</w:t>
      </w:r>
    </w:p>
    <w:p w:rsidR="00CB78A1" w:rsidRPr="0092151E" w:rsidRDefault="00CB78A1" w:rsidP="00CB78A1">
      <w:pPr>
        <w:spacing w:after="0" w:line="240" w:lineRule="auto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3) </w:t>
      </w:r>
      <w:r w:rsidRPr="0092151E">
        <w:rPr>
          <w:rFonts w:eastAsia="Calibri"/>
        </w:rPr>
        <w:t>С учетом особенностей предоставления услуг через МФЦ, вносятся изменения в Административные регламенты  и заключены соглашения с МФЦ от 17 июня 2014 года «О взаимодействии между уполномоченным многофункциональным центром - государственным бюджетным учреждением Свердловской области  «Многофункциональный центр предоставления государственных и муниципальных услуг» и  органами местного самоуправления Гаринского городского округа на 43 услуги, оказываемых по принципу «одного окна»:</w:t>
      </w:r>
      <w:proofErr w:type="gramEnd"/>
    </w:p>
    <w:p w:rsidR="00CB78A1" w:rsidRPr="0092151E" w:rsidRDefault="00CB78A1" w:rsidP="00CB78A1">
      <w:pPr>
        <w:spacing w:after="0" w:line="240" w:lineRule="auto"/>
        <w:ind w:firstLine="709"/>
        <w:jc w:val="both"/>
        <w:rPr>
          <w:rFonts w:eastAsia="Calibri"/>
        </w:rPr>
      </w:pPr>
      <w:r w:rsidRPr="0092151E">
        <w:rPr>
          <w:rFonts w:eastAsia="Calibri"/>
        </w:rPr>
        <w:t>*Администрацией Гаринского городского округа – 27 услуг;</w:t>
      </w:r>
    </w:p>
    <w:p w:rsidR="00CB78A1" w:rsidRPr="0092151E" w:rsidRDefault="00CB78A1" w:rsidP="00CB78A1">
      <w:pPr>
        <w:spacing w:after="0" w:line="240" w:lineRule="auto"/>
        <w:ind w:firstLine="709"/>
        <w:jc w:val="both"/>
        <w:rPr>
          <w:rFonts w:eastAsia="Calibri"/>
        </w:rPr>
      </w:pPr>
      <w:r w:rsidRPr="0092151E">
        <w:rPr>
          <w:rFonts w:eastAsia="Calibri"/>
        </w:rPr>
        <w:t>*Управление образования Гаринского городского округа – 6 услуг;</w:t>
      </w:r>
    </w:p>
    <w:p w:rsidR="00CB78A1" w:rsidRPr="0092151E" w:rsidRDefault="00CB78A1" w:rsidP="00CB78A1">
      <w:pPr>
        <w:spacing w:after="0" w:line="240" w:lineRule="auto"/>
        <w:ind w:firstLine="709"/>
        <w:jc w:val="both"/>
        <w:rPr>
          <w:rFonts w:eastAsia="Calibri"/>
        </w:rPr>
      </w:pPr>
      <w:r w:rsidRPr="0092151E">
        <w:rPr>
          <w:rFonts w:eastAsia="Calibri"/>
        </w:rPr>
        <w:t>*Управление культуры  Гаринского городского округа – 2 услуги;</w:t>
      </w:r>
    </w:p>
    <w:p w:rsidR="00CB78A1" w:rsidRDefault="00CB78A1" w:rsidP="00CB78A1">
      <w:pPr>
        <w:spacing w:after="0" w:line="240" w:lineRule="auto"/>
        <w:ind w:firstLine="709"/>
        <w:jc w:val="both"/>
        <w:rPr>
          <w:rFonts w:eastAsia="Calibri"/>
        </w:rPr>
      </w:pPr>
      <w:r w:rsidRPr="0092151E">
        <w:rPr>
          <w:rFonts w:eastAsia="Calibri"/>
        </w:rPr>
        <w:t xml:space="preserve">*Управление по благоустройству Гаринского городского округа – 8 услуг. </w:t>
      </w:r>
    </w:p>
    <w:p w:rsidR="00CB78A1" w:rsidRPr="0092151E" w:rsidRDefault="00CB78A1" w:rsidP="00CB78A1">
      <w:pPr>
        <w:spacing w:after="0" w:line="240" w:lineRule="auto"/>
        <w:ind w:firstLine="709"/>
        <w:jc w:val="both"/>
        <w:rPr>
          <w:rFonts w:eastAsia="Calibri"/>
        </w:rPr>
      </w:pPr>
      <w:r w:rsidRPr="0092151E">
        <w:rPr>
          <w:rFonts w:eastAsia="Calibri"/>
        </w:rPr>
        <w:t>В  Гаринском городском округе работа  по переводу муниципальных услуг в электронный вид завершена в полном объеме, все муниципальные услуги, запланированные к переводу в электронный вид, заведены в РГУ и имеют статус «опубликовано».</w:t>
      </w:r>
    </w:p>
    <w:p w:rsidR="00CB78A1" w:rsidRPr="00CB78A1" w:rsidRDefault="00CB78A1" w:rsidP="00CB78A1">
      <w:pPr>
        <w:spacing w:after="0" w:line="240" w:lineRule="auto"/>
        <w:ind w:firstLine="709"/>
        <w:jc w:val="both"/>
        <w:rPr>
          <w:rFonts w:eastAsia="Calibri"/>
        </w:rPr>
      </w:pPr>
      <w:r w:rsidRPr="00CB78A1">
        <w:rPr>
          <w:rFonts w:eastAsia="Calibri"/>
        </w:rPr>
        <w:t>В декабре 2014 года открыто государственное бюджетное учреждение Свердловской области  «Многофункциональный центр предоставления государственных и муниципальных услуг».</w:t>
      </w:r>
    </w:p>
    <w:p w:rsidR="00CB78A1" w:rsidRPr="00CB78A1" w:rsidRDefault="00CB78A1" w:rsidP="00CB78A1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2014 году о</w:t>
      </w:r>
      <w:r w:rsidRPr="0092151E">
        <w:rPr>
          <w:rFonts w:eastAsia="Calibri"/>
        </w:rPr>
        <w:t>беспечен широкополосный доступ интернет в Управлении по благоустройств</w:t>
      </w:r>
      <w:r>
        <w:rPr>
          <w:rFonts w:eastAsia="Calibri"/>
        </w:rPr>
        <w:t>у Гаринского городского округа.</w:t>
      </w:r>
    </w:p>
    <w:p w:rsidR="00CB78A1" w:rsidRPr="004614E7" w:rsidRDefault="00CB78A1" w:rsidP="00CB78A1">
      <w:pPr>
        <w:tabs>
          <w:tab w:val="left" w:pos="5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F768BE">
        <w:rPr>
          <w:szCs w:val="28"/>
        </w:rPr>
        <w:t>В 2014 году продолжилась</w:t>
      </w:r>
      <w:r w:rsidRPr="004614E7">
        <w:rPr>
          <w:szCs w:val="28"/>
        </w:rPr>
        <w:t xml:space="preserve"> работа по постановке автомобильных дорог на учет как объектов бесхозяйного имущества с последующим принятием в муниципальную собственность.</w:t>
      </w:r>
    </w:p>
    <w:p w:rsidR="00CB78A1" w:rsidRDefault="00CB78A1" w:rsidP="00CB78A1">
      <w:pPr>
        <w:tabs>
          <w:tab w:val="left" w:pos="540"/>
        </w:tabs>
        <w:spacing w:after="0" w:line="240" w:lineRule="auto"/>
        <w:jc w:val="both"/>
        <w:rPr>
          <w:szCs w:val="28"/>
        </w:rPr>
      </w:pPr>
      <w:r w:rsidRPr="00CE40C0">
        <w:rPr>
          <w:color w:val="FF0000"/>
          <w:szCs w:val="28"/>
        </w:rPr>
        <w:tab/>
      </w:r>
      <w:r w:rsidRPr="002F2F92">
        <w:rPr>
          <w:szCs w:val="28"/>
        </w:rPr>
        <w:t xml:space="preserve">В рамках муниципальной программы по использованию, охране и </w:t>
      </w:r>
      <w:r>
        <w:rPr>
          <w:szCs w:val="28"/>
        </w:rPr>
        <w:t>о</w:t>
      </w:r>
      <w:r w:rsidRPr="002F2F92">
        <w:rPr>
          <w:szCs w:val="28"/>
        </w:rPr>
        <w:t xml:space="preserve">бустройству источников нецентрализованного водоснабжения на территории Гаринского городского округа </w:t>
      </w:r>
      <w:r>
        <w:rPr>
          <w:szCs w:val="28"/>
        </w:rPr>
        <w:t>в</w:t>
      </w:r>
      <w:r w:rsidRPr="00922509">
        <w:rPr>
          <w:szCs w:val="28"/>
        </w:rPr>
        <w:t xml:space="preserve"> </w:t>
      </w:r>
      <w:r w:rsidRPr="00CB78A1">
        <w:rPr>
          <w:szCs w:val="28"/>
        </w:rPr>
        <w:t>2014</w:t>
      </w:r>
      <w:r w:rsidRPr="000E3019">
        <w:rPr>
          <w:b/>
          <w:szCs w:val="28"/>
        </w:rPr>
        <w:t xml:space="preserve"> </w:t>
      </w:r>
      <w:r>
        <w:rPr>
          <w:szCs w:val="28"/>
        </w:rPr>
        <w:t xml:space="preserve">обустроен 1 колодец в с. </w:t>
      </w:r>
      <w:proofErr w:type="spellStart"/>
      <w:r>
        <w:rPr>
          <w:szCs w:val="28"/>
        </w:rPr>
        <w:t>Шабурово</w:t>
      </w:r>
      <w:proofErr w:type="spellEnd"/>
      <w:r>
        <w:rPr>
          <w:szCs w:val="28"/>
        </w:rPr>
        <w:t xml:space="preserve"> и 1 родник на 36 км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а</w:t>
      </w:r>
      <w:proofErr w:type="gramEnd"/>
      <w:r>
        <w:rPr>
          <w:szCs w:val="28"/>
        </w:rPr>
        <w:t xml:space="preserve">втодороги р.п. Гари – р.п. Сосьва – г. Серов.   </w:t>
      </w:r>
    </w:p>
    <w:p w:rsidR="00CB78A1" w:rsidRDefault="00CB78A1" w:rsidP="00CB78A1">
      <w:pPr>
        <w:tabs>
          <w:tab w:val="left" w:pos="5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Обновлен инвестиционный паспорт Гаринского городского округа и направлен в Министерство экономики Свердловской области для размещения на инвестиционном портале. Инвестиционный паспорт размещен на сайте Гаринского городского округа.</w:t>
      </w:r>
    </w:p>
    <w:p w:rsidR="00CB78A1" w:rsidRPr="00CB78A1" w:rsidRDefault="00CB78A1" w:rsidP="00CB78A1">
      <w:pPr>
        <w:tabs>
          <w:tab w:val="left" w:pos="5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411FDB">
        <w:rPr>
          <w:szCs w:val="28"/>
        </w:rPr>
        <w:t xml:space="preserve">В рамках реализации ст. 54-7 закона Свердловской области от 07.07.2004 г № 18-ОЗ «Об особенностях регулирования земельных отношений на территории Свердловской области» за период </w:t>
      </w:r>
      <w:r w:rsidRPr="00CB78A1">
        <w:rPr>
          <w:szCs w:val="28"/>
        </w:rPr>
        <w:t xml:space="preserve">2012-2014 гг. однократно бесплатно в собственность граждан предоставлено 12 земельных участков. Очередь на предоставление на безвозмездной основе  (однократно бесплатно) </w:t>
      </w:r>
      <w:proofErr w:type="spellStart"/>
      <w:r w:rsidRPr="00CB78A1">
        <w:rPr>
          <w:szCs w:val="28"/>
        </w:rPr>
        <w:t>отсутсвует</w:t>
      </w:r>
      <w:proofErr w:type="spellEnd"/>
      <w:r w:rsidRPr="00CB78A1">
        <w:rPr>
          <w:szCs w:val="28"/>
        </w:rPr>
        <w:t>.</w:t>
      </w:r>
    </w:p>
    <w:p w:rsidR="00CB78A1" w:rsidRPr="004763B9" w:rsidRDefault="00CB78A1" w:rsidP="00CB78A1">
      <w:pPr>
        <w:spacing w:after="0" w:line="240" w:lineRule="auto"/>
        <w:jc w:val="both"/>
        <w:rPr>
          <w:rFonts w:eastAsia="Calibri"/>
        </w:rPr>
      </w:pPr>
      <w:r w:rsidRPr="00CB78A1">
        <w:rPr>
          <w:szCs w:val="28"/>
        </w:rPr>
        <w:tab/>
      </w:r>
      <w:r w:rsidRPr="00CB78A1">
        <w:rPr>
          <w:rFonts w:eastAsia="Calibri"/>
        </w:rPr>
        <w:t>Всего предоставлено земельных участков за 2014 год- 42</w:t>
      </w:r>
      <w:r w:rsidRPr="004763B9">
        <w:rPr>
          <w:rFonts w:eastAsia="Calibri"/>
        </w:rPr>
        <w:t xml:space="preserve"> , в том числе:</w:t>
      </w:r>
    </w:p>
    <w:p w:rsidR="00CB78A1" w:rsidRDefault="00CB78A1" w:rsidP="00CB78A1">
      <w:pPr>
        <w:spacing w:after="0" w:line="240" w:lineRule="auto"/>
        <w:jc w:val="both"/>
        <w:rPr>
          <w:rFonts w:eastAsia="Calibri"/>
        </w:rPr>
      </w:pPr>
      <w:r w:rsidRPr="004763B9">
        <w:rPr>
          <w:rFonts w:eastAsia="Calibri"/>
        </w:rPr>
        <w:t xml:space="preserve">- для индивидуального жилищного строительства – 12, общей площадью 20892 </w:t>
      </w:r>
      <w:proofErr w:type="spellStart"/>
      <w:r w:rsidRPr="004763B9">
        <w:rPr>
          <w:rFonts w:eastAsia="Calibri"/>
        </w:rPr>
        <w:t>кв</w:t>
      </w:r>
      <w:proofErr w:type="gramStart"/>
      <w:r w:rsidRPr="004763B9">
        <w:rPr>
          <w:rFonts w:eastAsia="Calibri"/>
        </w:rPr>
        <w:t>.м</w:t>
      </w:r>
      <w:proofErr w:type="spellEnd"/>
      <w:proofErr w:type="gramEnd"/>
    </w:p>
    <w:p w:rsidR="00CB78A1" w:rsidRPr="004763B9" w:rsidRDefault="00CB78A1" w:rsidP="00CB78A1">
      <w:pPr>
        <w:spacing w:after="0" w:line="240" w:lineRule="auto"/>
        <w:jc w:val="both"/>
        <w:rPr>
          <w:rFonts w:eastAsia="Calibri"/>
        </w:rPr>
      </w:pPr>
      <w:r w:rsidRPr="004763B9">
        <w:rPr>
          <w:rFonts w:eastAsia="Calibri"/>
        </w:rPr>
        <w:t xml:space="preserve">- для ведения личного подсобного хозяйства – 12, общей площадью 13030 </w:t>
      </w:r>
      <w:proofErr w:type="spellStart"/>
      <w:r w:rsidRPr="004763B9">
        <w:rPr>
          <w:rFonts w:eastAsia="Calibri"/>
        </w:rPr>
        <w:t>кв.м</w:t>
      </w:r>
      <w:proofErr w:type="spellEnd"/>
      <w:r w:rsidRPr="004763B9">
        <w:rPr>
          <w:rFonts w:eastAsia="Calibri"/>
        </w:rPr>
        <w:t>.;</w:t>
      </w:r>
    </w:p>
    <w:p w:rsidR="00CB78A1" w:rsidRPr="004763B9" w:rsidRDefault="00CB78A1" w:rsidP="00CB78A1">
      <w:pPr>
        <w:spacing w:after="0" w:line="240" w:lineRule="auto"/>
        <w:jc w:val="both"/>
        <w:rPr>
          <w:rFonts w:eastAsia="Calibri"/>
        </w:rPr>
      </w:pPr>
      <w:r w:rsidRPr="004763B9">
        <w:rPr>
          <w:rFonts w:eastAsia="Calibri"/>
        </w:rPr>
        <w:t xml:space="preserve">- для сельскохозяйственного использования – 10, общей площадью 1932998 </w:t>
      </w:r>
      <w:proofErr w:type="spellStart"/>
      <w:r w:rsidRPr="004763B9">
        <w:rPr>
          <w:rFonts w:eastAsia="Calibri"/>
        </w:rPr>
        <w:t>кв.м</w:t>
      </w:r>
      <w:proofErr w:type="spellEnd"/>
      <w:r w:rsidRPr="004763B9">
        <w:rPr>
          <w:rFonts w:eastAsia="Calibri"/>
        </w:rPr>
        <w:t>.;</w:t>
      </w:r>
    </w:p>
    <w:p w:rsidR="00CB78A1" w:rsidRPr="004763B9" w:rsidRDefault="00CB78A1" w:rsidP="00CB78A1">
      <w:pPr>
        <w:spacing w:after="0" w:line="240" w:lineRule="auto"/>
        <w:jc w:val="both"/>
        <w:rPr>
          <w:rFonts w:eastAsia="Calibri"/>
        </w:rPr>
      </w:pPr>
      <w:r w:rsidRPr="004763B9">
        <w:rPr>
          <w:rFonts w:eastAsia="Calibri"/>
        </w:rPr>
        <w:t xml:space="preserve">- прочие земельные участки – 8, общей площадью 13047 </w:t>
      </w:r>
      <w:proofErr w:type="spellStart"/>
      <w:r w:rsidRPr="004763B9">
        <w:rPr>
          <w:rFonts w:eastAsia="Calibri"/>
        </w:rPr>
        <w:t>кв.м</w:t>
      </w:r>
      <w:proofErr w:type="spellEnd"/>
      <w:r w:rsidRPr="004763B9">
        <w:rPr>
          <w:rFonts w:eastAsia="Calibri"/>
        </w:rPr>
        <w:t xml:space="preserve">., в том числе передано в собственность физических лиц – 2, общей площадью 2111 </w:t>
      </w:r>
      <w:proofErr w:type="spellStart"/>
      <w:r w:rsidRPr="004763B9">
        <w:rPr>
          <w:rFonts w:eastAsia="Calibri"/>
        </w:rPr>
        <w:t>кв.м</w:t>
      </w:r>
      <w:proofErr w:type="spellEnd"/>
      <w:r w:rsidRPr="004763B9">
        <w:rPr>
          <w:rFonts w:eastAsia="Calibri"/>
        </w:rPr>
        <w:t>.</w:t>
      </w:r>
    </w:p>
    <w:p w:rsidR="00CB78A1" w:rsidRPr="009525C3" w:rsidRDefault="00CB78A1" w:rsidP="009525C3">
      <w:pPr>
        <w:spacing w:after="0" w:line="240" w:lineRule="auto"/>
        <w:jc w:val="both"/>
        <w:rPr>
          <w:rFonts w:eastAsia="Calibri"/>
        </w:rPr>
      </w:pPr>
      <w:r w:rsidRPr="004763B9">
        <w:rPr>
          <w:rFonts w:eastAsia="Calibri"/>
        </w:rPr>
        <w:t xml:space="preserve">   </w:t>
      </w:r>
      <w:r>
        <w:rPr>
          <w:rFonts w:eastAsia="Calibri"/>
        </w:rPr>
        <w:tab/>
      </w:r>
      <w:r w:rsidRPr="004763B9">
        <w:rPr>
          <w:rFonts w:eastAsia="Calibri"/>
        </w:rPr>
        <w:t>Проведена работа по межеванию и постановке на государственный кадастровый учет 10 земельных участков с разрешенным использованием под индивиду</w:t>
      </w:r>
      <w:r w:rsidR="009525C3">
        <w:rPr>
          <w:rFonts w:eastAsia="Calibri"/>
        </w:rPr>
        <w:t xml:space="preserve">альное жилищное строительство. </w:t>
      </w:r>
    </w:p>
    <w:p w:rsidR="00CB78A1" w:rsidRDefault="00CB78A1" w:rsidP="00CB78A1">
      <w:pPr>
        <w:tabs>
          <w:tab w:val="left" w:pos="540"/>
        </w:tabs>
        <w:spacing w:after="0" w:line="240" w:lineRule="auto"/>
        <w:jc w:val="both"/>
        <w:rPr>
          <w:szCs w:val="28"/>
        </w:rPr>
      </w:pPr>
    </w:p>
    <w:p w:rsidR="00CB78A1" w:rsidRDefault="00CB78A1" w:rsidP="00CB78A1">
      <w:pPr>
        <w:tabs>
          <w:tab w:val="num" w:pos="0"/>
          <w:tab w:val="left" w:pos="540"/>
        </w:tabs>
        <w:spacing w:after="0" w:line="240" w:lineRule="auto"/>
        <w:ind w:right="33"/>
        <w:jc w:val="both"/>
        <w:rPr>
          <w:b/>
          <w:szCs w:val="28"/>
        </w:rPr>
      </w:pPr>
      <w:r>
        <w:rPr>
          <w:b/>
          <w:szCs w:val="28"/>
        </w:rPr>
        <w:tab/>
      </w:r>
      <w:r w:rsidRPr="00F1620A">
        <w:rPr>
          <w:b/>
          <w:szCs w:val="28"/>
          <w:lang w:val="en-US"/>
        </w:rPr>
        <w:t>IV</w:t>
      </w:r>
      <w:r w:rsidRPr="00F1620A">
        <w:rPr>
          <w:b/>
          <w:szCs w:val="28"/>
        </w:rPr>
        <w:t>. Проблемные вопросы Гаринского городского округа</w:t>
      </w:r>
      <w:r>
        <w:rPr>
          <w:b/>
          <w:szCs w:val="28"/>
        </w:rPr>
        <w:t>:</w:t>
      </w:r>
    </w:p>
    <w:p w:rsidR="00CB78A1" w:rsidRDefault="00CB78A1" w:rsidP="00CB78A1">
      <w:pPr>
        <w:tabs>
          <w:tab w:val="num" w:pos="0"/>
          <w:tab w:val="left" w:pos="540"/>
        </w:tabs>
        <w:spacing w:after="0" w:line="240" w:lineRule="auto"/>
        <w:ind w:right="33"/>
        <w:jc w:val="both"/>
        <w:rPr>
          <w:szCs w:val="28"/>
        </w:rPr>
      </w:pPr>
      <w:r>
        <w:rPr>
          <w:szCs w:val="28"/>
        </w:rPr>
        <w:tab/>
        <w:t>- строительство и реконструкция дорог в районе;</w:t>
      </w:r>
    </w:p>
    <w:p w:rsidR="00CB78A1" w:rsidRDefault="00CB78A1" w:rsidP="00CB78A1">
      <w:pPr>
        <w:tabs>
          <w:tab w:val="num" w:pos="0"/>
          <w:tab w:val="left" w:pos="540"/>
        </w:tabs>
        <w:spacing w:after="0" w:line="240" w:lineRule="auto"/>
        <w:ind w:right="33"/>
        <w:jc w:val="both"/>
        <w:rPr>
          <w:szCs w:val="28"/>
        </w:rPr>
      </w:pPr>
      <w:r>
        <w:rPr>
          <w:szCs w:val="28"/>
        </w:rPr>
        <w:tab/>
        <w:t>- авиационное сообщение с населенными пунктами;</w:t>
      </w:r>
    </w:p>
    <w:p w:rsidR="00CB78A1" w:rsidRDefault="00CB78A1" w:rsidP="00CB78A1">
      <w:pPr>
        <w:pStyle w:val="ad"/>
        <w:tabs>
          <w:tab w:val="left" w:pos="540"/>
        </w:tabs>
        <w:spacing w:before="0" w:line="240" w:lineRule="auto"/>
        <w:ind w:firstLine="0"/>
      </w:pPr>
      <w:r>
        <w:tab/>
        <w:t>- капитальный ремонт и передача электрических сетей на обслуживание электросетевой компании;</w:t>
      </w:r>
    </w:p>
    <w:p w:rsidR="00CB78A1" w:rsidRDefault="00CB78A1" w:rsidP="00CB78A1">
      <w:pPr>
        <w:tabs>
          <w:tab w:val="num" w:pos="0"/>
          <w:tab w:val="left" w:pos="540"/>
        </w:tabs>
        <w:spacing w:after="0" w:line="240" w:lineRule="auto"/>
        <w:ind w:right="33"/>
        <w:jc w:val="both"/>
        <w:rPr>
          <w:szCs w:val="28"/>
        </w:rPr>
      </w:pPr>
      <w:r>
        <w:rPr>
          <w:szCs w:val="28"/>
        </w:rPr>
        <w:tab/>
        <w:t>- кадровое укомплектование медицинской службы;</w:t>
      </w:r>
    </w:p>
    <w:p w:rsidR="00CB78A1" w:rsidRDefault="00CB78A1" w:rsidP="00CB78A1">
      <w:pPr>
        <w:tabs>
          <w:tab w:val="num" w:pos="0"/>
          <w:tab w:val="left" w:pos="540"/>
        </w:tabs>
        <w:spacing w:after="0" w:line="240" w:lineRule="auto"/>
        <w:ind w:right="33"/>
        <w:jc w:val="both"/>
        <w:rPr>
          <w:szCs w:val="28"/>
        </w:rPr>
      </w:pPr>
      <w:r>
        <w:rPr>
          <w:szCs w:val="28"/>
        </w:rPr>
        <w:tab/>
        <w:t>- отсутствие сотовой связи (в населенных пунктах) на территориях Ереминского, Верх-</w:t>
      </w:r>
      <w:proofErr w:type="spellStart"/>
      <w:r>
        <w:rPr>
          <w:szCs w:val="28"/>
        </w:rPr>
        <w:t>Пелымского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Кузнецовкого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Крутореченского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Шабуровского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Ликинского</w:t>
      </w:r>
      <w:proofErr w:type="spellEnd"/>
      <w:r>
        <w:rPr>
          <w:szCs w:val="28"/>
        </w:rPr>
        <w:t xml:space="preserve"> территориальных округов.</w:t>
      </w:r>
    </w:p>
    <w:p w:rsidR="004A1309" w:rsidRDefault="004A1309" w:rsidP="00CB78A1">
      <w:pPr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jc w:val="both"/>
      </w:pPr>
    </w:p>
    <w:p w:rsidR="00F123C5" w:rsidRPr="00190232" w:rsidRDefault="00F123C5" w:rsidP="007E4C42">
      <w:pPr>
        <w:pStyle w:val="a5"/>
        <w:numPr>
          <w:ilvl w:val="0"/>
          <w:numId w:val="12"/>
        </w:numPr>
        <w:rPr>
          <w:b/>
        </w:rPr>
      </w:pPr>
      <w:r w:rsidRPr="00190232">
        <w:rPr>
          <w:b/>
        </w:rPr>
        <w:t>Бюджет Гаринского городского округа</w:t>
      </w:r>
    </w:p>
    <w:p w:rsidR="0075674F" w:rsidRPr="00D544DB" w:rsidRDefault="00D544DB" w:rsidP="00351312">
      <w:pPr>
        <w:tabs>
          <w:tab w:val="left" w:pos="567"/>
        </w:tabs>
        <w:spacing w:after="0" w:line="240" w:lineRule="auto"/>
        <w:ind w:firstLine="567"/>
        <w:jc w:val="both"/>
        <w:rPr>
          <w:rFonts w:eastAsia="SimSun" w:cs="Times New Roman"/>
          <w:b/>
          <w:szCs w:val="28"/>
          <w:lang w:eastAsia="zh-CN"/>
        </w:rPr>
      </w:pPr>
      <w:r>
        <w:rPr>
          <w:rFonts w:eastAsia="SimSun" w:cs="Times New Roman"/>
          <w:b/>
          <w:sz w:val="24"/>
          <w:szCs w:val="24"/>
          <w:lang w:eastAsia="zh-CN"/>
        </w:rPr>
        <w:tab/>
      </w:r>
      <w:r w:rsidRPr="00D544DB">
        <w:rPr>
          <w:rFonts w:eastAsia="SimSun" w:cs="Times New Roman"/>
          <w:b/>
          <w:szCs w:val="28"/>
          <w:lang w:eastAsia="zh-CN"/>
        </w:rPr>
        <w:t>Доходы</w:t>
      </w:r>
    </w:p>
    <w:p w:rsidR="00351312" w:rsidRPr="00D4369A" w:rsidRDefault="00351312" w:rsidP="00351312">
      <w:pPr>
        <w:spacing w:before="100" w:beforeAutospacing="1" w:after="0" w:line="240" w:lineRule="auto"/>
        <w:jc w:val="both"/>
        <w:rPr>
          <w:szCs w:val="28"/>
          <w:lang w:eastAsia="ru-RU"/>
        </w:rPr>
      </w:pPr>
      <w:r>
        <w:rPr>
          <w:rFonts w:eastAsia="SimSun" w:cs="Times New Roman"/>
          <w:szCs w:val="28"/>
          <w:lang w:eastAsia="zh-CN"/>
        </w:rPr>
        <w:t xml:space="preserve">        </w:t>
      </w:r>
      <w:r w:rsidRPr="00D4369A">
        <w:rPr>
          <w:szCs w:val="28"/>
          <w:lang w:eastAsia="ru-RU"/>
        </w:rPr>
        <w:t>Плановые показатели поступления доходов в бюджет Гаринского городского округа рассчитывались исходя из прогнозируемого объема налоговых и неналоговых доходов, безвозмездных поступлений из областного бюджета и необходимости обеспечения сбалансированности бюджета.</w:t>
      </w:r>
    </w:p>
    <w:p w:rsidR="00351312" w:rsidRPr="00D4369A" w:rsidRDefault="00351312" w:rsidP="00351312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D4369A">
        <w:rPr>
          <w:szCs w:val="28"/>
          <w:lang w:eastAsia="ru-RU"/>
        </w:rPr>
        <w:t>Доходная часть бюджета Гаринского городского округа с учетом безвозмездных поступлений за 2014 год исполнена в сумме 176 925,5</w:t>
      </w:r>
      <w:r w:rsidRPr="00D4369A">
        <w:rPr>
          <w:lang w:eastAsia="ru-RU"/>
        </w:rPr>
        <w:t xml:space="preserve"> </w:t>
      </w:r>
      <w:r w:rsidRPr="00D4369A">
        <w:rPr>
          <w:szCs w:val="28"/>
          <w:lang w:eastAsia="ru-RU"/>
        </w:rPr>
        <w:t>тыс. руб.  или на 95,7</w:t>
      </w:r>
      <w:r>
        <w:rPr>
          <w:szCs w:val="28"/>
          <w:lang w:eastAsia="ru-RU"/>
        </w:rPr>
        <w:t xml:space="preserve"> % к уточненному годовому плану.</w:t>
      </w:r>
    </w:p>
    <w:p w:rsidR="00351312" w:rsidRPr="00D4369A" w:rsidRDefault="00351312" w:rsidP="00351312">
      <w:pPr>
        <w:spacing w:after="0" w:line="240" w:lineRule="auto"/>
        <w:ind w:firstLine="708"/>
        <w:jc w:val="both"/>
        <w:rPr>
          <w:szCs w:val="28"/>
          <w:lang w:eastAsia="ru-RU"/>
        </w:rPr>
      </w:pPr>
    </w:p>
    <w:p w:rsidR="00351312" w:rsidRPr="00D4369A" w:rsidRDefault="00351312" w:rsidP="00351312">
      <w:pPr>
        <w:spacing w:after="0" w:line="240" w:lineRule="auto"/>
        <w:jc w:val="both"/>
        <w:rPr>
          <w:szCs w:val="28"/>
          <w:lang w:eastAsia="ru-RU"/>
        </w:rPr>
      </w:pPr>
      <w:r w:rsidRPr="00D4369A">
        <w:rPr>
          <w:szCs w:val="28"/>
          <w:lang w:eastAsia="ru-RU"/>
        </w:rPr>
        <w:tab/>
        <w:t>Основные показатели исполнения доходов бюджета Гаринского городского округа представлены в следующей таблице:</w:t>
      </w:r>
    </w:p>
    <w:p w:rsidR="00351312" w:rsidRPr="00351312" w:rsidRDefault="00351312" w:rsidP="00351312">
      <w:pPr>
        <w:spacing w:after="0" w:line="240" w:lineRule="auto"/>
        <w:ind w:left="7082" w:firstLine="709"/>
        <w:rPr>
          <w:szCs w:val="28"/>
          <w:lang w:eastAsia="ru-RU"/>
        </w:rPr>
      </w:pPr>
      <w:r w:rsidRPr="00D4369A">
        <w:rPr>
          <w:szCs w:val="28"/>
          <w:lang w:eastAsia="ru-RU"/>
        </w:rPr>
        <w:t>ты</w:t>
      </w:r>
      <w:bookmarkStart w:id="1" w:name="_MON_1394447602"/>
      <w:bookmarkStart w:id="2" w:name="_MON_1394447638"/>
      <w:bookmarkStart w:id="3" w:name="_MON_1394447669"/>
      <w:bookmarkStart w:id="4" w:name="_MON_1394447683"/>
      <w:bookmarkStart w:id="5" w:name="_MON_1394447697"/>
      <w:bookmarkStart w:id="6" w:name="_MON_1394447713"/>
      <w:bookmarkStart w:id="7" w:name="_MON_1394447754"/>
      <w:bookmarkStart w:id="8" w:name="_MON_1394447930"/>
      <w:bookmarkStart w:id="9" w:name="_MON_1394447951"/>
      <w:bookmarkStart w:id="10" w:name="_MON_1394448123"/>
      <w:bookmarkStart w:id="11" w:name="_MON_1394450271"/>
      <w:bookmarkStart w:id="12" w:name="_MON_1394453239"/>
      <w:bookmarkStart w:id="13" w:name="_MON_1426510919"/>
      <w:bookmarkStart w:id="14" w:name="_MON_1426513240"/>
      <w:bookmarkStart w:id="15" w:name="_MON_1426513276"/>
      <w:bookmarkStart w:id="16" w:name="_MON_13944475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4369A">
        <w:rPr>
          <w:szCs w:val="28"/>
          <w:lang w:eastAsia="ru-RU"/>
        </w:rPr>
        <w:t>с. руб.</w:t>
      </w: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1744"/>
        <w:gridCol w:w="1100"/>
        <w:gridCol w:w="1117"/>
        <w:gridCol w:w="1446"/>
        <w:gridCol w:w="1096"/>
        <w:gridCol w:w="1042"/>
        <w:gridCol w:w="1669"/>
      </w:tblGrid>
      <w:tr w:rsidR="00351312" w:rsidRPr="00D4369A" w:rsidTr="00351312">
        <w:trPr>
          <w:trHeight w:val="31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rFonts w:ascii="Arial CYR" w:hAnsi="Arial CYR" w:cs="Arial CYR"/>
                <w:sz w:val="22"/>
                <w:lang w:eastAsia="ru-RU"/>
              </w:rPr>
            </w:pPr>
            <w:r w:rsidRPr="00D4369A">
              <w:rPr>
                <w:rFonts w:ascii="Arial CYR" w:hAnsi="Arial CYR" w:cs="Arial CYR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Исполнено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rFonts w:ascii="Arial CYR" w:hAnsi="Arial CYR" w:cs="Arial CYR"/>
                <w:sz w:val="22"/>
                <w:lang w:eastAsia="ru-RU"/>
              </w:rPr>
            </w:pPr>
            <w:r w:rsidRPr="00D4369A">
              <w:rPr>
                <w:rFonts w:ascii="Arial CYR" w:hAnsi="Arial CYR" w:cs="Arial CYR"/>
                <w:sz w:val="22"/>
                <w:lang w:eastAsia="ru-RU"/>
              </w:rPr>
              <w:t>Отклонение</w:t>
            </w:r>
            <w:proofErr w:type="gramStart"/>
            <w:r w:rsidRPr="00D4369A">
              <w:rPr>
                <w:rFonts w:ascii="Arial CYR" w:hAnsi="Arial CYR" w:cs="Arial CYR"/>
                <w:sz w:val="22"/>
                <w:lang w:eastAsia="ru-RU"/>
              </w:rPr>
              <w:t xml:space="preserve"> (+,-)</w:t>
            </w:r>
            <w:proofErr w:type="gramEnd"/>
          </w:p>
        </w:tc>
        <w:tc>
          <w:tcPr>
            <w:tcW w:w="2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% исполнения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2014 к 2013 году</w:t>
            </w:r>
            <w:proofErr w:type="gramStart"/>
            <w:r w:rsidRPr="00D4369A">
              <w:rPr>
                <w:sz w:val="22"/>
                <w:lang w:eastAsia="ru-RU"/>
              </w:rPr>
              <w:t xml:space="preserve"> (%)</w:t>
            </w:r>
            <w:proofErr w:type="gramEnd"/>
          </w:p>
        </w:tc>
      </w:tr>
      <w:tr w:rsidR="00351312" w:rsidRPr="00D4369A" w:rsidTr="00351312">
        <w:trPr>
          <w:trHeight w:val="61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312" w:rsidRPr="00D4369A" w:rsidRDefault="00351312" w:rsidP="00351312">
            <w:pPr>
              <w:spacing w:line="240" w:lineRule="auto"/>
              <w:rPr>
                <w:rFonts w:ascii="Arial CYR" w:hAnsi="Arial CYR" w:cs="Arial CYR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2013 год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2014 год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312" w:rsidRPr="00D4369A" w:rsidRDefault="00351312" w:rsidP="00351312">
            <w:pPr>
              <w:spacing w:line="240" w:lineRule="auto"/>
              <w:rPr>
                <w:rFonts w:ascii="Arial CYR" w:hAnsi="Arial CYR" w:cs="Arial CYR"/>
                <w:sz w:val="22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2013 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2014 год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312" w:rsidRPr="00D4369A" w:rsidRDefault="00351312" w:rsidP="00351312">
            <w:pPr>
              <w:spacing w:line="240" w:lineRule="auto"/>
              <w:rPr>
                <w:rFonts w:ascii="Arial CYR" w:hAnsi="Arial CYR" w:cs="Arial CYR"/>
                <w:sz w:val="22"/>
                <w:lang w:eastAsia="ru-RU"/>
              </w:rPr>
            </w:pPr>
          </w:p>
        </w:tc>
      </w:tr>
      <w:tr w:rsidR="00351312" w:rsidRPr="00D4369A" w:rsidTr="00351312">
        <w:trPr>
          <w:trHeight w:val="315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65 874,7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56 926,4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rFonts w:ascii="Arial CYR" w:hAnsi="Arial CYR" w:cs="Arial CYR"/>
                <w:sz w:val="22"/>
                <w:lang w:eastAsia="ru-RU"/>
              </w:rPr>
            </w:pPr>
            <w:r w:rsidRPr="00D4369A">
              <w:rPr>
                <w:rFonts w:ascii="Arial CYR" w:hAnsi="Arial CYR" w:cs="Arial CYR"/>
                <w:sz w:val="22"/>
                <w:lang w:eastAsia="ru-RU"/>
              </w:rPr>
              <w:t>- 8 948,3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109,8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93,4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86,4</w:t>
            </w:r>
          </w:p>
        </w:tc>
      </w:tr>
      <w:tr w:rsidR="00351312" w:rsidRPr="00D4369A" w:rsidTr="00351312">
        <w:trPr>
          <w:trHeight w:val="3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4 060,2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5 793,6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rFonts w:ascii="Arial CYR" w:hAnsi="Arial CYR" w:cs="Arial CYR"/>
                <w:sz w:val="22"/>
                <w:lang w:eastAsia="ru-RU"/>
              </w:rPr>
            </w:pPr>
            <w:r w:rsidRPr="00D4369A">
              <w:rPr>
                <w:rFonts w:ascii="Arial CYR" w:hAnsi="Arial CYR" w:cs="Arial CYR"/>
                <w:sz w:val="22"/>
                <w:lang w:eastAsia="ru-RU"/>
              </w:rPr>
              <w:t>+ 1 733,4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103,9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106,5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142,7</w:t>
            </w:r>
          </w:p>
        </w:tc>
      </w:tr>
      <w:tr w:rsidR="00351312" w:rsidRPr="00D4369A" w:rsidTr="00351312">
        <w:trPr>
          <w:trHeight w:val="6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Безвозмездные перечисления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131 667,2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114 205,5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rFonts w:ascii="Arial CYR" w:hAnsi="Arial CYR" w:cs="Arial CYR"/>
                <w:sz w:val="22"/>
                <w:lang w:eastAsia="ru-RU"/>
              </w:rPr>
            </w:pPr>
            <w:r w:rsidRPr="00D4369A">
              <w:rPr>
                <w:rFonts w:ascii="Arial CYR" w:hAnsi="Arial CYR" w:cs="Arial CYR"/>
                <w:sz w:val="22"/>
                <w:lang w:eastAsia="ru-RU"/>
              </w:rPr>
              <w:t>- 17 461,7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</w:p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94,3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</w:p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96,4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86,7</w:t>
            </w:r>
          </w:p>
        </w:tc>
      </w:tr>
      <w:tr w:rsidR="00351312" w:rsidRPr="00D4369A" w:rsidTr="00351312">
        <w:trPr>
          <w:trHeight w:val="3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Всего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201 602,1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176 925,5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rFonts w:ascii="Arial CYR" w:hAnsi="Arial CYR" w:cs="Arial CYR"/>
                <w:sz w:val="22"/>
                <w:lang w:eastAsia="ru-RU"/>
              </w:rPr>
            </w:pPr>
            <w:r w:rsidRPr="00D4369A">
              <w:rPr>
                <w:rFonts w:ascii="Arial CYR" w:hAnsi="Arial CYR" w:cs="Arial CYR"/>
                <w:sz w:val="22"/>
                <w:lang w:eastAsia="ru-RU"/>
              </w:rPr>
              <w:t>- 24 676,6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99,0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95,7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2"/>
                <w:lang w:eastAsia="ru-RU"/>
              </w:rPr>
            </w:pPr>
            <w:r w:rsidRPr="00D4369A">
              <w:rPr>
                <w:sz w:val="22"/>
                <w:lang w:eastAsia="ru-RU"/>
              </w:rPr>
              <w:t>87,8</w:t>
            </w:r>
          </w:p>
        </w:tc>
      </w:tr>
    </w:tbl>
    <w:p w:rsidR="00351312" w:rsidRPr="00D4369A" w:rsidRDefault="00351312" w:rsidP="00351312">
      <w:pPr>
        <w:spacing w:line="240" w:lineRule="auto"/>
        <w:jc w:val="both"/>
        <w:rPr>
          <w:lang w:eastAsia="ru-RU"/>
        </w:rPr>
      </w:pPr>
    </w:p>
    <w:p w:rsidR="00351312" w:rsidRPr="00D4369A" w:rsidRDefault="00351312" w:rsidP="00190232">
      <w:pPr>
        <w:spacing w:line="240" w:lineRule="auto"/>
        <w:jc w:val="both"/>
        <w:rPr>
          <w:szCs w:val="28"/>
          <w:lang w:eastAsia="ru-RU"/>
        </w:rPr>
      </w:pPr>
      <w:r w:rsidRPr="00D4369A">
        <w:rPr>
          <w:lang w:eastAsia="ru-RU"/>
        </w:rPr>
        <w:tab/>
      </w:r>
      <w:r w:rsidRPr="00D4369A">
        <w:rPr>
          <w:szCs w:val="28"/>
          <w:lang w:eastAsia="ru-RU"/>
        </w:rPr>
        <w:t>В структуре доходов бюджета Гаринского городского округа в 2014 году по сравнению с 2013 годом доля налоговых и неналоговых доходов  составляет 35,5 %, доля безвозмездных поступлений составляет 64,5 %.</w:t>
      </w:r>
    </w:p>
    <w:p w:rsidR="00351312" w:rsidRPr="00D4369A" w:rsidRDefault="00351312" w:rsidP="00190232">
      <w:pPr>
        <w:spacing w:line="240" w:lineRule="auto"/>
        <w:jc w:val="both"/>
        <w:rPr>
          <w:szCs w:val="28"/>
          <w:lang w:eastAsia="ru-RU"/>
        </w:rPr>
      </w:pPr>
      <w:r w:rsidRPr="00D4369A">
        <w:rPr>
          <w:szCs w:val="28"/>
          <w:lang w:eastAsia="ru-RU"/>
        </w:rPr>
        <w:tab/>
        <w:t xml:space="preserve">Объем </w:t>
      </w:r>
      <w:r>
        <w:rPr>
          <w:szCs w:val="28"/>
          <w:lang w:eastAsia="ru-RU"/>
        </w:rPr>
        <w:t>налоговых и неналоговых</w:t>
      </w:r>
      <w:r w:rsidRPr="00D4369A">
        <w:rPr>
          <w:szCs w:val="28"/>
          <w:lang w:eastAsia="ru-RU"/>
        </w:rPr>
        <w:t xml:space="preserve"> доходов составил 62 720 тыс. руб. или 94,5 % к уточненному годовому плану, или не </w:t>
      </w:r>
      <w:proofErr w:type="gramStart"/>
      <w:r w:rsidRPr="00D4369A">
        <w:rPr>
          <w:szCs w:val="28"/>
          <w:lang w:eastAsia="ru-RU"/>
        </w:rPr>
        <w:t>до</w:t>
      </w:r>
      <w:proofErr w:type="gramEnd"/>
      <w:r w:rsidRPr="00D4369A">
        <w:rPr>
          <w:szCs w:val="28"/>
          <w:lang w:eastAsia="ru-RU"/>
        </w:rPr>
        <w:t xml:space="preserve"> поступило </w:t>
      </w:r>
      <w:proofErr w:type="gramStart"/>
      <w:r w:rsidRPr="00D4369A">
        <w:rPr>
          <w:szCs w:val="28"/>
          <w:lang w:eastAsia="ru-RU"/>
        </w:rPr>
        <w:t>в</w:t>
      </w:r>
      <w:proofErr w:type="gramEnd"/>
      <w:r w:rsidRPr="00D4369A">
        <w:rPr>
          <w:szCs w:val="28"/>
          <w:lang w:eastAsia="ru-RU"/>
        </w:rPr>
        <w:t xml:space="preserve"> бюджет 3 671,4 тыс. руб.</w:t>
      </w:r>
    </w:p>
    <w:p w:rsidR="00351312" w:rsidRPr="00D4369A" w:rsidRDefault="00351312" w:rsidP="00190232">
      <w:pPr>
        <w:spacing w:after="120" w:line="240" w:lineRule="auto"/>
        <w:ind w:firstLine="708"/>
        <w:jc w:val="both"/>
        <w:rPr>
          <w:szCs w:val="28"/>
          <w:lang w:eastAsia="ru-RU"/>
        </w:rPr>
      </w:pPr>
      <w:r w:rsidRPr="00D4369A">
        <w:rPr>
          <w:b/>
          <w:szCs w:val="28"/>
          <w:lang w:eastAsia="ru-RU"/>
        </w:rPr>
        <w:t>Налоговые доходы</w:t>
      </w:r>
    </w:p>
    <w:p w:rsidR="00351312" w:rsidRPr="00D4369A" w:rsidRDefault="00351312" w:rsidP="00190232">
      <w:pPr>
        <w:spacing w:after="120" w:line="240" w:lineRule="auto"/>
        <w:ind w:firstLine="708"/>
        <w:jc w:val="both"/>
        <w:rPr>
          <w:szCs w:val="28"/>
          <w:lang w:eastAsia="ru-RU"/>
        </w:rPr>
      </w:pPr>
      <w:r w:rsidRPr="00D4369A">
        <w:rPr>
          <w:szCs w:val="28"/>
          <w:lang w:eastAsia="ru-RU"/>
        </w:rPr>
        <w:t>Поступление налоговых доходов в 2014 году составило 56 926,4 тыс. руб. или 93,4 % к уточненному годовому плану, ниже запланированного поступило 4 022,9 тыс. руб. Плановые показатели выполнены только по налогам на совокупный доход и земельному налогу.</w:t>
      </w:r>
    </w:p>
    <w:p w:rsidR="00351312" w:rsidRDefault="00351312" w:rsidP="00190232">
      <w:pPr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D4369A">
        <w:rPr>
          <w:szCs w:val="28"/>
          <w:lang w:eastAsia="ru-RU"/>
        </w:rPr>
        <w:t xml:space="preserve"> Исполнение основных налоговых доходов районного бюджета представлено в следующей таб</w:t>
      </w:r>
      <w:bookmarkStart w:id="17" w:name="_MON_1394461845"/>
      <w:bookmarkStart w:id="18" w:name="_MON_1426512996"/>
      <w:bookmarkStart w:id="19" w:name="_MON_1426513302"/>
      <w:bookmarkStart w:id="20" w:name="_MON_1394458353"/>
      <w:bookmarkEnd w:id="17"/>
      <w:bookmarkEnd w:id="18"/>
      <w:bookmarkEnd w:id="19"/>
      <w:bookmarkEnd w:id="20"/>
      <w:r w:rsidRPr="00D4369A">
        <w:rPr>
          <w:szCs w:val="28"/>
          <w:lang w:eastAsia="ru-RU"/>
        </w:rPr>
        <w:t>лице:</w:t>
      </w:r>
    </w:p>
    <w:p w:rsidR="00351312" w:rsidRPr="00D4369A" w:rsidRDefault="00351312" w:rsidP="00351312">
      <w:pPr>
        <w:spacing w:line="240" w:lineRule="auto"/>
        <w:rPr>
          <w:szCs w:val="28"/>
          <w:lang w:eastAsia="ru-RU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2235"/>
        <w:gridCol w:w="1297"/>
        <w:gridCol w:w="1159"/>
        <w:gridCol w:w="1415"/>
        <w:gridCol w:w="1159"/>
        <w:gridCol w:w="1316"/>
        <w:gridCol w:w="959"/>
      </w:tblGrid>
      <w:tr w:rsidR="00351312" w:rsidRPr="00D4369A" w:rsidTr="003B2D98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Уточненный план на 2014 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Исполнено за 2014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% от плана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Исполнено за 2013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Рост (снижение) поступлений в 2014 году к 2013 году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51312" w:rsidRPr="00D4369A" w:rsidTr="003B2D98">
        <w:trPr>
          <w:trHeight w:val="3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в сумме</w:t>
            </w:r>
          </w:p>
        </w:tc>
      </w:tr>
      <w:tr w:rsidR="00351312" w:rsidRPr="00D4369A" w:rsidTr="003B2D98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НАЛОГОВЫЕ ДОХОДЫ ВСЕГО, 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60 949,3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56 926,4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65 874,7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- 8 948,3</w:t>
            </w:r>
          </w:p>
        </w:tc>
      </w:tr>
      <w:tr w:rsidR="00351312" w:rsidRPr="00D4369A" w:rsidTr="003B2D98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58 460,3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54 511,6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63 667,0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-9 155,4</w:t>
            </w:r>
          </w:p>
        </w:tc>
      </w:tr>
      <w:tr w:rsidR="00351312" w:rsidRPr="00D4369A" w:rsidTr="003B2D98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351312" w:rsidRPr="00D4369A" w:rsidTr="003B2D98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1 163,0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1 164,0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1 193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-29,0</w:t>
            </w:r>
          </w:p>
        </w:tc>
      </w:tr>
      <w:tr w:rsidR="00351312" w:rsidRPr="00D4369A" w:rsidTr="003B2D98">
        <w:trPr>
          <w:trHeight w:val="4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756,3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814,6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-58,3</w:t>
            </w:r>
          </w:p>
        </w:tc>
      </w:tr>
      <w:tr w:rsidR="00351312" w:rsidRPr="00D4369A" w:rsidTr="003B2D98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-26,5</w:t>
            </w:r>
          </w:p>
        </w:tc>
      </w:tr>
      <w:tr w:rsidR="00351312" w:rsidRPr="00D4369A" w:rsidTr="003B2D98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Задолженность по отмененным налогам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 xml:space="preserve">               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 xml:space="preserve">           18,2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 xml:space="preserve">                  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D4369A" w:rsidRDefault="00351312" w:rsidP="0035131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4369A">
              <w:rPr>
                <w:sz w:val="20"/>
                <w:szCs w:val="20"/>
                <w:lang w:eastAsia="ru-RU"/>
              </w:rPr>
              <w:t xml:space="preserve">   +16, 9</w:t>
            </w:r>
          </w:p>
        </w:tc>
      </w:tr>
    </w:tbl>
    <w:p w:rsidR="00351312" w:rsidRDefault="00351312" w:rsidP="00351312">
      <w:pPr>
        <w:tabs>
          <w:tab w:val="left" w:pos="1114"/>
        </w:tabs>
        <w:spacing w:after="0"/>
        <w:rPr>
          <w:szCs w:val="28"/>
          <w:lang w:eastAsia="ru-RU"/>
        </w:rPr>
      </w:pPr>
    </w:p>
    <w:p w:rsidR="00351312" w:rsidRPr="00D4369A" w:rsidRDefault="00351312" w:rsidP="00190232">
      <w:pPr>
        <w:spacing w:line="240" w:lineRule="auto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 </w:t>
      </w:r>
      <w:r w:rsidRPr="00D4369A">
        <w:rPr>
          <w:b/>
          <w:szCs w:val="28"/>
          <w:lang w:eastAsia="ru-RU"/>
        </w:rPr>
        <w:t>Неналоговые доходы.</w:t>
      </w:r>
    </w:p>
    <w:p w:rsidR="00351312" w:rsidRDefault="00351312" w:rsidP="00190232">
      <w:pPr>
        <w:spacing w:line="240" w:lineRule="auto"/>
        <w:ind w:firstLine="708"/>
        <w:rPr>
          <w:szCs w:val="28"/>
          <w:lang w:eastAsia="ru-RU"/>
        </w:rPr>
      </w:pPr>
      <w:r w:rsidRPr="00D4369A">
        <w:rPr>
          <w:szCs w:val="28"/>
          <w:lang w:eastAsia="ru-RU"/>
        </w:rPr>
        <w:t>Исполнение основных неналоговых доходов бюджета Гаринского городского  округа представлено в следующей та</w:t>
      </w:r>
      <w:r>
        <w:rPr>
          <w:szCs w:val="28"/>
          <w:lang w:eastAsia="ru-RU"/>
        </w:rPr>
        <w:t>блице:</w:t>
      </w:r>
      <w:r w:rsidRPr="00D4369A">
        <w:rPr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312" w:rsidRPr="00D4369A" w:rsidRDefault="00351312" w:rsidP="00190232">
      <w:pPr>
        <w:spacing w:line="240" w:lineRule="auto"/>
        <w:ind w:firstLine="708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тыс. руб.</w:t>
      </w:r>
    </w:p>
    <w:tbl>
      <w:tblPr>
        <w:tblW w:w="951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565"/>
        <w:gridCol w:w="996"/>
        <w:gridCol w:w="1348"/>
        <w:gridCol w:w="893"/>
        <w:gridCol w:w="1348"/>
        <w:gridCol w:w="883"/>
        <w:gridCol w:w="1478"/>
      </w:tblGrid>
      <w:tr w:rsidR="00351312" w:rsidRPr="00D4369A" w:rsidTr="00351312">
        <w:trPr>
          <w:trHeight w:val="1218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Уточненный план на 2014 год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Исполнено за 2014 год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% от плана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Исполнено за 2013 год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Рост (снижение) поступлений в 2014 году к 2013 году</w:t>
            </w:r>
          </w:p>
        </w:tc>
      </w:tr>
      <w:tr w:rsidR="00351312" w:rsidRPr="00D4369A" w:rsidTr="00351312">
        <w:trPr>
          <w:trHeight w:val="373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</w:tr>
      <w:tr w:rsidR="00351312" w:rsidRPr="00D4369A" w:rsidTr="00351312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НЕНАЛОГОВЫЕ ДОХОДЫ ВСЕГО, в том числе: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5 442,1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5 793,6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4 060,2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+ 1 733,4</w:t>
            </w:r>
          </w:p>
        </w:tc>
      </w:tr>
      <w:tr w:rsidR="00351312" w:rsidRPr="00D4369A" w:rsidTr="00351312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2 034,6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1 532,5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+ 502,1</w:t>
            </w:r>
          </w:p>
        </w:tc>
      </w:tr>
      <w:tr w:rsidR="00351312" w:rsidRPr="00D4369A" w:rsidTr="00351312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-6,0</w:t>
            </w:r>
          </w:p>
        </w:tc>
      </w:tr>
      <w:tr w:rsidR="00351312" w:rsidRPr="00D4369A" w:rsidTr="00351312">
        <w:trPr>
          <w:trHeight w:val="9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2 872,7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2 958,2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2 357,6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+600,6</w:t>
            </w:r>
          </w:p>
        </w:tc>
      </w:tr>
      <w:tr w:rsidR="00351312" w:rsidRPr="00D4369A" w:rsidTr="00351312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409,7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409,7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 xml:space="preserve">  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578,7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+ 338,9</w:t>
            </w:r>
          </w:p>
        </w:tc>
      </w:tr>
      <w:tr w:rsidR="00351312" w:rsidRPr="00D4369A" w:rsidTr="00351312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12" w:rsidRPr="00351312" w:rsidRDefault="00351312" w:rsidP="003B2D9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353,7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12" w:rsidRPr="00351312" w:rsidRDefault="00351312" w:rsidP="003B2D98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51312">
              <w:rPr>
                <w:color w:val="000000"/>
                <w:sz w:val="20"/>
                <w:szCs w:val="20"/>
                <w:lang w:eastAsia="ru-RU"/>
              </w:rPr>
              <w:t>+ 297,8</w:t>
            </w:r>
          </w:p>
        </w:tc>
      </w:tr>
    </w:tbl>
    <w:p w:rsidR="00351312" w:rsidRPr="00D4369A" w:rsidRDefault="00351312" w:rsidP="00351312">
      <w:pPr>
        <w:tabs>
          <w:tab w:val="left" w:pos="1114"/>
        </w:tabs>
        <w:spacing w:after="0"/>
        <w:jc w:val="both"/>
        <w:rPr>
          <w:szCs w:val="28"/>
          <w:lang w:eastAsia="ru-RU"/>
        </w:rPr>
      </w:pPr>
    </w:p>
    <w:p w:rsidR="00351312" w:rsidRPr="00D4369A" w:rsidRDefault="00351312" w:rsidP="00190232">
      <w:pPr>
        <w:tabs>
          <w:tab w:val="left" w:pos="1114"/>
        </w:tabs>
        <w:spacing w:after="0" w:line="240" w:lineRule="auto"/>
        <w:jc w:val="both"/>
        <w:rPr>
          <w:szCs w:val="28"/>
          <w:lang w:eastAsia="ru-RU"/>
        </w:rPr>
      </w:pPr>
      <w:r w:rsidRPr="00D4369A">
        <w:rPr>
          <w:szCs w:val="28"/>
          <w:lang w:eastAsia="ru-RU"/>
        </w:rPr>
        <w:t xml:space="preserve">         Неналоговые доходы поступили в бюджет Гаринского городского округа в 2014 году в объеме 5 793,6 тыс. руб. или 106,5 % к уточненным бюджетным назначениям.       </w:t>
      </w:r>
    </w:p>
    <w:p w:rsidR="00190232" w:rsidRPr="00D4369A" w:rsidRDefault="00190232" w:rsidP="00190232">
      <w:pPr>
        <w:tabs>
          <w:tab w:val="left" w:pos="1114"/>
        </w:tabs>
        <w:spacing w:line="240" w:lineRule="auto"/>
        <w:jc w:val="both"/>
        <w:rPr>
          <w:b/>
          <w:szCs w:val="28"/>
          <w:lang w:eastAsia="ru-RU"/>
        </w:rPr>
      </w:pPr>
      <w:r w:rsidRPr="00D4369A">
        <w:rPr>
          <w:szCs w:val="28"/>
          <w:lang w:eastAsia="ru-RU"/>
        </w:rPr>
        <w:t xml:space="preserve">        Основная часть неналоговых доходов бюджета Гаринского городского округа обеспечена поступлениями доходов от платных услуг (51,1 % от общего объема неналоговых поступлений), арендной платы за землю (16,4%), арендной платы за имущество (11,8%), от продажи материальных и нематериальных активов (7,1%).</w:t>
      </w:r>
    </w:p>
    <w:p w:rsidR="00190232" w:rsidRPr="00D4369A" w:rsidRDefault="00190232" w:rsidP="00190232">
      <w:pPr>
        <w:spacing w:line="240" w:lineRule="auto"/>
        <w:jc w:val="both"/>
        <w:rPr>
          <w:szCs w:val="28"/>
          <w:lang w:eastAsia="ru-RU"/>
        </w:rPr>
      </w:pPr>
      <w:r w:rsidRPr="00D4369A">
        <w:rPr>
          <w:szCs w:val="28"/>
          <w:lang w:eastAsia="ru-RU"/>
        </w:rPr>
        <w:t xml:space="preserve">        В сравнении с 2013 годом неналоговые доходы бюджета в целом увеличились на 42,7 % (1733,4 тыс. руб.)</w:t>
      </w:r>
    </w:p>
    <w:p w:rsidR="00190232" w:rsidRPr="00190232" w:rsidRDefault="00190232" w:rsidP="00190232">
      <w:pPr>
        <w:spacing w:after="120" w:line="240" w:lineRule="auto"/>
        <w:ind w:left="708"/>
        <w:rPr>
          <w:b/>
          <w:szCs w:val="28"/>
          <w:lang w:eastAsia="ru-RU"/>
        </w:rPr>
      </w:pPr>
      <w:r w:rsidRPr="00190232">
        <w:rPr>
          <w:b/>
          <w:szCs w:val="28"/>
          <w:lang w:eastAsia="ru-RU"/>
        </w:rPr>
        <w:t xml:space="preserve">Безвозмездные поступления                                                                                                                                                   </w:t>
      </w:r>
    </w:p>
    <w:p w:rsidR="00190232" w:rsidRPr="00190232" w:rsidRDefault="00190232" w:rsidP="00190232">
      <w:pPr>
        <w:spacing w:after="120" w:line="240" w:lineRule="auto"/>
        <w:ind w:left="7080" w:firstLine="708"/>
        <w:rPr>
          <w:b/>
          <w:szCs w:val="28"/>
          <w:lang w:eastAsia="ru-RU"/>
        </w:rPr>
      </w:pPr>
      <w:r w:rsidRPr="00190232">
        <w:rPr>
          <w:b/>
          <w:sz w:val="20"/>
          <w:szCs w:val="20"/>
          <w:lang w:eastAsia="ru-RU"/>
        </w:rPr>
        <w:t xml:space="preserve">     </w:t>
      </w:r>
      <w:r w:rsidRPr="00190232">
        <w:rPr>
          <w:szCs w:val="28"/>
          <w:lang w:eastAsia="ru-RU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850"/>
        <w:gridCol w:w="1418"/>
        <w:gridCol w:w="812"/>
        <w:gridCol w:w="1172"/>
      </w:tblGrid>
      <w:tr w:rsidR="00190232" w:rsidRPr="00190232" w:rsidTr="003B2D98">
        <w:tc>
          <w:tcPr>
            <w:tcW w:w="2518" w:type="dxa"/>
            <w:vMerge w:val="restart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Уточненный план на 2014 год</w:t>
            </w:r>
          </w:p>
        </w:tc>
        <w:tc>
          <w:tcPr>
            <w:tcW w:w="1418" w:type="dxa"/>
            <w:vMerge w:val="restart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Исполнено за 2014 год</w:t>
            </w:r>
          </w:p>
        </w:tc>
        <w:tc>
          <w:tcPr>
            <w:tcW w:w="850" w:type="dxa"/>
            <w:vMerge w:val="restart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% от плана</w:t>
            </w:r>
          </w:p>
        </w:tc>
        <w:tc>
          <w:tcPr>
            <w:tcW w:w="1418" w:type="dxa"/>
            <w:vMerge w:val="restart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Исполнено за 2013 год</w:t>
            </w:r>
          </w:p>
        </w:tc>
        <w:tc>
          <w:tcPr>
            <w:tcW w:w="1984" w:type="dxa"/>
            <w:gridSpan w:val="2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Рост (снижение) поступлений в 2014 году к 2013 году</w:t>
            </w:r>
          </w:p>
        </w:tc>
      </w:tr>
      <w:tr w:rsidR="00190232" w:rsidRPr="00190232" w:rsidTr="003B2D98">
        <w:trPr>
          <w:trHeight w:val="166"/>
        </w:trPr>
        <w:tc>
          <w:tcPr>
            <w:tcW w:w="2518" w:type="dxa"/>
            <w:vMerge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17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в сумме</w:t>
            </w:r>
          </w:p>
        </w:tc>
      </w:tr>
      <w:tr w:rsidR="00190232" w:rsidRPr="00190232" w:rsidTr="003B2D98">
        <w:tc>
          <w:tcPr>
            <w:tcW w:w="25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 xml:space="preserve">Безвозмездные поступления ВСЕГО, </w:t>
            </w:r>
          </w:p>
          <w:p w:rsidR="00190232" w:rsidRPr="00190232" w:rsidRDefault="00190232" w:rsidP="00190232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118 508,9</w:t>
            </w:r>
          </w:p>
        </w:tc>
        <w:tc>
          <w:tcPr>
            <w:tcW w:w="14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114 205,5</w:t>
            </w:r>
          </w:p>
        </w:tc>
        <w:tc>
          <w:tcPr>
            <w:tcW w:w="850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4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131 667,2</w:t>
            </w:r>
          </w:p>
        </w:tc>
        <w:tc>
          <w:tcPr>
            <w:tcW w:w="81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17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-17 461,7</w:t>
            </w:r>
          </w:p>
        </w:tc>
      </w:tr>
      <w:tr w:rsidR="00190232" w:rsidRPr="00190232" w:rsidTr="003B2D98">
        <w:tc>
          <w:tcPr>
            <w:tcW w:w="25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559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19 040</w:t>
            </w:r>
          </w:p>
        </w:tc>
        <w:tc>
          <w:tcPr>
            <w:tcW w:w="14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19 040</w:t>
            </w:r>
          </w:p>
        </w:tc>
        <w:tc>
          <w:tcPr>
            <w:tcW w:w="850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43 542,0</w:t>
            </w:r>
          </w:p>
        </w:tc>
        <w:tc>
          <w:tcPr>
            <w:tcW w:w="81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17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-24 502,0</w:t>
            </w:r>
          </w:p>
        </w:tc>
      </w:tr>
      <w:tr w:rsidR="00190232" w:rsidRPr="00190232" w:rsidTr="003B2D98">
        <w:tc>
          <w:tcPr>
            <w:tcW w:w="25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59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57 865,1</w:t>
            </w:r>
          </w:p>
        </w:tc>
        <w:tc>
          <w:tcPr>
            <w:tcW w:w="14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57 391,2</w:t>
            </w:r>
          </w:p>
        </w:tc>
        <w:tc>
          <w:tcPr>
            <w:tcW w:w="850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 xml:space="preserve"> 99,2</w:t>
            </w:r>
          </w:p>
        </w:tc>
        <w:tc>
          <w:tcPr>
            <w:tcW w:w="14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40 178,1</w:t>
            </w:r>
          </w:p>
        </w:tc>
        <w:tc>
          <w:tcPr>
            <w:tcW w:w="81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17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 xml:space="preserve"> +17 213,1</w:t>
            </w:r>
          </w:p>
        </w:tc>
      </w:tr>
      <w:tr w:rsidR="00190232" w:rsidRPr="00190232" w:rsidTr="003B2D98">
        <w:tc>
          <w:tcPr>
            <w:tcW w:w="25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41 563,8</w:t>
            </w:r>
          </w:p>
        </w:tc>
        <w:tc>
          <w:tcPr>
            <w:tcW w:w="14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41 212,8</w:t>
            </w:r>
          </w:p>
        </w:tc>
        <w:tc>
          <w:tcPr>
            <w:tcW w:w="850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 xml:space="preserve"> 99,2</w:t>
            </w:r>
          </w:p>
        </w:tc>
        <w:tc>
          <w:tcPr>
            <w:tcW w:w="14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49 884,6</w:t>
            </w:r>
          </w:p>
        </w:tc>
        <w:tc>
          <w:tcPr>
            <w:tcW w:w="812" w:type="dxa"/>
            <w:vAlign w:val="center"/>
          </w:tcPr>
          <w:p w:rsidR="00190232" w:rsidRPr="00190232" w:rsidRDefault="00190232" w:rsidP="0019023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17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 xml:space="preserve">-8 671.8 </w:t>
            </w:r>
          </w:p>
        </w:tc>
      </w:tr>
      <w:tr w:rsidR="00190232" w:rsidRPr="00190232" w:rsidTr="003B2D98">
        <w:tc>
          <w:tcPr>
            <w:tcW w:w="25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2962,5</w:t>
            </w:r>
          </w:p>
        </w:tc>
        <w:tc>
          <w:tcPr>
            <w:tcW w:w="81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7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- 2 922,5</w:t>
            </w:r>
          </w:p>
        </w:tc>
      </w:tr>
      <w:tr w:rsidR="00190232" w:rsidRPr="00190232" w:rsidTr="003B2D98">
        <w:tc>
          <w:tcPr>
            <w:tcW w:w="25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Возврат остатков субсидий, субвенций, имеющих целевое назначение, прошлых лет</w:t>
            </w:r>
          </w:p>
        </w:tc>
        <w:tc>
          <w:tcPr>
            <w:tcW w:w="1559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-3 478,5</w:t>
            </w:r>
          </w:p>
        </w:tc>
        <w:tc>
          <w:tcPr>
            <w:tcW w:w="850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 xml:space="preserve">- 4 900,0 </w:t>
            </w:r>
          </w:p>
        </w:tc>
        <w:tc>
          <w:tcPr>
            <w:tcW w:w="81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72" w:type="dxa"/>
            <w:vAlign w:val="center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0232">
              <w:rPr>
                <w:sz w:val="20"/>
                <w:szCs w:val="20"/>
                <w:lang w:eastAsia="ru-RU"/>
              </w:rPr>
              <w:t>-1 421,5</w:t>
            </w:r>
          </w:p>
        </w:tc>
      </w:tr>
    </w:tbl>
    <w:p w:rsidR="00190232" w:rsidRPr="00D4369A" w:rsidRDefault="00190232" w:rsidP="00190232">
      <w:pPr>
        <w:spacing w:after="120" w:line="240" w:lineRule="auto"/>
        <w:ind w:firstLine="708"/>
        <w:jc w:val="both"/>
        <w:rPr>
          <w:szCs w:val="28"/>
          <w:lang w:eastAsia="ru-RU"/>
        </w:rPr>
      </w:pPr>
    </w:p>
    <w:p w:rsidR="00190232" w:rsidRPr="00D4369A" w:rsidRDefault="00190232" w:rsidP="00190232">
      <w:pPr>
        <w:spacing w:after="120" w:line="240" w:lineRule="auto"/>
        <w:ind w:firstLine="708"/>
        <w:jc w:val="both"/>
        <w:rPr>
          <w:noProof/>
          <w:szCs w:val="28"/>
          <w:lang w:eastAsia="ru-RU"/>
        </w:rPr>
      </w:pPr>
      <w:r w:rsidRPr="00D4369A">
        <w:rPr>
          <w:szCs w:val="28"/>
          <w:lang w:eastAsia="ru-RU"/>
        </w:rPr>
        <w:t>В структуре доходов бюджета 2014 года, по сравнению с 2013 годом доля безвозмездных перечислений осталась на уровне 2013 года и составила    65 % от общего объема доходов. Безвозмездные поступления исполнены в сумме 114 205,5 тыс. рублей, или 96,4 % к уточненному годовому   плану.</w:t>
      </w:r>
    </w:p>
    <w:p w:rsidR="00190232" w:rsidRPr="00D4369A" w:rsidRDefault="00190232" w:rsidP="00190232">
      <w:pPr>
        <w:tabs>
          <w:tab w:val="left" w:pos="900"/>
        </w:tabs>
        <w:jc w:val="both"/>
        <w:rPr>
          <w:lang w:eastAsia="ru-RU"/>
        </w:rPr>
      </w:pPr>
    </w:p>
    <w:p w:rsidR="00190232" w:rsidRPr="00D4369A" w:rsidRDefault="00190232" w:rsidP="00190232">
      <w:pPr>
        <w:spacing w:line="240" w:lineRule="auto"/>
        <w:jc w:val="both"/>
        <w:rPr>
          <w:szCs w:val="20"/>
          <w:lang w:eastAsia="ru-RU"/>
        </w:rPr>
      </w:pPr>
      <w:r w:rsidRPr="00D4369A">
        <w:rPr>
          <w:szCs w:val="20"/>
          <w:lang w:eastAsia="ru-RU"/>
        </w:rPr>
        <w:t xml:space="preserve">            Основная часть безвозмездных поступлений обеспечена поступлениями субсидий (50,3 % от общего объема безвозмездных поступлений), субвенций (36,1 %), дотаций (16,7 %).</w:t>
      </w:r>
    </w:p>
    <w:p w:rsidR="00537F54" w:rsidRPr="00190232" w:rsidRDefault="00190232" w:rsidP="00190232">
      <w:pPr>
        <w:spacing w:line="240" w:lineRule="auto"/>
        <w:jc w:val="both"/>
        <w:rPr>
          <w:b/>
          <w:szCs w:val="28"/>
          <w:lang w:eastAsia="ru-RU"/>
        </w:rPr>
      </w:pPr>
      <w:r w:rsidRPr="00D4369A">
        <w:rPr>
          <w:szCs w:val="20"/>
          <w:lang w:eastAsia="ru-RU"/>
        </w:rPr>
        <w:tab/>
        <w:t>По сравнению с 2013 годом произошло снижение безвозмездных поступлений на 13,3 % (17 461,7 тыс. руб.), в том числе по дотациям на 56,3% (24 502,0 тыс. рублей), по субвенциям на 17,4 % (8 671,8 тыс. рублей).</w:t>
      </w:r>
    </w:p>
    <w:p w:rsidR="00B22433" w:rsidRDefault="00B22433" w:rsidP="00D544DB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b/>
          <w:sz w:val="24"/>
          <w:szCs w:val="24"/>
          <w:lang w:eastAsia="zh-CN"/>
        </w:rPr>
      </w:pPr>
    </w:p>
    <w:p w:rsidR="00190232" w:rsidRDefault="00537F54" w:rsidP="00190232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b/>
          <w:szCs w:val="28"/>
          <w:lang w:eastAsia="zh-CN"/>
        </w:rPr>
      </w:pPr>
      <w:r>
        <w:rPr>
          <w:rFonts w:eastAsia="SimSun" w:cs="Times New Roman"/>
          <w:b/>
          <w:sz w:val="24"/>
          <w:szCs w:val="24"/>
          <w:lang w:eastAsia="zh-CN"/>
        </w:rPr>
        <w:tab/>
      </w:r>
      <w:r w:rsidR="00D544DB" w:rsidRPr="0051294C">
        <w:rPr>
          <w:rFonts w:eastAsia="SimSun" w:cs="Times New Roman"/>
          <w:b/>
          <w:szCs w:val="28"/>
          <w:lang w:eastAsia="zh-CN"/>
        </w:rPr>
        <w:t>Расходы</w:t>
      </w:r>
    </w:p>
    <w:p w:rsidR="00190232" w:rsidRPr="00190232" w:rsidRDefault="00190232" w:rsidP="00190232">
      <w:pPr>
        <w:tabs>
          <w:tab w:val="left" w:pos="567"/>
        </w:tabs>
        <w:spacing w:after="0" w:line="240" w:lineRule="auto"/>
        <w:jc w:val="both"/>
        <w:rPr>
          <w:rFonts w:eastAsia="SimSun" w:cs="Times New Roman"/>
          <w:b/>
          <w:szCs w:val="28"/>
          <w:lang w:eastAsia="zh-CN"/>
        </w:rPr>
      </w:pPr>
      <w:r>
        <w:rPr>
          <w:rFonts w:eastAsia="SimSun" w:cs="Times New Roman"/>
          <w:b/>
          <w:szCs w:val="28"/>
          <w:lang w:eastAsia="zh-CN"/>
        </w:rPr>
        <w:t xml:space="preserve">       </w:t>
      </w:r>
      <w:r w:rsidRPr="00D4369A">
        <w:rPr>
          <w:szCs w:val="28"/>
          <w:lang w:eastAsia="ru-RU"/>
        </w:rPr>
        <w:t>По расходам бюджет Гаринского городског</w:t>
      </w:r>
      <w:r>
        <w:rPr>
          <w:szCs w:val="28"/>
          <w:lang w:eastAsia="ru-RU"/>
        </w:rPr>
        <w:t xml:space="preserve">о округа за 2014 год исполнен в </w:t>
      </w:r>
      <w:r w:rsidRPr="00D4369A">
        <w:rPr>
          <w:szCs w:val="28"/>
          <w:lang w:eastAsia="ru-RU"/>
        </w:rPr>
        <w:t>сумме 206 322,</w:t>
      </w:r>
      <w:r>
        <w:rPr>
          <w:szCs w:val="28"/>
          <w:lang w:eastAsia="ru-RU"/>
        </w:rPr>
        <w:t>2</w:t>
      </w:r>
      <w:r w:rsidRPr="00D4369A">
        <w:rPr>
          <w:szCs w:val="28"/>
          <w:lang w:eastAsia="ru-RU"/>
        </w:rPr>
        <w:t xml:space="preserve"> тыс. руб. или на 98,</w:t>
      </w:r>
      <w:r>
        <w:rPr>
          <w:szCs w:val="28"/>
          <w:lang w:eastAsia="ru-RU"/>
        </w:rPr>
        <w:t xml:space="preserve">3 процента к уточненным годовым </w:t>
      </w:r>
      <w:r w:rsidRPr="00D4369A">
        <w:rPr>
          <w:szCs w:val="28"/>
          <w:lang w:eastAsia="ru-RU"/>
        </w:rPr>
        <w:t xml:space="preserve">назначениям (приложение № </w:t>
      </w:r>
      <w:r>
        <w:rPr>
          <w:szCs w:val="28"/>
          <w:lang w:eastAsia="ru-RU"/>
        </w:rPr>
        <w:t>3</w:t>
      </w:r>
      <w:r w:rsidRPr="00D4369A">
        <w:rPr>
          <w:szCs w:val="28"/>
          <w:lang w:eastAsia="ru-RU"/>
        </w:rPr>
        <w:t>, приложение №</w:t>
      </w:r>
      <w:r>
        <w:rPr>
          <w:szCs w:val="28"/>
          <w:lang w:eastAsia="ru-RU"/>
        </w:rPr>
        <w:t xml:space="preserve"> 4</w:t>
      </w:r>
      <w:r w:rsidRPr="00D4369A">
        <w:rPr>
          <w:szCs w:val="28"/>
          <w:lang w:eastAsia="ru-RU"/>
        </w:rPr>
        <w:t xml:space="preserve">). </w:t>
      </w:r>
    </w:p>
    <w:p w:rsidR="00190232" w:rsidRPr="00D4369A" w:rsidRDefault="00190232" w:rsidP="00190232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D4369A">
        <w:rPr>
          <w:szCs w:val="28"/>
          <w:lang w:eastAsia="ru-RU"/>
        </w:rPr>
        <w:t xml:space="preserve">По сравнению с прошлым годом объем расходов увеличился на 26 704,8 тыс. рублей. </w:t>
      </w:r>
    </w:p>
    <w:p w:rsidR="00190232" w:rsidRPr="00D4369A" w:rsidRDefault="00190232" w:rsidP="00190232">
      <w:pPr>
        <w:spacing w:after="0" w:line="240" w:lineRule="auto"/>
        <w:ind w:firstLine="708"/>
        <w:jc w:val="both"/>
        <w:rPr>
          <w:szCs w:val="28"/>
          <w:lang w:eastAsia="ru-RU"/>
        </w:rPr>
      </w:pPr>
      <w:r w:rsidRPr="00D4369A">
        <w:rPr>
          <w:szCs w:val="28"/>
          <w:lang w:eastAsia="ru-RU"/>
        </w:rPr>
        <w:t>По итогам года остаток неиспользованных ассигнований составил 3580,1 тыс. рублей.</w:t>
      </w:r>
    </w:p>
    <w:p w:rsidR="00190232" w:rsidRPr="00D4369A" w:rsidRDefault="00190232" w:rsidP="00190232">
      <w:pPr>
        <w:spacing w:after="0" w:line="240" w:lineRule="auto"/>
        <w:ind w:firstLine="720"/>
        <w:jc w:val="both"/>
        <w:rPr>
          <w:szCs w:val="28"/>
          <w:lang w:eastAsia="ru-RU"/>
        </w:rPr>
      </w:pPr>
      <w:r w:rsidRPr="00D4369A">
        <w:rPr>
          <w:szCs w:val="28"/>
          <w:lang w:eastAsia="ru-RU"/>
        </w:rPr>
        <w:t>Отраслевая структура расходов бюджета произведенных в 2014 году показана в таблице:</w:t>
      </w:r>
    </w:p>
    <w:p w:rsidR="00190232" w:rsidRPr="00D4369A" w:rsidRDefault="00190232" w:rsidP="00190232">
      <w:pPr>
        <w:spacing w:after="0" w:line="240" w:lineRule="auto"/>
        <w:ind w:firstLine="720"/>
        <w:jc w:val="both"/>
        <w:rPr>
          <w:lang w:eastAsia="ru-RU"/>
        </w:rPr>
      </w:pPr>
      <w:r w:rsidRPr="00D4369A">
        <w:rPr>
          <w:szCs w:val="28"/>
          <w:lang w:eastAsia="ru-RU"/>
        </w:rPr>
        <w:t xml:space="preserve">                                                                                                            </w:t>
      </w:r>
      <w:r w:rsidRPr="00D4369A">
        <w:rPr>
          <w:lang w:eastAsia="ru-RU"/>
        </w:rPr>
        <w:t>тыс. руб.</w:t>
      </w: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363"/>
        <w:gridCol w:w="710"/>
        <w:gridCol w:w="182"/>
        <w:gridCol w:w="817"/>
        <w:gridCol w:w="443"/>
        <w:gridCol w:w="637"/>
        <w:gridCol w:w="1014"/>
        <w:gridCol w:w="66"/>
        <w:gridCol w:w="1162"/>
        <w:gridCol w:w="181"/>
        <w:gridCol w:w="720"/>
        <w:gridCol w:w="261"/>
        <w:gridCol w:w="639"/>
        <w:gridCol w:w="743"/>
      </w:tblGrid>
      <w:tr w:rsidR="00190232" w:rsidRPr="00D4369A" w:rsidTr="00190232">
        <w:trPr>
          <w:gridAfter w:val="1"/>
          <w:wAfter w:w="743" w:type="dxa"/>
          <w:trHeight w:val="255"/>
        </w:trPr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19023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19023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19023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19023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19023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190232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19023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Первоначальн</w:t>
            </w:r>
            <w:r w:rsidR="00DB1E18">
              <w:rPr>
                <w:color w:val="000000"/>
                <w:sz w:val="20"/>
                <w:szCs w:val="20"/>
                <w:lang w:eastAsia="ru-RU"/>
              </w:rPr>
              <w:t>ый</w:t>
            </w:r>
            <w:r w:rsidRPr="00190232">
              <w:rPr>
                <w:color w:val="000000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Процент исполнения</w:t>
            </w:r>
            <w:proofErr w:type="gramStart"/>
            <w:r w:rsidRPr="00190232">
              <w:rPr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190232">
              <w:rPr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9023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0232">
              <w:rPr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90232">
              <w:rPr>
                <w:color w:val="000000"/>
                <w:sz w:val="20"/>
                <w:szCs w:val="20"/>
                <w:lang w:eastAsia="ru-RU"/>
              </w:rPr>
              <w:t>ес расходов</w:t>
            </w: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26 459,0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25 080,6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24 998,2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12,1</w:t>
            </w: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2 667,1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2 211,3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2 145,3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10 323,8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22 787,5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22 224,2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10,8</w:t>
            </w: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16 179,0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21 663,2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21 516,4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153,9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113 031,1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108 292,2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105 995,4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51,4</w:t>
            </w: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22 277,7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18 128,8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18 066,3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9 237,5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10 007,4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9 646,8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276,0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275,4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479,0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 xml:space="preserve">1 108,1 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 xml:space="preserve">1 108,1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190232" w:rsidRPr="00D4369A" w:rsidTr="0019023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201 463,4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 xml:space="preserve">209 902,3 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206 322,2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232" w:rsidRPr="00190232" w:rsidRDefault="00190232" w:rsidP="00190232">
            <w:pPr>
              <w:spacing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90232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90232" w:rsidRPr="00D4369A" w:rsidTr="00190232">
        <w:trPr>
          <w:gridAfter w:val="1"/>
          <w:wAfter w:w="743" w:type="dxa"/>
          <w:trHeight w:val="255"/>
        </w:trPr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3B2D98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3B2D98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3B2D98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3B2D98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3B2D98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3B2D98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232" w:rsidRPr="00D4369A" w:rsidRDefault="00190232" w:rsidP="003B2D98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90232" w:rsidRPr="00D4369A" w:rsidRDefault="00190232" w:rsidP="00190232">
      <w:pPr>
        <w:spacing w:after="0" w:line="240" w:lineRule="auto"/>
        <w:jc w:val="both"/>
        <w:rPr>
          <w:szCs w:val="28"/>
          <w:lang w:eastAsia="ru-RU"/>
        </w:rPr>
      </w:pPr>
      <w:r>
        <w:rPr>
          <w:sz w:val="27"/>
          <w:szCs w:val="27"/>
          <w:lang w:eastAsia="ru-RU"/>
        </w:rPr>
        <w:t xml:space="preserve">       </w:t>
      </w:r>
      <w:r w:rsidRPr="00D4369A">
        <w:rPr>
          <w:szCs w:val="28"/>
          <w:lang w:eastAsia="ru-RU"/>
        </w:rPr>
        <w:t xml:space="preserve">Наибольший удельный вес в расходах бюджета Гаринского городского округа составили расходы на социальную сферу – 65,1 процента, в том числе: по образованию – 51,4 процента, культуре –8,8 процентов, социальной политике – 4,7 процентов, физической культуре и спорту – 0,2 процента, что говорит о социальной направленности бюджета городского округа. В целом расходы на социальную сферу составляют 133 983,9 тыс. рублей, что на 16 791,8 тыс. рублей или на 14,3 % выше уровня произведенных расходов в 2013 году. </w:t>
      </w:r>
    </w:p>
    <w:p w:rsidR="00190232" w:rsidRPr="00B26AA6" w:rsidRDefault="00190232" w:rsidP="00190232">
      <w:pPr>
        <w:spacing w:after="0" w:line="240" w:lineRule="auto"/>
        <w:ind w:firstLine="708"/>
        <w:jc w:val="both"/>
        <w:rPr>
          <w:noProof/>
          <w:szCs w:val="28"/>
          <w:lang w:eastAsia="ru-RU"/>
        </w:rPr>
      </w:pPr>
      <w:r w:rsidRPr="00B26AA6">
        <w:rPr>
          <w:noProof/>
          <w:szCs w:val="28"/>
          <w:lang w:eastAsia="ru-RU"/>
        </w:rPr>
        <w:t>Основную долю в расходах бюджета занимают расходы на финансирование заработной платы с начислениями (</w:t>
      </w:r>
      <w:r>
        <w:rPr>
          <w:noProof/>
          <w:szCs w:val="28"/>
          <w:lang w:eastAsia="ru-RU"/>
        </w:rPr>
        <w:t>52</w:t>
      </w:r>
      <w:r w:rsidRPr="00B26AA6">
        <w:rPr>
          <w:noProof/>
          <w:szCs w:val="28"/>
          <w:lang w:eastAsia="ru-RU"/>
        </w:rPr>
        <w:t>,</w:t>
      </w:r>
      <w:r>
        <w:rPr>
          <w:noProof/>
          <w:szCs w:val="28"/>
          <w:lang w:eastAsia="ru-RU"/>
        </w:rPr>
        <w:t>2%)</w:t>
      </w:r>
      <w:r w:rsidRPr="00B26AA6">
        <w:rPr>
          <w:noProof/>
          <w:szCs w:val="28"/>
          <w:lang w:eastAsia="ru-RU"/>
        </w:rPr>
        <w:t xml:space="preserve"> расходы на увеличение стоимости основных средств</w:t>
      </w:r>
      <w:r>
        <w:rPr>
          <w:noProof/>
          <w:szCs w:val="28"/>
          <w:lang w:eastAsia="ru-RU"/>
        </w:rPr>
        <w:t xml:space="preserve"> и материальных запасов </w:t>
      </w:r>
      <w:r w:rsidRPr="00B26AA6">
        <w:rPr>
          <w:noProof/>
          <w:szCs w:val="28"/>
          <w:lang w:eastAsia="ru-RU"/>
        </w:rPr>
        <w:t>(</w:t>
      </w:r>
      <w:r>
        <w:rPr>
          <w:noProof/>
          <w:szCs w:val="28"/>
          <w:lang w:eastAsia="ru-RU"/>
        </w:rPr>
        <w:t>18,7%</w:t>
      </w:r>
      <w:r w:rsidRPr="00B26AA6">
        <w:rPr>
          <w:noProof/>
          <w:szCs w:val="28"/>
          <w:lang w:eastAsia="ru-RU"/>
        </w:rPr>
        <w:t>), расходы на содержание имущества,</w:t>
      </w:r>
      <w:r>
        <w:rPr>
          <w:noProof/>
          <w:szCs w:val="28"/>
          <w:lang w:eastAsia="ru-RU"/>
        </w:rPr>
        <w:t xml:space="preserve"> прочие работы и услуги (13%).</w:t>
      </w:r>
      <w:r w:rsidRPr="00B26AA6">
        <w:rPr>
          <w:noProof/>
          <w:szCs w:val="28"/>
          <w:lang w:eastAsia="ru-RU"/>
        </w:rPr>
        <w:t xml:space="preserve"> </w:t>
      </w:r>
    </w:p>
    <w:p w:rsidR="00190232" w:rsidRPr="00D4369A" w:rsidRDefault="00190232" w:rsidP="00190232">
      <w:pPr>
        <w:spacing w:after="0" w:line="240" w:lineRule="auto"/>
        <w:ind w:firstLine="708"/>
        <w:jc w:val="both"/>
        <w:rPr>
          <w:noProof/>
          <w:szCs w:val="28"/>
          <w:lang w:eastAsia="ru-RU"/>
        </w:rPr>
      </w:pPr>
      <w:r w:rsidRPr="00D4369A">
        <w:rPr>
          <w:noProof/>
          <w:szCs w:val="28"/>
          <w:lang w:eastAsia="ru-RU"/>
        </w:rPr>
        <w:t xml:space="preserve">В ходе исполнения бюджета Гаринского городского округа обеспечено доведение уровня оплаты труда педагогических работников дошкольного, дополнительного образования, работников культуры до параметров средней заработной платы, установленных планом мероприятий («Дорожной картой»). </w:t>
      </w:r>
    </w:p>
    <w:p w:rsidR="00190232" w:rsidRPr="00190232" w:rsidRDefault="00190232" w:rsidP="00190232">
      <w:pPr>
        <w:spacing w:after="0" w:line="240" w:lineRule="auto"/>
        <w:ind w:firstLine="708"/>
        <w:jc w:val="both"/>
        <w:rPr>
          <w:noProof/>
          <w:szCs w:val="28"/>
          <w:lang w:eastAsia="ru-RU"/>
        </w:rPr>
      </w:pPr>
      <w:r w:rsidRPr="00D4369A">
        <w:rPr>
          <w:noProof/>
          <w:szCs w:val="28"/>
          <w:lang w:eastAsia="ru-RU"/>
        </w:rPr>
        <w:t>Обеспечено повышение фондов оплаты труда младшего обслуживающего персонала дошкольного, общеобразовательного, дополнительного образовани</w:t>
      </w:r>
      <w:r>
        <w:rPr>
          <w:noProof/>
          <w:szCs w:val="28"/>
          <w:lang w:eastAsia="ru-RU"/>
        </w:rPr>
        <w:t>я с 1 октября 2014 года на 5 %.</w:t>
      </w:r>
    </w:p>
    <w:p w:rsidR="00F123C5" w:rsidRPr="000825E9" w:rsidRDefault="00F123C5" w:rsidP="00F123C5">
      <w:pPr>
        <w:pStyle w:val="a5"/>
        <w:spacing w:after="0" w:line="240" w:lineRule="auto"/>
        <w:ind w:left="0" w:firstLine="709"/>
        <w:jc w:val="both"/>
        <w:rPr>
          <w:szCs w:val="28"/>
        </w:rPr>
      </w:pPr>
    </w:p>
    <w:p w:rsidR="00C30470" w:rsidRPr="00C30470" w:rsidRDefault="00C30470" w:rsidP="00A77E31">
      <w:pPr>
        <w:pStyle w:val="a5"/>
        <w:numPr>
          <w:ilvl w:val="0"/>
          <w:numId w:val="12"/>
        </w:numPr>
        <w:rPr>
          <w:b/>
        </w:rPr>
      </w:pPr>
      <w:r w:rsidRPr="00C30470">
        <w:rPr>
          <w:b/>
        </w:rPr>
        <w:t>Оказание услуг населению</w:t>
      </w:r>
    </w:p>
    <w:p w:rsidR="00C30470" w:rsidRPr="00A77E31" w:rsidRDefault="00C30470" w:rsidP="00A77E31">
      <w:pPr>
        <w:pStyle w:val="a5"/>
        <w:numPr>
          <w:ilvl w:val="1"/>
          <w:numId w:val="13"/>
        </w:numPr>
        <w:rPr>
          <w:b/>
        </w:rPr>
      </w:pPr>
      <w:r w:rsidRPr="00A77E31">
        <w:rPr>
          <w:b/>
        </w:rPr>
        <w:t>Производство и распределение воды</w:t>
      </w:r>
    </w:p>
    <w:p w:rsidR="00C30470" w:rsidRDefault="00EC3356" w:rsidP="0065633A">
      <w:pPr>
        <w:pStyle w:val="a5"/>
        <w:spacing w:after="0" w:line="240" w:lineRule="auto"/>
        <w:ind w:left="0" w:firstLine="709"/>
        <w:jc w:val="both"/>
      </w:pPr>
      <w:r w:rsidRPr="00EC3356">
        <w:t xml:space="preserve">В Гаринском городском округе </w:t>
      </w:r>
      <w:proofErr w:type="spellStart"/>
      <w:r w:rsidR="00B14A72">
        <w:t>ресурсоснабжающей</w:t>
      </w:r>
      <w:proofErr w:type="spellEnd"/>
      <w:r w:rsidR="00B14A72">
        <w:t xml:space="preserve"> организацией в сфере холодного водоснабжения является</w:t>
      </w:r>
      <w:r w:rsidRPr="00EC3356">
        <w:t xml:space="preserve">  МУП «Отдел по благоустройству администрации Муниципального образования «Гаринский район»</w:t>
      </w:r>
      <w:r w:rsidR="00B14A72">
        <w:t>, выполняющее работы и оказывающее услуги по производству и распределению воды</w:t>
      </w:r>
      <w:r w:rsidRPr="00EC3356">
        <w:t>.</w:t>
      </w:r>
    </w:p>
    <w:p w:rsidR="008F00C6" w:rsidRDefault="008F00C6" w:rsidP="0065633A">
      <w:pPr>
        <w:pStyle w:val="a5"/>
        <w:spacing w:after="0" w:line="240" w:lineRule="auto"/>
        <w:ind w:left="0" w:firstLine="709"/>
        <w:jc w:val="both"/>
      </w:pPr>
      <w:r>
        <w:t>На территории Гаринс</w:t>
      </w:r>
      <w:r w:rsidRPr="008F00C6">
        <w:t>к</w:t>
      </w:r>
      <w:r>
        <w:t>о</w:t>
      </w:r>
      <w:r w:rsidRPr="008F00C6">
        <w:t>го городского округа</w:t>
      </w:r>
      <w:r>
        <w:t xml:space="preserve"> действует 27 водонапорных башен: в р.</w:t>
      </w:r>
      <w:r w:rsidR="007E4C42">
        <w:t xml:space="preserve"> </w:t>
      </w:r>
      <w:r>
        <w:t xml:space="preserve">п. Гари – 20, </w:t>
      </w:r>
      <w:r w:rsidR="000F5E9B">
        <w:t xml:space="preserve">в </w:t>
      </w:r>
      <w:r>
        <w:t xml:space="preserve">с. </w:t>
      </w:r>
      <w:proofErr w:type="gramStart"/>
      <w:r>
        <w:t>Андрюшино</w:t>
      </w:r>
      <w:proofErr w:type="gramEnd"/>
      <w:r>
        <w:t xml:space="preserve"> – 3, </w:t>
      </w:r>
      <w:r w:rsidR="000F5E9B">
        <w:t xml:space="preserve">в </w:t>
      </w:r>
      <w:r>
        <w:t xml:space="preserve">д. Нихвор – 2 и </w:t>
      </w:r>
      <w:r w:rsidR="000F5E9B">
        <w:t xml:space="preserve">в </w:t>
      </w:r>
      <w:r>
        <w:t>п. Пуксинка – 2.</w:t>
      </w:r>
    </w:p>
    <w:p w:rsidR="00E64A3F" w:rsidRDefault="000F5E9B" w:rsidP="0065633A">
      <w:pPr>
        <w:pStyle w:val="a5"/>
        <w:spacing w:after="0" w:line="240" w:lineRule="auto"/>
        <w:ind w:left="0" w:firstLine="709"/>
        <w:jc w:val="both"/>
      </w:pPr>
      <w:r>
        <w:t>В течение</w:t>
      </w:r>
      <w:r w:rsidR="00B14A72">
        <w:t xml:space="preserve"> 2014</w:t>
      </w:r>
      <w:r w:rsidR="008F00C6">
        <w:t xml:space="preserve"> года произведено и отпущено 58, 6 тыс. куб. метров воды, в том числе населению </w:t>
      </w:r>
      <w:r w:rsidR="00B14A72">
        <w:t>41,4</w:t>
      </w:r>
      <w:r w:rsidR="008F00C6">
        <w:t xml:space="preserve"> </w:t>
      </w:r>
      <w:r w:rsidR="008F00C6" w:rsidRPr="008F00C6">
        <w:t xml:space="preserve"> тыс. куб. метров воды</w:t>
      </w:r>
      <w:r w:rsidR="008F00C6">
        <w:t xml:space="preserve"> и </w:t>
      </w:r>
      <w:proofErr w:type="spellStart"/>
      <w:r w:rsidR="008F00C6">
        <w:t>бюджетофина</w:t>
      </w:r>
      <w:r w:rsidR="00592E94">
        <w:t>н</w:t>
      </w:r>
      <w:r w:rsidR="008F00C6">
        <w:t>сируемым</w:t>
      </w:r>
      <w:proofErr w:type="spellEnd"/>
      <w:r w:rsidR="008F00C6">
        <w:t xml:space="preserve"> организациям</w:t>
      </w:r>
      <w:r w:rsidR="00592E94">
        <w:t xml:space="preserve"> </w:t>
      </w:r>
      <w:r w:rsidR="00B14A72">
        <w:t>11,6</w:t>
      </w:r>
      <w:r w:rsidR="00592E94">
        <w:t xml:space="preserve"> </w:t>
      </w:r>
      <w:r w:rsidR="00592E94" w:rsidRPr="008F00C6">
        <w:t>тыс. куб. метров воды</w:t>
      </w:r>
      <w:r w:rsidR="00592E94">
        <w:t xml:space="preserve">, на сумму </w:t>
      </w:r>
      <w:r w:rsidR="00B14A72">
        <w:t>1 505,2</w:t>
      </w:r>
      <w:r w:rsidR="00592E94">
        <w:t xml:space="preserve"> тыс. рублей.</w:t>
      </w:r>
    </w:p>
    <w:p w:rsidR="00537F54" w:rsidRDefault="00B14A72" w:rsidP="007203BE">
      <w:pPr>
        <w:pStyle w:val="a5"/>
        <w:spacing w:after="0" w:line="240" w:lineRule="auto"/>
        <w:ind w:left="0" w:firstLine="709"/>
        <w:jc w:val="both"/>
      </w:pPr>
      <w:r>
        <w:t>На 01.01.2015</w:t>
      </w:r>
      <w:r w:rsidR="00592E94">
        <w:t xml:space="preserve"> года протяжённость водонапорных сете</w:t>
      </w:r>
      <w:r w:rsidR="006F2161">
        <w:t xml:space="preserve">й составляет </w:t>
      </w:r>
      <w:r w:rsidR="00DB36E0">
        <w:t>17469 метров</w:t>
      </w:r>
      <w:r w:rsidR="006F2161">
        <w:t xml:space="preserve">. </w:t>
      </w:r>
      <w:proofErr w:type="gramStart"/>
      <w:r w:rsidR="006F2161">
        <w:t>В</w:t>
      </w:r>
      <w:r>
        <w:t xml:space="preserve"> </w:t>
      </w:r>
      <w:r w:rsidR="00986A5A">
        <w:t>рамках муниципальной программы «</w:t>
      </w:r>
      <w:proofErr w:type="spellStart"/>
      <w:r w:rsidR="00986A5A">
        <w:t>Водосбережение</w:t>
      </w:r>
      <w:proofErr w:type="spellEnd"/>
      <w:r w:rsidR="00986A5A">
        <w:t xml:space="preserve"> и повышение эффективности работы объектов водоснабжения в сфере жилищно-коммунального хозяйства Гаринского городского округа на 2011-2014 годы»  в </w:t>
      </w:r>
      <w:r>
        <w:t>2014</w:t>
      </w:r>
      <w:r w:rsidR="00592E94">
        <w:t xml:space="preserve"> году проложено нового водопровода – </w:t>
      </w:r>
      <w:r>
        <w:t>775 метров</w:t>
      </w:r>
      <w:r w:rsidR="00386376">
        <w:t xml:space="preserve"> (ул. Школьная, ул. Восточная, ул. Солнечная)</w:t>
      </w:r>
      <w:r w:rsidR="006F2161">
        <w:t>, произведена замена в</w:t>
      </w:r>
      <w:r w:rsidR="00986A5A">
        <w:t>етхого водопровода – 625 метров, приобретено  оборудование для водонапорных башен (глубинные насосы, труб</w:t>
      </w:r>
      <w:r w:rsidR="00F768BE">
        <w:t>ы для монтажа глубинных насосов,</w:t>
      </w:r>
      <w:r w:rsidR="00986A5A">
        <w:t xml:space="preserve"> емкости для воды).</w:t>
      </w:r>
      <w:proofErr w:type="gramEnd"/>
      <w:r w:rsidR="00986A5A">
        <w:t xml:space="preserve"> Произведена замена </w:t>
      </w:r>
      <w:proofErr w:type="spellStart"/>
      <w:r w:rsidR="00755594">
        <w:t>н</w:t>
      </w:r>
      <w:r w:rsidR="00986A5A">
        <w:t>емкости</w:t>
      </w:r>
      <w:proofErr w:type="spellEnd"/>
      <w:r w:rsidR="00986A5A">
        <w:t xml:space="preserve"> для воды на водонапорных башнях в </w:t>
      </w:r>
      <w:proofErr w:type="spellStart"/>
      <w:r w:rsidR="00986A5A">
        <w:t>д</w:t>
      </w:r>
      <w:proofErr w:type="gramStart"/>
      <w:r w:rsidR="00986A5A">
        <w:t>.Л</w:t>
      </w:r>
      <w:proofErr w:type="gramEnd"/>
      <w:r w:rsidR="00986A5A">
        <w:t>ебедева</w:t>
      </w:r>
      <w:proofErr w:type="spellEnd"/>
      <w:r w:rsidR="00986A5A">
        <w:t xml:space="preserve"> и </w:t>
      </w:r>
      <w:r w:rsidR="00755594">
        <w:t>по ул. Пионерская 2-а. Установлена автоматика уровня воды в емкости на 6 водонапорных башнях (</w:t>
      </w:r>
      <w:proofErr w:type="spellStart"/>
      <w:r w:rsidR="00755594">
        <w:t>д</w:t>
      </w:r>
      <w:proofErr w:type="gramStart"/>
      <w:r w:rsidR="00755594">
        <w:t>.Л</w:t>
      </w:r>
      <w:proofErr w:type="gramEnd"/>
      <w:r w:rsidR="00755594">
        <w:t>ебедева</w:t>
      </w:r>
      <w:proofErr w:type="spellEnd"/>
      <w:r w:rsidR="00755594">
        <w:t xml:space="preserve">, </w:t>
      </w:r>
      <w:proofErr w:type="spellStart"/>
      <w:r w:rsidR="00755594">
        <w:t>ул.Пионерская</w:t>
      </w:r>
      <w:proofErr w:type="spellEnd"/>
      <w:r w:rsidR="00755594">
        <w:t xml:space="preserve"> 2-а, </w:t>
      </w:r>
      <w:proofErr w:type="spellStart"/>
      <w:r w:rsidR="00755594">
        <w:t>ул.Кооперативная</w:t>
      </w:r>
      <w:proofErr w:type="spellEnd"/>
      <w:r w:rsidR="00755594">
        <w:t xml:space="preserve">, </w:t>
      </w:r>
      <w:proofErr w:type="spellStart"/>
      <w:r w:rsidR="00755594">
        <w:t>ул.Молодежная</w:t>
      </w:r>
      <w:proofErr w:type="spellEnd"/>
      <w:r w:rsidR="00755594">
        <w:t xml:space="preserve">, ул.50 лет Победы, </w:t>
      </w:r>
      <w:proofErr w:type="spellStart"/>
      <w:r w:rsidR="00755594">
        <w:t>ул.Советская</w:t>
      </w:r>
      <w:proofErr w:type="spellEnd"/>
      <w:r w:rsidR="00755594">
        <w:t>).</w:t>
      </w:r>
    </w:p>
    <w:p w:rsidR="006F2161" w:rsidRDefault="006F2161" w:rsidP="007203BE">
      <w:pPr>
        <w:pStyle w:val="a5"/>
        <w:spacing w:after="0" w:line="240" w:lineRule="auto"/>
        <w:ind w:left="0" w:firstLine="709"/>
        <w:jc w:val="both"/>
      </w:pPr>
      <w:proofErr w:type="gramStart"/>
      <w:r>
        <w:t>В целях реализации требований Федерального закона от 7 декабря 2011 года № 416-ФЗ «О водоснабжении и водоотведении», отражения существующей ситуации, а также определения долгосрочной перспективы развития системы холодного водоснабжения населенных пунктов Гаринского городского округа, обеспечения надежного и качественного водоснабжения потребителей, разработана Схема холодного водоснабжения и утверждена постановлением главы от 16.07.2014 г. № 304.</w:t>
      </w:r>
      <w:proofErr w:type="gramEnd"/>
    </w:p>
    <w:p w:rsidR="009868DC" w:rsidRDefault="006F2161" w:rsidP="009868DC">
      <w:pPr>
        <w:pStyle w:val="a5"/>
        <w:spacing w:after="0" w:line="240" w:lineRule="auto"/>
        <w:ind w:left="0" w:firstLine="709"/>
        <w:jc w:val="both"/>
      </w:pPr>
      <w:r>
        <w:t xml:space="preserve"> В результате реализации Схемы должно быть обеспечено развитие сетей централизованного водоснабжения Гаринского городского округа, а также увеличение подключения количества потребителей к системам водоснабжения. </w:t>
      </w:r>
    </w:p>
    <w:p w:rsidR="00986A5A" w:rsidRDefault="00986A5A" w:rsidP="007203BE">
      <w:pPr>
        <w:pStyle w:val="a5"/>
        <w:spacing w:after="0" w:line="240" w:lineRule="auto"/>
        <w:ind w:left="0" w:firstLine="709"/>
        <w:jc w:val="both"/>
      </w:pPr>
    </w:p>
    <w:p w:rsidR="00C30470" w:rsidRPr="00A77E31" w:rsidRDefault="00C30470" w:rsidP="00A77E31">
      <w:pPr>
        <w:pStyle w:val="a5"/>
        <w:numPr>
          <w:ilvl w:val="1"/>
          <w:numId w:val="13"/>
        </w:numPr>
        <w:rPr>
          <w:b/>
        </w:rPr>
      </w:pPr>
      <w:r w:rsidRPr="00A77E31">
        <w:rPr>
          <w:b/>
        </w:rPr>
        <w:t>Оказание транспортных услуг</w:t>
      </w:r>
    </w:p>
    <w:p w:rsidR="00EC1B42" w:rsidRPr="00EC1B42" w:rsidRDefault="00EC3356" w:rsidP="00EC3356">
      <w:pPr>
        <w:pStyle w:val="a5"/>
        <w:spacing w:after="0" w:line="240" w:lineRule="auto"/>
        <w:ind w:left="0"/>
        <w:jc w:val="both"/>
      </w:pPr>
      <w:r>
        <w:t xml:space="preserve">         </w:t>
      </w:r>
      <w:r w:rsidR="00EC1B42" w:rsidRPr="00EC1B42">
        <w:t>Доля населения, проживающего в населенных пунктах, не имеющих регулярного автобусного сообщения с административным центром городского округа, в общей численности населения Гаринского городского округа</w:t>
      </w:r>
      <w:r w:rsidR="00EC1B42">
        <w:t xml:space="preserve"> в</w:t>
      </w:r>
      <w:r w:rsidR="00F21B61">
        <w:t xml:space="preserve"> 2014</w:t>
      </w:r>
      <w:r w:rsidR="00EC1B42" w:rsidRPr="00EC1B42">
        <w:t xml:space="preserve"> году состав</w:t>
      </w:r>
      <w:r w:rsidR="00EC1B42">
        <w:t>ляет</w:t>
      </w:r>
      <w:r w:rsidR="00EC1B42" w:rsidRPr="00EC1B42">
        <w:t xml:space="preserve"> – </w:t>
      </w:r>
      <w:r w:rsidR="00F21B61">
        <w:t>19</w:t>
      </w:r>
      <w:r w:rsidR="00303FD4" w:rsidRPr="00A77E31">
        <w:t xml:space="preserve">%. </w:t>
      </w:r>
      <w:r w:rsidR="00EC1B42" w:rsidRPr="00A77E31">
        <w:t xml:space="preserve"> </w:t>
      </w:r>
      <w:r w:rsidR="00F21B61">
        <w:t>В прогнозном периоде снижение показателя на 2-3% в год.</w:t>
      </w:r>
    </w:p>
    <w:p w:rsidR="00EC1B42" w:rsidRDefault="00EC1B42" w:rsidP="00F123C5">
      <w:pPr>
        <w:pStyle w:val="a5"/>
        <w:spacing w:after="0" w:line="240" w:lineRule="auto"/>
        <w:ind w:left="0" w:firstLine="851"/>
        <w:jc w:val="both"/>
      </w:pPr>
      <w:r w:rsidRPr="00EC1B42">
        <w:t xml:space="preserve">Протяженность автомобильных дорог общего пользования местного значения составляет 350,2 км, из них 289 км - автозимники. Поэтому снижение показателя произойдет преимущественно за счет снижения численности населения округа. </w:t>
      </w:r>
    </w:p>
    <w:p w:rsidR="007659EC" w:rsidRDefault="004A36EA" w:rsidP="00355716">
      <w:pPr>
        <w:pStyle w:val="a5"/>
        <w:spacing w:after="0" w:line="240" w:lineRule="auto"/>
        <w:ind w:left="0" w:firstLine="851"/>
        <w:jc w:val="both"/>
        <w:rPr>
          <w:bCs/>
          <w:szCs w:val="28"/>
        </w:rPr>
      </w:pPr>
      <w:r w:rsidRPr="004A36EA">
        <w:rPr>
          <w:bCs/>
          <w:szCs w:val="28"/>
        </w:rPr>
        <w:t xml:space="preserve">Пассажирское сообщение обеспечивает ИП </w:t>
      </w:r>
      <w:proofErr w:type="spellStart"/>
      <w:r w:rsidRPr="004A36EA">
        <w:rPr>
          <w:bCs/>
          <w:szCs w:val="28"/>
        </w:rPr>
        <w:t>Катаргин</w:t>
      </w:r>
      <w:proofErr w:type="spellEnd"/>
      <w:r w:rsidR="00DD54E8">
        <w:rPr>
          <w:bCs/>
          <w:szCs w:val="28"/>
        </w:rPr>
        <w:t xml:space="preserve">, </w:t>
      </w:r>
      <w:proofErr w:type="gramStart"/>
      <w:r w:rsidR="00DD54E8">
        <w:rPr>
          <w:bCs/>
          <w:szCs w:val="28"/>
        </w:rPr>
        <w:t>который</w:t>
      </w:r>
      <w:proofErr w:type="gramEnd"/>
      <w:r w:rsidR="00DD54E8">
        <w:rPr>
          <w:bCs/>
          <w:szCs w:val="28"/>
        </w:rPr>
        <w:t xml:space="preserve"> осуществляет пассажирские перевозки по маршрутам: Гари-Сосьва-Серов, Гари-Андрюшино-Сосьва.</w:t>
      </w:r>
    </w:p>
    <w:p w:rsidR="00F21B61" w:rsidRPr="004A36EA" w:rsidRDefault="00F21B61" w:rsidP="00355716">
      <w:pPr>
        <w:pStyle w:val="a5"/>
        <w:spacing w:after="0" w:line="240" w:lineRule="auto"/>
        <w:ind w:left="0" w:firstLine="851"/>
        <w:jc w:val="both"/>
        <w:rPr>
          <w:color w:val="FF0000"/>
        </w:rPr>
      </w:pPr>
      <w:r>
        <w:rPr>
          <w:bCs/>
          <w:szCs w:val="28"/>
        </w:rPr>
        <w:t xml:space="preserve">В 2014 году открыто автобусное сообщение </w:t>
      </w:r>
      <w:proofErr w:type="spellStart"/>
      <w:r>
        <w:rPr>
          <w:bCs/>
          <w:szCs w:val="28"/>
        </w:rPr>
        <w:t>р.п</w:t>
      </w:r>
      <w:proofErr w:type="gramStart"/>
      <w:r>
        <w:rPr>
          <w:bCs/>
          <w:szCs w:val="28"/>
        </w:rPr>
        <w:t>.Г</w:t>
      </w:r>
      <w:proofErr w:type="gramEnd"/>
      <w:r>
        <w:rPr>
          <w:bCs/>
          <w:szCs w:val="28"/>
        </w:rPr>
        <w:t>ари</w:t>
      </w:r>
      <w:proofErr w:type="spellEnd"/>
      <w:r>
        <w:rPr>
          <w:bCs/>
          <w:szCs w:val="28"/>
        </w:rPr>
        <w:t xml:space="preserve"> – </w:t>
      </w:r>
      <w:proofErr w:type="spellStart"/>
      <w:r>
        <w:rPr>
          <w:bCs/>
          <w:szCs w:val="28"/>
        </w:rPr>
        <w:t>г.Екатеринбург</w:t>
      </w:r>
      <w:proofErr w:type="spellEnd"/>
      <w:r>
        <w:rPr>
          <w:bCs/>
          <w:szCs w:val="28"/>
        </w:rPr>
        <w:t>.</w:t>
      </w:r>
    </w:p>
    <w:p w:rsidR="00355716" w:rsidRDefault="00F00064" w:rsidP="00355716">
      <w:pPr>
        <w:pStyle w:val="a5"/>
        <w:spacing w:after="0" w:line="240" w:lineRule="auto"/>
        <w:ind w:left="0" w:firstLine="851"/>
        <w:jc w:val="both"/>
      </w:pPr>
      <w:r>
        <w:t>П</w:t>
      </w:r>
      <w:r w:rsidRPr="00F00064">
        <w:t>еревозка пассажиров водным транспортом</w:t>
      </w:r>
      <w:r>
        <w:t xml:space="preserve"> на территории Гаринского городского округа осуществляется </w:t>
      </w:r>
      <w:r w:rsidR="00DD54E8">
        <w:t>МП п</w:t>
      </w:r>
      <w:r w:rsidR="00340916">
        <w:t xml:space="preserve">ристань </w:t>
      </w:r>
      <w:r w:rsidR="00DD54E8">
        <w:t>«</w:t>
      </w:r>
      <w:r w:rsidR="00340916">
        <w:t>Гари</w:t>
      </w:r>
      <w:r w:rsidR="00DD54E8">
        <w:t>» на пассажирском теплоходе «Пелым» на 25 мест</w:t>
      </w:r>
      <w:r w:rsidR="0006570F">
        <w:t xml:space="preserve"> по трем рекам Сосьва, </w:t>
      </w:r>
      <w:proofErr w:type="spellStart"/>
      <w:r w:rsidR="0006570F">
        <w:t>Лозьва</w:t>
      </w:r>
      <w:proofErr w:type="spellEnd"/>
      <w:r w:rsidR="0006570F">
        <w:t>, Тавда</w:t>
      </w:r>
      <w:r w:rsidR="00340916">
        <w:t xml:space="preserve">. </w:t>
      </w:r>
      <w:r w:rsidR="00355716">
        <w:t>Средняя численность раб</w:t>
      </w:r>
      <w:r w:rsidR="0006570F">
        <w:t>отающих на предприятии составляет</w:t>
      </w:r>
      <w:r w:rsidR="00F21B61">
        <w:t xml:space="preserve"> 14 человек.</w:t>
      </w:r>
    </w:p>
    <w:p w:rsidR="00F21B61" w:rsidRPr="00CD0EDE" w:rsidRDefault="00CD0EDE" w:rsidP="00F21B61">
      <w:pPr>
        <w:pStyle w:val="a5"/>
        <w:spacing w:after="0" w:line="240" w:lineRule="auto"/>
        <w:ind w:left="0" w:firstLine="851"/>
        <w:jc w:val="both"/>
      </w:pPr>
      <w:r w:rsidRPr="00CD0EDE">
        <w:t>Перевезено пассажиров в 2014</w:t>
      </w:r>
      <w:r w:rsidR="00EC36E4" w:rsidRPr="00CD0EDE">
        <w:t xml:space="preserve"> году – </w:t>
      </w:r>
      <w:r w:rsidRPr="00CD0EDE">
        <w:t>904 человека (в 2013</w:t>
      </w:r>
      <w:r w:rsidR="00EC36E4" w:rsidRPr="00CD0EDE">
        <w:t xml:space="preserve"> – </w:t>
      </w:r>
      <w:r w:rsidRPr="00CD0EDE">
        <w:t>1362</w:t>
      </w:r>
      <w:r w:rsidR="00EC36E4" w:rsidRPr="00CD0EDE">
        <w:t xml:space="preserve"> человек</w:t>
      </w:r>
      <w:r w:rsidRPr="00CD0EDE">
        <w:t>а</w:t>
      </w:r>
      <w:r w:rsidR="00EC36E4" w:rsidRPr="00CD0EDE">
        <w:t xml:space="preserve">) </w:t>
      </w:r>
      <w:r w:rsidR="00B359B5" w:rsidRPr="00CD0EDE">
        <w:t>Всего за 2014</w:t>
      </w:r>
      <w:r w:rsidR="00355716" w:rsidRPr="00CD0EDE">
        <w:t xml:space="preserve"> год оказано услуг на </w:t>
      </w:r>
      <w:r w:rsidR="00B359B5" w:rsidRPr="00CD0EDE">
        <w:t>448</w:t>
      </w:r>
      <w:r w:rsidR="00355716" w:rsidRPr="00CD0EDE">
        <w:t xml:space="preserve"> </w:t>
      </w:r>
      <w:r w:rsidR="00CF5540" w:rsidRPr="00CD0EDE">
        <w:t>тысяч</w:t>
      </w:r>
      <w:r w:rsidR="00355716" w:rsidRPr="00CD0EDE">
        <w:t xml:space="preserve"> рублей. У</w:t>
      </w:r>
      <w:r w:rsidR="00714E78" w:rsidRPr="00CD0EDE">
        <w:t xml:space="preserve">меньшение </w:t>
      </w:r>
      <w:r w:rsidR="00355716" w:rsidRPr="00CD0EDE">
        <w:t xml:space="preserve"> объема оказанных услуг составило по сравнению с прошлым годом </w:t>
      </w:r>
      <w:r w:rsidR="00B359B5" w:rsidRPr="00CD0EDE">
        <w:t>19,6</w:t>
      </w:r>
      <w:r w:rsidR="00355716" w:rsidRPr="00CD0EDE">
        <w:t xml:space="preserve"> %. Затраты на производство  </w:t>
      </w:r>
      <w:r w:rsidR="00574ACB">
        <w:t xml:space="preserve">увеличились </w:t>
      </w:r>
      <w:r w:rsidRPr="00CD0EDE">
        <w:t>на 1</w:t>
      </w:r>
      <w:r w:rsidR="00355716" w:rsidRPr="00CD0EDE">
        <w:t xml:space="preserve"> % и составили </w:t>
      </w:r>
      <w:r w:rsidRPr="00CD0EDE">
        <w:t>5560</w:t>
      </w:r>
      <w:r w:rsidR="00355716" w:rsidRPr="00CD0EDE">
        <w:t xml:space="preserve"> тысяч рублей (в 201</w:t>
      </w:r>
      <w:r w:rsidR="00714E78" w:rsidRPr="00CD0EDE">
        <w:t>2</w:t>
      </w:r>
      <w:r w:rsidR="00355716" w:rsidRPr="00CD0EDE">
        <w:t xml:space="preserve"> году</w:t>
      </w:r>
      <w:r w:rsidRPr="00CD0EDE">
        <w:t xml:space="preserve"> - </w:t>
      </w:r>
      <w:r w:rsidR="00355716" w:rsidRPr="00CD0EDE">
        <w:t xml:space="preserve"> </w:t>
      </w:r>
      <w:r w:rsidRPr="00CD0EDE">
        <w:t>5507</w:t>
      </w:r>
      <w:r w:rsidR="00355716" w:rsidRPr="00CD0EDE">
        <w:t xml:space="preserve"> тыс. рублей).</w:t>
      </w:r>
    </w:p>
    <w:p w:rsidR="00F21B61" w:rsidRDefault="00F21B61" w:rsidP="00F21B61">
      <w:pPr>
        <w:pStyle w:val="a5"/>
        <w:spacing w:after="0" w:line="240" w:lineRule="auto"/>
        <w:ind w:left="0" w:firstLine="851"/>
        <w:jc w:val="both"/>
      </w:pPr>
      <w:r>
        <w:t>В 2014 году приобретен быстроходный катер «Корвет» на 10 мест.</w:t>
      </w:r>
      <w:r w:rsidR="00355716">
        <w:t xml:space="preserve"> </w:t>
      </w:r>
    </w:p>
    <w:p w:rsidR="00F21B61" w:rsidRDefault="00F21B61" w:rsidP="00F21B61">
      <w:pPr>
        <w:pStyle w:val="a5"/>
        <w:spacing w:after="0" w:line="240" w:lineRule="auto"/>
        <w:ind w:left="0" w:firstLine="851"/>
        <w:jc w:val="both"/>
      </w:pPr>
      <w:r w:rsidRPr="00EC1B42">
        <w:t xml:space="preserve">На территории  </w:t>
      </w:r>
      <w:r>
        <w:t>Гаринского городского округа  железнодорожное сообщение отсутствует</w:t>
      </w:r>
      <w:r w:rsidRPr="00EC1B42">
        <w:t xml:space="preserve">. </w:t>
      </w:r>
    </w:p>
    <w:p w:rsidR="00A77E31" w:rsidRDefault="00A77E31" w:rsidP="00355716">
      <w:pPr>
        <w:pStyle w:val="a5"/>
        <w:spacing w:after="0" w:line="240" w:lineRule="auto"/>
        <w:ind w:left="0" w:firstLine="851"/>
        <w:jc w:val="both"/>
      </w:pPr>
    </w:p>
    <w:p w:rsidR="00C30470" w:rsidRPr="00A77E31" w:rsidRDefault="00C30470" w:rsidP="00A77E31">
      <w:pPr>
        <w:pStyle w:val="a5"/>
        <w:numPr>
          <w:ilvl w:val="0"/>
          <w:numId w:val="13"/>
        </w:numPr>
        <w:rPr>
          <w:b/>
        </w:rPr>
      </w:pPr>
      <w:r w:rsidRPr="00A77E31">
        <w:rPr>
          <w:b/>
        </w:rPr>
        <w:t>Инвестиционная деятельность</w:t>
      </w:r>
    </w:p>
    <w:p w:rsidR="00397615" w:rsidRDefault="00397615" w:rsidP="0047549F">
      <w:pPr>
        <w:pStyle w:val="a5"/>
        <w:spacing w:after="0" w:line="240" w:lineRule="auto"/>
        <w:ind w:left="0" w:firstLine="1066"/>
        <w:jc w:val="both"/>
      </w:pPr>
      <w:r>
        <w:t>Объем инвестиций в основной капитал</w:t>
      </w:r>
      <w:r w:rsidR="00CB78A1">
        <w:t xml:space="preserve"> в 2014 году составил </w:t>
      </w:r>
      <w:r>
        <w:t xml:space="preserve"> – 39,391 млн. рублей, что выше, чем в 2013 году в 2,5 раза (в 2013 году объем инвестиций – 15,675 млн. руб.), из них:</w:t>
      </w:r>
    </w:p>
    <w:p w:rsidR="00397615" w:rsidRDefault="00397615" w:rsidP="0047549F">
      <w:pPr>
        <w:pStyle w:val="a5"/>
        <w:spacing w:after="0" w:line="240" w:lineRule="auto"/>
        <w:ind w:left="0" w:firstLine="1066"/>
        <w:jc w:val="both"/>
      </w:pPr>
      <w:proofErr w:type="gramStart"/>
      <w:r>
        <w:t xml:space="preserve">- </w:t>
      </w:r>
      <w:r w:rsidR="006E1C75">
        <w:t xml:space="preserve">20,916 млн. руб. - </w:t>
      </w:r>
      <w:r>
        <w:t>собственные средства предприятий (</w:t>
      </w:r>
      <w:r w:rsidR="00996DDF">
        <w:t>реализованы инвестиционные проекты крупных предприятий:</w:t>
      </w:r>
      <w:proofErr w:type="gramEnd"/>
      <w:r w:rsidR="00996DDF">
        <w:t xml:space="preserve"> </w:t>
      </w:r>
      <w:proofErr w:type="spellStart"/>
      <w:r w:rsidR="00996DDF">
        <w:t>ОА</w:t>
      </w:r>
      <w:proofErr w:type="gramStart"/>
      <w:r w:rsidR="00996DDF">
        <w:t>О«</w:t>
      </w:r>
      <w:proofErr w:type="gramEnd"/>
      <w:r w:rsidR="00996DDF">
        <w:t>Сибнефтепровод</w:t>
      </w:r>
      <w:proofErr w:type="spellEnd"/>
      <w:r w:rsidR="00996DDF">
        <w:t>», ООО «</w:t>
      </w:r>
      <w:proofErr w:type="spellStart"/>
      <w:r w:rsidR="00996DDF">
        <w:t>Уралтелеком</w:t>
      </w:r>
      <w:proofErr w:type="spellEnd"/>
      <w:r w:rsidR="00996DDF">
        <w:t>», «Управление автодорог Свердловской области»)</w:t>
      </w:r>
      <w:r w:rsidR="006E1C75">
        <w:t>,</w:t>
      </w:r>
    </w:p>
    <w:p w:rsidR="006E1C75" w:rsidRDefault="006E1C75" w:rsidP="0047549F">
      <w:pPr>
        <w:pStyle w:val="a5"/>
        <w:spacing w:after="0" w:line="240" w:lineRule="auto"/>
        <w:ind w:left="0" w:firstLine="1066"/>
        <w:jc w:val="both"/>
      </w:pPr>
      <w:r>
        <w:t xml:space="preserve">- 17,658 млн. руб. – средства местного бюджета (приобретен быстроходный катер «Корвет», проведен капремонт муниципального жилищного фонда, </w:t>
      </w:r>
      <w:proofErr w:type="gramStart"/>
      <w:r>
        <w:t>объ</w:t>
      </w:r>
      <w:r w:rsidR="00574ACB">
        <w:t>ектов</w:t>
      </w:r>
      <w:proofErr w:type="gramEnd"/>
      <w:r w:rsidR="00574ACB">
        <w:t xml:space="preserve"> образования, приобретены 3</w:t>
      </w:r>
      <w:r>
        <w:t xml:space="preserve"> бульдозера с прицепами),</w:t>
      </w:r>
    </w:p>
    <w:p w:rsidR="006E1C75" w:rsidRDefault="006E1C75" w:rsidP="0047549F">
      <w:pPr>
        <w:pStyle w:val="a5"/>
        <w:spacing w:after="0" w:line="240" w:lineRule="auto"/>
        <w:ind w:left="0" w:firstLine="1066"/>
        <w:jc w:val="both"/>
      </w:pPr>
      <w:r>
        <w:t>- 0,553 млн. руб. – средства федерального бюджета,</w:t>
      </w:r>
    </w:p>
    <w:p w:rsidR="006E1C75" w:rsidRDefault="006E1C75" w:rsidP="0047549F">
      <w:pPr>
        <w:pStyle w:val="a5"/>
        <w:spacing w:after="0" w:line="240" w:lineRule="auto"/>
        <w:ind w:left="0" w:firstLine="1066"/>
        <w:jc w:val="both"/>
      </w:pPr>
      <w:r>
        <w:t>- 0,104 млн. руб. – средства областного бюджета (</w:t>
      </w:r>
      <w:r w:rsidR="00A13342">
        <w:t>субсидия на проведение капремонта общеобразовательных учреждений),</w:t>
      </w:r>
    </w:p>
    <w:p w:rsidR="00A13342" w:rsidRDefault="00A13342" w:rsidP="0047549F">
      <w:pPr>
        <w:pStyle w:val="a5"/>
        <w:spacing w:after="0" w:line="240" w:lineRule="auto"/>
        <w:ind w:left="0" w:firstLine="1066"/>
        <w:jc w:val="both"/>
      </w:pPr>
      <w:r>
        <w:t>- 0,160 млн. руб</w:t>
      </w:r>
      <w:r w:rsidR="00574ACB">
        <w:t>.</w:t>
      </w:r>
      <w:r>
        <w:t xml:space="preserve"> – средства внебюджетных фондов.</w:t>
      </w:r>
    </w:p>
    <w:p w:rsidR="001D6E88" w:rsidRPr="00A77E31" w:rsidRDefault="00A13342" w:rsidP="0047549F">
      <w:pPr>
        <w:pStyle w:val="a5"/>
        <w:spacing w:after="0" w:line="240" w:lineRule="auto"/>
        <w:ind w:left="0" w:firstLine="1066"/>
        <w:jc w:val="both"/>
      </w:pPr>
      <w:r>
        <w:t>в расчете на 1 жителя Гаринского городского округа о</w:t>
      </w:r>
      <w:r w:rsidR="0047549F" w:rsidRPr="00A77E31">
        <w:t xml:space="preserve">бъем инвестиций в основной </w:t>
      </w:r>
      <w:r w:rsidR="00FE21C7" w:rsidRPr="00A77E31">
        <w:t>капитал</w:t>
      </w:r>
      <w:r w:rsidR="00550DDD" w:rsidRPr="00A77E31">
        <w:t xml:space="preserve"> </w:t>
      </w:r>
      <w:r w:rsidR="00920A90">
        <w:t xml:space="preserve"> в 2014</w:t>
      </w:r>
      <w:r w:rsidR="00FE21C7" w:rsidRPr="00A77E31">
        <w:t xml:space="preserve"> году составил</w:t>
      </w:r>
      <w:r w:rsidR="0047549F" w:rsidRPr="00A77E31">
        <w:t xml:space="preserve"> </w:t>
      </w:r>
      <w:r w:rsidR="00920A90">
        <w:t>8 749,7</w:t>
      </w:r>
      <w:r w:rsidR="0047549F" w:rsidRPr="00A77E31">
        <w:t xml:space="preserve"> руб. </w:t>
      </w:r>
      <w:r w:rsidR="00920A90">
        <w:t>(в 2013 году – 760 руб.)</w:t>
      </w:r>
      <w:r w:rsidR="0047549F" w:rsidRPr="00A77E31">
        <w:t xml:space="preserve">. </w:t>
      </w:r>
      <w:r w:rsidR="00920A90">
        <w:t>Увеличение</w:t>
      </w:r>
      <w:r w:rsidR="00550DDD" w:rsidRPr="00A77E31">
        <w:t xml:space="preserve"> показателя по сравнению </w:t>
      </w:r>
      <w:r w:rsidR="00920A90">
        <w:t>с 2013 годом в 11</w:t>
      </w:r>
      <w:r w:rsidR="00550DDD" w:rsidRPr="00A77E31">
        <w:t xml:space="preserve">,5 раз. </w:t>
      </w:r>
      <w:r w:rsidR="0047549F" w:rsidRPr="00A77E31">
        <w:t xml:space="preserve">В плановом периоде </w:t>
      </w:r>
      <w:r w:rsidR="00920A90">
        <w:t>2015-2017</w:t>
      </w:r>
      <w:r w:rsidR="001D6E88" w:rsidRPr="00A77E31">
        <w:t xml:space="preserve"> г.</w:t>
      </w:r>
      <w:r w:rsidR="00A77E31">
        <w:t xml:space="preserve"> </w:t>
      </w:r>
      <w:r w:rsidR="001D6E88" w:rsidRPr="00A77E31">
        <w:t xml:space="preserve">г. прогнозируется достигнуть </w:t>
      </w:r>
      <w:r w:rsidR="00574ACB">
        <w:t xml:space="preserve">к 2017 году </w:t>
      </w:r>
      <w:r w:rsidR="001D6E88" w:rsidRPr="00A77E31">
        <w:t xml:space="preserve">значение показателя </w:t>
      </w:r>
      <w:r w:rsidR="00920A90">
        <w:t>10 421</w:t>
      </w:r>
      <w:r w:rsidR="001D6E88" w:rsidRPr="00A77E31">
        <w:t xml:space="preserve"> руб. в расчете на 1 жителя.</w:t>
      </w:r>
    </w:p>
    <w:p w:rsidR="0006570F" w:rsidRDefault="0047549F" w:rsidP="0047549F">
      <w:pPr>
        <w:pStyle w:val="a5"/>
        <w:spacing w:after="0" w:line="240" w:lineRule="auto"/>
        <w:ind w:left="0" w:firstLine="1066"/>
        <w:jc w:val="both"/>
      </w:pPr>
      <w:r w:rsidRPr="0047549F">
        <w:t xml:space="preserve">В целях повышения инвестиционной привлекательности округа проводятся следующие мероприятия: </w:t>
      </w:r>
    </w:p>
    <w:p w:rsidR="0006570F" w:rsidRDefault="0006570F" w:rsidP="0047549F">
      <w:pPr>
        <w:pStyle w:val="a5"/>
        <w:spacing w:after="0" w:line="240" w:lineRule="auto"/>
        <w:ind w:left="0" w:firstLine="1066"/>
        <w:jc w:val="both"/>
      </w:pPr>
      <w:r>
        <w:t xml:space="preserve">- </w:t>
      </w:r>
      <w:r w:rsidR="0047549F" w:rsidRPr="0047549F">
        <w:t xml:space="preserve">ежегодное обновление инвестиционного паспорта Гаринского ГО, размещение его на инвестиционном портале Свердловской области и на официальном сайте округа; </w:t>
      </w:r>
    </w:p>
    <w:p w:rsidR="0006570F" w:rsidRDefault="0006570F" w:rsidP="0047549F">
      <w:pPr>
        <w:pStyle w:val="a5"/>
        <w:spacing w:after="0" w:line="240" w:lineRule="auto"/>
        <w:ind w:left="0" w:firstLine="1066"/>
        <w:jc w:val="both"/>
      </w:pPr>
      <w:r>
        <w:t xml:space="preserve">- </w:t>
      </w:r>
      <w:r w:rsidR="0047549F" w:rsidRPr="0047549F">
        <w:t xml:space="preserve">ежегодное обновление реестра инвестиционных площадок на территории округа, размещение его на инвестиционном портале Свердловской области и на официальном сайте округа; </w:t>
      </w:r>
    </w:p>
    <w:p w:rsidR="00417D75" w:rsidRDefault="0006570F" w:rsidP="0047549F">
      <w:pPr>
        <w:pStyle w:val="a5"/>
        <w:spacing w:after="0" w:line="240" w:lineRule="auto"/>
        <w:ind w:left="0" w:firstLine="1066"/>
        <w:jc w:val="both"/>
      </w:pPr>
      <w:r>
        <w:t xml:space="preserve">- </w:t>
      </w:r>
      <w:r w:rsidR="0047549F" w:rsidRPr="0047549F">
        <w:t xml:space="preserve">ведение паспортов инвестиционных проектов, реализуемых на территории Гаринского ГО; </w:t>
      </w:r>
    </w:p>
    <w:p w:rsidR="00C30470" w:rsidRDefault="00417D75" w:rsidP="0047549F">
      <w:pPr>
        <w:pStyle w:val="a5"/>
        <w:spacing w:after="0" w:line="240" w:lineRule="auto"/>
        <w:ind w:left="0" w:firstLine="1066"/>
        <w:jc w:val="both"/>
      </w:pPr>
      <w:r>
        <w:t xml:space="preserve">- </w:t>
      </w:r>
      <w:r w:rsidR="0047549F" w:rsidRPr="0047549F">
        <w:t>разработан План мероприятий («дорожная карта») по повышению инвестиционной привлекательности и создания благоприятных условий для развития бизнеса на территории Гаринского городского округа на 2014-2020 годы.</w:t>
      </w:r>
    </w:p>
    <w:p w:rsidR="0047549F" w:rsidRPr="0047549F" w:rsidRDefault="0047549F" w:rsidP="0047549F">
      <w:pPr>
        <w:pStyle w:val="a5"/>
        <w:spacing w:after="0" w:line="240" w:lineRule="auto"/>
        <w:ind w:left="0" w:firstLine="1066"/>
        <w:jc w:val="both"/>
      </w:pPr>
    </w:p>
    <w:p w:rsidR="00C30470" w:rsidRPr="00C30470" w:rsidRDefault="00C30470" w:rsidP="00A77E31">
      <w:pPr>
        <w:pStyle w:val="a5"/>
        <w:numPr>
          <w:ilvl w:val="1"/>
          <w:numId w:val="13"/>
        </w:numPr>
        <w:rPr>
          <w:b/>
        </w:rPr>
      </w:pPr>
      <w:r w:rsidRPr="00C30470">
        <w:rPr>
          <w:b/>
        </w:rPr>
        <w:t>Строительная индустрия</w:t>
      </w:r>
    </w:p>
    <w:p w:rsidR="002D71D3" w:rsidRDefault="002D71D3" w:rsidP="002D71D3">
      <w:pPr>
        <w:pStyle w:val="a5"/>
        <w:spacing w:after="0" w:line="240" w:lineRule="auto"/>
        <w:ind w:left="0" w:firstLine="709"/>
        <w:jc w:val="both"/>
      </w:pPr>
      <w:r>
        <w:t>В строительной сфере округа работает одно предприятие малого бизнеса Общество с ограниченной ответственностью «Строй-Сервис».</w:t>
      </w:r>
      <w:r w:rsidR="007453A6">
        <w:t xml:space="preserve"> Работники предприятия выполняют строительно-монтажные работы на объектах жилищного, социального, производственного назначения на территории Гаринского городского округа.</w:t>
      </w:r>
    </w:p>
    <w:p w:rsidR="00630A30" w:rsidRPr="00630A30" w:rsidRDefault="00630A30" w:rsidP="00630A30">
      <w:pPr>
        <w:pStyle w:val="a5"/>
        <w:spacing w:after="0" w:line="240" w:lineRule="auto"/>
        <w:ind w:left="0" w:firstLine="709"/>
        <w:jc w:val="both"/>
      </w:pPr>
      <w:r w:rsidRPr="00630A30">
        <w:t xml:space="preserve">Объекты незавершенного в установленные сроки </w:t>
      </w:r>
      <w:proofErr w:type="gramStart"/>
      <w:r w:rsidRPr="00630A30">
        <w:t>строительства, осуществляемого за счет средств бюджета Гаринского городского округа отсутствуют</w:t>
      </w:r>
      <w:proofErr w:type="gramEnd"/>
      <w:r w:rsidRPr="00630A30">
        <w:t xml:space="preserve">. </w:t>
      </w:r>
    </w:p>
    <w:p w:rsidR="00C30470" w:rsidRDefault="00630A30" w:rsidP="00630A30">
      <w:pPr>
        <w:pStyle w:val="a5"/>
        <w:spacing w:after="0" w:line="240" w:lineRule="auto"/>
        <w:ind w:left="0" w:firstLine="709"/>
        <w:jc w:val="both"/>
      </w:pPr>
      <w:r w:rsidRPr="00630A30">
        <w:t xml:space="preserve">В целях соблюдения установленных сроков строительства специалистами Администрации Гаринского городского округа осуществляется </w:t>
      </w:r>
      <w:proofErr w:type="gramStart"/>
      <w:r w:rsidRPr="00630A30">
        <w:t>контроль за</w:t>
      </w:r>
      <w:proofErr w:type="gramEnd"/>
      <w:r w:rsidRPr="00630A30">
        <w:t xml:space="preserve"> выполнением арендных договоров землепользования в части сроков предоставления земельных участков в соответствии с назначением, контроль за сроками строительства, в том числе осуществляемого за счет средств бюджета Гаринского городского округа.</w:t>
      </w:r>
    </w:p>
    <w:p w:rsidR="00744610" w:rsidRPr="00630A30" w:rsidRDefault="00744610" w:rsidP="00630A30">
      <w:pPr>
        <w:pStyle w:val="a5"/>
        <w:spacing w:after="0" w:line="240" w:lineRule="auto"/>
        <w:ind w:left="0" w:firstLine="709"/>
        <w:jc w:val="both"/>
      </w:pPr>
    </w:p>
    <w:p w:rsidR="00C30470" w:rsidRDefault="00C30470" w:rsidP="00A77E31">
      <w:pPr>
        <w:pStyle w:val="a5"/>
        <w:numPr>
          <w:ilvl w:val="1"/>
          <w:numId w:val="13"/>
        </w:numPr>
        <w:rPr>
          <w:b/>
        </w:rPr>
      </w:pPr>
      <w:r w:rsidRPr="00C30470">
        <w:rPr>
          <w:b/>
        </w:rPr>
        <w:t>Жилищное строительство</w:t>
      </w:r>
    </w:p>
    <w:p w:rsidR="004F08E8" w:rsidRDefault="0006570F" w:rsidP="004F08E8">
      <w:pPr>
        <w:pStyle w:val="a5"/>
        <w:spacing w:after="0" w:line="240" w:lineRule="auto"/>
        <w:ind w:left="0" w:firstLine="709"/>
        <w:jc w:val="both"/>
      </w:pPr>
      <w:proofErr w:type="gramStart"/>
      <w:r>
        <w:t>В 2013 году</w:t>
      </w:r>
      <w:r w:rsidR="00DF2639">
        <w:t xml:space="preserve"> показатель ввода жилья</w:t>
      </w:r>
      <w:r>
        <w:t xml:space="preserve"> – 445,6</w:t>
      </w:r>
      <w:r w:rsidR="004F08E8" w:rsidRPr="00023030">
        <w:t xml:space="preserve"> кв. м.</w:t>
      </w:r>
      <w:r w:rsidR="00DF2639">
        <w:t xml:space="preserve">, в том числе индивидуальное жилищное строительство – 223 </w:t>
      </w:r>
      <w:proofErr w:type="spellStart"/>
      <w:r w:rsidR="00DF2639">
        <w:t>кв.м</w:t>
      </w:r>
      <w:proofErr w:type="spellEnd"/>
      <w:r w:rsidR="00DF2639">
        <w:t xml:space="preserve">.,  в 2014 году – 672,3 </w:t>
      </w:r>
      <w:proofErr w:type="spellStart"/>
      <w:r w:rsidR="00DF2639">
        <w:t>кв.м</w:t>
      </w:r>
      <w:proofErr w:type="spellEnd"/>
      <w:r w:rsidR="00DF2639">
        <w:t>.</w:t>
      </w:r>
      <w:r w:rsidR="009868DC">
        <w:t xml:space="preserve"> (при установленном контрольном параметре 400 </w:t>
      </w:r>
      <w:proofErr w:type="spellStart"/>
      <w:r w:rsidR="009868DC">
        <w:t>кв.м</w:t>
      </w:r>
      <w:proofErr w:type="spellEnd"/>
      <w:r w:rsidR="009868DC">
        <w:t>.)</w:t>
      </w:r>
      <w:r w:rsidR="00DF2639">
        <w:t xml:space="preserve">, из них индивидуальное жилищное строительство – 581,1 </w:t>
      </w:r>
      <w:proofErr w:type="spellStart"/>
      <w:r w:rsidR="00DF2639">
        <w:t>кв.м</w:t>
      </w:r>
      <w:proofErr w:type="spellEnd"/>
      <w:r w:rsidR="00DF2639">
        <w:t>.</w:t>
      </w:r>
      <w:r w:rsidR="009868DC">
        <w:t xml:space="preserve"> </w:t>
      </w:r>
      <w:proofErr w:type="gramEnd"/>
    </w:p>
    <w:p w:rsidR="00EB7C26" w:rsidRPr="004F08E8" w:rsidRDefault="00EB7C26" w:rsidP="004F08E8">
      <w:pPr>
        <w:pStyle w:val="a5"/>
        <w:spacing w:after="0" w:line="240" w:lineRule="auto"/>
        <w:ind w:left="0" w:firstLine="709"/>
        <w:jc w:val="both"/>
      </w:pPr>
      <w:r>
        <w:t xml:space="preserve">В 2014 году построены два жилых дома по ул. </w:t>
      </w:r>
      <w:proofErr w:type="gramStart"/>
      <w:r>
        <w:t>Ясная</w:t>
      </w:r>
      <w:proofErr w:type="gramEnd"/>
      <w:r>
        <w:t xml:space="preserve">, выданы разрешения на ввод этих домов в эксплуатацию. В 2015 году после проведения мероприятий по подключению к электричеству, жилые дома будут распределены в порядке очередности гражданам, признанными нуждающимися в жилых помещениях, предоставляемых по договорам социального найма.  </w:t>
      </w:r>
    </w:p>
    <w:p w:rsidR="00485FEB" w:rsidRDefault="00827284" w:rsidP="00827284">
      <w:pPr>
        <w:pStyle w:val="a5"/>
        <w:spacing w:after="0" w:line="240" w:lineRule="auto"/>
        <w:ind w:left="0" w:firstLine="709"/>
        <w:jc w:val="both"/>
        <w:rPr>
          <w:bCs/>
          <w:iCs/>
        </w:rPr>
      </w:pPr>
      <w:proofErr w:type="gramStart"/>
      <w:r w:rsidRPr="00827284">
        <w:rPr>
          <w:bCs/>
          <w:iCs/>
        </w:rPr>
        <w:t>Общая площадь жилых помещений, приходящаяся в среднем на одного жителя в 2012 году</w:t>
      </w:r>
      <w:r w:rsidR="00DF2639">
        <w:rPr>
          <w:bCs/>
          <w:iCs/>
        </w:rPr>
        <w:t xml:space="preserve"> увеличилась</w:t>
      </w:r>
      <w:proofErr w:type="gramEnd"/>
      <w:r w:rsidRPr="00827284">
        <w:rPr>
          <w:bCs/>
          <w:iCs/>
        </w:rPr>
        <w:t xml:space="preserve"> на </w:t>
      </w:r>
      <w:r w:rsidR="00DF2639">
        <w:rPr>
          <w:bCs/>
          <w:iCs/>
        </w:rPr>
        <w:t>0,6</w:t>
      </w:r>
      <w:r w:rsidRPr="00827284">
        <w:rPr>
          <w:bCs/>
          <w:iCs/>
        </w:rPr>
        <w:t xml:space="preserve">% от уровня 2011 года, в 2013 году </w:t>
      </w:r>
      <w:r w:rsidR="00417D75">
        <w:rPr>
          <w:bCs/>
          <w:iCs/>
        </w:rPr>
        <w:t xml:space="preserve">показатель </w:t>
      </w:r>
      <w:r w:rsidRPr="00827284">
        <w:rPr>
          <w:bCs/>
          <w:iCs/>
        </w:rPr>
        <w:t xml:space="preserve">увеличился на </w:t>
      </w:r>
      <w:r w:rsidR="00DF2639">
        <w:rPr>
          <w:bCs/>
          <w:iCs/>
        </w:rPr>
        <w:t xml:space="preserve">0,8%, в 2014 году рост составляет 0,2%. </w:t>
      </w:r>
    </w:p>
    <w:p w:rsidR="00827284" w:rsidRPr="00827284" w:rsidRDefault="00827284" w:rsidP="00827284">
      <w:pPr>
        <w:pStyle w:val="a5"/>
        <w:spacing w:after="0" w:line="240" w:lineRule="auto"/>
        <w:ind w:left="0" w:firstLine="709"/>
        <w:jc w:val="both"/>
        <w:rPr>
          <w:bCs/>
          <w:iCs/>
        </w:rPr>
      </w:pPr>
      <w:r w:rsidRPr="00827284">
        <w:rPr>
          <w:bCs/>
          <w:iCs/>
        </w:rPr>
        <w:t xml:space="preserve">В плановом периоде ожидается небольшое увеличение показателя. Для этого будет активизирована работа комиссии по выявлению готовых к вводу жилых помещений, спланированы мероприятия по проведению разъяснительной работы по вопросам оформления построенных объектов </w:t>
      </w:r>
      <w:r w:rsidR="00574ACB">
        <w:rPr>
          <w:bCs/>
          <w:iCs/>
        </w:rPr>
        <w:t>индивидуального жилищного строительства</w:t>
      </w:r>
      <w:r w:rsidRPr="00827284">
        <w:rPr>
          <w:bCs/>
          <w:iCs/>
        </w:rPr>
        <w:t xml:space="preserve"> в БТИ, </w:t>
      </w:r>
      <w:proofErr w:type="spellStart"/>
      <w:r w:rsidRPr="00827284">
        <w:rPr>
          <w:bCs/>
          <w:iCs/>
        </w:rPr>
        <w:t>Росреестре</w:t>
      </w:r>
      <w:proofErr w:type="spellEnd"/>
      <w:r w:rsidRPr="00827284">
        <w:rPr>
          <w:bCs/>
          <w:iCs/>
        </w:rPr>
        <w:t xml:space="preserve"> для регистрации прав на объекты недвижимости.</w:t>
      </w:r>
    </w:p>
    <w:p w:rsidR="00485FEB" w:rsidRDefault="00DC41BE" w:rsidP="00DC4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proofErr w:type="gramStart"/>
      <w:r w:rsidRPr="00023030">
        <w:rPr>
          <w:rFonts w:eastAsia="Times New Roman" w:cs="Times New Roman"/>
          <w:bCs/>
          <w:iCs/>
          <w:szCs w:val="28"/>
          <w:lang w:eastAsia="ru-RU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</w:t>
      </w:r>
      <w:r w:rsidR="009868DC">
        <w:rPr>
          <w:rFonts w:eastAsia="Times New Roman" w:cs="Times New Roman"/>
          <w:bCs/>
          <w:iCs/>
          <w:szCs w:val="28"/>
          <w:lang w:eastAsia="ru-RU"/>
        </w:rPr>
        <w:t>егося в жилых помещениях, в 2012 году по сравнению с 2011</w:t>
      </w:r>
      <w:r w:rsidRPr="00023030">
        <w:rPr>
          <w:rFonts w:eastAsia="Times New Roman" w:cs="Times New Roman"/>
          <w:bCs/>
          <w:iCs/>
          <w:szCs w:val="28"/>
          <w:lang w:eastAsia="ru-RU"/>
        </w:rPr>
        <w:t xml:space="preserve"> годом </w:t>
      </w:r>
      <w:r w:rsidR="009868DC">
        <w:rPr>
          <w:rFonts w:eastAsia="Times New Roman" w:cs="Times New Roman"/>
          <w:bCs/>
          <w:iCs/>
          <w:szCs w:val="28"/>
          <w:lang w:eastAsia="ru-RU"/>
        </w:rPr>
        <w:t>увеличена на 1,7</w:t>
      </w:r>
      <w:r w:rsidRPr="00023030">
        <w:rPr>
          <w:rFonts w:eastAsia="Times New Roman" w:cs="Times New Roman"/>
          <w:bCs/>
          <w:iCs/>
          <w:szCs w:val="28"/>
          <w:lang w:eastAsia="ru-RU"/>
        </w:rPr>
        <w:t>%</w:t>
      </w:r>
      <w:r w:rsidR="00A03CD1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9868DC">
        <w:rPr>
          <w:rFonts w:eastAsia="Times New Roman" w:cs="Times New Roman"/>
          <w:bCs/>
          <w:iCs/>
          <w:szCs w:val="28"/>
          <w:lang w:eastAsia="ru-RU"/>
        </w:rPr>
        <w:t xml:space="preserve"> В 2013 году </w:t>
      </w:r>
      <w:r w:rsidRPr="00023030">
        <w:rPr>
          <w:rFonts w:eastAsia="Times New Roman" w:cs="Times New Roman"/>
          <w:bCs/>
          <w:iCs/>
          <w:szCs w:val="28"/>
          <w:lang w:eastAsia="ru-RU"/>
        </w:rPr>
        <w:t xml:space="preserve">рост показателя </w:t>
      </w:r>
      <w:r w:rsidR="009868DC">
        <w:rPr>
          <w:rFonts w:eastAsia="Times New Roman" w:cs="Times New Roman"/>
          <w:bCs/>
          <w:iCs/>
          <w:szCs w:val="28"/>
          <w:lang w:eastAsia="ru-RU"/>
        </w:rPr>
        <w:t>на 1,0</w:t>
      </w:r>
      <w:r w:rsidRPr="00023030">
        <w:rPr>
          <w:rFonts w:eastAsia="Times New Roman" w:cs="Times New Roman"/>
          <w:bCs/>
          <w:iCs/>
          <w:szCs w:val="28"/>
          <w:lang w:eastAsia="ru-RU"/>
        </w:rPr>
        <w:t xml:space="preserve">%, </w:t>
      </w:r>
      <w:r w:rsidR="009868DC">
        <w:rPr>
          <w:rFonts w:eastAsia="Times New Roman" w:cs="Times New Roman"/>
          <w:bCs/>
          <w:iCs/>
          <w:szCs w:val="28"/>
          <w:lang w:eastAsia="ru-RU"/>
        </w:rPr>
        <w:t xml:space="preserve"> в 2014</w:t>
      </w:r>
      <w:r w:rsidRPr="00023030">
        <w:rPr>
          <w:rFonts w:eastAsia="Times New Roman" w:cs="Times New Roman"/>
          <w:bCs/>
          <w:iCs/>
          <w:szCs w:val="28"/>
          <w:lang w:eastAsia="ru-RU"/>
        </w:rPr>
        <w:t xml:space="preserve"> году на </w:t>
      </w:r>
      <w:r w:rsidR="009868DC">
        <w:rPr>
          <w:rFonts w:eastAsia="Times New Roman" w:cs="Times New Roman"/>
          <w:bCs/>
          <w:iCs/>
          <w:szCs w:val="28"/>
          <w:lang w:eastAsia="ru-RU"/>
        </w:rPr>
        <w:t>3,2</w:t>
      </w:r>
      <w:r w:rsidRPr="00023030">
        <w:rPr>
          <w:rFonts w:eastAsia="Times New Roman" w:cs="Times New Roman"/>
          <w:bCs/>
          <w:iCs/>
          <w:szCs w:val="28"/>
          <w:lang w:eastAsia="ru-RU"/>
        </w:rPr>
        <w:t xml:space="preserve">%. В плановом периоде ожидается </w:t>
      </w:r>
      <w:r w:rsidR="009868DC">
        <w:rPr>
          <w:rFonts w:eastAsia="Times New Roman" w:cs="Times New Roman"/>
          <w:bCs/>
          <w:iCs/>
          <w:szCs w:val="28"/>
          <w:lang w:eastAsia="ru-RU"/>
        </w:rPr>
        <w:t>сохранение</w:t>
      </w:r>
      <w:r w:rsidRPr="00023030">
        <w:rPr>
          <w:rFonts w:eastAsia="Times New Roman" w:cs="Times New Roman"/>
          <w:bCs/>
          <w:iCs/>
          <w:szCs w:val="28"/>
          <w:lang w:eastAsia="ru-RU"/>
        </w:rPr>
        <w:t xml:space="preserve"> показателя на </w:t>
      </w:r>
      <w:r w:rsidR="009868DC">
        <w:rPr>
          <w:rFonts w:eastAsia="Times New Roman" w:cs="Times New Roman"/>
          <w:bCs/>
          <w:iCs/>
          <w:szCs w:val="28"/>
          <w:lang w:eastAsia="ru-RU"/>
        </w:rPr>
        <w:t>уровне 12%</w:t>
      </w:r>
      <w:r w:rsidRPr="00023030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proofErr w:type="gramEnd"/>
    </w:p>
    <w:p w:rsidR="00DC41BE" w:rsidRPr="00DC41BE" w:rsidRDefault="00DC41BE" w:rsidP="00DC4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proofErr w:type="gramStart"/>
      <w:r w:rsidRPr="00DC41BE">
        <w:rPr>
          <w:rFonts w:eastAsia="Times New Roman" w:cs="Times New Roman"/>
          <w:bCs/>
          <w:iCs/>
          <w:szCs w:val="28"/>
          <w:lang w:eastAsia="ru-RU"/>
        </w:rPr>
        <w:t>Для улучшения данного показателя проводятся следующие мероприятия: предоставление земельных участков многодетным семьям однократно бесплатно; в рамках муниципальной программы «Обеспечение жильем молодых семей на территории Гаринского городского округа на 2012-2015 годы» предоставление субсидий молодым семьям на строительство или приобретение жилья; разработка мероприятий по проведению капитального ремонта муниципального жилья для последующего распределения очередникам, состоящим на учете в качестве нуждающихся.</w:t>
      </w:r>
      <w:proofErr w:type="gramEnd"/>
    </w:p>
    <w:p w:rsidR="00DC41BE" w:rsidRPr="00FB1EAD" w:rsidRDefault="00DC41BE" w:rsidP="00DC4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 w:rsidRPr="00FB1EAD">
        <w:rPr>
          <w:rFonts w:eastAsia="Times New Roman" w:cs="Times New Roman"/>
          <w:bCs/>
          <w:iCs/>
          <w:szCs w:val="28"/>
          <w:lang w:eastAsia="ru-RU"/>
        </w:rPr>
        <w:t xml:space="preserve">Сумма финансирования на мероприятия в рамках программы «Обеспечение жильем молодых семей на территории Гаринского городского </w:t>
      </w:r>
      <w:r w:rsidR="00931988">
        <w:rPr>
          <w:rFonts w:eastAsia="Times New Roman" w:cs="Times New Roman"/>
          <w:bCs/>
          <w:iCs/>
          <w:szCs w:val="28"/>
          <w:lang w:eastAsia="ru-RU"/>
        </w:rPr>
        <w:t>округа на 2012-2015 годы» - 1172,1</w:t>
      </w:r>
      <w:r w:rsidRPr="00FB1EAD">
        <w:rPr>
          <w:rFonts w:eastAsia="Times New Roman" w:cs="Times New Roman"/>
          <w:bCs/>
          <w:iCs/>
          <w:szCs w:val="28"/>
          <w:lang w:eastAsia="ru-RU"/>
        </w:rPr>
        <w:t>6 тыс. руб. (884,</w:t>
      </w:r>
      <w:r w:rsidR="00931988">
        <w:rPr>
          <w:rFonts w:eastAsia="Times New Roman" w:cs="Times New Roman"/>
          <w:bCs/>
          <w:iCs/>
          <w:szCs w:val="28"/>
          <w:lang w:eastAsia="ru-RU"/>
        </w:rPr>
        <w:t xml:space="preserve">6 </w:t>
      </w:r>
      <w:r w:rsidR="00574ACB">
        <w:rPr>
          <w:rFonts w:eastAsia="Times New Roman" w:cs="Times New Roman"/>
          <w:bCs/>
          <w:iCs/>
          <w:szCs w:val="28"/>
          <w:lang w:eastAsia="ru-RU"/>
        </w:rPr>
        <w:t xml:space="preserve">тыс. руб. – областной бюджет и </w:t>
      </w:r>
      <w:r w:rsidRPr="00FB1EAD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931988">
        <w:rPr>
          <w:rFonts w:eastAsia="Times New Roman" w:cs="Times New Roman"/>
          <w:bCs/>
          <w:iCs/>
          <w:szCs w:val="28"/>
          <w:lang w:eastAsia="ru-RU"/>
        </w:rPr>
        <w:t>887,56</w:t>
      </w:r>
      <w:r w:rsidRPr="00FB1EAD">
        <w:rPr>
          <w:rFonts w:eastAsia="Times New Roman" w:cs="Times New Roman"/>
          <w:bCs/>
          <w:iCs/>
          <w:szCs w:val="28"/>
          <w:lang w:eastAsia="ru-RU"/>
        </w:rPr>
        <w:t xml:space="preserve"> тыс. руб. – местный бюджет).</w:t>
      </w:r>
    </w:p>
    <w:p w:rsidR="00DC41BE" w:rsidRPr="00827284" w:rsidRDefault="00994D0C" w:rsidP="00827284">
      <w:pPr>
        <w:pStyle w:val="a5"/>
        <w:spacing w:after="0" w:line="240" w:lineRule="auto"/>
        <w:ind w:left="0" w:firstLine="709"/>
        <w:jc w:val="both"/>
        <w:rPr>
          <w:bCs/>
          <w:iCs/>
        </w:rPr>
      </w:pPr>
      <w:r>
        <w:rPr>
          <w:bCs/>
          <w:iCs/>
        </w:rPr>
        <w:t>В округе утвержден Г</w:t>
      </w:r>
      <w:r w:rsidR="00793F0C" w:rsidRPr="00793F0C">
        <w:rPr>
          <w:bCs/>
          <w:iCs/>
        </w:rPr>
        <w:t xml:space="preserve">енеральный план </w:t>
      </w:r>
      <w:r>
        <w:rPr>
          <w:bCs/>
          <w:iCs/>
        </w:rPr>
        <w:t xml:space="preserve">Гаринского </w:t>
      </w:r>
      <w:r w:rsidR="00793F0C" w:rsidRPr="00793F0C">
        <w:rPr>
          <w:bCs/>
          <w:iCs/>
        </w:rPr>
        <w:t xml:space="preserve">городского округа решением Думы Гаринского городского округа от 09.11.2010 года № 290/39. Решением Думы от 25.11.2012 года № 173/11 </w:t>
      </w:r>
      <w:r>
        <w:rPr>
          <w:bCs/>
          <w:iCs/>
        </w:rPr>
        <w:t xml:space="preserve">в Генеральный план </w:t>
      </w:r>
      <w:r w:rsidR="00793F0C" w:rsidRPr="00793F0C">
        <w:rPr>
          <w:bCs/>
          <w:iCs/>
        </w:rPr>
        <w:t>вн</w:t>
      </w:r>
      <w:r>
        <w:rPr>
          <w:bCs/>
          <w:iCs/>
        </w:rPr>
        <w:t>есены изменения.</w:t>
      </w:r>
    </w:p>
    <w:p w:rsidR="004F08E8" w:rsidRPr="004F08E8" w:rsidRDefault="004F08E8" w:rsidP="004F08E8">
      <w:pPr>
        <w:pStyle w:val="a5"/>
        <w:spacing w:after="0" w:line="240" w:lineRule="auto"/>
        <w:ind w:left="0"/>
        <w:jc w:val="both"/>
      </w:pPr>
    </w:p>
    <w:p w:rsidR="007C7277" w:rsidRDefault="007C7277" w:rsidP="00A77E31">
      <w:pPr>
        <w:pStyle w:val="a5"/>
        <w:numPr>
          <w:ilvl w:val="1"/>
          <w:numId w:val="13"/>
        </w:numPr>
        <w:rPr>
          <w:b/>
        </w:rPr>
      </w:pPr>
      <w:r w:rsidRPr="007C7277">
        <w:rPr>
          <w:b/>
        </w:rPr>
        <w:t>Земельные отношения</w:t>
      </w:r>
    </w:p>
    <w:p w:rsidR="00AC4133" w:rsidRDefault="001D380F" w:rsidP="001D380F">
      <w:pPr>
        <w:pStyle w:val="a5"/>
        <w:spacing w:after="0" w:line="240" w:lineRule="auto"/>
        <w:ind w:left="0" w:firstLine="709"/>
        <w:jc w:val="both"/>
      </w:pPr>
      <w:r>
        <w:t xml:space="preserve">Площадь земельных участков, предоставленных для </w:t>
      </w:r>
      <w:r w:rsidRPr="00A77E31">
        <w:t>строительства</w:t>
      </w:r>
      <w:r w:rsidR="009C585E" w:rsidRPr="00A77E31">
        <w:t xml:space="preserve"> в расчете на 10 тыс. человек населения</w:t>
      </w:r>
      <w:r w:rsidRPr="00A77E31">
        <w:t xml:space="preserve">, всего, в 2011 г. – 1,58 га, в 2012 году – 8,87 га. Рост показателя в 2012 году - в 5,6 раза. </w:t>
      </w:r>
    </w:p>
    <w:p w:rsidR="00AC4133" w:rsidRDefault="001D380F" w:rsidP="001D380F">
      <w:pPr>
        <w:pStyle w:val="a5"/>
        <w:spacing w:after="0" w:line="240" w:lineRule="auto"/>
        <w:ind w:left="0" w:firstLine="709"/>
        <w:jc w:val="both"/>
      </w:pPr>
      <w:r w:rsidRPr="00A77E31">
        <w:t xml:space="preserve">Увеличение показателя в 2012 году обусловлено выделением земельного участка под строительство детского сада и увеличением количества выделяемых участков для индивидуального жилищного строительства. </w:t>
      </w:r>
    </w:p>
    <w:p w:rsidR="00AC4133" w:rsidRDefault="001D380F" w:rsidP="001D380F">
      <w:pPr>
        <w:pStyle w:val="a5"/>
        <w:spacing w:after="0" w:line="240" w:lineRule="auto"/>
        <w:ind w:left="0" w:firstLine="709"/>
        <w:jc w:val="both"/>
      </w:pPr>
      <w:r w:rsidRPr="00A77E31">
        <w:t xml:space="preserve">В 2013 году  выделено </w:t>
      </w:r>
      <w:r w:rsidR="0030472F" w:rsidRPr="00A77E31">
        <w:t>9,4</w:t>
      </w:r>
      <w:r w:rsidR="007E6EA0">
        <w:t xml:space="preserve"> га, в 2014 году – 4,64 га. Снижение показателя обусловлено тем, что в 2014 году закрыта очередь по предоставлению земельных участков под ИЖС однократно бесплатно для отдельных категорий граждан.</w:t>
      </w:r>
      <w:r w:rsidRPr="00A77E31">
        <w:t xml:space="preserve"> </w:t>
      </w:r>
      <w:r w:rsidR="007E6EA0">
        <w:t xml:space="preserve">В 2013 году предоставлено 9 земельных участков общей площадью – 1,7 га, а в 2014 году предоставлено 3 земельных участка общей площадью </w:t>
      </w:r>
      <w:r w:rsidR="00135BBE">
        <w:t>–</w:t>
      </w:r>
      <w:r w:rsidR="007E6EA0">
        <w:t xml:space="preserve"> </w:t>
      </w:r>
      <w:r w:rsidR="00135BBE">
        <w:t>0,6 га.</w:t>
      </w:r>
    </w:p>
    <w:p w:rsidR="001D380F" w:rsidRPr="00A77E31" w:rsidRDefault="001D380F" w:rsidP="001D380F">
      <w:pPr>
        <w:pStyle w:val="a5"/>
        <w:spacing w:after="0" w:line="240" w:lineRule="auto"/>
        <w:ind w:left="0" w:firstLine="709"/>
        <w:jc w:val="both"/>
      </w:pPr>
      <w:r w:rsidRPr="00A77E31">
        <w:t xml:space="preserve">В плановом периоде ожидается рост показателя в связи с увеличением предоставления земельных участков </w:t>
      </w:r>
      <w:r w:rsidR="00135BBE">
        <w:t xml:space="preserve">для строительства жилья </w:t>
      </w:r>
      <w:proofErr w:type="gramStart"/>
      <w:r w:rsidR="00135BBE">
        <w:t>эконом-класса</w:t>
      </w:r>
      <w:proofErr w:type="gramEnd"/>
      <w:r w:rsidR="00135BBE">
        <w:t>.</w:t>
      </w:r>
    </w:p>
    <w:p w:rsidR="001D380F" w:rsidRDefault="001D380F" w:rsidP="001D380F">
      <w:pPr>
        <w:pStyle w:val="a5"/>
        <w:spacing w:after="0" w:line="240" w:lineRule="auto"/>
        <w:ind w:left="0" w:firstLine="709"/>
        <w:jc w:val="both"/>
      </w:pPr>
      <w:r w:rsidRPr="00A77E31">
        <w:t xml:space="preserve">Для улучшения показателя запланированы мероприятия по формированию земельных участков под строительство, мероприятия на проведение необходимых работ по обеспечению сформированных участков инженерной инфраструктурой и </w:t>
      </w:r>
      <w:r>
        <w:t>транспортным сообщением.  Для проведения указанных мероприятий запланировано выделение денежных сре</w:t>
      </w:r>
      <w:proofErr w:type="gramStart"/>
      <w:r>
        <w:t>дств в р</w:t>
      </w:r>
      <w:proofErr w:type="gramEnd"/>
      <w:r>
        <w:t>азмере 600,0 тыс. рублей в рамках муниципальной программы «Доступное и комфортное жилье – гражданам России» в Га</w:t>
      </w:r>
      <w:r w:rsidR="00135BBE">
        <w:t>ринском городском округе на 2015-2020</w:t>
      </w:r>
      <w:r>
        <w:t xml:space="preserve"> годы.</w:t>
      </w:r>
    </w:p>
    <w:p w:rsidR="00AC4133" w:rsidRDefault="00284BF7" w:rsidP="00284BF7">
      <w:pPr>
        <w:pStyle w:val="a5"/>
        <w:spacing w:after="0" w:line="240" w:lineRule="auto"/>
        <w:ind w:left="0" w:firstLine="709"/>
        <w:jc w:val="both"/>
      </w:pPr>
      <w:proofErr w:type="gramStart"/>
      <w:r w:rsidRPr="00284BF7">
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</w:t>
      </w:r>
      <w:r w:rsidRPr="00A77E31">
        <w:t xml:space="preserve">ввод в эксплуатацию: </w:t>
      </w:r>
      <w:r w:rsidR="00A87FCB" w:rsidRPr="00A77E31">
        <w:t>объектов жилищного строительства</w:t>
      </w:r>
      <w:r w:rsidRPr="00A77E31">
        <w:t xml:space="preserve"> – в течение 3 лет</w:t>
      </w:r>
      <w:r w:rsidR="001D380F" w:rsidRPr="00A77E31">
        <w:t xml:space="preserve"> в</w:t>
      </w:r>
      <w:r w:rsidR="00135BBE">
        <w:t xml:space="preserve"> 2012</w:t>
      </w:r>
      <w:r w:rsidRPr="00A77E31">
        <w:t xml:space="preserve"> году </w:t>
      </w:r>
      <w:r w:rsidR="00A87FCB" w:rsidRPr="00A77E31">
        <w:t xml:space="preserve">рост </w:t>
      </w:r>
      <w:r w:rsidRPr="00A77E31">
        <w:t>показател</w:t>
      </w:r>
      <w:r w:rsidR="00A87FCB" w:rsidRPr="00A77E31">
        <w:t>я составил</w:t>
      </w:r>
      <w:r w:rsidRPr="00A77E31">
        <w:t xml:space="preserve"> </w:t>
      </w:r>
      <w:r w:rsidR="00135BBE">
        <w:t>11,3</w:t>
      </w:r>
      <w:r w:rsidRPr="00284BF7">
        <w:t>%, в 2013 году снижение показателя по сравнению с 2</w:t>
      </w:r>
      <w:r w:rsidR="00135BBE">
        <w:t>012 годом на 4,9%, в</w:t>
      </w:r>
      <w:proofErr w:type="gramEnd"/>
      <w:r w:rsidR="00135BBE">
        <w:t xml:space="preserve"> 2014 году произошло увеличение показателя в 1,4 раза.</w:t>
      </w:r>
      <w:r w:rsidRPr="00284BF7">
        <w:t xml:space="preserve"> </w:t>
      </w:r>
    </w:p>
    <w:p w:rsidR="00135BBE" w:rsidRDefault="00284BF7" w:rsidP="00284BF7">
      <w:pPr>
        <w:pStyle w:val="a5"/>
        <w:spacing w:after="0" w:line="240" w:lineRule="auto"/>
        <w:ind w:left="0" w:firstLine="709"/>
        <w:jc w:val="both"/>
      </w:pPr>
      <w:r w:rsidRPr="00284BF7">
        <w:t>В плановом п</w:t>
      </w:r>
      <w:r w:rsidR="00135BBE">
        <w:t>ериоде прогнозируется снижение показателя в 2015 году на 1,9%, в 2017 году – на 4%.</w:t>
      </w:r>
    </w:p>
    <w:p w:rsidR="00284BF7" w:rsidRPr="00284BF7" w:rsidRDefault="00135BBE" w:rsidP="00284BF7">
      <w:pPr>
        <w:pStyle w:val="a5"/>
        <w:spacing w:after="0" w:line="240" w:lineRule="auto"/>
        <w:ind w:left="0" w:firstLine="709"/>
        <w:jc w:val="both"/>
      </w:pPr>
      <w:r>
        <w:t xml:space="preserve"> </w:t>
      </w:r>
      <w:proofErr w:type="gramStart"/>
      <w:r w:rsidR="00284BF7" w:rsidRPr="00284BF7">
        <w:t>Увеличение площади земельных участков, предоставленных для строительства, в отношении которых с даты принятия решения о предоставлении земельного участка не было получено разрешение на ввод в эксплуатацию, происходит по нескольким причинам: увеличение с</w:t>
      </w:r>
      <w:r w:rsidR="00C179B0">
        <w:t>рока разрешения на строительство</w:t>
      </w:r>
      <w:r w:rsidR="00284BF7" w:rsidRPr="00284BF7">
        <w:t xml:space="preserve"> с 3 лет до 10 лет, затягиваются сроки ввода жилья по причине отсутствия в Гаринском городском округе служб Росреестра, БТИ, кадастровых инженеров, высокая стоимость кадастровых</w:t>
      </w:r>
      <w:proofErr w:type="gramEnd"/>
      <w:r w:rsidR="00284BF7" w:rsidRPr="00284BF7">
        <w:t xml:space="preserve"> работ, некоторые застройщики планируют использование средств материнского капитала, по </w:t>
      </w:r>
      <w:proofErr w:type="gramStart"/>
      <w:r w:rsidR="00284BF7" w:rsidRPr="00284BF7">
        <w:t>достижении</w:t>
      </w:r>
      <w:proofErr w:type="gramEnd"/>
      <w:r w:rsidR="00284BF7" w:rsidRPr="00284BF7">
        <w:t xml:space="preserve"> ребенком возраста 3 лет. </w:t>
      </w:r>
    </w:p>
    <w:p w:rsidR="007C7277" w:rsidRPr="00284BF7" w:rsidRDefault="00284BF7" w:rsidP="00284BF7">
      <w:pPr>
        <w:pStyle w:val="a5"/>
        <w:spacing w:after="0" w:line="240" w:lineRule="auto"/>
        <w:ind w:left="0" w:firstLine="709"/>
        <w:jc w:val="both"/>
      </w:pPr>
      <w:r w:rsidRPr="00284BF7">
        <w:t>Для улучшения показателя будет активизирована работа комиссии по выявлению готовых к вводу жилых помещений, спланированы м</w:t>
      </w:r>
      <w:r>
        <w:t>ероприятия по проведению разъясн</w:t>
      </w:r>
      <w:r w:rsidRPr="00284BF7">
        <w:t>ительной работы среди населения по вопросам регистрации прав на объекты недвижимости.</w:t>
      </w:r>
    </w:p>
    <w:p w:rsidR="00AC4133" w:rsidRDefault="007C7277" w:rsidP="00284BF7">
      <w:pPr>
        <w:pStyle w:val="a5"/>
        <w:spacing w:after="0" w:line="240" w:lineRule="auto"/>
        <w:ind w:left="0" w:firstLine="709"/>
        <w:jc w:val="both"/>
      </w:pPr>
      <w:r w:rsidRPr="007C7277">
        <w:t>Доля площади земельных участков, являющихся объектами налогообложения земельным налогом, в общей площади территории Гаринского городского округа</w:t>
      </w:r>
      <w:r>
        <w:t xml:space="preserve"> в </w:t>
      </w:r>
      <w:r w:rsidRPr="007C7277">
        <w:t xml:space="preserve"> 201</w:t>
      </w:r>
      <w:r w:rsidR="00D1257F">
        <w:t>4 году составляет 0,08</w:t>
      </w:r>
      <w:r w:rsidRPr="007C7277">
        <w:t xml:space="preserve">%. </w:t>
      </w:r>
    </w:p>
    <w:p w:rsidR="00AC4133" w:rsidRDefault="007C7277" w:rsidP="00284BF7">
      <w:pPr>
        <w:pStyle w:val="a5"/>
        <w:spacing w:after="0" w:line="240" w:lineRule="auto"/>
        <w:ind w:left="0" w:firstLine="709"/>
        <w:jc w:val="both"/>
      </w:pPr>
      <w:r w:rsidRPr="007C7277">
        <w:t xml:space="preserve">Снижение </w:t>
      </w:r>
      <w:r w:rsidR="00D1257F">
        <w:t>показателя в 2013году по отношению к  2012</w:t>
      </w:r>
      <w:r w:rsidRPr="007C7277">
        <w:t xml:space="preserve"> году с 1,5% до 0,06% обусловлено уточнением площадей земельных участков, являющихся объектом налогообложения земельным налогом. </w:t>
      </w:r>
    </w:p>
    <w:p w:rsidR="007C7277" w:rsidRPr="007C7277" w:rsidRDefault="00D1257F" w:rsidP="00D1257F">
      <w:pPr>
        <w:pStyle w:val="a5"/>
        <w:spacing w:after="0" w:line="240" w:lineRule="auto"/>
        <w:ind w:left="0" w:firstLine="709"/>
        <w:jc w:val="both"/>
      </w:pPr>
      <w:r>
        <w:t>Увеличение  показателя в 2014 году по отношению к 2013</w:t>
      </w:r>
      <w:r w:rsidR="007C7277" w:rsidRPr="007C7277">
        <w:t xml:space="preserve"> году с </w:t>
      </w:r>
      <w:r>
        <w:t>0,06% до 0,8</w:t>
      </w:r>
      <w:r w:rsidR="007C7277" w:rsidRPr="007C7277">
        <w:t xml:space="preserve">% связано с </w:t>
      </w:r>
      <w:r w:rsidRPr="007C7277">
        <w:t>предоставления земельных участков в связи с расширением границ населенных пунктов, а также проведением мероприятий по выявлению неучтенных объектов нед</w:t>
      </w:r>
      <w:r>
        <w:t>вижимости и земельных участков.</w:t>
      </w:r>
    </w:p>
    <w:p w:rsidR="00C30470" w:rsidRDefault="00D1257F" w:rsidP="00C30470">
      <w:pPr>
        <w:pStyle w:val="a5"/>
      </w:pPr>
      <w:r>
        <w:t>В прогнозном периоде ожидается увеличение показателя на 1%  ежегодно.</w:t>
      </w:r>
    </w:p>
    <w:p w:rsidR="00D1257F" w:rsidRPr="00D1257F" w:rsidRDefault="00D1257F" w:rsidP="00C30470">
      <w:pPr>
        <w:pStyle w:val="a5"/>
      </w:pPr>
    </w:p>
    <w:p w:rsidR="00C30470" w:rsidRPr="00C30470" w:rsidRDefault="00C30470" w:rsidP="00A77E31">
      <w:pPr>
        <w:pStyle w:val="a5"/>
        <w:numPr>
          <w:ilvl w:val="0"/>
          <w:numId w:val="13"/>
        </w:numPr>
        <w:rPr>
          <w:b/>
        </w:rPr>
      </w:pPr>
      <w:r w:rsidRPr="00C30470">
        <w:rPr>
          <w:b/>
        </w:rPr>
        <w:t>Жилищно-коммунальное хозяйство</w:t>
      </w:r>
    </w:p>
    <w:p w:rsidR="00AC4133" w:rsidRDefault="00A35A8D" w:rsidP="00A35A8D">
      <w:pPr>
        <w:pStyle w:val="a5"/>
        <w:spacing w:after="0" w:line="240" w:lineRule="auto"/>
        <w:ind w:left="0" w:firstLine="1066"/>
        <w:jc w:val="both"/>
      </w:pPr>
      <w:r w:rsidRPr="00A35A8D">
        <w:t xml:space="preserve">На территории Гаринского ГО 4 многоквартирных дома. </w:t>
      </w:r>
      <w:r w:rsidR="00EE5C44">
        <w:t>Это д</w:t>
      </w:r>
      <w:r w:rsidRPr="00A35A8D">
        <w:t>ва 8-</w:t>
      </w:r>
      <w:r w:rsidR="00EE5C44">
        <w:t xml:space="preserve"> квартирных дома (не имеющих холодного водоснабжения) и два 18-квартирных дома</w:t>
      </w:r>
      <w:r w:rsidRPr="00A35A8D">
        <w:t xml:space="preserve">. </w:t>
      </w:r>
      <w:r w:rsidR="008F669F">
        <w:t xml:space="preserve">Все жилые дома отапливаются индивидуальным печным отоплением. Основной вид топлива – дрова. Газопроводная сеть отсутствует. Отсутствует и система водоотведения. </w:t>
      </w:r>
    </w:p>
    <w:p w:rsidR="00AC4133" w:rsidRDefault="00A35A8D" w:rsidP="00A35A8D">
      <w:pPr>
        <w:pStyle w:val="a5"/>
        <w:spacing w:after="0" w:line="240" w:lineRule="auto"/>
        <w:ind w:left="0" w:firstLine="1066"/>
        <w:jc w:val="both"/>
      </w:pPr>
      <w:r w:rsidRPr="00A35A8D">
        <w:t>В 2013 году в многоквартирных дом</w:t>
      </w:r>
      <w:r>
        <w:t>ах проведены общие собрания соб</w:t>
      </w:r>
      <w:r w:rsidRPr="00A35A8D">
        <w:t xml:space="preserve">ственников и нанимателей жилых помещений. Собственники помещений выбрали непосредственное управление многоквартирным домом. </w:t>
      </w:r>
    </w:p>
    <w:p w:rsidR="00AC4133" w:rsidRDefault="00A35A8D" w:rsidP="00A35A8D">
      <w:pPr>
        <w:pStyle w:val="a5"/>
        <w:spacing w:after="0" w:line="240" w:lineRule="auto"/>
        <w:ind w:left="0" w:firstLine="1066"/>
        <w:jc w:val="both"/>
      </w:pPr>
      <w:r w:rsidRPr="00A35A8D">
        <w:t xml:space="preserve">Для осуществления общественного </w:t>
      </w:r>
      <w:proofErr w:type="gramStart"/>
      <w:r w:rsidRPr="00A35A8D">
        <w:t>контроля за</w:t>
      </w:r>
      <w:proofErr w:type="gramEnd"/>
      <w:r w:rsidRPr="00A35A8D">
        <w:t xml:space="preserve"> качеством предоставляемых коммунальных услуг, выполнением работ по содержанию и ремонту общего имущества в МКД в трех многоквартирных домах </w:t>
      </w:r>
      <w:r w:rsidR="00B359B5">
        <w:t>действуют Советы многоквартирных домов</w:t>
      </w:r>
      <w:r w:rsidRPr="00A35A8D">
        <w:t xml:space="preserve">. </w:t>
      </w:r>
    </w:p>
    <w:p w:rsidR="00B359B5" w:rsidRDefault="00B359B5" w:rsidP="00A35A8D">
      <w:pPr>
        <w:pStyle w:val="a5"/>
        <w:spacing w:after="0" w:line="240" w:lineRule="auto"/>
        <w:ind w:left="0" w:firstLine="1066"/>
        <w:jc w:val="both"/>
      </w:pPr>
      <w:r>
        <w:t>В 2014 году разработан</w:t>
      </w:r>
      <w:r w:rsidR="0054187D">
        <w:t xml:space="preserve"> краткосрочный План </w:t>
      </w:r>
      <w:proofErr w:type="gramStart"/>
      <w:r w:rsidR="0054187D">
        <w:t>реализации р</w:t>
      </w:r>
      <w:r>
        <w:t>егиональной программы капитального ремонта общего имущества многоквартирных домов</w:t>
      </w:r>
      <w:proofErr w:type="gramEnd"/>
      <w:r>
        <w:t xml:space="preserve"> Гаринского городского округа на 2015-2017 годы.</w:t>
      </w:r>
    </w:p>
    <w:p w:rsidR="00B359B5" w:rsidRDefault="00B359B5" w:rsidP="0054187D">
      <w:pPr>
        <w:pStyle w:val="a5"/>
        <w:spacing w:after="0" w:line="240" w:lineRule="auto"/>
        <w:ind w:left="0" w:firstLine="1066"/>
        <w:jc w:val="both"/>
      </w:pPr>
      <w:r>
        <w:t xml:space="preserve">В региональную программу капремонта включены 4 многоквартирных дома </w:t>
      </w:r>
      <w:proofErr w:type="spellStart"/>
      <w:r>
        <w:t>р.п</w:t>
      </w:r>
      <w:proofErr w:type="gramStart"/>
      <w:r>
        <w:t>.Г</w:t>
      </w:r>
      <w:proofErr w:type="gramEnd"/>
      <w:r>
        <w:t>ари</w:t>
      </w:r>
      <w:proofErr w:type="spellEnd"/>
      <w:r>
        <w:t>.</w:t>
      </w:r>
      <w:r w:rsidR="0054187D">
        <w:t xml:space="preserve"> В</w:t>
      </w:r>
      <w:r>
        <w:t xml:space="preserve"> связи с</w:t>
      </w:r>
      <w:r w:rsidR="0054187D">
        <w:t xml:space="preserve"> </w:t>
      </w:r>
      <w:r>
        <w:t xml:space="preserve">тем, что собственники помещений </w:t>
      </w:r>
      <w:r w:rsidR="0054187D">
        <w:t>многоквартирных домов не выбрали способ формирования фонда капремонта общего имущества, формирование осуществляется на счете регионального оператора – специализированной некоммерческой организации «Региональный Фонд содействия капитальному ремонту общего имущества в многоквартирных домах Свердловской области».</w:t>
      </w:r>
    </w:p>
    <w:p w:rsidR="00D1257F" w:rsidRDefault="00D1257F" w:rsidP="00D125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В 2014 году проведены работы по ремонту муниципального жилищного фонда:</w:t>
      </w:r>
    </w:p>
    <w:p w:rsidR="00D1257F" w:rsidRDefault="00D1257F" w:rsidP="00D125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- заменена кровля жилого жома по улице Молодежная, д.1 в р. п. Гари;</w:t>
      </w:r>
    </w:p>
    <w:p w:rsidR="00D1257F" w:rsidRDefault="00D1257F" w:rsidP="00D125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- отремонтированы жилые помещения: ул. </w:t>
      </w:r>
      <w:proofErr w:type="gramStart"/>
      <w:r>
        <w:rPr>
          <w:rFonts w:eastAsia="Times New Roman" w:cs="Times New Roman"/>
          <w:bCs/>
          <w:iCs/>
          <w:szCs w:val="28"/>
          <w:lang w:eastAsia="ru-RU"/>
        </w:rPr>
        <w:t>Комсомольская</w:t>
      </w:r>
      <w:proofErr w:type="gramEnd"/>
      <w:r>
        <w:rPr>
          <w:rFonts w:eastAsia="Times New Roman" w:cs="Times New Roman"/>
          <w:bCs/>
          <w:iCs/>
          <w:szCs w:val="28"/>
          <w:lang w:eastAsia="ru-RU"/>
        </w:rPr>
        <w:t xml:space="preserve"> 68-2, ул.  Северная 16,  ул. Промысловая 14-14.</w:t>
      </w:r>
    </w:p>
    <w:p w:rsidR="00D1257F" w:rsidRDefault="00D1257F" w:rsidP="00D125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- проведен ремонт общедомового имуществ многоквартирных домов: ул. </w:t>
      </w:r>
      <w:proofErr w:type="gramStart"/>
      <w:r>
        <w:rPr>
          <w:rFonts w:eastAsia="Times New Roman" w:cs="Times New Roman"/>
          <w:bCs/>
          <w:iCs/>
          <w:szCs w:val="28"/>
          <w:lang w:eastAsia="ru-RU"/>
        </w:rPr>
        <w:t>Промысловая</w:t>
      </w:r>
      <w:proofErr w:type="gramEnd"/>
      <w:r>
        <w:rPr>
          <w:rFonts w:eastAsia="Times New Roman" w:cs="Times New Roman"/>
          <w:bCs/>
          <w:iCs/>
          <w:szCs w:val="28"/>
          <w:lang w:eastAsia="ru-RU"/>
        </w:rPr>
        <w:t>, 14 и ул. Комсомольская, 58;</w:t>
      </w:r>
    </w:p>
    <w:p w:rsidR="00D1257F" w:rsidRPr="00D1257F" w:rsidRDefault="00D1257F" w:rsidP="00D125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 - проведен ремонт печи в жилом доме по ул. 8 Марта 7-1, ул. Трудовая 43-3.</w:t>
      </w:r>
    </w:p>
    <w:p w:rsidR="00AC4133" w:rsidRDefault="0054187D" w:rsidP="00A35A8D">
      <w:pPr>
        <w:pStyle w:val="a5"/>
        <w:spacing w:after="0" w:line="240" w:lineRule="auto"/>
        <w:ind w:left="0" w:firstLine="1066"/>
        <w:jc w:val="both"/>
      </w:pPr>
      <w:r>
        <w:t>На 2016 год</w:t>
      </w:r>
      <w:r w:rsidR="00A35A8D" w:rsidRPr="00A35A8D">
        <w:t xml:space="preserve"> запланированы мероприятия по постановке на кадастровый учет земельных участков под двумя </w:t>
      </w:r>
      <w:r w:rsidR="008F669F">
        <w:t>многоквартирными домами</w:t>
      </w:r>
      <w:r>
        <w:t>, в 2017</w:t>
      </w:r>
      <w:r w:rsidR="00A35A8D" w:rsidRPr="00A35A8D">
        <w:t xml:space="preserve"> году еще под двумя многоквартирными домами. </w:t>
      </w:r>
    </w:p>
    <w:p w:rsidR="00AC4133" w:rsidRDefault="00AA7CF4" w:rsidP="00FF18A7">
      <w:pPr>
        <w:pStyle w:val="a5"/>
        <w:spacing w:after="0" w:line="240" w:lineRule="auto"/>
        <w:ind w:left="0" w:firstLine="1066"/>
        <w:jc w:val="both"/>
      </w:pPr>
      <w:r>
        <w:t xml:space="preserve">В каждом многоквартирном доме установлены общедомовые приборы учета электроэнергии. </w:t>
      </w:r>
    </w:p>
    <w:p w:rsidR="00FF18A7" w:rsidRPr="00A77E31" w:rsidRDefault="00FF18A7" w:rsidP="00386376">
      <w:pPr>
        <w:pStyle w:val="a5"/>
        <w:spacing w:after="0" w:line="240" w:lineRule="auto"/>
        <w:ind w:left="0" w:firstLine="1066"/>
        <w:jc w:val="both"/>
      </w:pPr>
      <w:r w:rsidRPr="00A77E31">
        <w:t>Удельная величина потребление эл</w:t>
      </w:r>
      <w:r w:rsidR="00386376">
        <w:t>ектрической энергии в МКД в 2014</w:t>
      </w:r>
      <w:r w:rsidRPr="00A77E31">
        <w:t xml:space="preserve"> году </w:t>
      </w:r>
      <w:r w:rsidR="00386376">
        <w:t>1 279,88</w:t>
      </w:r>
      <w:r w:rsidR="008265E6" w:rsidRPr="00A77E31">
        <w:t xml:space="preserve"> </w:t>
      </w:r>
      <w:r w:rsidRPr="00A77E31">
        <w:t>кВт</w:t>
      </w:r>
      <w:r w:rsidR="008265E6" w:rsidRPr="00A77E31">
        <w:t>/</w:t>
      </w:r>
      <w:proofErr w:type="gramStart"/>
      <w:r w:rsidR="008265E6" w:rsidRPr="00A77E31">
        <w:t>ч</w:t>
      </w:r>
      <w:proofErr w:type="gramEnd"/>
      <w:r w:rsidR="008265E6" w:rsidRPr="00A77E31">
        <w:t xml:space="preserve"> на одного проживающего в год.</w:t>
      </w:r>
      <w:r w:rsidRPr="00A77E31">
        <w:t xml:space="preserve"> </w:t>
      </w:r>
      <w:r w:rsidR="00386376">
        <w:t>Уменьшение</w:t>
      </w:r>
      <w:r w:rsidR="008265E6" w:rsidRPr="00A77E31">
        <w:t xml:space="preserve"> п</w:t>
      </w:r>
      <w:r w:rsidR="00386376">
        <w:t>оказателя к уровню 2013</w:t>
      </w:r>
      <w:r w:rsidR="00BD6591" w:rsidRPr="00A77E31">
        <w:t xml:space="preserve"> года </w:t>
      </w:r>
      <w:r w:rsidR="00386376">
        <w:t>на 11%</w:t>
      </w:r>
      <w:r w:rsidR="00BD6591" w:rsidRPr="00A77E31">
        <w:t>.</w:t>
      </w:r>
      <w:r w:rsidR="00023030" w:rsidRPr="00A77E31">
        <w:t xml:space="preserve"> </w:t>
      </w:r>
    </w:p>
    <w:p w:rsidR="00A35A8D" w:rsidRDefault="00AC4133" w:rsidP="00386376">
      <w:pPr>
        <w:pStyle w:val="a5"/>
        <w:spacing w:after="0" w:line="240" w:lineRule="auto"/>
        <w:ind w:left="0"/>
        <w:jc w:val="both"/>
      </w:pPr>
      <w:r>
        <w:t xml:space="preserve">          </w:t>
      </w:r>
      <w:r w:rsidR="00386376">
        <w:t>Экономия</w:t>
      </w:r>
      <w:r w:rsidR="00FF18A7">
        <w:t xml:space="preserve"> потребления электрической энергии в многоквартирных домах </w:t>
      </w:r>
      <w:r w:rsidR="00386376">
        <w:t xml:space="preserve">связана с </w:t>
      </w:r>
      <w:r w:rsidR="00FF18A7">
        <w:t xml:space="preserve"> проведение</w:t>
      </w:r>
      <w:r w:rsidR="00386376">
        <w:t>м</w:t>
      </w:r>
      <w:r w:rsidR="00FF18A7">
        <w:t xml:space="preserve"> следующих мероприятий: применение энергосберегающих ламп, установка </w:t>
      </w:r>
      <w:proofErr w:type="spellStart"/>
      <w:r w:rsidR="00FF18A7">
        <w:t>двухтарифных</w:t>
      </w:r>
      <w:proofErr w:type="spellEnd"/>
      <w:r w:rsidR="00FF18A7">
        <w:t xml:space="preserve"> электрических счетчиков</w:t>
      </w:r>
      <w:r w:rsidR="00386376">
        <w:t>.</w:t>
      </w:r>
      <w:r w:rsidR="00FF18A7">
        <w:t xml:space="preserve"> </w:t>
      </w:r>
    </w:p>
    <w:p w:rsidR="00FF18A7" w:rsidRDefault="00386376" w:rsidP="00386376">
      <w:pPr>
        <w:pStyle w:val="a5"/>
        <w:spacing w:after="0" w:line="240" w:lineRule="auto"/>
        <w:ind w:left="0"/>
        <w:jc w:val="both"/>
      </w:pPr>
      <w:r>
        <w:t xml:space="preserve">          Многоквартирные дома</w:t>
      </w:r>
      <w:r w:rsidR="00FF18A7">
        <w:t xml:space="preserve">, которые подключены к системе холодного водоснабжения, </w:t>
      </w:r>
      <w:r>
        <w:t xml:space="preserve">оснащены общедомовыми </w:t>
      </w:r>
      <w:proofErr w:type="spellStart"/>
      <w:r>
        <w:t>приборми</w:t>
      </w:r>
      <w:proofErr w:type="spellEnd"/>
      <w:r>
        <w:t xml:space="preserve"> учета холодной воды. В 2014</w:t>
      </w:r>
      <w:r w:rsidR="00FF18A7">
        <w:t xml:space="preserve"> году удельная величина потребления холодной воды </w:t>
      </w:r>
      <w:r w:rsidR="00FF18A7" w:rsidRPr="00A77E31">
        <w:t>с</w:t>
      </w:r>
      <w:r>
        <w:t>оставила</w:t>
      </w:r>
      <w:r w:rsidR="00FF18A7" w:rsidRPr="00A77E31">
        <w:t xml:space="preserve"> </w:t>
      </w:r>
      <w:r>
        <w:t>20,67</w:t>
      </w:r>
      <w:r w:rsidR="00FF18A7" w:rsidRPr="00A77E31">
        <w:t xml:space="preserve"> куб. м. на</w:t>
      </w:r>
      <w:r w:rsidR="00BD6591" w:rsidRPr="00A77E31">
        <w:t xml:space="preserve"> одного проживающего, что больше</w:t>
      </w:r>
      <w:r w:rsidR="00FF18A7" w:rsidRPr="00A77E31">
        <w:t xml:space="preserve"> на </w:t>
      </w:r>
      <w:r w:rsidR="00BD6591" w:rsidRPr="00A77E31">
        <w:t>1,7%</w:t>
      </w:r>
      <w:r>
        <w:t xml:space="preserve"> по сравнению с уровнем 2013</w:t>
      </w:r>
      <w:r w:rsidR="00FF18A7" w:rsidRPr="00A77E31">
        <w:t xml:space="preserve"> г. В плановом периоде ожидается уменьшение потребления холодной воды в МКД </w:t>
      </w:r>
      <w:r w:rsidR="00FF18A7">
        <w:t xml:space="preserve">не менее чем на 3%  ежегодно.                       </w:t>
      </w:r>
    </w:p>
    <w:p w:rsidR="00FF18A7" w:rsidRDefault="00FF18A7" w:rsidP="00FF18A7">
      <w:pPr>
        <w:pStyle w:val="a5"/>
        <w:spacing w:after="0" w:line="240" w:lineRule="auto"/>
        <w:ind w:left="0" w:firstLine="1134"/>
        <w:jc w:val="both"/>
      </w:pPr>
      <w:r>
        <w:t>В целях экономии потребления холодной воды проводится разъяснительная работа среди населения по установлению индивидуальны</w:t>
      </w:r>
      <w:r w:rsidR="00BD6591">
        <w:t>х приборов учета холодного водо</w:t>
      </w:r>
      <w:r>
        <w:t xml:space="preserve">снабжения, по перечню рекомендуемых мероприятий экономии холодной воды. </w:t>
      </w:r>
    </w:p>
    <w:p w:rsidR="00A832F8" w:rsidRDefault="00FF18A7" w:rsidP="00FF18A7">
      <w:pPr>
        <w:pStyle w:val="a5"/>
        <w:spacing w:after="0" w:line="240" w:lineRule="auto"/>
        <w:ind w:left="0" w:firstLine="1134"/>
        <w:jc w:val="both"/>
      </w:pPr>
      <w:r>
        <w:t xml:space="preserve">На ремонт, модернизацию трубопроводов системы холодного водоснабжения, на установку приборов учета потребления холодной воды на водонапорных башнях предусмотрено выделение денежных средств из местного бюджета в размере </w:t>
      </w:r>
      <w:r w:rsidR="00386376">
        <w:t>300</w:t>
      </w:r>
      <w:r>
        <w:t xml:space="preserve"> тыс. рублей. </w:t>
      </w:r>
    </w:p>
    <w:p w:rsidR="002739F7" w:rsidRDefault="00EB7C26" w:rsidP="002739F7">
      <w:pPr>
        <w:pStyle w:val="a5"/>
        <w:spacing w:after="0" w:line="240" w:lineRule="auto"/>
        <w:ind w:left="0" w:firstLine="1134"/>
        <w:jc w:val="both"/>
      </w:pPr>
      <w:r>
        <w:t xml:space="preserve">В 2014 году проведены мероприятия по строительству электролинии ВЛ-10 </w:t>
      </w:r>
      <w:r w:rsidR="002739F7">
        <w:t>кВт</w:t>
      </w:r>
      <w:r>
        <w:t xml:space="preserve"> по ул. Советская в </w:t>
      </w:r>
      <w:proofErr w:type="spellStart"/>
      <w:r>
        <w:t>р.п</w:t>
      </w:r>
      <w:proofErr w:type="gramStart"/>
      <w:r>
        <w:t>.Г</w:t>
      </w:r>
      <w:proofErr w:type="gramEnd"/>
      <w:r>
        <w:t>ари</w:t>
      </w:r>
      <w:proofErr w:type="spellEnd"/>
      <w:r>
        <w:t xml:space="preserve"> с установкой трансформатор</w:t>
      </w:r>
      <w:r w:rsidR="002739F7">
        <w:t>а КТП-250 кВт</w:t>
      </w:r>
      <w:r>
        <w:t>,  ре</w:t>
      </w:r>
      <w:r w:rsidR="002739F7">
        <w:t xml:space="preserve">монту электролинии в </w:t>
      </w:r>
      <w:proofErr w:type="spellStart"/>
      <w:r w:rsidR="002739F7">
        <w:t>п.Пуксинка</w:t>
      </w:r>
      <w:proofErr w:type="spellEnd"/>
      <w:r w:rsidR="002739F7">
        <w:t>.</w:t>
      </w:r>
      <w:r>
        <w:t xml:space="preserve"> </w:t>
      </w:r>
      <w:r w:rsidR="002739F7">
        <w:t>На эти цели из бюджета Гаринского городского округа выделено 2 471 тыс. рублей.</w:t>
      </w:r>
    </w:p>
    <w:p w:rsidR="002739F7" w:rsidRDefault="002739F7" w:rsidP="002739F7">
      <w:pPr>
        <w:pStyle w:val="a5"/>
        <w:spacing w:after="0" w:line="240" w:lineRule="auto"/>
        <w:ind w:left="0" w:firstLine="1134"/>
        <w:jc w:val="both"/>
      </w:pPr>
    </w:p>
    <w:p w:rsidR="00C30470" w:rsidRPr="00C30470" w:rsidRDefault="000954EF" w:rsidP="002739F7">
      <w:pPr>
        <w:pStyle w:val="a5"/>
        <w:spacing w:after="0" w:line="240" w:lineRule="auto"/>
        <w:ind w:left="0" w:firstLine="1134"/>
        <w:jc w:val="both"/>
        <w:rPr>
          <w:b/>
        </w:rPr>
      </w:pPr>
      <w:r>
        <w:rPr>
          <w:b/>
        </w:rPr>
        <w:t xml:space="preserve">5. </w:t>
      </w:r>
      <w:r w:rsidR="00C30470" w:rsidRPr="00C30470">
        <w:rPr>
          <w:b/>
        </w:rPr>
        <w:t>Строительство и ремонт дорог</w:t>
      </w:r>
    </w:p>
    <w:p w:rsidR="00485FEB" w:rsidRDefault="00176078" w:rsidP="001F61D1">
      <w:pPr>
        <w:pStyle w:val="a5"/>
        <w:spacing w:after="0" w:line="240" w:lineRule="auto"/>
        <w:ind w:left="0" w:firstLine="851"/>
        <w:jc w:val="both"/>
      </w:pPr>
      <w:r w:rsidRPr="00176078">
        <w:t xml:space="preserve">Протяженность автомобильных дорог общего пользования местного значения на территории округа – 350,2 км, в т. ч. автозимники 289,0 км.  </w:t>
      </w:r>
    </w:p>
    <w:p w:rsidR="00485FEB" w:rsidRDefault="00797171" w:rsidP="001F61D1">
      <w:pPr>
        <w:pStyle w:val="a5"/>
        <w:spacing w:after="0" w:line="240" w:lineRule="auto"/>
        <w:ind w:left="0" w:firstLine="851"/>
        <w:jc w:val="both"/>
      </w:pPr>
      <w:r>
        <w:t>В</w:t>
      </w:r>
      <w:r w:rsidR="00AA7CF4">
        <w:t xml:space="preserve"> реестре муниципальной собственности находится 3,8 км дорог</w:t>
      </w:r>
      <w:r w:rsidR="00176078" w:rsidRPr="00176078">
        <w:t xml:space="preserve">. </w:t>
      </w:r>
    </w:p>
    <w:p w:rsidR="00485FEB" w:rsidRDefault="00176078" w:rsidP="001F61D1">
      <w:pPr>
        <w:pStyle w:val="a5"/>
        <w:spacing w:after="0" w:line="240" w:lineRule="auto"/>
        <w:ind w:left="0" w:firstLine="851"/>
        <w:jc w:val="both"/>
      </w:pPr>
      <w:r w:rsidRPr="00176078">
        <w:t>В 20</w:t>
      </w:r>
      <w:r w:rsidR="001F0A8B">
        <w:t>12-2014</w:t>
      </w:r>
      <w:r w:rsidRPr="00176078">
        <w:t xml:space="preserve"> годах </w:t>
      </w:r>
      <w:r w:rsidR="001F0A8B">
        <w:t xml:space="preserve">проводилась </w:t>
      </w:r>
      <w:r w:rsidRPr="00A77E31">
        <w:t xml:space="preserve"> </w:t>
      </w:r>
      <w:r w:rsidRPr="00176078">
        <w:t>работа по постановке на учет как бесхозяйных  44,4 км дорог с последующим оформлением права собственности на них.</w:t>
      </w:r>
    </w:p>
    <w:p w:rsidR="00485FEB" w:rsidRDefault="001F0A8B" w:rsidP="001F61D1">
      <w:pPr>
        <w:pStyle w:val="a5"/>
        <w:spacing w:after="0" w:line="240" w:lineRule="auto"/>
        <w:ind w:left="0" w:firstLine="851"/>
        <w:jc w:val="both"/>
      </w:pPr>
      <w:r>
        <w:t xml:space="preserve"> В 2015 - 2017</w:t>
      </w:r>
      <w:r w:rsidR="00176078" w:rsidRPr="00176078">
        <w:t xml:space="preserve"> годах планируется закончить мероприятия по постановке дорог на учет как бесхозяйных. </w:t>
      </w:r>
    </w:p>
    <w:p w:rsidR="00485FEB" w:rsidRDefault="00176078" w:rsidP="00176078">
      <w:pPr>
        <w:pStyle w:val="a5"/>
        <w:spacing w:after="0" w:line="240" w:lineRule="auto"/>
        <w:ind w:left="0" w:firstLine="851"/>
        <w:jc w:val="both"/>
      </w:pPr>
      <w:r w:rsidRPr="00176078">
        <w:t xml:space="preserve">В бюджете Гаринского ГО каждый год предусматриваются бюджетные средства на сохранение и развитие сети автомобильных дорог общего пользования местного значения. </w:t>
      </w:r>
    </w:p>
    <w:p w:rsidR="00485FEB" w:rsidRDefault="000204B6" w:rsidP="00176078">
      <w:pPr>
        <w:pStyle w:val="a5"/>
        <w:spacing w:after="0" w:line="240" w:lineRule="auto"/>
        <w:ind w:left="0" w:firstLine="851"/>
        <w:jc w:val="both"/>
      </w:pPr>
      <w:proofErr w:type="gramStart"/>
      <w:r>
        <w:t>В 2015-2017</w:t>
      </w:r>
      <w:r w:rsidR="00176078" w:rsidRPr="00176078">
        <w:t xml:space="preserve"> годах в рамках муниципальной программы «Развитие и обеспечение сохранности сети автомобильных дорог на территории Гари</w:t>
      </w:r>
      <w:r>
        <w:t>нского городского округа на 2015-2020</w:t>
      </w:r>
      <w:r w:rsidR="00176078" w:rsidRPr="00176078">
        <w:t xml:space="preserve"> годы» запланированы мероприятия по содержанию и </w:t>
      </w:r>
      <w:r>
        <w:t>текущему</w:t>
      </w:r>
      <w:r w:rsidR="00176078" w:rsidRPr="00176078">
        <w:t xml:space="preserve"> ремонту дорог и улиц местного значения, приобретение </w:t>
      </w:r>
      <w:r>
        <w:t xml:space="preserve">трех единиц </w:t>
      </w:r>
      <w:r w:rsidR="00176078" w:rsidRPr="00176078">
        <w:t>дорожной техники</w:t>
      </w:r>
      <w:r>
        <w:t xml:space="preserve"> </w:t>
      </w:r>
      <w:r w:rsidR="00176078" w:rsidRPr="00176078">
        <w:t>для содержания автозимников</w:t>
      </w:r>
      <w:r>
        <w:t>,</w:t>
      </w:r>
      <w:r w:rsidR="00176078" w:rsidRPr="00176078">
        <w:t xml:space="preserve"> для погруз</w:t>
      </w:r>
      <w:r w:rsidR="00105414">
        <w:t xml:space="preserve">ки щебня и грунта, </w:t>
      </w:r>
      <w:proofErr w:type="spellStart"/>
      <w:r w:rsidR="00105414">
        <w:t>оканавливания</w:t>
      </w:r>
      <w:proofErr w:type="spellEnd"/>
      <w:r w:rsidR="00176078" w:rsidRPr="00176078">
        <w:t xml:space="preserve"> дорог и улиц. </w:t>
      </w:r>
      <w:proofErr w:type="gramEnd"/>
    </w:p>
    <w:p w:rsidR="00485FEB" w:rsidRDefault="001B61CC" w:rsidP="00176078">
      <w:pPr>
        <w:pStyle w:val="a5"/>
        <w:spacing w:after="0" w:line="240" w:lineRule="auto"/>
        <w:ind w:left="0" w:firstLine="851"/>
        <w:jc w:val="both"/>
      </w:pPr>
      <w:r>
        <w:t>Запланирована с</w:t>
      </w:r>
      <w:r w:rsidR="00176078" w:rsidRPr="00176078">
        <w:t xml:space="preserve">умма финансирования </w:t>
      </w:r>
      <w:r w:rsidR="005C636C">
        <w:t xml:space="preserve">из средств местного бюджета </w:t>
      </w:r>
      <w:r>
        <w:t xml:space="preserve">на 2015-2017 годы </w:t>
      </w:r>
      <w:r w:rsidR="00176078" w:rsidRPr="00176078">
        <w:t xml:space="preserve">– </w:t>
      </w:r>
      <w:r w:rsidR="005C636C">
        <w:t>1 976</w:t>
      </w:r>
      <w:r w:rsidR="00176078" w:rsidRPr="00176078">
        <w:t xml:space="preserve"> тыс. руб. </w:t>
      </w:r>
    </w:p>
    <w:p w:rsidR="00C30470" w:rsidRPr="00A77E31" w:rsidRDefault="00176078" w:rsidP="00176078">
      <w:pPr>
        <w:pStyle w:val="a5"/>
        <w:spacing w:after="0" w:line="240" w:lineRule="auto"/>
        <w:ind w:left="0" w:firstLine="851"/>
        <w:jc w:val="both"/>
      </w:pPr>
      <w:r w:rsidRPr="00176078">
        <w:t xml:space="preserve">В результате выполнения этих мероприятий </w:t>
      </w:r>
      <w:r w:rsidR="00105414">
        <w:t xml:space="preserve">ежегодно </w:t>
      </w:r>
      <w:r w:rsidRPr="00176078">
        <w:t xml:space="preserve">по 2 км дорог общего пользования местного значения будет приведено в соответствие с нормативными требованиями. </w:t>
      </w:r>
      <w:r w:rsidR="005C636C">
        <w:t>В 2016</w:t>
      </w:r>
      <w:r w:rsidRPr="00A77E31">
        <w:t xml:space="preserve"> году значение показателя планируется в размере – </w:t>
      </w:r>
      <w:r w:rsidR="005C636C">
        <w:t>70%, в 2017</w:t>
      </w:r>
      <w:r w:rsidRPr="00A77E31">
        <w:t xml:space="preserve"> году – </w:t>
      </w:r>
      <w:r w:rsidR="005C636C">
        <w:t>65</w:t>
      </w:r>
      <w:r w:rsidRPr="00A77E31">
        <w:t>%.</w:t>
      </w:r>
    </w:p>
    <w:p w:rsidR="00176078" w:rsidRDefault="0056110A" w:rsidP="00176078">
      <w:pPr>
        <w:pStyle w:val="a5"/>
        <w:spacing w:after="0" w:line="240" w:lineRule="auto"/>
        <w:ind w:left="0" w:firstLine="851"/>
        <w:jc w:val="both"/>
      </w:pPr>
      <w:r>
        <w:t>В 2014</w:t>
      </w:r>
      <w:r w:rsidR="005D371A">
        <w:t xml:space="preserve"> году </w:t>
      </w:r>
      <w:r>
        <w:t xml:space="preserve">на содержание и </w:t>
      </w:r>
      <w:r w:rsidR="00E32547">
        <w:t xml:space="preserve"> ремонт автомобильных дорог </w:t>
      </w:r>
      <w:r w:rsidR="00797171">
        <w:t xml:space="preserve"> </w:t>
      </w:r>
      <w:r>
        <w:t>в округе</w:t>
      </w:r>
      <w:r w:rsidR="00E32547">
        <w:t xml:space="preserve"> израсходовано </w:t>
      </w:r>
      <w:r>
        <w:t>5 275,5</w:t>
      </w:r>
      <w:r w:rsidR="00797171">
        <w:t xml:space="preserve"> тыс. рублей, </w:t>
      </w:r>
      <w:r w:rsidR="00E32547">
        <w:t>отремонтировано</w:t>
      </w:r>
      <w:r w:rsidR="00797171">
        <w:t xml:space="preserve"> </w:t>
      </w:r>
      <w:r>
        <w:t>2,1</w:t>
      </w:r>
      <w:r w:rsidR="00797171">
        <w:t xml:space="preserve"> км</w:t>
      </w:r>
      <w:r w:rsidR="00E32547">
        <w:t xml:space="preserve"> автодорог</w:t>
      </w:r>
      <w:r w:rsidR="00797171">
        <w:t>.</w:t>
      </w:r>
    </w:p>
    <w:p w:rsidR="00797171" w:rsidRDefault="0056110A" w:rsidP="00176078">
      <w:pPr>
        <w:pStyle w:val="a5"/>
        <w:spacing w:after="0" w:line="240" w:lineRule="auto"/>
        <w:ind w:left="0" w:firstLine="851"/>
        <w:jc w:val="both"/>
      </w:pPr>
      <w:r>
        <w:t>Приобретены</w:t>
      </w:r>
      <w:r w:rsidR="00105414">
        <w:t xml:space="preserve"> </w:t>
      </w:r>
      <w:r>
        <w:t>на сумму 57 тыс. рублей</w:t>
      </w:r>
      <w:r w:rsidR="00797171">
        <w:t xml:space="preserve"> </w:t>
      </w:r>
      <w:r>
        <w:t>и установлены на дорогах комплекты</w:t>
      </w:r>
      <w:r w:rsidR="00797171">
        <w:t xml:space="preserve"> дорожных знаков.</w:t>
      </w:r>
      <w:r>
        <w:t xml:space="preserve"> В 2014 году произведен закуп 4 тыс. тонн щебня для ремонта дорожного полотна. </w:t>
      </w:r>
    </w:p>
    <w:p w:rsidR="00E32547" w:rsidRDefault="00E32547" w:rsidP="00176078">
      <w:pPr>
        <w:pStyle w:val="a5"/>
        <w:spacing w:after="0" w:line="240" w:lineRule="auto"/>
        <w:ind w:left="0" w:firstLine="851"/>
        <w:jc w:val="both"/>
      </w:pPr>
      <w:r>
        <w:t xml:space="preserve"> Обустроено и отремонтировано</w:t>
      </w:r>
      <w:r w:rsidR="00456EC3">
        <w:t xml:space="preserve"> семь </w:t>
      </w:r>
      <w:proofErr w:type="spellStart"/>
      <w:r w:rsidR="00456EC3">
        <w:t>водопропусков</w:t>
      </w:r>
      <w:proofErr w:type="spellEnd"/>
      <w:r w:rsidR="00456EC3">
        <w:t xml:space="preserve">, </w:t>
      </w:r>
      <w:r w:rsidR="005606CA">
        <w:t xml:space="preserve">из них 1- </w:t>
      </w:r>
      <w:r w:rsidR="00456EC3">
        <w:t xml:space="preserve"> в </w:t>
      </w:r>
      <w:proofErr w:type="spellStart"/>
      <w:r w:rsidR="00456EC3">
        <w:t>д</w:t>
      </w:r>
      <w:proofErr w:type="gramStart"/>
      <w:r w:rsidR="00456EC3">
        <w:t>.Н</w:t>
      </w:r>
      <w:proofErr w:type="gramEnd"/>
      <w:r w:rsidR="005606CA">
        <w:t>ихвор</w:t>
      </w:r>
      <w:proofErr w:type="spellEnd"/>
      <w:r w:rsidR="005606CA">
        <w:t xml:space="preserve">, 1- </w:t>
      </w:r>
      <w:r w:rsidR="00456EC3">
        <w:t xml:space="preserve">в </w:t>
      </w:r>
      <w:proofErr w:type="spellStart"/>
      <w:r w:rsidR="00456EC3">
        <w:t>с.Андрюшино</w:t>
      </w:r>
      <w:proofErr w:type="spellEnd"/>
      <w:r w:rsidR="00456EC3">
        <w:t xml:space="preserve"> и </w:t>
      </w:r>
      <w:r w:rsidR="005606CA">
        <w:t xml:space="preserve"> 5 - </w:t>
      </w:r>
      <w:r w:rsidR="00456EC3">
        <w:t xml:space="preserve">в </w:t>
      </w:r>
      <w:proofErr w:type="spellStart"/>
      <w:r w:rsidR="00456EC3">
        <w:t>р.п.Гари</w:t>
      </w:r>
      <w:proofErr w:type="spellEnd"/>
      <w:r w:rsidR="005606CA">
        <w:t>.</w:t>
      </w:r>
    </w:p>
    <w:p w:rsidR="00AC4133" w:rsidRPr="00176078" w:rsidRDefault="00AC4133" w:rsidP="00176078">
      <w:pPr>
        <w:pStyle w:val="a5"/>
        <w:spacing w:after="0" w:line="240" w:lineRule="auto"/>
        <w:ind w:left="0" w:firstLine="851"/>
        <w:jc w:val="both"/>
      </w:pPr>
    </w:p>
    <w:p w:rsidR="00456EC3" w:rsidRPr="000954EF" w:rsidRDefault="000954EF" w:rsidP="000954EF">
      <w:pPr>
        <w:jc w:val="both"/>
        <w:rPr>
          <w:b/>
        </w:rPr>
      </w:pPr>
      <w:r>
        <w:rPr>
          <w:b/>
        </w:rPr>
        <w:t xml:space="preserve">6. </w:t>
      </w:r>
      <w:r w:rsidR="007C0FC8" w:rsidRPr="000954EF">
        <w:rPr>
          <w:b/>
        </w:rPr>
        <w:t>Мероприятия по благоустройс</w:t>
      </w:r>
      <w:r w:rsidR="001654CA" w:rsidRPr="000954EF">
        <w:rPr>
          <w:b/>
        </w:rPr>
        <w:t>тву</w:t>
      </w:r>
      <w:r w:rsidR="008B3785" w:rsidRPr="000954EF">
        <w:rPr>
          <w:b/>
        </w:rPr>
        <w:t xml:space="preserve"> Гаринского городского округа</w:t>
      </w:r>
    </w:p>
    <w:p w:rsidR="00456EC3" w:rsidRDefault="00456EC3" w:rsidP="00456EC3">
      <w:pPr>
        <w:pStyle w:val="a5"/>
        <w:ind w:left="450"/>
        <w:jc w:val="both"/>
      </w:pPr>
      <w:r w:rsidRPr="00456EC3">
        <w:t xml:space="preserve">      На выполнение м</w:t>
      </w:r>
      <w:r>
        <w:t>ероприятий по благоустройству Гаринского городского округа в 2014 году потрачено 3 312, 4 тыс. рублей.</w:t>
      </w:r>
    </w:p>
    <w:p w:rsidR="00456EC3" w:rsidRPr="00456EC3" w:rsidRDefault="00456EC3" w:rsidP="00456EC3">
      <w:pPr>
        <w:pStyle w:val="a5"/>
        <w:ind w:left="450"/>
        <w:jc w:val="both"/>
      </w:pPr>
      <w:r>
        <w:t xml:space="preserve">      Выполнены мероприятия:</w:t>
      </w:r>
      <w:r w:rsidRPr="00456EC3">
        <w:t xml:space="preserve"> </w:t>
      </w:r>
    </w:p>
    <w:p w:rsidR="001654CA" w:rsidRDefault="001654CA" w:rsidP="004D5925">
      <w:pPr>
        <w:pStyle w:val="a5"/>
        <w:ind w:left="0"/>
        <w:jc w:val="both"/>
      </w:pPr>
      <w:r>
        <w:t xml:space="preserve">           </w:t>
      </w:r>
      <w:r w:rsidR="00456EC3">
        <w:t xml:space="preserve">- </w:t>
      </w:r>
      <w:r>
        <w:t xml:space="preserve">построено </w:t>
      </w:r>
      <w:r w:rsidR="00E32547">
        <w:t xml:space="preserve"> 3 240 квадратных метров</w:t>
      </w:r>
      <w:r>
        <w:t xml:space="preserve"> тротуар</w:t>
      </w:r>
      <w:r w:rsidR="00E32547">
        <w:t>ов</w:t>
      </w:r>
      <w:r w:rsidR="005606CA">
        <w:t>,</w:t>
      </w:r>
    </w:p>
    <w:p w:rsidR="004D5925" w:rsidRDefault="001654CA" w:rsidP="004D5925">
      <w:pPr>
        <w:pStyle w:val="a5"/>
        <w:ind w:left="0"/>
        <w:jc w:val="both"/>
      </w:pPr>
      <w:r>
        <w:t xml:space="preserve">           </w:t>
      </w:r>
      <w:r w:rsidR="005606CA">
        <w:t>- п</w:t>
      </w:r>
      <w:r w:rsidR="004D5925">
        <w:t>роведена работа по отлову бродячих собак в р. п. Гари и п. Пуксинка</w:t>
      </w:r>
      <w:r w:rsidR="005606CA">
        <w:t>,</w:t>
      </w:r>
    </w:p>
    <w:p w:rsidR="001654CA" w:rsidRDefault="004D5925" w:rsidP="004D5925">
      <w:pPr>
        <w:pStyle w:val="a5"/>
        <w:ind w:left="0"/>
        <w:jc w:val="both"/>
      </w:pPr>
      <w:r>
        <w:t xml:space="preserve">           </w:t>
      </w:r>
      <w:r w:rsidR="005606CA">
        <w:t>- произведена</w:t>
      </w:r>
      <w:r>
        <w:t xml:space="preserve"> обрезка деревьев </w:t>
      </w:r>
      <w:r w:rsidR="005606CA">
        <w:t>в р. п. Гари,</w:t>
      </w:r>
    </w:p>
    <w:p w:rsidR="005606CA" w:rsidRDefault="005606CA" w:rsidP="005606CA">
      <w:pPr>
        <w:pStyle w:val="a5"/>
        <w:ind w:left="0"/>
        <w:jc w:val="both"/>
      </w:pPr>
      <w:r>
        <w:t xml:space="preserve">         </w:t>
      </w:r>
      <w:r w:rsidR="004D5925">
        <w:t xml:space="preserve">  </w:t>
      </w:r>
      <w:r w:rsidR="00DB36E0">
        <w:t>- замен</w:t>
      </w:r>
      <w:r>
        <w:t xml:space="preserve">ено 27 </w:t>
      </w:r>
      <w:r w:rsidR="00357991">
        <w:t xml:space="preserve">  светильников</w:t>
      </w:r>
      <w:r>
        <w:t xml:space="preserve"> уличного освещения</w:t>
      </w:r>
      <w:r w:rsidR="00357991">
        <w:t>,</w:t>
      </w:r>
      <w:r w:rsidR="004D5925">
        <w:t xml:space="preserve"> </w:t>
      </w:r>
      <w:r>
        <w:t>установлено 20 фотореле, заменено 89 ламп,</w:t>
      </w:r>
    </w:p>
    <w:p w:rsidR="00C30470" w:rsidRPr="005606CA" w:rsidRDefault="005606CA" w:rsidP="005606CA">
      <w:pPr>
        <w:pStyle w:val="a5"/>
        <w:ind w:left="0"/>
        <w:jc w:val="both"/>
      </w:pPr>
      <w:r>
        <w:t xml:space="preserve">           - п</w:t>
      </w:r>
      <w:r w:rsidR="00456EC3" w:rsidRPr="00456EC3">
        <w:t>остроено два пешеходных мостика</w:t>
      </w:r>
      <w:r w:rsidR="00456EC3" w:rsidRPr="005606CA">
        <w:rPr>
          <w:b/>
        </w:rPr>
        <w:t xml:space="preserve"> </w:t>
      </w:r>
      <w:r w:rsidR="00456EC3" w:rsidRPr="00456EC3">
        <w:t xml:space="preserve">в </w:t>
      </w:r>
      <w:proofErr w:type="spellStart"/>
      <w:r w:rsidR="00456EC3" w:rsidRPr="00456EC3">
        <w:t>р.п</w:t>
      </w:r>
      <w:proofErr w:type="gramStart"/>
      <w:r w:rsidR="00456EC3" w:rsidRPr="00456EC3">
        <w:t>.Г</w:t>
      </w:r>
      <w:proofErr w:type="gramEnd"/>
      <w:r w:rsidR="00456EC3" w:rsidRPr="00456EC3">
        <w:t>ари</w:t>
      </w:r>
      <w:proofErr w:type="spellEnd"/>
      <w:r w:rsidR="00456EC3">
        <w:t>.</w:t>
      </w:r>
      <w:r w:rsidR="00456EC3" w:rsidRPr="005606CA">
        <w:rPr>
          <w:b/>
        </w:rPr>
        <w:t xml:space="preserve"> </w:t>
      </w:r>
    </w:p>
    <w:p w:rsidR="00456EC3" w:rsidRPr="00456EC3" w:rsidRDefault="00456EC3" w:rsidP="00DA227C">
      <w:pPr>
        <w:pStyle w:val="a5"/>
        <w:ind w:left="0" w:firstLine="993"/>
        <w:jc w:val="both"/>
        <w:rPr>
          <w:b/>
        </w:rPr>
      </w:pPr>
    </w:p>
    <w:p w:rsidR="00C30470" w:rsidRPr="000954EF" w:rsidRDefault="000954EF" w:rsidP="000954EF">
      <w:pPr>
        <w:rPr>
          <w:b/>
        </w:rPr>
      </w:pPr>
      <w:r>
        <w:rPr>
          <w:b/>
        </w:rPr>
        <w:t xml:space="preserve">7. </w:t>
      </w:r>
      <w:r w:rsidR="00C30470" w:rsidRPr="000954EF">
        <w:rPr>
          <w:b/>
        </w:rPr>
        <w:t>Потребительский рынок</w:t>
      </w:r>
    </w:p>
    <w:p w:rsidR="007D5B5F" w:rsidRPr="007D5B5F" w:rsidRDefault="007D5B5F" w:rsidP="00E37BE6">
      <w:pPr>
        <w:pStyle w:val="a5"/>
        <w:spacing w:after="0" w:line="240" w:lineRule="auto"/>
        <w:ind w:left="0" w:firstLine="992"/>
        <w:jc w:val="both"/>
      </w:pPr>
      <w:r w:rsidRPr="007D5B5F">
        <w:t>Оборот розничной торговли Гари</w:t>
      </w:r>
      <w:r w:rsidR="00272CC1">
        <w:t>нского городского округа за 2014</w:t>
      </w:r>
      <w:r w:rsidRPr="007D5B5F">
        <w:t xml:space="preserve"> год составил 251,3 млн. руб., </w:t>
      </w:r>
      <w:r w:rsidR="00272CC1">
        <w:t>что в фактических ценах соответствует уровню 2013 года, а в сопоставимых ценах на 7,2% ниже аналогичного показателя 2013 года.</w:t>
      </w:r>
    </w:p>
    <w:p w:rsidR="007D5B5F" w:rsidRPr="007D5B5F" w:rsidRDefault="007D5B5F" w:rsidP="00E37BE6">
      <w:pPr>
        <w:pStyle w:val="a5"/>
        <w:spacing w:after="0" w:line="240" w:lineRule="auto"/>
        <w:ind w:left="0" w:firstLine="992"/>
        <w:jc w:val="both"/>
      </w:pPr>
      <w:r w:rsidRPr="007D5B5F">
        <w:t xml:space="preserve">Оборот розничной торговли на душу населения составил </w:t>
      </w:r>
      <w:r w:rsidR="00272CC1">
        <w:t>55 820</w:t>
      </w:r>
      <w:r w:rsidRPr="007D5B5F">
        <w:t xml:space="preserve"> рублей, что выше у</w:t>
      </w:r>
      <w:r w:rsidR="00272CC1">
        <w:t>ровня 2013 года в действующих ценах на 103</w:t>
      </w:r>
      <w:r w:rsidRPr="007D5B5F">
        <w:t>,3%.</w:t>
      </w:r>
    </w:p>
    <w:p w:rsidR="007D5B5F" w:rsidRPr="007D5B5F" w:rsidRDefault="00272CC1" w:rsidP="00E37BE6">
      <w:pPr>
        <w:pStyle w:val="a5"/>
        <w:spacing w:after="0" w:line="240" w:lineRule="auto"/>
        <w:ind w:left="0" w:firstLine="992"/>
        <w:jc w:val="both"/>
      </w:pPr>
      <w:r>
        <w:t>В 2014</w:t>
      </w:r>
      <w:r w:rsidR="007D5B5F" w:rsidRPr="007D5B5F">
        <w:t xml:space="preserve"> году потребность населения Гаринского городского округа в продовольственных товарах обеспечивалась через розничную сеть, местных товаропроизводителей и  выращенную населением сельскохозяйственную продукцию. </w:t>
      </w:r>
    </w:p>
    <w:p w:rsidR="007D5B5F" w:rsidRPr="007D5B5F" w:rsidRDefault="007D5B5F" w:rsidP="00E37BE6">
      <w:pPr>
        <w:pStyle w:val="a5"/>
        <w:spacing w:after="0" w:line="240" w:lineRule="auto"/>
        <w:ind w:left="0" w:firstLine="992"/>
        <w:jc w:val="both"/>
      </w:pPr>
      <w:r w:rsidRPr="007D5B5F">
        <w:t>Розничные рынки на территории Гаринского городского округа отсутствуют.</w:t>
      </w:r>
    </w:p>
    <w:p w:rsidR="007D5B5F" w:rsidRPr="007D5B5F" w:rsidRDefault="007D5B5F" w:rsidP="00E37BE6">
      <w:pPr>
        <w:pStyle w:val="a5"/>
        <w:spacing w:after="0" w:line="240" w:lineRule="auto"/>
        <w:ind w:left="0" w:firstLine="992"/>
        <w:jc w:val="both"/>
      </w:pPr>
      <w:r w:rsidRPr="007D5B5F">
        <w:t>Обор</w:t>
      </w:r>
      <w:r w:rsidR="003B571B">
        <w:t>от общественного питания за 2014 год составил 8,3</w:t>
      </w:r>
      <w:r w:rsidRPr="007D5B5F">
        <w:t xml:space="preserve"> млн. руб., что выше уровня прошлого года на </w:t>
      </w:r>
      <w:r w:rsidR="003B571B">
        <w:t>1,1</w:t>
      </w:r>
      <w:r w:rsidRPr="007D5B5F">
        <w:t xml:space="preserve">%. </w:t>
      </w:r>
    </w:p>
    <w:p w:rsidR="00C30470" w:rsidRDefault="007D5B5F" w:rsidP="00E37BE6">
      <w:pPr>
        <w:pStyle w:val="a5"/>
        <w:spacing w:after="0" w:line="240" w:lineRule="auto"/>
        <w:ind w:left="0" w:firstLine="992"/>
        <w:jc w:val="both"/>
      </w:pPr>
      <w:r w:rsidRPr="007D5B5F">
        <w:t>Количество объектов тор</w:t>
      </w:r>
      <w:r w:rsidR="003B571B">
        <w:t xml:space="preserve">говли по состоянию на 01.01.2015 </w:t>
      </w:r>
      <w:r w:rsidRPr="007D5B5F">
        <w:t xml:space="preserve">г. </w:t>
      </w:r>
      <w:r w:rsidR="003B571B">
        <w:t>осталось на уровне прошлого года и составило 31 единицу.</w:t>
      </w:r>
      <w:r w:rsidRPr="007D5B5F">
        <w:t xml:space="preserve"> </w:t>
      </w:r>
      <w:r w:rsidR="00357991">
        <w:t>О</w:t>
      </w:r>
      <w:r w:rsidRPr="007D5B5F">
        <w:t xml:space="preserve">беспеченность населения торговыми площадями составила </w:t>
      </w:r>
      <w:r w:rsidR="003B571B">
        <w:t>406</w:t>
      </w:r>
      <w:r w:rsidRPr="007D5B5F">
        <w:t xml:space="preserve"> кв.</w:t>
      </w:r>
      <w:r w:rsidR="00AD4E3B">
        <w:t xml:space="preserve"> м.</w:t>
      </w:r>
      <w:r w:rsidR="003B571B">
        <w:t xml:space="preserve"> на 1000 жителей при нормативе минимальной обеспеченности 348,9 кв. м., в 2013 году показатель составлял 382 кв. м.</w:t>
      </w:r>
    </w:p>
    <w:p w:rsidR="007D5B5F" w:rsidRPr="007D5B5F" w:rsidRDefault="007D5B5F" w:rsidP="007D5B5F">
      <w:pPr>
        <w:pStyle w:val="a5"/>
        <w:ind w:left="0" w:firstLine="993"/>
        <w:jc w:val="both"/>
      </w:pPr>
    </w:p>
    <w:p w:rsidR="00C30470" w:rsidRPr="000954EF" w:rsidRDefault="000954EF" w:rsidP="000954EF">
      <w:pPr>
        <w:rPr>
          <w:b/>
        </w:rPr>
      </w:pPr>
      <w:r>
        <w:rPr>
          <w:b/>
        </w:rPr>
        <w:t xml:space="preserve">8. </w:t>
      </w:r>
      <w:r w:rsidR="00C30470" w:rsidRPr="000954EF">
        <w:rPr>
          <w:b/>
        </w:rPr>
        <w:t>Малое предпринимательство</w:t>
      </w:r>
    </w:p>
    <w:p w:rsidR="007D5B5F" w:rsidRDefault="007D5B5F" w:rsidP="003F7464">
      <w:pPr>
        <w:pStyle w:val="a5"/>
        <w:spacing w:after="0" w:line="240" w:lineRule="auto"/>
        <w:ind w:left="0" w:firstLine="992"/>
        <w:jc w:val="both"/>
      </w:pPr>
      <w:r w:rsidRPr="007D5B5F">
        <w:t xml:space="preserve">В Гаринском городском округе </w:t>
      </w:r>
      <w:r w:rsidR="003B571B">
        <w:t>в 2014 году осуществляли</w:t>
      </w:r>
      <w:r w:rsidRPr="007D5B5F">
        <w:t xml:space="preserve"> де</w:t>
      </w:r>
      <w:r w:rsidR="00357991">
        <w:t>ятельность 53 субъекта</w:t>
      </w:r>
      <w:r w:rsidRPr="007D5B5F">
        <w:t xml:space="preserve"> малого предпринимательств</w:t>
      </w:r>
      <w:r w:rsidR="00357991">
        <w:t>а, из них малых предприятий – 12</w:t>
      </w:r>
      <w:r w:rsidRPr="007D5B5F">
        <w:t xml:space="preserve">, </w:t>
      </w:r>
      <w:r w:rsidR="00357991">
        <w:t>их доля  составляет 22,6</w:t>
      </w:r>
      <w:r w:rsidRPr="007D5B5F">
        <w:t>%, инди</w:t>
      </w:r>
      <w:r w:rsidR="00357991">
        <w:t>видуальных предпринимателей – 41, доля – 77</w:t>
      </w:r>
      <w:r w:rsidRPr="007D5B5F">
        <w:t>,3%.</w:t>
      </w:r>
    </w:p>
    <w:p w:rsidR="00357991" w:rsidRDefault="007D5B5F" w:rsidP="007D5B5F">
      <w:pPr>
        <w:pStyle w:val="a5"/>
        <w:spacing w:after="0" w:line="240" w:lineRule="auto"/>
        <w:ind w:left="0" w:firstLine="993"/>
        <w:jc w:val="both"/>
      </w:pPr>
      <w:r>
        <w:t xml:space="preserve">Основные направления деятельности субъектов малого предпринимательства – розничная торговля (45% от общего количества субъектов МСП) и лесозаготовка, лесопереработка (18,3%). </w:t>
      </w:r>
    </w:p>
    <w:p w:rsidR="007D5B5F" w:rsidRDefault="007D5B5F" w:rsidP="007D5B5F">
      <w:pPr>
        <w:pStyle w:val="a5"/>
        <w:spacing w:after="0" w:line="240" w:lineRule="auto"/>
        <w:ind w:left="0" w:firstLine="993"/>
        <w:jc w:val="both"/>
      </w:pPr>
      <w:r>
        <w:t>Сфера торговли и общественного питания остается более привлекательной для малых предприятий, чем промышленность. Привлекательность данной сферы объясняется, прежде всего, относительно быстрой окупаемостью вложенных средств, стабильным потребительским спросом.</w:t>
      </w:r>
    </w:p>
    <w:p w:rsidR="007D5B5F" w:rsidRDefault="007D5B5F" w:rsidP="007D5B5F">
      <w:pPr>
        <w:pStyle w:val="a5"/>
        <w:spacing w:after="0" w:line="240" w:lineRule="auto"/>
        <w:ind w:left="0" w:firstLine="993"/>
        <w:jc w:val="both"/>
      </w:pPr>
      <w:r>
        <w:t xml:space="preserve">Оборот малых предприятий Гаринского городского округа сложился в  размере </w:t>
      </w:r>
      <w:r w:rsidR="003B571B">
        <w:t>255,5</w:t>
      </w:r>
      <w:r>
        <w:t xml:space="preserve"> млн. руб., что </w:t>
      </w:r>
      <w:r w:rsidR="003B571B">
        <w:t>ниже уровня прошлого года на 8,9</w:t>
      </w:r>
      <w:r>
        <w:t>%.</w:t>
      </w:r>
    </w:p>
    <w:p w:rsidR="007D5B5F" w:rsidRDefault="007D5B5F" w:rsidP="003B571B">
      <w:pPr>
        <w:pStyle w:val="a5"/>
        <w:spacing w:after="0" w:line="240" w:lineRule="auto"/>
        <w:ind w:left="0" w:firstLine="992"/>
        <w:jc w:val="both"/>
      </w:pPr>
      <w:r>
        <w:t xml:space="preserve">Хлебозавод Гаринского </w:t>
      </w:r>
      <w:proofErr w:type="spellStart"/>
      <w:r>
        <w:t>РайПО</w:t>
      </w:r>
      <w:proofErr w:type="spellEnd"/>
      <w:r>
        <w:t xml:space="preserve"> обеспечивает население хлебом и хлебобулочными из</w:t>
      </w:r>
      <w:r w:rsidR="00A832F8">
        <w:t xml:space="preserve">делиями, производит  хлеб </w:t>
      </w:r>
      <w:r>
        <w:t xml:space="preserve"> 1 сорта, смешанной валки</w:t>
      </w:r>
      <w:r w:rsidR="003B571B">
        <w:t xml:space="preserve"> и хлебобулочные изделия. В 2014</w:t>
      </w:r>
      <w:r>
        <w:t xml:space="preserve"> году произведено хлеба</w:t>
      </w:r>
      <w:r w:rsidR="003B571B">
        <w:t xml:space="preserve"> – 202,3 тонны, </w:t>
      </w:r>
      <w:r>
        <w:t xml:space="preserve"> хлебобулочных изделий </w:t>
      </w:r>
      <w:r w:rsidR="003B571B">
        <w:t>– 10</w:t>
      </w:r>
      <w:r>
        <w:t>,9 тонн.</w:t>
      </w:r>
    </w:p>
    <w:p w:rsidR="00946379" w:rsidRPr="00946379" w:rsidRDefault="00946379" w:rsidP="007D5B5F">
      <w:pPr>
        <w:pStyle w:val="a5"/>
        <w:spacing w:after="0" w:line="240" w:lineRule="auto"/>
        <w:ind w:left="0" w:firstLine="992"/>
        <w:jc w:val="both"/>
      </w:pPr>
      <w:r w:rsidRPr="00946379">
        <w:t>В целях увеличения числа субъектов малого и среднего предпринимательства разработана и действует муниципальная программа «Со</w:t>
      </w:r>
      <w:r w:rsidR="00A832F8">
        <w:t>действие развитию малого и сред</w:t>
      </w:r>
      <w:r w:rsidRPr="00946379">
        <w:t>него предпринимательства в Гар</w:t>
      </w:r>
      <w:r w:rsidR="003B571B">
        <w:t>инском городском округе» на 2014-2020</w:t>
      </w:r>
      <w:r w:rsidRPr="00946379">
        <w:t xml:space="preserve"> годы. В рамках программы предусмотрены разъяснительно-консультативные мероприят</w:t>
      </w:r>
      <w:r>
        <w:t>ия для начина</w:t>
      </w:r>
      <w:r w:rsidRPr="00946379">
        <w:t>ющих и работающих предпринимателей,  предусмотрено предоставление субсидий из местного бюджета в размере 100 тыс. руб. ежегодно, предоставление муниципального имущества для ведения предпринимательской деятельности, в том числе на льготных условиях.</w:t>
      </w:r>
      <w:r w:rsidR="0057122B">
        <w:t xml:space="preserve"> </w:t>
      </w:r>
      <w:r w:rsidR="003B571B">
        <w:t>В 2014 году освоено 45,6 тыс. руб.</w:t>
      </w:r>
    </w:p>
    <w:p w:rsidR="002B749C" w:rsidRDefault="00946379" w:rsidP="003F7464">
      <w:pPr>
        <w:pStyle w:val="a5"/>
        <w:spacing w:after="0" w:line="240" w:lineRule="auto"/>
        <w:ind w:left="0" w:firstLine="992"/>
        <w:jc w:val="both"/>
      </w:pPr>
      <w:r w:rsidRPr="00946379">
        <w:t>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</w:t>
      </w:r>
      <w:r w:rsidR="00EF6FD5">
        <w:t>) всех предприятий и учреждений в</w:t>
      </w:r>
      <w:r w:rsidRPr="00946379">
        <w:t xml:space="preserve"> 2013 году составил</w:t>
      </w:r>
      <w:r w:rsidR="00EF6FD5">
        <w:t>а</w:t>
      </w:r>
      <w:r w:rsidR="002B749C">
        <w:t xml:space="preserve"> 14,9</w:t>
      </w:r>
      <w:r w:rsidRPr="00946379">
        <w:t>%, что выше предыдущих</w:t>
      </w:r>
      <w:r w:rsidR="002B749C">
        <w:t xml:space="preserve"> лет. Так в 2013</w:t>
      </w:r>
      <w:r w:rsidRPr="00946379">
        <w:t xml:space="preserve"> го</w:t>
      </w:r>
      <w:r w:rsidR="002B749C">
        <w:t>ду показатель составил  14,5%, в 2012</w:t>
      </w:r>
      <w:r w:rsidRPr="00946379">
        <w:t xml:space="preserve"> го</w:t>
      </w:r>
      <w:r w:rsidR="000553DE">
        <w:t xml:space="preserve">ду – </w:t>
      </w:r>
      <w:r w:rsidR="002B749C">
        <w:t>14,31%, в 2011</w:t>
      </w:r>
      <w:r w:rsidR="000553DE">
        <w:t xml:space="preserve"> году – </w:t>
      </w:r>
      <w:r w:rsidR="002B749C">
        <w:t>13</w:t>
      </w:r>
      <w:r w:rsidRPr="00AD4E3B">
        <w:t xml:space="preserve">%. </w:t>
      </w:r>
    </w:p>
    <w:p w:rsidR="0057122B" w:rsidRDefault="002B749C" w:rsidP="003F7464">
      <w:pPr>
        <w:pStyle w:val="a5"/>
        <w:spacing w:after="0" w:line="240" w:lineRule="auto"/>
        <w:ind w:left="0" w:firstLine="992"/>
        <w:jc w:val="both"/>
      </w:pPr>
      <w:r>
        <w:t>Передано в аренду 6</w:t>
      </w:r>
      <w:r w:rsidR="0057122B" w:rsidRPr="0057122B">
        <w:t xml:space="preserve"> субъектам малого и среднего предпринимательства объектов муниципального имущества общей площадью </w:t>
      </w:r>
      <w:r>
        <w:t xml:space="preserve">290,4 </w:t>
      </w:r>
      <w:r w:rsidR="0057122B" w:rsidRPr="0057122B">
        <w:t xml:space="preserve"> кв.</w:t>
      </w:r>
      <w:r w:rsidR="00AD4E3B">
        <w:t xml:space="preserve"> </w:t>
      </w:r>
      <w:r w:rsidR="0057122B" w:rsidRPr="0057122B">
        <w:t>м.</w:t>
      </w:r>
    </w:p>
    <w:p w:rsidR="00EF6FD5" w:rsidRPr="00946379" w:rsidRDefault="00EF6FD5" w:rsidP="00EF6FD5">
      <w:pPr>
        <w:pStyle w:val="a5"/>
        <w:ind w:left="0" w:firstLine="993"/>
        <w:jc w:val="both"/>
      </w:pPr>
    </w:p>
    <w:p w:rsidR="00C30470" w:rsidRPr="000954EF" w:rsidRDefault="000954EF" w:rsidP="000954EF">
      <w:pPr>
        <w:rPr>
          <w:b/>
        </w:rPr>
      </w:pPr>
      <w:r>
        <w:rPr>
          <w:b/>
        </w:rPr>
        <w:t xml:space="preserve">9. </w:t>
      </w:r>
      <w:r w:rsidR="00C30470" w:rsidRPr="000954EF">
        <w:rPr>
          <w:b/>
        </w:rPr>
        <w:t>Сельское хозяйство</w:t>
      </w:r>
    </w:p>
    <w:p w:rsidR="001A3AA1" w:rsidRPr="00416A4D" w:rsidRDefault="00416A4D" w:rsidP="002B749C">
      <w:pPr>
        <w:pStyle w:val="a5"/>
        <w:ind w:left="0"/>
        <w:jc w:val="both"/>
      </w:pPr>
      <w:r>
        <w:rPr>
          <w:b/>
        </w:rPr>
        <w:t xml:space="preserve">       </w:t>
      </w:r>
      <w:r w:rsidR="002B749C">
        <w:t>По состоянию на 01.01.2015</w:t>
      </w:r>
      <w:r>
        <w:t xml:space="preserve"> г. на территории Гаринского городского округа зарегистрировано </w:t>
      </w:r>
      <w:r w:rsidR="002B749C">
        <w:t>751 личное подсобное</w:t>
      </w:r>
      <w:r>
        <w:t xml:space="preserve"> хозяйств</w:t>
      </w:r>
      <w:r w:rsidR="002B749C">
        <w:t>о</w:t>
      </w:r>
      <w:r>
        <w:t xml:space="preserve">, в том числе: в сельской местности </w:t>
      </w:r>
      <w:r w:rsidR="002B749C">
        <w:t>491</w:t>
      </w:r>
      <w:r>
        <w:t xml:space="preserve"> хозяйств</w:t>
      </w:r>
      <w:r w:rsidR="002B749C">
        <w:t>о</w:t>
      </w:r>
      <w:r>
        <w:t xml:space="preserve"> и в го</w:t>
      </w:r>
      <w:r w:rsidR="00B7246C">
        <w:t xml:space="preserve">родской местности </w:t>
      </w:r>
      <w:r w:rsidR="002B749C">
        <w:t>260</w:t>
      </w:r>
      <w:r w:rsidR="00B7246C">
        <w:t xml:space="preserve"> хозяйств.</w:t>
      </w:r>
      <w:r w:rsidR="002B749C">
        <w:t xml:space="preserve"> Наблюдается снижение количества личных подсобных хозяйств в сельских населенных пунктах и увеличение их числа в городской местности, в </w:t>
      </w:r>
      <w:proofErr w:type="spellStart"/>
      <w:r w:rsidR="002B749C">
        <w:t>р.п</w:t>
      </w:r>
      <w:proofErr w:type="gramStart"/>
      <w:r w:rsidR="002B749C">
        <w:t>.Г</w:t>
      </w:r>
      <w:proofErr w:type="gramEnd"/>
      <w:r w:rsidR="002B749C">
        <w:t>ари</w:t>
      </w:r>
      <w:proofErr w:type="spellEnd"/>
      <w:r w:rsidR="002B749C">
        <w:t xml:space="preserve">. Связано это с уменьшением численности населения в сельской местности в связи с закрытием исправительной колонии в </w:t>
      </w:r>
      <w:proofErr w:type="spellStart"/>
      <w:r w:rsidR="002B749C">
        <w:t>п</w:t>
      </w:r>
      <w:proofErr w:type="gramStart"/>
      <w:r w:rsidR="002B749C">
        <w:t>.П</w:t>
      </w:r>
      <w:proofErr w:type="gramEnd"/>
      <w:r w:rsidR="002B749C">
        <w:t>уксинка</w:t>
      </w:r>
      <w:proofErr w:type="spellEnd"/>
      <w:r w:rsidR="002B749C">
        <w:t>.</w:t>
      </w:r>
    </w:p>
    <w:p w:rsidR="006E5031" w:rsidRDefault="002B749C" w:rsidP="002B749C">
      <w:pPr>
        <w:pStyle w:val="a5"/>
        <w:spacing w:after="0" w:line="240" w:lineRule="auto"/>
        <w:ind w:left="0"/>
        <w:jc w:val="both"/>
      </w:pPr>
      <w:r>
        <w:t xml:space="preserve">        </w:t>
      </w:r>
      <w:r w:rsidR="003D163A">
        <w:t>В 2014 году увеличилась численность крупного рогатого скота и свиней</w:t>
      </w:r>
      <w:r w:rsidR="005C7A71" w:rsidRPr="005C7A71">
        <w:t xml:space="preserve"> </w:t>
      </w:r>
      <w:r>
        <w:t>в районе</w:t>
      </w:r>
      <w:r w:rsidR="003D163A">
        <w:t xml:space="preserve">. </w:t>
      </w:r>
      <w:proofErr w:type="gramStart"/>
      <w:r w:rsidR="003D163A">
        <w:t>П</w:t>
      </w:r>
      <w:r>
        <w:t>о состоянию на 01.01.2015</w:t>
      </w:r>
      <w:r w:rsidR="001A3AA1">
        <w:t xml:space="preserve"> г. </w:t>
      </w:r>
      <w:r w:rsidR="003D163A">
        <w:t xml:space="preserve">поголовье </w:t>
      </w:r>
      <w:r w:rsidR="005C7A71" w:rsidRPr="005C7A71">
        <w:t xml:space="preserve">КРС – </w:t>
      </w:r>
      <w:r w:rsidR="003D163A">
        <w:t xml:space="preserve"> 282 головы (2013 г. - </w:t>
      </w:r>
      <w:r w:rsidR="005C7A71" w:rsidRPr="005C7A71">
        <w:t>236</w:t>
      </w:r>
      <w:r w:rsidR="003D163A">
        <w:t>)</w:t>
      </w:r>
      <w:r w:rsidR="005C7A71" w:rsidRPr="005C7A71">
        <w:t>,</w:t>
      </w:r>
      <w:r w:rsidR="001A3AA1">
        <w:t xml:space="preserve"> в том числе коров</w:t>
      </w:r>
      <w:r w:rsidR="003D163A">
        <w:t xml:space="preserve"> – 167 голов (в 2013 г. - </w:t>
      </w:r>
      <w:r w:rsidR="001A3AA1">
        <w:t xml:space="preserve"> 156</w:t>
      </w:r>
      <w:r w:rsidR="003D163A">
        <w:t>),</w:t>
      </w:r>
      <w:r w:rsidR="001A3AA1">
        <w:t xml:space="preserve"> </w:t>
      </w:r>
      <w:r w:rsidR="005C7A71" w:rsidRPr="005C7A71">
        <w:t xml:space="preserve"> свиней – </w:t>
      </w:r>
      <w:r w:rsidR="003D163A">
        <w:t xml:space="preserve">379 голов (в 2013 г. - </w:t>
      </w:r>
      <w:r w:rsidR="005C7A71" w:rsidRPr="005C7A71">
        <w:t>273</w:t>
      </w:r>
      <w:r w:rsidR="003D163A">
        <w:t>),</w:t>
      </w:r>
      <w:r w:rsidR="005C7A71" w:rsidRPr="005C7A71">
        <w:t xml:space="preserve"> </w:t>
      </w:r>
      <w:r w:rsidR="001A3AA1">
        <w:t xml:space="preserve"> </w:t>
      </w:r>
      <w:r w:rsidR="005C7A71" w:rsidRPr="005C7A71">
        <w:t xml:space="preserve">овец – </w:t>
      </w:r>
      <w:r w:rsidR="003D163A">
        <w:t xml:space="preserve">253 головы (в 2013 г. - </w:t>
      </w:r>
      <w:r w:rsidR="005C7A71" w:rsidRPr="005C7A71">
        <w:t>231</w:t>
      </w:r>
      <w:r w:rsidR="003D163A">
        <w:t>),</w:t>
      </w:r>
      <w:r w:rsidR="001A3AA1">
        <w:t xml:space="preserve">  коз – </w:t>
      </w:r>
      <w:r w:rsidR="003D163A">
        <w:t xml:space="preserve">14 голов (в 2013 г. - </w:t>
      </w:r>
      <w:r w:rsidR="001A3AA1">
        <w:t>28</w:t>
      </w:r>
      <w:r w:rsidR="003D163A">
        <w:t>),</w:t>
      </w:r>
      <w:r w:rsidR="005C7A71" w:rsidRPr="005C7A71">
        <w:t xml:space="preserve"> лошадей – </w:t>
      </w:r>
      <w:r w:rsidR="003D163A">
        <w:t xml:space="preserve">49 голов (в 2013 г. - </w:t>
      </w:r>
      <w:r w:rsidR="005C7A71" w:rsidRPr="005C7A71">
        <w:t>61</w:t>
      </w:r>
      <w:r w:rsidR="003D163A">
        <w:t>),</w:t>
      </w:r>
      <w:r w:rsidR="001A3AA1">
        <w:t xml:space="preserve">  птицы – </w:t>
      </w:r>
      <w:r w:rsidR="003D163A">
        <w:t xml:space="preserve">407 голов (в 2013 г. - </w:t>
      </w:r>
      <w:r w:rsidR="001A3AA1">
        <w:t>548</w:t>
      </w:r>
      <w:r w:rsidR="003D163A">
        <w:t>)</w:t>
      </w:r>
      <w:r w:rsidR="005C7A71" w:rsidRPr="005C7A71">
        <w:t xml:space="preserve">. </w:t>
      </w:r>
      <w:proofErr w:type="gramEnd"/>
    </w:p>
    <w:p w:rsidR="008B4D48" w:rsidRPr="005C7A71" w:rsidRDefault="002B749C" w:rsidP="002B749C">
      <w:pPr>
        <w:spacing w:after="0" w:line="240" w:lineRule="auto"/>
        <w:jc w:val="both"/>
      </w:pPr>
      <w:r>
        <w:t xml:space="preserve">        </w:t>
      </w:r>
      <w:r w:rsidR="008B4D48">
        <w:t xml:space="preserve">Сенокосных угодий и пастбищ в районе имеется в достаточном количестве.   </w:t>
      </w:r>
    </w:p>
    <w:p w:rsidR="008B4D48" w:rsidRDefault="005C7A71" w:rsidP="002B749C">
      <w:pPr>
        <w:spacing w:after="0" w:line="240" w:lineRule="auto"/>
        <w:jc w:val="both"/>
      </w:pPr>
      <w:r w:rsidRPr="005C7A71">
        <w:t>Всего земель сельскохозяйственного назначения – 133</w:t>
      </w:r>
      <w:r w:rsidR="008B4D48">
        <w:t xml:space="preserve"> </w:t>
      </w:r>
      <w:r w:rsidRPr="005C7A71">
        <w:t xml:space="preserve">878 га. </w:t>
      </w:r>
    </w:p>
    <w:p w:rsidR="005C7A71" w:rsidRPr="003B2D98" w:rsidRDefault="002B749C" w:rsidP="002B749C">
      <w:pPr>
        <w:pStyle w:val="a5"/>
        <w:spacing w:after="0" w:line="240" w:lineRule="auto"/>
        <w:ind w:left="0"/>
        <w:jc w:val="both"/>
      </w:pPr>
      <w:r w:rsidRPr="003B2D98">
        <w:t xml:space="preserve">        </w:t>
      </w:r>
      <w:r w:rsidR="005C7A71" w:rsidRPr="003B2D98">
        <w:t>В хозяйственный оборот земель сельскохозяйственного назначения по состо</w:t>
      </w:r>
      <w:r w:rsidR="008B4D48" w:rsidRPr="003B2D98">
        <w:t>янию на</w:t>
      </w:r>
      <w:r w:rsidR="003B2D98">
        <w:t xml:space="preserve"> 01.01.2015</w:t>
      </w:r>
      <w:r w:rsidR="006E5031" w:rsidRPr="003B2D98">
        <w:t>г. вовлечено всего</w:t>
      </w:r>
      <w:r w:rsidR="008B4D48" w:rsidRPr="003B2D98">
        <w:t xml:space="preserve"> </w:t>
      </w:r>
      <w:r w:rsidR="005C7A71" w:rsidRPr="003B2D98">
        <w:t>30</w:t>
      </w:r>
      <w:r w:rsidR="008B4D48" w:rsidRPr="003B2D98">
        <w:t xml:space="preserve"> </w:t>
      </w:r>
      <w:r w:rsidR="005C7A71" w:rsidRPr="003B2D98">
        <w:t>762</w:t>
      </w:r>
      <w:r w:rsidR="008B4D48" w:rsidRPr="003B2D98">
        <w:t xml:space="preserve"> га, </w:t>
      </w:r>
      <w:r w:rsidR="005C7A71" w:rsidRPr="003B2D98">
        <w:t>из них:</w:t>
      </w:r>
      <w:r w:rsidR="008B4D48" w:rsidRPr="003B2D98">
        <w:t xml:space="preserve"> пашни - </w:t>
      </w:r>
      <w:r w:rsidR="005C7A71" w:rsidRPr="003B2D98">
        <w:t xml:space="preserve"> 9</w:t>
      </w:r>
      <w:r w:rsidR="008B4D48" w:rsidRPr="003B2D98">
        <w:t> </w:t>
      </w:r>
      <w:r w:rsidR="005C7A71" w:rsidRPr="003B2D98">
        <w:t>248</w:t>
      </w:r>
      <w:r w:rsidR="008B4D48" w:rsidRPr="003B2D98">
        <w:t xml:space="preserve"> га, сенокосы – </w:t>
      </w:r>
      <w:r w:rsidR="005C7A71" w:rsidRPr="003B2D98">
        <w:t>16</w:t>
      </w:r>
      <w:r w:rsidR="008B4D48" w:rsidRPr="003B2D98">
        <w:t> </w:t>
      </w:r>
      <w:r w:rsidR="005C7A71" w:rsidRPr="003B2D98">
        <w:t>554</w:t>
      </w:r>
      <w:r w:rsidR="008B4D48" w:rsidRPr="003B2D98">
        <w:t xml:space="preserve"> га, пастбища - </w:t>
      </w:r>
      <w:r w:rsidR="005C7A71" w:rsidRPr="003B2D98">
        <w:t xml:space="preserve"> 4</w:t>
      </w:r>
      <w:r w:rsidR="008B4D48" w:rsidRPr="003B2D98">
        <w:t> </w:t>
      </w:r>
      <w:r w:rsidR="005C7A71" w:rsidRPr="003B2D98">
        <w:t>960</w:t>
      </w:r>
      <w:r w:rsidR="008B4D48" w:rsidRPr="003B2D98">
        <w:t xml:space="preserve"> </w:t>
      </w:r>
      <w:r w:rsidR="00C37FC1" w:rsidRPr="003B2D98">
        <w:t xml:space="preserve">га. </w:t>
      </w:r>
      <w:r w:rsidR="005C7A71" w:rsidRPr="003B2D98">
        <w:t xml:space="preserve">Не используется </w:t>
      </w:r>
      <w:r w:rsidR="00C37FC1" w:rsidRPr="003B2D98">
        <w:t xml:space="preserve">земель сельскохозяйственного назначения – </w:t>
      </w:r>
      <w:r w:rsidR="005C7A71" w:rsidRPr="003B2D98">
        <w:t>17</w:t>
      </w:r>
      <w:r w:rsidR="00C37FC1" w:rsidRPr="003B2D98">
        <w:t xml:space="preserve"> </w:t>
      </w:r>
      <w:r w:rsidR="005C7A71" w:rsidRPr="003B2D98">
        <w:t>092,7 га.</w:t>
      </w:r>
    </w:p>
    <w:p w:rsidR="00B7246C" w:rsidRPr="005C7A71" w:rsidRDefault="002B749C" w:rsidP="002B749C">
      <w:pPr>
        <w:spacing w:after="0" w:line="240" w:lineRule="auto"/>
        <w:jc w:val="both"/>
      </w:pPr>
      <w:r>
        <w:t xml:space="preserve">        </w:t>
      </w:r>
      <w:r w:rsidR="00B7246C">
        <w:t>Самым крупным в районе сельхозпроизводителем является КФХ Долгих Г.А.</w:t>
      </w:r>
    </w:p>
    <w:p w:rsidR="005C7A71" w:rsidRPr="005C7A71" w:rsidRDefault="003B2D98" w:rsidP="003B2D98">
      <w:pPr>
        <w:pStyle w:val="a5"/>
        <w:spacing w:after="0" w:line="240" w:lineRule="auto"/>
        <w:ind w:left="0"/>
        <w:jc w:val="both"/>
      </w:pPr>
      <w:r>
        <w:t xml:space="preserve">        </w:t>
      </w:r>
      <w:r w:rsidR="005C7A71" w:rsidRPr="005C7A71">
        <w:t xml:space="preserve">Основные проблемы в развитии КФХ Долгих: отсутствие убойного цеха, нет возможности клеймить продукцию на месте (надо ехать в Серов), отсутствие переработки </w:t>
      </w:r>
      <w:r w:rsidR="00C37FC1">
        <w:t>и сбыта продукции на месте.</w:t>
      </w:r>
    </w:p>
    <w:p w:rsidR="005C7A71" w:rsidRPr="005C7A71" w:rsidRDefault="003B2D98" w:rsidP="003B2D98">
      <w:pPr>
        <w:pStyle w:val="a5"/>
        <w:spacing w:after="0" w:line="240" w:lineRule="auto"/>
        <w:ind w:left="0"/>
        <w:jc w:val="both"/>
      </w:pPr>
      <w:r>
        <w:t xml:space="preserve">        </w:t>
      </w:r>
      <w:proofErr w:type="gramStart"/>
      <w:r w:rsidR="00C37FC1">
        <w:t>В 201</w:t>
      </w:r>
      <w:r w:rsidR="001145EE">
        <w:t>4</w:t>
      </w:r>
      <w:r w:rsidR="00C37FC1">
        <w:t xml:space="preserve"> году  </w:t>
      </w:r>
      <w:r w:rsidR="005C7A71" w:rsidRPr="005C7A71">
        <w:t>КФХ Долгих Г.А. предоставлена финансовая поддержка из бюджета Гаринского городского округа в виде субсидии на частичное возмещение фактически произведенных расходов (на приобретение кормов) по муниципальной программе «Содействие развитию малого и среднего предпринимательства в Гаринском городском округе» на 2011-2016 годы</w:t>
      </w:r>
      <w:r w:rsidR="003B4247">
        <w:t xml:space="preserve">  </w:t>
      </w:r>
      <w:r w:rsidR="005C7A71" w:rsidRPr="005C7A71">
        <w:t>(утв.  решением Думы Гаринского городского округа от  27 октября 2011 г. N 427/51, с изменениями от</w:t>
      </w:r>
      <w:proofErr w:type="gramEnd"/>
      <w:r w:rsidR="005C7A71" w:rsidRPr="005C7A71">
        <w:t xml:space="preserve"> </w:t>
      </w:r>
      <w:proofErr w:type="gramStart"/>
      <w:r w:rsidR="005C7A71" w:rsidRPr="005C7A71">
        <w:t xml:space="preserve">18.10.2012 г. № 129/8 и от 24.10.2013 г.) в размере </w:t>
      </w:r>
      <w:r w:rsidR="001145EE">
        <w:t>36 483 рубля</w:t>
      </w:r>
      <w:r w:rsidR="005C7A71" w:rsidRPr="005C7A71">
        <w:t>.</w:t>
      </w:r>
      <w:proofErr w:type="gramEnd"/>
    </w:p>
    <w:p w:rsidR="00C30470" w:rsidRPr="00C30470" w:rsidRDefault="00C30470" w:rsidP="00C30470">
      <w:pPr>
        <w:pStyle w:val="a5"/>
        <w:rPr>
          <w:b/>
        </w:rPr>
      </w:pPr>
    </w:p>
    <w:p w:rsidR="00C30470" w:rsidRPr="000954EF" w:rsidRDefault="000954EF" w:rsidP="000954EF">
      <w:pPr>
        <w:jc w:val="both"/>
        <w:rPr>
          <w:b/>
        </w:rPr>
      </w:pPr>
      <w:r>
        <w:rPr>
          <w:b/>
        </w:rPr>
        <w:t xml:space="preserve">10. </w:t>
      </w:r>
      <w:r w:rsidR="00C30470" w:rsidRPr="000954EF">
        <w:rPr>
          <w:b/>
        </w:rPr>
        <w:t>Работа админист</w:t>
      </w:r>
      <w:r w:rsidR="001945D3">
        <w:rPr>
          <w:b/>
        </w:rPr>
        <w:t>ративной комиссии, созданной</w:t>
      </w:r>
      <w:r w:rsidR="00C30470" w:rsidRPr="000954EF">
        <w:rPr>
          <w:b/>
        </w:rPr>
        <w:t xml:space="preserve"> в соответствии с Законом Свердловской области от 23.05.2011 г. № 31-ОЗ</w:t>
      </w:r>
    </w:p>
    <w:p w:rsidR="00C30470" w:rsidRDefault="00A524CF" w:rsidP="001C1E1F">
      <w:pPr>
        <w:pStyle w:val="a5"/>
        <w:spacing w:after="0" w:line="240" w:lineRule="auto"/>
        <w:ind w:left="0" w:firstLine="720"/>
        <w:jc w:val="both"/>
      </w:pPr>
      <w:proofErr w:type="gramStart"/>
      <w:r w:rsidRPr="00AD4E3B">
        <w:t>С</w:t>
      </w:r>
      <w:r w:rsidR="000553DE" w:rsidRPr="00AD4E3B">
        <w:t xml:space="preserve"> </w:t>
      </w:r>
      <w:r w:rsidR="006C73A3">
        <w:t>начала 2014</w:t>
      </w:r>
      <w:r w:rsidRPr="00AD4E3B">
        <w:t xml:space="preserve"> года </w:t>
      </w:r>
      <w:r w:rsidR="0012243B" w:rsidRPr="00AD4E3B">
        <w:t xml:space="preserve">административной комиссией Гаринского городского округа </w:t>
      </w:r>
      <w:r w:rsidRPr="00AD4E3B">
        <w:t xml:space="preserve">проведено  </w:t>
      </w:r>
      <w:r w:rsidR="0012243B" w:rsidRPr="00AD4E3B">
        <w:t>4</w:t>
      </w:r>
      <w:r w:rsidRPr="00AD4E3B">
        <w:t xml:space="preserve">   </w:t>
      </w:r>
      <w:r w:rsidR="006C73A3">
        <w:t>заседания</w:t>
      </w:r>
      <w:r w:rsidR="000553DE" w:rsidRPr="00AD4E3B">
        <w:t>,</w:t>
      </w:r>
      <w:r w:rsidRPr="00AD4E3B">
        <w:t xml:space="preserve"> на которых  </w:t>
      </w:r>
      <w:r w:rsidR="006C73A3">
        <w:t>рассмотрено 6</w:t>
      </w:r>
      <w:r>
        <w:t xml:space="preserve"> административных дел</w:t>
      </w:r>
      <w:r w:rsidR="001C1E1F">
        <w:t xml:space="preserve">, из которых  принято к </w:t>
      </w:r>
      <w:r w:rsidR="001C1E1F" w:rsidRPr="0012243B">
        <w:t xml:space="preserve">производству  </w:t>
      </w:r>
      <w:r w:rsidR="006C73A3">
        <w:t>5</w:t>
      </w:r>
      <w:r w:rsidR="001C1E1F" w:rsidRPr="0012243B">
        <w:t xml:space="preserve"> </w:t>
      </w:r>
      <w:r w:rsidR="001C1E1F">
        <w:t>,</w:t>
      </w:r>
      <w:r w:rsidR="0012243B">
        <w:t xml:space="preserve"> </w:t>
      </w:r>
      <w:r w:rsidR="001C1E1F">
        <w:t xml:space="preserve"> </w:t>
      </w:r>
      <w:r w:rsidR="006C73A3">
        <w:t>1 из которых прекращено</w:t>
      </w:r>
      <w:r w:rsidR="0012243B" w:rsidRPr="0012243B">
        <w:t>.</w:t>
      </w:r>
      <w:proofErr w:type="gramEnd"/>
      <w:r w:rsidR="0012243B" w:rsidRPr="0012243B">
        <w:t xml:space="preserve"> </w:t>
      </w:r>
      <w:r w:rsidR="001C1E1F" w:rsidRPr="0012243B">
        <w:t xml:space="preserve">Назначено административных наказаний - </w:t>
      </w:r>
      <w:r w:rsidR="0012243B">
        <w:t>5</w:t>
      </w:r>
      <w:r w:rsidR="001C1E1F" w:rsidRPr="0012243B">
        <w:t xml:space="preserve">, в том числе </w:t>
      </w:r>
      <w:r w:rsidR="001C1E1F">
        <w:t xml:space="preserve">предупреждений - </w:t>
      </w:r>
      <w:r w:rsidR="0012243B">
        <w:t xml:space="preserve"> </w:t>
      </w:r>
      <w:r w:rsidR="006C73A3">
        <w:t>1</w:t>
      </w:r>
      <w:r w:rsidR="001C1E1F" w:rsidRPr="001C1E1F">
        <w:rPr>
          <w:color w:val="FF0000"/>
        </w:rPr>
        <w:t xml:space="preserve"> </w:t>
      </w:r>
      <w:r w:rsidRPr="001C1E1F">
        <w:t xml:space="preserve"> </w:t>
      </w:r>
      <w:r w:rsidR="001C1E1F">
        <w:t xml:space="preserve">, назначено штрафов </w:t>
      </w:r>
      <w:r w:rsidR="001C1E1F" w:rsidRPr="0012243B">
        <w:t xml:space="preserve">– </w:t>
      </w:r>
      <w:r w:rsidR="0012243B" w:rsidRPr="0012243B">
        <w:t>3</w:t>
      </w:r>
      <w:r w:rsidR="001C1E1F">
        <w:t xml:space="preserve">. Сумма назначенных штрафов – </w:t>
      </w:r>
      <w:r w:rsidR="006C73A3">
        <w:t>3500</w:t>
      </w:r>
      <w:r w:rsidR="001C1E1F">
        <w:t xml:space="preserve"> рублей</w:t>
      </w:r>
      <w:r w:rsidR="006C73A3">
        <w:t>, взыскано штрафов на сумму – 5</w:t>
      </w:r>
      <w:r w:rsidR="001C1E1F">
        <w:t xml:space="preserve">00 рублей. </w:t>
      </w:r>
      <w:r w:rsidRPr="001C1E1F">
        <w:t xml:space="preserve">  </w:t>
      </w:r>
    </w:p>
    <w:p w:rsidR="001C1E1F" w:rsidRPr="00A524CF" w:rsidRDefault="001C1E1F" w:rsidP="001C1E1F">
      <w:pPr>
        <w:pStyle w:val="a5"/>
        <w:spacing w:after="0" w:line="240" w:lineRule="auto"/>
        <w:ind w:left="0" w:firstLine="720"/>
      </w:pPr>
    </w:p>
    <w:p w:rsidR="00C30470" w:rsidRPr="000954EF" w:rsidRDefault="000954EF" w:rsidP="000954EF">
      <w:pPr>
        <w:rPr>
          <w:b/>
        </w:rPr>
      </w:pPr>
      <w:r>
        <w:rPr>
          <w:b/>
        </w:rPr>
        <w:t xml:space="preserve">11. </w:t>
      </w:r>
      <w:r w:rsidR="00C30470" w:rsidRPr="000954EF">
        <w:rPr>
          <w:b/>
        </w:rPr>
        <w:t>Уровень жизни населения</w:t>
      </w:r>
    </w:p>
    <w:p w:rsidR="001145EE" w:rsidRDefault="001145EE" w:rsidP="00005A91">
      <w:pPr>
        <w:pStyle w:val="a5"/>
        <w:spacing w:after="0" w:line="240" w:lineRule="auto"/>
        <w:ind w:left="0" w:firstLine="709"/>
        <w:jc w:val="both"/>
      </w:pPr>
      <w:r>
        <w:t>По данным статистики в 2014</w:t>
      </w:r>
      <w:r w:rsidR="00005A91" w:rsidRPr="00005A91">
        <w:t xml:space="preserve"> году среднемесячная заработная плата работников крупных и средних предприятий и некоммерческих организаций </w:t>
      </w:r>
      <w:r w:rsidR="00FF00BD" w:rsidRPr="00AD4E3B">
        <w:t xml:space="preserve">составила </w:t>
      </w:r>
      <w:r>
        <w:t>23 119,3</w:t>
      </w:r>
      <w:r w:rsidR="00005A91" w:rsidRPr="00AD4E3B">
        <w:t xml:space="preserve"> руб., или </w:t>
      </w:r>
      <w:r>
        <w:t>112,1</w:t>
      </w:r>
      <w:r w:rsidR="00005A91" w:rsidRPr="00AD4E3B">
        <w:t xml:space="preserve">% к уровню </w:t>
      </w:r>
      <w:r>
        <w:t>2013</w:t>
      </w:r>
      <w:r w:rsidR="00005A91" w:rsidRPr="00AD4E3B">
        <w:t xml:space="preserve"> года.</w:t>
      </w:r>
    </w:p>
    <w:p w:rsidR="001145EE" w:rsidRDefault="001145EE" w:rsidP="00005A91">
      <w:pPr>
        <w:pStyle w:val="a5"/>
        <w:spacing w:after="0" w:line="240" w:lineRule="auto"/>
        <w:ind w:left="0" w:firstLine="709"/>
        <w:jc w:val="both"/>
      </w:pPr>
      <w:r>
        <w:t>Увеличился средний размер заработной платы на предприятиях</w:t>
      </w:r>
      <w:r w:rsidR="003764B7">
        <w:t xml:space="preserve"> и организациях</w:t>
      </w:r>
      <w:r>
        <w:t>:</w:t>
      </w:r>
    </w:p>
    <w:p w:rsidR="007645E6" w:rsidRDefault="001145EE" w:rsidP="00005A91">
      <w:pPr>
        <w:pStyle w:val="a5"/>
        <w:spacing w:after="0" w:line="240" w:lineRule="auto"/>
        <w:ind w:left="0" w:firstLine="709"/>
        <w:jc w:val="both"/>
      </w:pPr>
      <w:r>
        <w:t xml:space="preserve">- </w:t>
      </w:r>
      <w:r w:rsidR="007645E6">
        <w:t>по производству и распределению электроэнергии, газа и воды – 11 074 руб. (150,9 процентов),</w:t>
      </w:r>
    </w:p>
    <w:p w:rsidR="003764B7" w:rsidRDefault="007645E6" w:rsidP="00005A91">
      <w:pPr>
        <w:pStyle w:val="a5"/>
        <w:spacing w:after="0" w:line="240" w:lineRule="auto"/>
        <w:ind w:left="0" w:firstLine="709"/>
        <w:jc w:val="both"/>
      </w:pPr>
      <w:r>
        <w:t xml:space="preserve">- </w:t>
      </w:r>
      <w:r w:rsidR="003764B7">
        <w:t>вод</w:t>
      </w:r>
      <w:r w:rsidR="001945D3">
        <w:t>ного транспорта – 14 256 руб. (</w:t>
      </w:r>
      <w:r w:rsidR="003764B7">
        <w:t>107,4 процента),</w:t>
      </w:r>
    </w:p>
    <w:p w:rsidR="003764B7" w:rsidRDefault="003764B7" w:rsidP="00005A91">
      <w:pPr>
        <w:pStyle w:val="a5"/>
        <w:spacing w:after="0" w:line="240" w:lineRule="auto"/>
        <w:ind w:left="0" w:firstLine="709"/>
        <w:jc w:val="both"/>
      </w:pPr>
      <w:r>
        <w:t>- образования – 23 659 руб. (129,6 процента),</w:t>
      </w:r>
    </w:p>
    <w:p w:rsidR="003764B7" w:rsidRDefault="003764B7" w:rsidP="00005A91">
      <w:pPr>
        <w:pStyle w:val="a5"/>
        <w:spacing w:after="0" w:line="240" w:lineRule="auto"/>
        <w:ind w:left="0" w:firstLine="709"/>
        <w:jc w:val="both"/>
      </w:pPr>
      <w:r>
        <w:t>- физической культуры и спорта – 18 261 руб. (105,9 процента),</w:t>
      </w:r>
    </w:p>
    <w:p w:rsidR="003764B7" w:rsidRDefault="003764B7" w:rsidP="00005A91">
      <w:pPr>
        <w:pStyle w:val="a5"/>
        <w:spacing w:after="0" w:line="240" w:lineRule="auto"/>
        <w:ind w:left="0" w:firstLine="709"/>
        <w:jc w:val="both"/>
      </w:pPr>
      <w:r>
        <w:t>- культуры – 20 322 руб. (128 процентов).</w:t>
      </w:r>
    </w:p>
    <w:p w:rsidR="00C37FC1" w:rsidRDefault="003764B7" w:rsidP="00005A91">
      <w:pPr>
        <w:pStyle w:val="a5"/>
        <w:spacing w:after="0" w:line="240" w:lineRule="auto"/>
        <w:ind w:left="0" w:firstLine="709"/>
        <w:jc w:val="both"/>
      </w:pPr>
      <w:r>
        <w:t>Задолженность перед работниками бюджетной сферы отсутствует.</w:t>
      </w:r>
      <w:r w:rsidR="007645E6">
        <w:t xml:space="preserve">  </w:t>
      </w:r>
      <w:r w:rsidR="00005A91" w:rsidRPr="00AD4E3B">
        <w:t xml:space="preserve"> </w:t>
      </w:r>
    </w:p>
    <w:p w:rsidR="00C30470" w:rsidRDefault="00005A91" w:rsidP="00005A91">
      <w:pPr>
        <w:pStyle w:val="a5"/>
        <w:spacing w:after="0" w:line="240" w:lineRule="auto"/>
        <w:ind w:left="0" w:firstLine="709"/>
        <w:jc w:val="both"/>
      </w:pPr>
      <w:r w:rsidRPr="00005A91">
        <w:t>В плановом периоде прогнозируется рост заработной платы на 5-6% ежегодно.</w:t>
      </w:r>
    </w:p>
    <w:p w:rsidR="00793F0C" w:rsidRPr="00005A91" w:rsidRDefault="00793F0C" w:rsidP="00005A91">
      <w:pPr>
        <w:pStyle w:val="a5"/>
        <w:spacing w:after="0" w:line="240" w:lineRule="auto"/>
        <w:ind w:left="0" w:firstLine="709"/>
        <w:jc w:val="both"/>
      </w:pPr>
    </w:p>
    <w:p w:rsidR="00C30470" w:rsidRPr="000954EF" w:rsidRDefault="000954EF" w:rsidP="000954EF">
      <w:pPr>
        <w:rPr>
          <w:b/>
        </w:rPr>
      </w:pPr>
      <w:r>
        <w:rPr>
          <w:b/>
        </w:rPr>
        <w:t xml:space="preserve">12. </w:t>
      </w:r>
      <w:r w:rsidR="00C30470" w:rsidRPr="000954EF">
        <w:rPr>
          <w:b/>
        </w:rPr>
        <w:t>Занятость населения</w:t>
      </w:r>
    </w:p>
    <w:p w:rsidR="00760CFE" w:rsidRPr="00C30470" w:rsidRDefault="00760CFE" w:rsidP="00760CFE">
      <w:pPr>
        <w:pStyle w:val="a5"/>
        <w:ind w:left="1065"/>
        <w:rPr>
          <w:b/>
        </w:rPr>
      </w:pPr>
    </w:p>
    <w:p w:rsidR="00760CFE" w:rsidRPr="00760CFE" w:rsidRDefault="00717DCA" w:rsidP="00793F0C">
      <w:pPr>
        <w:pStyle w:val="a5"/>
        <w:spacing w:after="0" w:line="240" w:lineRule="auto"/>
        <w:ind w:left="0" w:firstLine="567"/>
        <w:jc w:val="both"/>
      </w:pPr>
      <w:r>
        <w:t>За 2014</w:t>
      </w:r>
      <w:r w:rsidR="00760CFE" w:rsidRPr="00760CFE">
        <w:t xml:space="preserve"> год</w:t>
      </w:r>
      <w:r w:rsidR="0040148A">
        <w:t xml:space="preserve">  в ГУ «</w:t>
      </w:r>
      <w:proofErr w:type="spellStart"/>
      <w:r w:rsidR="0040148A">
        <w:t>Серовский</w:t>
      </w:r>
      <w:proofErr w:type="spellEnd"/>
      <w:r w:rsidR="0040148A">
        <w:t xml:space="preserve">  центр занятости» </w:t>
      </w:r>
      <w:r w:rsidR="00760CFE" w:rsidRPr="00760CFE">
        <w:t xml:space="preserve">  обратилось  </w:t>
      </w:r>
      <w:r>
        <w:t>1</w:t>
      </w:r>
      <w:r w:rsidR="003B2D98">
        <w:t xml:space="preserve"> </w:t>
      </w:r>
      <w:r>
        <w:t>222</w:t>
      </w:r>
      <w:r w:rsidR="00760CFE" w:rsidRPr="00760CFE">
        <w:t xml:space="preserve"> человек</w:t>
      </w:r>
      <w:r>
        <w:t>а</w:t>
      </w:r>
      <w:r w:rsidR="0040148A">
        <w:t xml:space="preserve"> </w:t>
      </w:r>
      <w:r w:rsidR="003B2D98">
        <w:t xml:space="preserve">(в  2013 г. – 670 человек) </w:t>
      </w:r>
      <w:r w:rsidR="0040148A" w:rsidRPr="0040148A">
        <w:t xml:space="preserve">с целью получения государственных  услуг в области </w:t>
      </w:r>
      <w:r w:rsidR="0040148A">
        <w:t>содействия занятости населения</w:t>
      </w:r>
      <w:r w:rsidR="00760CFE" w:rsidRPr="00760CFE">
        <w:t xml:space="preserve">,  в том числе </w:t>
      </w:r>
      <w:r>
        <w:t>402 гражданина</w:t>
      </w:r>
      <w:r w:rsidR="00760CFE" w:rsidRPr="00760CFE">
        <w:t xml:space="preserve"> </w:t>
      </w:r>
      <w:r w:rsidR="003B2D98">
        <w:t xml:space="preserve">(в 2013 г. – 427 граждан) </w:t>
      </w:r>
      <w:r w:rsidR="00760CFE" w:rsidRPr="00760CFE">
        <w:t xml:space="preserve">за содействием в поиске подходящей работы. Трудоустроено граждан – </w:t>
      </w:r>
      <w:r>
        <w:t>298 человек</w:t>
      </w:r>
      <w:r w:rsidR="003B2D98">
        <w:t xml:space="preserve"> (в 2013 г. – 333 человека)</w:t>
      </w:r>
      <w:r w:rsidR="00760CFE" w:rsidRPr="00760CFE">
        <w:t>.</w:t>
      </w:r>
      <w:r w:rsidR="00373E19">
        <w:t xml:space="preserve"> </w:t>
      </w:r>
      <w:r w:rsidR="00373E19" w:rsidRPr="00373E19">
        <w:t>Доля трудоустроенных граждан в численности, обратившихся в поиске подходящей работы,</w:t>
      </w:r>
      <w:r w:rsidR="00373E19">
        <w:t xml:space="preserve"> составляет </w:t>
      </w:r>
      <w:r>
        <w:t>74,1</w:t>
      </w:r>
      <w:r w:rsidR="00373E19">
        <w:t>%</w:t>
      </w:r>
      <w:r w:rsidR="003B2D98">
        <w:t xml:space="preserve"> (в 2013 г. – 78%)</w:t>
      </w:r>
      <w:r w:rsidR="00373E19">
        <w:t>.</w:t>
      </w:r>
    </w:p>
    <w:p w:rsidR="00373E19" w:rsidRDefault="00760CFE" w:rsidP="009B17EA">
      <w:pPr>
        <w:pStyle w:val="a5"/>
        <w:spacing w:after="0" w:line="240" w:lineRule="auto"/>
        <w:ind w:left="0" w:firstLine="567"/>
        <w:jc w:val="both"/>
      </w:pPr>
      <w:r w:rsidRPr="00760CFE">
        <w:t xml:space="preserve">Численность безработных граждан по </w:t>
      </w:r>
      <w:proofErr w:type="spellStart"/>
      <w:r w:rsidRPr="00760CFE">
        <w:t>Гаринскому</w:t>
      </w:r>
      <w:proofErr w:type="spellEnd"/>
      <w:r w:rsidRPr="00760CFE">
        <w:t xml:space="preserve"> городскому о</w:t>
      </w:r>
      <w:r w:rsidR="00717DCA">
        <w:t>кругу по состоянию на 01.01.2015</w:t>
      </w:r>
      <w:r w:rsidRPr="00760CFE">
        <w:t xml:space="preserve"> года составила </w:t>
      </w:r>
      <w:r w:rsidR="00717DCA">
        <w:t>113</w:t>
      </w:r>
      <w:r w:rsidRPr="00760CFE">
        <w:t xml:space="preserve"> чело</w:t>
      </w:r>
      <w:r w:rsidR="00717DCA">
        <w:t>век</w:t>
      </w:r>
      <w:r w:rsidRPr="00760CFE">
        <w:t>,</w:t>
      </w:r>
      <w:r w:rsidR="003B2D98">
        <w:t xml:space="preserve"> что ниже уровня 2013 года на 40 человек.  У</w:t>
      </w:r>
      <w:r w:rsidRPr="00760CFE">
        <w:t xml:space="preserve">ровень </w:t>
      </w:r>
      <w:r w:rsidR="009B17EA">
        <w:t xml:space="preserve">регистрируемой </w:t>
      </w:r>
      <w:r w:rsidRPr="00760CFE">
        <w:t xml:space="preserve">безработицы </w:t>
      </w:r>
      <w:r w:rsidR="009B17EA">
        <w:t xml:space="preserve">01.01.2015 г. – </w:t>
      </w:r>
      <w:r w:rsidR="00717DCA">
        <w:t>3,42</w:t>
      </w:r>
      <w:r w:rsidRPr="00760CFE">
        <w:t>%</w:t>
      </w:r>
      <w:r w:rsidR="003B2D98">
        <w:t>,</w:t>
      </w:r>
      <w:r w:rsidR="009B17EA">
        <w:t xml:space="preserve"> что ниже уровня  2013 года на 1,22%</w:t>
      </w:r>
      <w:r w:rsidR="003B2D98">
        <w:t xml:space="preserve"> </w:t>
      </w:r>
      <w:r w:rsidRPr="00760CFE">
        <w:t>.</w:t>
      </w:r>
      <w:r w:rsidR="00373E19" w:rsidRPr="00373E19">
        <w:t xml:space="preserve"> Уровень общ</w:t>
      </w:r>
      <w:r w:rsidR="00717DCA">
        <w:t>ей безработицы на 01.12.2014</w:t>
      </w:r>
      <w:r w:rsidR="00373E19">
        <w:t xml:space="preserve"> г.  составляет </w:t>
      </w:r>
      <w:r w:rsidR="00717DCA">
        <w:t>9,3% (306 человек</w:t>
      </w:r>
      <w:r w:rsidR="009B17EA">
        <w:t>), величина показателя осталась на уровне 2013 года.</w:t>
      </w:r>
    </w:p>
    <w:p w:rsidR="009B17EA" w:rsidRDefault="009B17EA" w:rsidP="009B17EA">
      <w:pPr>
        <w:pStyle w:val="a5"/>
        <w:spacing w:after="0" w:line="240" w:lineRule="auto"/>
        <w:ind w:left="0" w:firstLine="567"/>
        <w:jc w:val="both"/>
      </w:pPr>
    </w:p>
    <w:p w:rsidR="00C30470" w:rsidRPr="000954EF" w:rsidRDefault="000954EF" w:rsidP="000954EF">
      <w:pPr>
        <w:rPr>
          <w:b/>
        </w:rPr>
      </w:pPr>
      <w:r>
        <w:rPr>
          <w:b/>
        </w:rPr>
        <w:t xml:space="preserve">13. </w:t>
      </w:r>
      <w:r w:rsidR="00C30470" w:rsidRPr="000954EF">
        <w:rPr>
          <w:b/>
        </w:rPr>
        <w:t>Пожарная безопасность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 На территории Гаринского горо</w:t>
      </w:r>
      <w:r w:rsidR="00DB1E18">
        <w:t>дского округа за 12 месяцев 2014 года зарегистрировано 10</w:t>
      </w:r>
      <w:r w:rsidRPr="00D43252">
        <w:t xml:space="preserve"> пожаров и </w:t>
      </w:r>
      <w:r w:rsidR="00DB1E18">
        <w:t>3 загорания</w:t>
      </w:r>
      <w:r w:rsidRPr="00D43252">
        <w:t xml:space="preserve">. Материальный ущерб составил </w:t>
      </w:r>
      <w:r w:rsidR="00DB1E18">
        <w:t>677737</w:t>
      </w:r>
      <w:r w:rsidRPr="00D43252">
        <w:t xml:space="preserve"> рублей. Погиб</w:t>
      </w:r>
      <w:r w:rsidR="00DB1E18">
        <w:t>ло 2</w:t>
      </w:r>
      <w:r w:rsidRPr="00D43252">
        <w:t xml:space="preserve"> человек</w:t>
      </w:r>
      <w:r w:rsidR="00DB1E18">
        <w:t>а</w:t>
      </w:r>
      <w:r w:rsidRPr="00D43252">
        <w:t>, травмирован</w:t>
      </w:r>
      <w:r w:rsidR="00DB1E18">
        <w:t>ы 2</w:t>
      </w:r>
      <w:r w:rsidRPr="00D43252">
        <w:t xml:space="preserve"> человек</w:t>
      </w:r>
      <w:r w:rsidR="00DB1E18">
        <w:t>а</w:t>
      </w:r>
      <w:r w:rsidRPr="00D43252">
        <w:t xml:space="preserve">, огнем уничтожено </w:t>
      </w:r>
      <w:r w:rsidR="00DB1E18">
        <w:t>3 строения</w:t>
      </w:r>
      <w:r w:rsidRPr="00D43252">
        <w:t>.</w:t>
      </w:r>
      <w:r w:rsidR="00DB1E18">
        <w:t xml:space="preserve"> Спасено на пожаре 3 человека.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По местам возникновения пожары распределились следующим образом: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- жилой сектор </w:t>
      </w:r>
      <w:r w:rsidR="00EE3EBD">
        <w:t xml:space="preserve">- </w:t>
      </w:r>
      <w:r w:rsidR="00DB1E18">
        <w:t>7</w:t>
      </w:r>
      <w:r w:rsidRPr="00D43252">
        <w:t xml:space="preserve"> пожаров;</w:t>
      </w:r>
    </w:p>
    <w:p w:rsid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- производственные объекты </w:t>
      </w:r>
      <w:r w:rsidR="00EE3EBD">
        <w:t xml:space="preserve">- </w:t>
      </w:r>
      <w:r w:rsidRPr="00D43252">
        <w:t xml:space="preserve"> </w:t>
      </w:r>
      <w:r w:rsidR="00DB1E18">
        <w:t>1 пожар</w:t>
      </w:r>
      <w:r w:rsidRPr="00D43252">
        <w:t>;</w:t>
      </w:r>
    </w:p>
    <w:p w:rsidR="00DB1E18" w:rsidRPr="00D43252" w:rsidRDefault="00DB1E18" w:rsidP="00D43252">
      <w:pPr>
        <w:pStyle w:val="a5"/>
        <w:spacing w:after="0" w:line="240" w:lineRule="auto"/>
        <w:ind w:left="0"/>
        <w:jc w:val="both"/>
      </w:pPr>
      <w:r>
        <w:t xml:space="preserve">       - административные объекты – 1 пожар;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- автотранспорт </w:t>
      </w:r>
      <w:r w:rsidR="00EE3EBD">
        <w:t xml:space="preserve">- </w:t>
      </w:r>
      <w:r w:rsidRPr="00D43252">
        <w:t>1 пожар.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По причинам возникновения пожары распределились следующим образом: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- неосторожное обращение с огнем </w:t>
      </w:r>
      <w:r w:rsidR="00EE3EBD">
        <w:t xml:space="preserve">- </w:t>
      </w:r>
      <w:r w:rsidR="00DB1E18">
        <w:t>3 пожара</w:t>
      </w:r>
      <w:r w:rsidRPr="00D43252">
        <w:t>;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- электротехнические причины </w:t>
      </w:r>
      <w:r w:rsidR="00EE3EBD">
        <w:t xml:space="preserve">- </w:t>
      </w:r>
      <w:r w:rsidR="00DB1E18">
        <w:t>4</w:t>
      </w:r>
      <w:r w:rsidRPr="00D43252">
        <w:t xml:space="preserve"> </w:t>
      </w:r>
      <w:r w:rsidR="00DB1E18">
        <w:t>пожара</w:t>
      </w:r>
      <w:r w:rsidRPr="00D43252">
        <w:t>;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- несоблюдение ППБ при эксплуатации печей </w:t>
      </w:r>
      <w:r w:rsidR="00EE3EBD">
        <w:t xml:space="preserve">- </w:t>
      </w:r>
      <w:r w:rsidR="00DB1E18">
        <w:t>3</w:t>
      </w:r>
      <w:r w:rsidRPr="00D43252">
        <w:t xml:space="preserve"> пожар</w:t>
      </w:r>
      <w:r w:rsidR="00DB1E18">
        <w:t>а.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 Силами ПЧ 6/3 для стабилизации обстановки с пожарами и гибелью людей при пожарах регулярно проводятся инструктажи населения по </w:t>
      </w:r>
      <w:r w:rsidR="000710E3">
        <w:t>правилам пожарной безопасности.  За прошедший год</w:t>
      </w:r>
      <w:r w:rsidRPr="00D43252">
        <w:t xml:space="preserve"> в ходе профилактики и рейдов по жи</w:t>
      </w:r>
      <w:r w:rsidR="000710E3">
        <w:t xml:space="preserve">лому сектору обучено </w:t>
      </w:r>
      <w:r w:rsidR="00DB1E18">
        <w:t>3785</w:t>
      </w:r>
      <w:r w:rsidRPr="00D43252">
        <w:t xml:space="preserve"> человек</w:t>
      </w:r>
      <w:r w:rsidR="000710E3">
        <w:t xml:space="preserve"> населения</w:t>
      </w:r>
      <w:r w:rsidRPr="00D43252">
        <w:t xml:space="preserve">. В ходе проведения инструктажей населения проверено </w:t>
      </w:r>
      <w:r w:rsidR="00DB1E18">
        <w:t>1654</w:t>
      </w:r>
      <w:r w:rsidRPr="00D43252">
        <w:t xml:space="preserve"> жилых дома (квартир), распространено </w:t>
      </w:r>
      <w:r w:rsidR="00DB1E18">
        <w:t>1832</w:t>
      </w:r>
      <w:r w:rsidRPr="00D43252">
        <w:t xml:space="preserve"> листовки противопожарной тематики.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В районной газете «Вести севера» регулярно публикуются материалы противопожарной тематики, с начала года</w:t>
      </w:r>
      <w:r w:rsidR="00EE3EBD">
        <w:t xml:space="preserve"> -</w:t>
      </w:r>
      <w:r w:rsidRPr="00D43252">
        <w:t xml:space="preserve"> </w:t>
      </w:r>
      <w:r w:rsidR="00DB1E18">
        <w:t>6</w:t>
      </w:r>
      <w:r w:rsidRPr="00D43252">
        <w:t xml:space="preserve"> </w:t>
      </w:r>
      <w:r w:rsidR="00DB1E18">
        <w:t>статей</w:t>
      </w:r>
      <w:r w:rsidRPr="00D43252">
        <w:t>.</w:t>
      </w:r>
      <w:r w:rsidR="00DB1E18">
        <w:t xml:space="preserve"> В системе Интернет размещены 3 заметки. Вопросы пожарной безопасности рассматривались на совещаниях органов местного самоуправления округа.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В каждом территориальном органе округа имеются внештатные  инструктора пожарной профилактики, которые ведут работу с населением по противопожарной профилактике, ограничению доступа населения в лес, в пожароопасный период. 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 </w:t>
      </w:r>
      <w:proofErr w:type="gramStart"/>
      <w:r w:rsidRPr="00D43252">
        <w:t xml:space="preserve">На территории округа организовано 5 добровольных пожарных дружины (с. Андрюшино, д. Нихвор, д. </w:t>
      </w:r>
      <w:proofErr w:type="spellStart"/>
      <w:r w:rsidRPr="00D43252">
        <w:t>Шантальская</w:t>
      </w:r>
      <w:proofErr w:type="spellEnd"/>
      <w:r w:rsidRPr="00D43252">
        <w:t>, с. Ерёмино, п. Пуксинка</w:t>
      </w:r>
      <w:r w:rsidR="00C37FC1">
        <w:t>),</w:t>
      </w:r>
      <w:r w:rsidRPr="00A12F4B">
        <w:rPr>
          <w:color w:val="FF0000"/>
        </w:rPr>
        <w:t xml:space="preserve"> </w:t>
      </w:r>
      <w:r w:rsidR="00C37FC1">
        <w:t>действующих от Общественной организации</w:t>
      </w:r>
      <w:r w:rsidRPr="00AD4E3B">
        <w:t xml:space="preserve"> «Добровольная пожарная охрана Северного управленческого округа Свердловской области»</w:t>
      </w:r>
      <w:r w:rsidR="00A12F4B" w:rsidRPr="00AD4E3B">
        <w:t>,</w:t>
      </w:r>
      <w:r w:rsidRPr="00AD4E3B">
        <w:t xml:space="preserve">   которые укомплектованы пожарными мотопомпами или автомобилями</w:t>
      </w:r>
      <w:r w:rsidR="00A12F4B" w:rsidRPr="00AD4E3B">
        <w:t>,</w:t>
      </w:r>
      <w:r w:rsidRPr="00AD4E3B">
        <w:t xml:space="preserve"> приспособленными для тушения </w:t>
      </w:r>
      <w:r w:rsidRPr="00D43252">
        <w:t xml:space="preserve">пожара.    </w:t>
      </w:r>
      <w:proofErr w:type="gramEnd"/>
    </w:p>
    <w:p w:rsidR="00D43252" w:rsidRPr="00D43252" w:rsidRDefault="00DB1E18" w:rsidP="00D43252">
      <w:pPr>
        <w:pStyle w:val="a5"/>
        <w:spacing w:after="0" w:line="240" w:lineRule="auto"/>
        <w:ind w:left="0"/>
        <w:jc w:val="both"/>
      </w:pPr>
      <w:r>
        <w:t xml:space="preserve">        В 2014</w:t>
      </w:r>
      <w:r w:rsidR="00D43252" w:rsidRPr="00D43252">
        <w:t xml:space="preserve">году на обеспечение первичных мер пожарной безопасности было запланировано </w:t>
      </w:r>
      <w:r>
        <w:t>216</w:t>
      </w:r>
      <w:r w:rsidR="00D43252" w:rsidRPr="00D43252">
        <w:t xml:space="preserve">,0 тыс. рублей, израсходовано </w:t>
      </w:r>
      <w:r>
        <w:t>64 654,25</w:t>
      </w:r>
      <w:r w:rsidR="00D43252" w:rsidRPr="00D43252">
        <w:t xml:space="preserve"> рублей.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 xml:space="preserve">        Постановлением главы Гаринского городского округа от 13.05.2013 г. утвержден</w:t>
      </w:r>
      <w:r w:rsidR="00C95DA1">
        <w:t>а</w:t>
      </w:r>
      <w:r w:rsidRPr="00D43252">
        <w:t xml:space="preserve"> Муниципальн</w:t>
      </w:r>
      <w:r w:rsidR="00C95DA1">
        <w:t>ая</w:t>
      </w:r>
      <w:r w:rsidRPr="00D43252">
        <w:t xml:space="preserve"> целев</w:t>
      </w:r>
      <w:r w:rsidR="00C95DA1">
        <w:t>ая</w:t>
      </w:r>
      <w:r w:rsidRPr="00D43252">
        <w:t xml:space="preserve"> программ</w:t>
      </w:r>
      <w:r w:rsidR="00C95DA1">
        <w:t>а</w:t>
      </w:r>
      <w:r w:rsidRPr="00D43252">
        <w:t xml:space="preserve"> «Пожарная безопасность в Гаринском городском округе на 2013-2015 годы» </w:t>
      </w:r>
      <w:r w:rsidR="00C95DA1">
        <w:t xml:space="preserve">с целью </w:t>
      </w:r>
      <w:r w:rsidRPr="00D43252">
        <w:t>поддержки добровольных пожарных формирований.</w:t>
      </w:r>
    </w:p>
    <w:p w:rsidR="00C95DA1" w:rsidRPr="00C95DA1" w:rsidRDefault="00C95DA1" w:rsidP="00C95DA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95DA1">
        <w:rPr>
          <w:rFonts w:eastAsia="Times New Roman" w:cs="Times New Roman"/>
          <w:szCs w:val="28"/>
          <w:lang w:eastAsia="ru-RU"/>
        </w:rPr>
        <w:t xml:space="preserve">       Разработан и утвержден «План тушения лесных пожаров ГУ СО</w:t>
      </w:r>
      <w:r w:rsidR="00625811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="00625811">
        <w:rPr>
          <w:rFonts w:eastAsia="Times New Roman" w:cs="Times New Roman"/>
          <w:szCs w:val="28"/>
          <w:lang w:eastAsia="ru-RU"/>
        </w:rPr>
        <w:t>Гаринское</w:t>
      </w:r>
      <w:proofErr w:type="spellEnd"/>
      <w:r w:rsidR="00625811">
        <w:rPr>
          <w:rFonts w:eastAsia="Times New Roman" w:cs="Times New Roman"/>
          <w:szCs w:val="28"/>
          <w:lang w:eastAsia="ru-RU"/>
        </w:rPr>
        <w:t xml:space="preserve"> лесничество» на 2014</w:t>
      </w:r>
      <w:r w:rsidRPr="00C95DA1">
        <w:rPr>
          <w:rFonts w:eastAsia="Times New Roman" w:cs="Times New Roman"/>
          <w:szCs w:val="28"/>
          <w:lang w:eastAsia="ru-RU"/>
        </w:rPr>
        <w:t>год», в котором предусмотрено привлечение сил и сре</w:t>
      </w:r>
      <w:proofErr w:type="gramStart"/>
      <w:r w:rsidRPr="00C95DA1">
        <w:rPr>
          <w:rFonts w:eastAsia="Times New Roman" w:cs="Times New Roman"/>
          <w:szCs w:val="28"/>
          <w:lang w:eastAsia="ru-RU"/>
        </w:rPr>
        <w:t>дств дл</w:t>
      </w:r>
      <w:proofErr w:type="gramEnd"/>
      <w:r w:rsidRPr="00C95DA1">
        <w:rPr>
          <w:rFonts w:eastAsia="Times New Roman" w:cs="Times New Roman"/>
          <w:szCs w:val="28"/>
          <w:lang w:eastAsia="ru-RU"/>
        </w:rPr>
        <w:t>я тушения лесных пожаров.</w:t>
      </w:r>
    </w:p>
    <w:p w:rsidR="00C95DA1" w:rsidRPr="00C95DA1" w:rsidRDefault="00C95DA1" w:rsidP="00C95DA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151"/>
        <w:gridCol w:w="720"/>
        <w:gridCol w:w="1080"/>
        <w:gridCol w:w="1260"/>
        <w:gridCol w:w="720"/>
        <w:gridCol w:w="1148"/>
        <w:gridCol w:w="1276"/>
        <w:gridCol w:w="1275"/>
      </w:tblGrid>
      <w:tr w:rsidR="00C95DA1" w:rsidRPr="00C95DA1" w:rsidTr="00246161">
        <w:tc>
          <w:tcPr>
            <w:tcW w:w="9747" w:type="dxa"/>
            <w:gridSpan w:val="9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Источники забора воды для тушения пожаров</w:t>
            </w:r>
          </w:p>
        </w:tc>
      </w:tr>
      <w:tr w:rsidR="00C95DA1" w:rsidRPr="00C95DA1" w:rsidTr="00246161">
        <w:tc>
          <w:tcPr>
            <w:tcW w:w="2988" w:type="dxa"/>
            <w:gridSpan w:val="3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гидранты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пирсы</w:t>
            </w:r>
          </w:p>
        </w:tc>
        <w:tc>
          <w:tcPr>
            <w:tcW w:w="3699" w:type="dxa"/>
            <w:gridSpan w:val="3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пожарные водоемы</w:t>
            </w:r>
          </w:p>
        </w:tc>
      </w:tr>
      <w:tr w:rsidR="00C95DA1" w:rsidRPr="00C95DA1" w:rsidTr="00246161">
        <w:trPr>
          <w:trHeight w:val="650"/>
        </w:trPr>
        <w:tc>
          <w:tcPr>
            <w:tcW w:w="1117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 xml:space="preserve">Всего, в </w:t>
            </w:r>
            <w:proofErr w:type="spellStart"/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т.ч</w:t>
            </w:r>
            <w:proofErr w:type="spellEnd"/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в рабочем состоянии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неисправные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 xml:space="preserve">Всего, в </w:t>
            </w:r>
            <w:proofErr w:type="spellStart"/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т.ч</w:t>
            </w:r>
            <w:proofErr w:type="spellEnd"/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в рабочем состоянии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неисправные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 xml:space="preserve">Всего, в </w:t>
            </w:r>
            <w:proofErr w:type="spellStart"/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т.ч</w:t>
            </w:r>
            <w:proofErr w:type="spellEnd"/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в рабочем состоянии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 w:val="22"/>
                <w:lang w:eastAsia="ru-RU"/>
              </w:rPr>
              <w:t>неисправные</w:t>
            </w:r>
          </w:p>
        </w:tc>
      </w:tr>
      <w:tr w:rsidR="00C95DA1" w:rsidRPr="00C95DA1" w:rsidTr="00246161">
        <w:tc>
          <w:tcPr>
            <w:tcW w:w="1117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27</w:t>
            </w:r>
          </w:p>
        </w:tc>
        <w:tc>
          <w:tcPr>
            <w:tcW w:w="1151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C95DA1" w:rsidRPr="00C95DA1" w:rsidRDefault="00C95DA1" w:rsidP="00C95DA1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95DA1">
              <w:rPr>
                <w:rFonts w:eastAsia="Times New Roman" w:cs="Times New Roman"/>
                <w:bCs/>
                <w:szCs w:val="28"/>
                <w:lang w:eastAsia="ru-RU"/>
              </w:rPr>
              <w:t>17</w:t>
            </w:r>
          </w:p>
        </w:tc>
      </w:tr>
    </w:tbl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</w:p>
    <w:p w:rsidR="00D43252" w:rsidRPr="00D43252" w:rsidRDefault="00D43252" w:rsidP="00C95DA1">
      <w:pPr>
        <w:pStyle w:val="a5"/>
        <w:spacing w:after="0" w:line="240" w:lineRule="auto"/>
        <w:ind w:left="0" w:firstLine="708"/>
        <w:jc w:val="both"/>
      </w:pPr>
      <w:r w:rsidRPr="00D43252">
        <w:t>Проблемные вопросы по обеспечению пожарной безопасности на территории округа: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>- отсутствие круглогодичного сообщения с отдаленными населенными пунктами;</w:t>
      </w:r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proofErr w:type="gramStart"/>
      <w:r w:rsidRPr="00D43252">
        <w:t xml:space="preserve">- удаленность населенных пунктов от места дислокации ПЧ 6/3 ГПТУ СО «ОПС СО № 6» в южном направлении д. Круторечка </w:t>
      </w:r>
      <w:r w:rsidR="00EE3EBD">
        <w:t xml:space="preserve">- </w:t>
      </w:r>
      <w:r w:rsidRPr="00D43252">
        <w:t xml:space="preserve">102 км, в северо-восточном направлении д. </w:t>
      </w:r>
      <w:proofErr w:type="spellStart"/>
      <w:r w:rsidRPr="00D43252">
        <w:t>Шантальская</w:t>
      </w:r>
      <w:proofErr w:type="spellEnd"/>
      <w:r w:rsidRPr="00D43252">
        <w:t xml:space="preserve"> </w:t>
      </w:r>
      <w:r w:rsidR="00EE3EBD">
        <w:t xml:space="preserve">- </w:t>
      </w:r>
      <w:r w:rsidRPr="00D43252">
        <w:t xml:space="preserve">130 км, в северо-западном направлении п. </w:t>
      </w:r>
      <w:r w:rsidR="00A12F4B">
        <w:t xml:space="preserve">Новый Вагиль </w:t>
      </w:r>
      <w:r w:rsidR="00EE3EBD">
        <w:t xml:space="preserve">- </w:t>
      </w:r>
      <w:r w:rsidR="00A12F4B">
        <w:t xml:space="preserve">120 км, </w:t>
      </w:r>
      <w:r w:rsidR="00A12F4B" w:rsidRPr="00B22433">
        <w:t>вследствие</w:t>
      </w:r>
      <w:r w:rsidRPr="00B22433">
        <w:t xml:space="preserve"> чего </w:t>
      </w:r>
      <w:r w:rsidRPr="00D43252">
        <w:t>не представляется возможность прибытия пожарного подразделения к месту вызова, в соответствии требований технического регламента;</w:t>
      </w:r>
      <w:proofErr w:type="gramEnd"/>
    </w:p>
    <w:p w:rsidR="00D43252" w:rsidRPr="00D43252" w:rsidRDefault="00D43252" w:rsidP="00D43252">
      <w:pPr>
        <w:pStyle w:val="a5"/>
        <w:spacing w:after="0" w:line="240" w:lineRule="auto"/>
        <w:ind w:left="0"/>
        <w:jc w:val="both"/>
      </w:pPr>
      <w:r w:rsidRPr="00D43252">
        <w:t>- сокращение пожарной части ИК- 14, второй по численности н</w:t>
      </w:r>
      <w:r w:rsidR="00625811">
        <w:t>аселенный пункт округа п. Пуксинка остался</w:t>
      </w:r>
      <w:r w:rsidRPr="00D43252">
        <w:t xml:space="preserve"> без прикрытия профессиональной пожарной охраны.</w:t>
      </w:r>
    </w:p>
    <w:p w:rsidR="00C30470" w:rsidRPr="00C30470" w:rsidRDefault="00C30470" w:rsidP="00C30470">
      <w:pPr>
        <w:pStyle w:val="a5"/>
        <w:rPr>
          <w:b/>
        </w:rPr>
      </w:pPr>
    </w:p>
    <w:p w:rsidR="00C30470" w:rsidRPr="000954EF" w:rsidRDefault="000954EF" w:rsidP="000954EF">
      <w:pPr>
        <w:rPr>
          <w:b/>
        </w:rPr>
      </w:pPr>
      <w:r>
        <w:rPr>
          <w:b/>
        </w:rPr>
        <w:t xml:space="preserve">14. </w:t>
      </w:r>
      <w:r w:rsidR="00C30470" w:rsidRPr="000954EF">
        <w:rPr>
          <w:b/>
        </w:rPr>
        <w:t>Экология</w:t>
      </w:r>
    </w:p>
    <w:p w:rsidR="008D0617" w:rsidRDefault="00EB38D4" w:rsidP="008D0617">
      <w:pPr>
        <w:spacing w:after="0" w:line="240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="006E7F23" w:rsidRPr="006E7F23">
        <w:rPr>
          <w:rFonts w:cs="Times New Roman"/>
          <w:b/>
          <w:szCs w:val="28"/>
        </w:rPr>
        <w:t>рограмма «Родники».</w:t>
      </w:r>
    </w:p>
    <w:p w:rsidR="006E7F23" w:rsidRPr="006E7F23" w:rsidRDefault="00EB38D4" w:rsidP="008D0617">
      <w:pPr>
        <w:spacing w:after="0" w:line="240" w:lineRule="auto"/>
        <w:ind w:firstLine="360"/>
        <w:jc w:val="both"/>
        <w:rPr>
          <w:rFonts w:cs="Times New Roman"/>
          <w:szCs w:val="28"/>
        </w:rPr>
      </w:pPr>
      <w:r w:rsidRPr="00EB38D4">
        <w:rPr>
          <w:rFonts w:cs="Times New Roman"/>
          <w:szCs w:val="28"/>
        </w:rPr>
        <w:t xml:space="preserve">На территории Свердловской области действует </w:t>
      </w:r>
      <w:r w:rsidRPr="006E7F23">
        <w:rPr>
          <w:rFonts w:cs="Times New Roman"/>
          <w:szCs w:val="28"/>
        </w:rPr>
        <w:t>программа «Родники».</w:t>
      </w:r>
      <w:r w:rsidR="006E7F23" w:rsidRPr="006E7F23">
        <w:rPr>
          <w:rFonts w:cs="Times New Roman"/>
          <w:szCs w:val="28"/>
        </w:rPr>
        <w:t xml:space="preserve"> Цель программы – обеспечение жителей области чистой питьевой водой из природных подземных источников, обустройство и грамотная эксплуатация источников, сохранение их для настоящего и будущих поколений, сохранение природных богатств, а также экологическое воспитание и просвещение населения. </w:t>
      </w:r>
    </w:p>
    <w:p w:rsidR="008D0617" w:rsidRDefault="008D0617" w:rsidP="008D0617">
      <w:pPr>
        <w:spacing w:after="0" w:line="240" w:lineRule="auto"/>
        <w:jc w:val="both"/>
        <w:rPr>
          <w:rFonts w:cs="Times New Roman"/>
          <w:szCs w:val="28"/>
        </w:rPr>
      </w:pPr>
      <w:r w:rsidRPr="006E7F23">
        <w:rPr>
          <w:rFonts w:cs="Times New Roman"/>
          <w:szCs w:val="28"/>
        </w:rPr>
        <w:t xml:space="preserve">       Всего в Реестре источников нецентрализованного водоснабжения, обустроенных на территории Гаринско</w:t>
      </w:r>
      <w:r w:rsidR="002A56FD">
        <w:rPr>
          <w:rFonts w:cs="Times New Roman"/>
          <w:szCs w:val="28"/>
        </w:rPr>
        <w:t>го городского округа в 2001-2014 годах 10</w:t>
      </w:r>
      <w:r w:rsidRPr="006E7F23">
        <w:rPr>
          <w:rFonts w:cs="Times New Roman"/>
          <w:szCs w:val="28"/>
        </w:rPr>
        <w:t xml:space="preserve"> колодцев</w:t>
      </w:r>
      <w:r w:rsidR="002A56FD">
        <w:rPr>
          <w:rFonts w:cs="Times New Roman"/>
          <w:szCs w:val="28"/>
        </w:rPr>
        <w:t>, 6 самоизливающихся скважин и 2</w:t>
      </w:r>
      <w:r w:rsidRPr="006E7F23">
        <w:rPr>
          <w:rFonts w:cs="Times New Roman"/>
          <w:szCs w:val="28"/>
        </w:rPr>
        <w:t xml:space="preserve"> родник</w:t>
      </w:r>
      <w:r w:rsidR="002A56FD">
        <w:rPr>
          <w:rFonts w:cs="Times New Roman"/>
          <w:szCs w:val="28"/>
        </w:rPr>
        <w:t>а</w:t>
      </w:r>
      <w:r w:rsidRPr="006E7F23">
        <w:rPr>
          <w:rFonts w:cs="Times New Roman"/>
          <w:szCs w:val="28"/>
        </w:rPr>
        <w:t xml:space="preserve">. </w:t>
      </w:r>
    </w:p>
    <w:p w:rsidR="00151F3C" w:rsidRPr="006E7F23" w:rsidRDefault="00151F3C" w:rsidP="008D061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В рамках Муниципальной программы по использованию, охране и обустройству источников нецентрализованного водоснабжения на территории Гари</w:t>
      </w:r>
      <w:r w:rsidR="002A56FD">
        <w:rPr>
          <w:rFonts w:cs="Times New Roman"/>
          <w:szCs w:val="28"/>
        </w:rPr>
        <w:t>нского городского округа на 2014-2020</w:t>
      </w:r>
      <w:r>
        <w:rPr>
          <w:rFonts w:cs="Times New Roman"/>
          <w:szCs w:val="28"/>
        </w:rPr>
        <w:t xml:space="preserve"> годы:</w:t>
      </w:r>
    </w:p>
    <w:p w:rsidR="00151F3C" w:rsidRDefault="006E7F23" w:rsidP="008D0617">
      <w:pPr>
        <w:spacing w:after="0" w:line="240" w:lineRule="auto"/>
        <w:jc w:val="both"/>
        <w:rPr>
          <w:rFonts w:cs="Times New Roman"/>
          <w:szCs w:val="28"/>
        </w:rPr>
      </w:pPr>
      <w:r w:rsidRPr="006E7F23">
        <w:rPr>
          <w:rFonts w:cs="Times New Roman"/>
          <w:b/>
          <w:szCs w:val="28"/>
        </w:rPr>
        <w:t xml:space="preserve">     </w:t>
      </w:r>
      <w:r w:rsidR="00151F3C">
        <w:rPr>
          <w:rFonts w:cs="Times New Roman"/>
          <w:b/>
          <w:szCs w:val="28"/>
        </w:rPr>
        <w:t xml:space="preserve">- </w:t>
      </w:r>
      <w:r w:rsidR="00151F3C">
        <w:rPr>
          <w:rFonts w:cs="Times New Roman"/>
          <w:szCs w:val="28"/>
        </w:rPr>
        <w:t>в</w:t>
      </w:r>
      <w:r w:rsidRPr="00151F3C">
        <w:rPr>
          <w:rFonts w:cs="Times New Roman"/>
          <w:szCs w:val="28"/>
        </w:rPr>
        <w:t xml:space="preserve"> 2012 году</w:t>
      </w:r>
      <w:r w:rsidRPr="006E7F23">
        <w:rPr>
          <w:rFonts w:cs="Times New Roman"/>
          <w:szCs w:val="28"/>
        </w:rPr>
        <w:t xml:space="preserve"> обустро</w:t>
      </w:r>
      <w:r w:rsidR="00151F3C">
        <w:rPr>
          <w:rFonts w:cs="Times New Roman"/>
          <w:szCs w:val="28"/>
        </w:rPr>
        <w:t>ено 2 самоизливающиеся скважины в р. п. Гари;</w:t>
      </w:r>
    </w:p>
    <w:p w:rsidR="006E7F23" w:rsidRDefault="00151F3C" w:rsidP="008D0617">
      <w:pPr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Cs w:val="28"/>
        </w:rPr>
        <w:t xml:space="preserve">     </w:t>
      </w:r>
      <w:r w:rsidRPr="00151F3C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в</w:t>
      </w:r>
      <w:r w:rsidR="006E7F23" w:rsidRPr="00151F3C">
        <w:rPr>
          <w:rFonts w:cs="Times New Roman"/>
          <w:szCs w:val="28"/>
        </w:rPr>
        <w:t xml:space="preserve"> 2013 году</w:t>
      </w:r>
      <w:r w:rsidR="006E7F23" w:rsidRPr="006E7F23">
        <w:rPr>
          <w:rFonts w:cs="Times New Roman"/>
          <w:szCs w:val="28"/>
        </w:rPr>
        <w:t xml:space="preserve"> обустроены 2 источника: самоизливающаяся скважина «имени </w:t>
      </w:r>
      <w:proofErr w:type="spellStart"/>
      <w:r w:rsidR="006E7F23" w:rsidRPr="006E7F23">
        <w:rPr>
          <w:rFonts w:cs="Times New Roman"/>
          <w:szCs w:val="28"/>
        </w:rPr>
        <w:t>Нефедкова</w:t>
      </w:r>
      <w:proofErr w:type="spellEnd"/>
      <w:r w:rsidR="006E7F23" w:rsidRPr="006E7F23">
        <w:rPr>
          <w:rFonts w:cs="Times New Roman"/>
          <w:szCs w:val="28"/>
        </w:rPr>
        <w:t xml:space="preserve">» в </w:t>
      </w:r>
      <w:proofErr w:type="spellStart"/>
      <w:r w:rsidR="006E7F23" w:rsidRPr="006E7F23">
        <w:rPr>
          <w:rFonts w:cs="Times New Roman"/>
          <w:szCs w:val="28"/>
        </w:rPr>
        <w:t>д</w:t>
      </w:r>
      <w:proofErr w:type="gramStart"/>
      <w:r w:rsidR="006E7F23" w:rsidRPr="006E7F23">
        <w:rPr>
          <w:rFonts w:cs="Times New Roman"/>
          <w:szCs w:val="28"/>
        </w:rPr>
        <w:t>.З</w:t>
      </w:r>
      <w:proofErr w:type="gramEnd"/>
      <w:r w:rsidR="006E7F23" w:rsidRPr="006E7F23">
        <w:rPr>
          <w:rFonts w:cs="Times New Roman"/>
          <w:szCs w:val="28"/>
        </w:rPr>
        <w:t>ыкова</w:t>
      </w:r>
      <w:proofErr w:type="spellEnd"/>
      <w:r w:rsidR="006E7F23" w:rsidRPr="006E7F23">
        <w:rPr>
          <w:rFonts w:cs="Times New Roman"/>
          <w:szCs w:val="28"/>
        </w:rPr>
        <w:t xml:space="preserve">, колодец «Былина» в </w:t>
      </w:r>
      <w:proofErr w:type="spellStart"/>
      <w:r w:rsidR="006E7F23" w:rsidRPr="006E7F23">
        <w:rPr>
          <w:rFonts w:cs="Times New Roman"/>
          <w:szCs w:val="28"/>
        </w:rPr>
        <w:t>д.Круторечка</w:t>
      </w:r>
      <w:proofErr w:type="spellEnd"/>
      <w:r w:rsidR="006E7F23" w:rsidRPr="006E7F23">
        <w:rPr>
          <w:rFonts w:cs="Times New Roman"/>
          <w:szCs w:val="28"/>
        </w:rPr>
        <w:t xml:space="preserve">. </w:t>
      </w:r>
      <w:r w:rsidR="006E7F23" w:rsidRPr="006E7F23">
        <w:rPr>
          <w:rFonts w:cs="Times New Roman"/>
          <w:sz w:val="22"/>
        </w:rPr>
        <w:t xml:space="preserve"> </w:t>
      </w:r>
    </w:p>
    <w:p w:rsidR="002A56FD" w:rsidRPr="002A56FD" w:rsidRDefault="002A56FD" w:rsidP="008D0617">
      <w:pPr>
        <w:spacing w:after="0" w:line="240" w:lineRule="auto"/>
        <w:jc w:val="both"/>
        <w:rPr>
          <w:rFonts w:cs="Times New Roman"/>
          <w:szCs w:val="28"/>
        </w:rPr>
      </w:pPr>
      <w:r w:rsidRPr="002A56FD">
        <w:rPr>
          <w:rFonts w:cs="Times New Roman"/>
          <w:szCs w:val="28"/>
        </w:rPr>
        <w:t xml:space="preserve">       - в 2014 году обустроен колодец</w:t>
      </w:r>
      <w:r w:rsidR="00DB36E0">
        <w:rPr>
          <w:rFonts w:cs="Times New Roman"/>
          <w:szCs w:val="28"/>
        </w:rPr>
        <w:t xml:space="preserve"> «</w:t>
      </w:r>
      <w:proofErr w:type="spellStart"/>
      <w:r w:rsidR="00DB36E0">
        <w:rPr>
          <w:rFonts w:cs="Times New Roman"/>
          <w:szCs w:val="28"/>
        </w:rPr>
        <w:t>Ш</w:t>
      </w:r>
      <w:r>
        <w:rPr>
          <w:rFonts w:cs="Times New Roman"/>
          <w:szCs w:val="28"/>
        </w:rPr>
        <w:t>абуровский</w:t>
      </w:r>
      <w:proofErr w:type="spellEnd"/>
      <w:r>
        <w:rPr>
          <w:rFonts w:cs="Times New Roman"/>
          <w:szCs w:val="28"/>
        </w:rPr>
        <w:t>»</w:t>
      </w:r>
      <w:r w:rsidRPr="002A56FD">
        <w:rPr>
          <w:rFonts w:cs="Times New Roman"/>
          <w:szCs w:val="28"/>
        </w:rPr>
        <w:t xml:space="preserve"> в </w:t>
      </w:r>
      <w:proofErr w:type="spellStart"/>
      <w:r w:rsidRPr="002A56FD">
        <w:rPr>
          <w:rFonts w:cs="Times New Roman"/>
          <w:szCs w:val="28"/>
        </w:rPr>
        <w:t>с</w:t>
      </w:r>
      <w:proofErr w:type="gramStart"/>
      <w:r w:rsidRPr="002A56FD">
        <w:rPr>
          <w:rFonts w:cs="Times New Roman"/>
          <w:szCs w:val="28"/>
        </w:rPr>
        <w:t>.Ш</w:t>
      </w:r>
      <w:proofErr w:type="gramEnd"/>
      <w:r w:rsidRPr="002A56FD">
        <w:rPr>
          <w:rFonts w:cs="Times New Roman"/>
          <w:szCs w:val="28"/>
        </w:rPr>
        <w:t>абурово</w:t>
      </w:r>
      <w:proofErr w:type="spellEnd"/>
      <w:r>
        <w:rPr>
          <w:rFonts w:cs="Times New Roman"/>
          <w:szCs w:val="28"/>
        </w:rPr>
        <w:t xml:space="preserve"> и родник «</w:t>
      </w:r>
      <w:proofErr w:type="spellStart"/>
      <w:r>
        <w:rPr>
          <w:rFonts w:cs="Times New Roman"/>
          <w:szCs w:val="28"/>
        </w:rPr>
        <w:t>Воробинка</w:t>
      </w:r>
      <w:proofErr w:type="spellEnd"/>
      <w:r>
        <w:rPr>
          <w:rFonts w:cs="Times New Roman"/>
          <w:szCs w:val="28"/>
        </w:rPr>
        <w:t>» на 36 км автодороги Гари-Сосьва.</w:t>
      </w:r>
    </w:p>
    <w:p w:rsidR="006E7F23" w:rsidRPr="006E7F23" w:rsidRDefault="006E7F23" w:rsidP="008D0617">
      <w:pPr>
        <w:spacing w:after="0" w:line="240" w:lineRule="auto"/>
        <w:jc w:val="both"/>
        <w:rPr>
          <w:rFonts w:cs="Times New Roman"/>
          <w:szCs w:val="28"/>
        </w:rPr>
      </w:pPr>
      <w:r w:rsidRPr="006E7F23">
        <w:rPr>
          <w:rFonts w:cs="Times New Roman"/>
          <w:szCs w:val="28"/>
        </w:rPr>
        <w:t xml:space="preserve">     Все обустроенные источники закреплены за учреждениями и  детскими юношескими коллективами для проведения шефской работы по благоустройству прилегающих к источнику территорий, для поддержания чистоты и порядка в радиусе 100 метров. </w:t>
      </w:r>
    </w:p>
    <w:p w:rsidR="004F3AB7" w:rsidRDefault="004F3AB7" w:rsidP="00C30470">
      <w:pPr>
        <w:pStyle w:val="a5"/>
        <w:rPr>
          <w:b/>
          <w:color w:val="FF0000"/>
        </w:rPr>
      </w:pPr>
    </w:p>
    <w:p w:rsidR="00EB38D4" w:rsidRPr="002739F7" w:rsidRDefault="005760F3" w:rsidP="007447A4">
      <w:pPr>
        <w:pStyle w:val="a5"/>
        <w:spacing w:after="0" w:line="240" w:lineRule="auto"/>
        <w:ind w:left="0" w:firstLine="567"/>
        <w:jc w:val="both"/>
        <w:rPr>
          <w:b/>
        </w:rPr>
      </w:pPr>
      <w:r w:rsidRPr="002739F7">
        <w:rPr>
          <w:b/>
        </w:rPr>
        <w:t>Утилизация (захоронение</w:t>
      </w:r>
      <w:r w:rsidR="00EB38D4" w:rsidRPr="002739F7">
        <w:rPr>
          <w:b/>
        </w:rPr>
        <w:t>) твердых бытовых отходов.</w:t>
      </w:r>
    </w:p>
    <w:p w:rsidR="007447A4" w:rsidRPr="00B22433" w:rsidRDefault="007447A4" w:rsidP="00577A1B">
      <w:pPr>
        <w:pStyle w:val="a5"/>
        <w:spacing w:after="0" w:line="240" w:lineRule="auto"/>
        <w:ind w:left="0" w:firstLine="567"/>
        <w:jc w:val="both"/>
      </w:pPr>
      <w:r w:rsidRPr="00B22433">
        <w:t>В Гаринском городском округе оказание услуг по утилизации (захоронению) твердых бытовых отходов  осуществляет одна организация  МУП «Отдел по благоустройству администрации Муниципального образования «Гаринский район».</w:t>
      </w:r>
    </w:p>
    <w:p w:rsidR="000F6C3B" w:rsidRPr="00B22433" w:rsidRDefault="00B22B3C" w:rsidP="00577A1B">
      <w:pPr>
        <w:spacing w:after="0" w:line="240" w:lineRule="auto"/>
        <w:jc w:val="both"/>
      </w:pPr>
      <w:r>
        <w:t xml:space="preserve">        </w:t>
      </w:r>
      <w:r w:rsidR="005760F3" w:rsidRPr="00B22433">
        <w:t>Схема</w:t>
      </w:r>
      <w:r w:rsidR="007C3925" w:rsidRPr="00B22433">
        <w:t xml:space="preserve"> санитарной очистки и уборки территорий населенных пунктов утверждена </w:t>
      </w:r>
      <w:r w:rsidR="007C3925" w:rsidRPr="00B22433">
        <w:rPr>
          <w:rFonts w:eastAsia="Times New Roman" w:cs="Times New Roman"/>
          <w:szCs w:val="28"/>
          <w:lang w:eastAsia="ru-RU"/>
        </w:rPr>
        <w:t>Постановление</w:t>
      </w:r>
      <w:r w:rsidR="005760F3" w:rsidRPr="00B22433">
        <w:rPr>
          <w:rFonts w:eastAsia="Times New Roman" w:cs="Times New Roman"/>
          <w:szCs w:val="28"/>
          <w:lang w:eastAsia="ru-RU"/>
        </w:rPr>
        <w:t>м</w:t>
      </w:r>
      <w:r w:rsidR="00D72056">
        <w:rPr>
          <w:rFonts w:eastAsia="Times New Roman" w:cs="Times New Roman"/>
          <w:szCs w:val="28"/>
          <w:lang w:eastAsia="ru-RU"/>
        </w:rPr>
        <w:t xml:space="preserve"> главы Гаринского ГО от 09.04.14</w:t>
      </w:r>
      <w:r w:rsidR="007C3925" w:rsidRPr="00B22433">
        <w:rPr>
          <w:rFonts w:eastAsia="Times New Roman" w:cs="Times New Roman"/>
          <w:szCs w:val="28"/>
          <w:lang w:eastAsia="ru-RU"/>
        </w:rPr>
        <w:t xml:space="preserve"> № </w:t>
      </w:r>
      <w:r w:rsidR="00D72056">
        <w:rPr>
          <w:rFonts w:eastAsia="Times New Roman" w:cs="Times New Roman"/>
          <w:szCs w:val="28"/>
          <w:lang w:eastAsia="ru-RU"/>
        </w:rPr>
        <w:t>122</w:t>
      </w:r>
      <w:r w:rsidR="007C3925" w:rsidRPr="00B22433">
        <w:t xml:space="preserve">. </w:t>
      </w:r>
    </w:p>
    <w:p w:rsidR="00B22B3C" w:rsidRDefault="00577A1B" w:rsidP="0071423B">
      <w:pPr>
        <w:spacing w:after="0" w:line="240" w:lineRule="auto"/>
        <w:jc w:val="both"/>
      </w:pPr>
      <w:r w:rsidRPr="00B22433">
        <w:tab/>
      </w:r>
      <w:r w:rsidR="00B22B3C">
        <w:t>В течение</w:t>
      </w:r>
      <w:r w:rsidR="00D72056">
        <w:t xml:space="preserve"> 2014</w:t>
      </w:r>
      <w:r w:rsidRPr="00B22433">
        <w:t xml:space="preserve"> года проведено  </w:t>
      </w:r>
      <w:r w:rsidR="00D72056">
        <w:t>7</w:t>
      </w:r>
      <w:r w:rsidR="005760F3" w:rsidRPr="00B22433">
        <w:t xml:space="preserve"> субботников, в</w:t>
      </w:r>
      <w:r w:rsidRPr="00B22433">
        <w:t xml:space="preserve"> которых приняли участие </w:t>
      </w:r>
      <w:r w:rsidR="00D72056">
        <w:t>498</w:t>
      </w:r>
      <w:r w:rsidRPr="00B22433">
        <w:t xml:space="preserve"> че</w:t>
      </w:r>
      <w:r w:rsidR="00D72056">
        <w:t>ловек, в том числе сотрудники 24</w:t>
      </w:r>
      <w:r w:rsidRPr="00B22433">
        <w:t xml:space="preserve"> предприятий и учреждений Гаринского городского округа. Выявлено </w:t>
      </w:r>
      <w:r w:rsidR="00D72056">
        <w:t>и ликвидировано 5</w:t>
      </w:r>
      <w:r w:rsidRPr="00B22433">
        <w:t xml:space="preserve"> несанкционированных свалок</w:t>
      </w:r>
      <w:r w:rsidR="008D3E71" w:rsidRPr="00B22433">
        <w:t xml:space="preserve"> твердых бытовых отходов. Всего вывезено мусора </w:t>
      </w:r>
      <w:r w:rsidR="00D72056">
        <w:t>2374</w:t>
      </w:r>
      <w:r w:rsidR="008D3E71" w:rsidRPr="00B22433">
        <w:t xml:space="preserve"> куб. метров.</w:t>
      </w:r>
    </w:p>
    <w:p w:rsidR="00D72056" w:rsidRDefault="00D72056" w:rsidP="0071423B">
      <w:pPr>
        <w:spacing w:after="0" w:line="240" w:lineRule="auto"/>
        <w:jc w:val="both"/>
      </w:pPr>
      <w:r>
        <w:t xml:space="preserve">        На санитарную очистку территории городского округа потрачено 1467,2 тыс. рублей из местного бюджета.</w:t>
      </w:r>
    </w:p>
    <w:p w:rsidR="00122417" w:rsidRDefault="00B22B3C" w:rsidP="0071423B">
      <w:pPr>
        <w:spacing w:after="0" w:line="240" w:lineRule="auto"/>
        <w:jc w:val="both"/>
        <w:rPr>
          <w:color w:val="FF0000"/>
        </w:rPr>
      </w:pPr>
      <w:r>
        <w:t xml:space="preserve">        На территории р. п. Гари установлено 55 мусорных контейнеров.</w:t>
      </w:r>
      <w:r w:rsidR="008D3E71" w:rsidRPr="00B22433">
        <w:t xml:space="preserve"> </w:t>
      </w:r>
      <w:r>
        <w:t xml:space="preserve">     </w:t>
      </w:r>
    </w:p>
    <w:p w:rsidR="0071423B" w:rsidRPr="0071423B" w:rsidRDefault="0071423B" w:rsidP="0071423B">
      <w:pPr>
        <w:spacing w:after="0" w:line="240" w:lineRule="auto"/>
        <w:jc w:val="both"/>
        <w:rPr>
          <w:color w:val="FF0000"/>
        </w:rPr>
      </w:pPr>
    </w:p>
    <w:p w:rsidR="00C30470" w:rsidRPr="00C30470" w:rsidRDefault="00C30470" w:rsidP="00C30470">
      <w:pPr>
        <w:ind w:firstLine="426"/>
        <w:rPr>
          <w:b/>
        </w:rPr>
      </w:pPr>
      <w:r w:rsidRPr="00C30470">
        <w:rPr>
          <w:b/>
        </w:rPr>
        <w:t>1</w:t>
      </w:r>
      <w:r w:rsidR="00D7482F">
        <w:rPr>
          <w:b/>
        </w:rPr>
        <w:t>5</w:t>
      </w:r>
      <w:r w:rsidR="007E0E71">
        <w:rPr>
          <w:b/>
        </w:rPr>
        <w:t>.</w:t>
      </w:r>
      <w:r w:rsidRPr="00C30470">
        <w:rPr>
          <w:b/>
        </w:rPr>
        <w:tab/>
      </w:r>
      <w:r w:rsidR="00827284">
        <w:rPr>
          <w:b/>
        </w:rPr>
        <w:t xml:space="preserve"> </w:t>
      </w:r>
      <w:r w:rsidRPr="00C30470">
        <w:rPr>
          <w:b/>
        </w:rPr>
        <w:t>Социальные индикаторы качества жизни населения</w:t>
      </w:r>
    </w:p>
    <w:p w:rsidR="00C30470" w:rsidRDefault="00D7482F" w:rsidP="00C30470">
      <w:pPr>
        <w:ind w:firstLine="426"/>
        <w:rPr>
          <w:b/>
        </w:rPr>
      </w:pPr>
      <w:r>
        <w:rPr>
          <w:b/>
        </w:rPr>
        <w:t>15</w:t>
      </w:r>
      <w:r w:rsidR="00C30470" w:rsidRPr="00C30470">
        <w:rPr>
          <w:b/>
        </w:rPr>
        <w:t>.1</w:t>
      </w:r>
      <w:r w:rsidR="00C30470" w:rsidRPr="00C30470">
        <w:rPr>
          <w:b/>
        </w:rPr>
        <w:tab/>
        <w:t>Демография</w:t>
      </w:r>
    </w:p>
    <w:p w:rsidR="007E0E71" w:rsidRDefault="007B5FE3" w:rsidP="007B5FE3">
      <w:pPr>
        <w:spacing w:after="0" w:line="240" w:lineRule="auto"/>
        <w:ind w:firstLine="425"/>
        <w:jc w:val="both"/>
      </w:pPr>
      <w:r w:rsidRPr="007B5FE3">
        <w:t>Среднегодовая численность постоянного населения Гаринского ГО снижается за счет превышения смертности над рождаемостью и за</w:t>
      </w:r>
      <w:r>
        <w:t xml:space="preserve"> счет миграционной убыли населе</w:t>
      </w:r>
      <w:r w:rsidRPr="007B5FE3">
        <w:t xml:space="preserve">ния. </w:t>
      </w:r>
    </w:p>
    <w:p w:rsidR="007B5FE3" w:rsidRDefault="007B5FE3" w:rsidP="007B5FE3">
      <w:pPr>
        <w:spacing w:after="0" w:line="240" w:lineRule="auto"/>
        <w:ind w:firstLine="425"/>
        <w:jc w:val="both"/>
      </w:pPr>
      <w:r w:rsidRPr="007B5FE3">
        <w:t>В 2012 году – на 2,5%, в 2013 году – на 0,9%</w:t>
      </w:r>
      <w:r w:rsidR="00657B76">
        <w:t>. в 2014 году – на 3,5%</w:t>
      </w:r>
      <w:r w:rsidRPr="007B5FE3">
        <w:t>. В пл</w:t>
      </w:r>
      <w:r w:rsidR="00827284">
        <w:t>а</w:t>
      </w:r>
      <w:r w:rsidRPr="007B5FE3">
        <w:t>новом периоде ожидается дальнейшее сокращ</w:t>
      </w:r>
      <w:r w:rsidR="007E0E71">
        <w:t xml:space="preserve">ение численности населения </w:t>
      </w:r>
      <w:proofErr w:type="gramStart"/>
      <w:r w:rsidR="007E0E71">
        <w:t>на</w:t>
      </w:r>
      <w:proofErr w:type="gramEnd"/>
      <w:r w:rsidR="007E0E71">
        <w:t xml:space="preserve"> 1</w:t>
      </w:r>
      <w:r w:rsidRPr="007B5FE3">
        <w:t>%-2% ежегодно.</w:t>
      </w:r>
    </w:p>
    <w:p w:rsidR="00657B76" w:rsidRDefault="00657B76" w:rsidP="007B5FE3">
      <w:pPr>
        <w:spacing w:after="0" w:line="240" w:lineRule="auto"/>
        <w:ind w:firstLine="425"/>
        <w:jc w:val="both"/>
      </w:pPr>
      <w:r>
        <w:t>Снижение численности населения в 2014 году на 3,5% связано с закрытием исправительной колонии УФ</w:t>
      </w:r>
      <w:r w:rsidR="002D7D7F">
        <w:t xml:space="preserve">СИН в </w:t>
      </w:r>
      <w:proofErr w:type="spellStart"/>
      <w:r w:rsidR="002D7D7F">
        <w:t>п</w:t>
      </w:r>
      <w:proofErr w:type="gramStart"/>
      <w:r w:rsidR="002D7D7F">
        <w:t>.П</w:t>
      </w:r>
      <w:proofErr w:type="gramEnd"/>
      <w:r w:rsidR="002D7D7F">
        <w:t>уксинка</w:t>
      </w:r>
      <w:proofErr w:type="spellEnd"/>
      <w:r w:rsidR="002D7D7F">
        <w:t>, которая обеспечивала большую часть поселка рабочими местами.</w:t>
      </w:r>
    </w:p>
    <w:p w:rsidR="00C90FFF" w:rsidRDefault="00C90FFF" w:rsidP="007B5FE3">
      <w:pPr>
        <w:spacing w:after="0" w:line="240" w:lineRule="auto"/>
        <w:ind w:firstLine="425"/>
        <w:jc w:val="both"/>
      </w:pPr>
      <w:r>
        <w:t>Несмотря на снижение численности населения округа</w:t>
      </w:r>
      <w:r w:rsidR="008B1494">
        <w:t>, в 2014 году уровень  рождаемости по сравнению с 2013 годом увеличился на 4,5% (в 2014 г. родилось – 46 детей, в 2013 году – 44 ребенка).</w:t>
      </w:r>
    </w:p>
    <w:p w:rsidR="008B1494" w:rsidRPr="007B5FE3" w:rsidRDefault="008B1494" w:rsidP="007B5FE3">
      <w:pPr>
        <w:spacing w:after="0" w:line="240" w:lineRule="auto"/>
        <w:ind w:firstLine="425"/>
        <w:jc w:val="both"/>
      </w:pPr>
      <w:r>
        <w:t xml:space="preserve">Уровень смертности в 2014 году снизился на 23%  (на 14 человек). </w:t>
      </w:r>
    </w:p>
    <w:p w:rsidR="007E0E71" w:rsidRDefault="007B5FE3" w:rsidP="00F0320F">
      <w:pPr>
        <w:spacing w:after="0" w:line="240" w:lineRule="auto"/>
        <w:ind w:firstLine="425"/>
        <w:jc w:val="both"/>
      </w:pPr>
      <w:r w:rsidRPr="007B5FE3">
        <w:t xml:space="preserve">Для снижения миграционного оттока и уменьшения естественной убыли населения округа предусмотрены мероприятия в рамках муниципальных программ по увеличению жилищной обеспеченности граждан, активизации работы по предоставлению земельных участков под ИЖС, мероприятия по содействию развития малого и среднего предпринимательства и </w:t>
      </w:r>
      <w:proofErr w:type="spellStart"/>
      <w:r w:rsidRPr="007B5FE3">
        <w:t>самозанятости</w:t>
      </w:r>
      <w:proofErr w:type="spellEnd"/>
      <w:r w:rsidRPr="007B5FE3">
        <w:t xml:space="preserve"> населения, по развитию транспортной инфраструктуры. </w:t>
      </w:r>
    </w:p>
    <w:p w:rsidR="00331F77" w:rsidRDefault="007B5FE3" w:rsidP="00F0320F">
      <w:pPr>
        <w:spacing w:after="0" w:line="240" w:lineRule="auto"/>
        <w:ind w:firstLine="425"/>
        <w:jc w:val="both"/>
      </w:pPr>
      <w:r w:rsidRPr="007B5FE3">
        <w:t>Для увеличения жилищной обеспеченности граждан в рамках муниципальной программы «Доступное и комфортное жилье - граждана</w:t>
      </w:r>
      <w:r w:rsidR="002D7D7F">
        <w:t>м России» в Гаринском ГО на 2015</w:t>
      </w:r>
      <w:r w:rsidRPr="007B5FE3">
        <w:t>-20</w:t>
      </w:r>
      <w:r w:rsidR="002D7D7F">
        <w:t>20</w:t>
      </w:r>
      <w:r w:rsidRPr="007B5FE3">
        <w:t xml:space="preserve"> годы </w:t>
      </w:r>
      <w:r w:rsidR="002D7D7F">
        <w:t>предусмотрена сумма в размере 24 200</w:t>
      </w:r>
      <w:r w:rsidRPr="007B5FE3">
        <w:t>, 0 тыс. рубл</w:t>
      </w:r>
      <w:r w:rsidR="00F0320F">
        <w:t>ей.</w:t>
      </w:r>
    </w:p>
    <w:p w:rsidR="00F0320F" w:rsidRPr="00F0320F" w:rsidRDefault="00F0320F" w:rsidP="00F0320F">
      <w:pPr>
        <w:spacing w:after="0" w:line="240" w:lineRule="auto"/>
        <w:ind w:firstLine="425"/>
        <w:jc w:val="both"/>
      </w:pPr>
    </w:p>
    <w:p w:rsidR="00C30470" w:rsidRDefault="000976BA" w:rsidP="00C30470">
      <w:pPr>
        <w:ind w:firstLine="426"/>
        <w:rPr>
          <w:b/>
        </w:rPr>
      </w:pPr>
      <w:r>
        <w:rPr>
          <w:b/>
        </w:rPr>
        <w:t>15</w:t>
      </w:r>
      <w:r w:rsidR="00C30470" w:rsidRPr="00C30470">
        <w:rPr>
          <w:b/>
        </w:rPr>
        <w:t>.2</w:t>
      </w:r>
      <w:r w:rsidR="00C30470" w:rsidRPr="00C30470">
        <w:rPr>
          <w:b/>
        </w:rPr>
        <w:tab/>
        <w:t>Здравоохранение</w:t>
      </w:r>
    </w:p>
    <w:p w:rsidR="00C30470" w:rsidRDefault="00907803" w:rsidP="00907803">
      <w:pPr>
        <w:spacing w:after="0" w:line="240" w:lineRule="auto"/>
        <w:ind w:firstLine="425"/>
        <w:jc w:val="both"/>
      </w:pPr>
      <w:r>
        <w:t xml:space="preserve">На территории Гаринского городского округа находится  1  поликлиника </w:t>
      </w:r>
      <w:r w:rsidRPr="00907803">
        <w:t>ГБУЗ СО «Гаринская ЦРБ»</w:t>
      </w:r>
      <w:r>
        <w:t xml:space="preserve"> и 6 ф</w:t>
      </w:r>
      <w:r w:rsidRPr="00907803">
        <w:t>ельдшерско-акушерски</w:t>
      </w:r>
      <w:r>
        <w:t>х</w:t>
      </w:r>
      <w:r w:rsidRPr="00907803">
        <w:t xml:space="preserve"> пункт</w:t>
      </w:r>
      <w:r>
        <w:t xml:space="preserve">ов (Андрюшинский ФАП, </w:t>
      </w:r>
      <w:proofErr w:type="spellStart"/>
      <w:r>
        <w:t>Нихворский</w:t>
      </w:r>
      <w:proofErr w:type="spellEnd"/>
      <w:r>
        <w:t xml:space="preserve"> ФАП, Ереминский ФАП, </w:t>
      </w:r>
      <w:proofErr w:type="spellStart"/>
      <w:r>
        <w:t>Зыковски</w:t>
      </w:r>
      <w:r w:rsidR="005760F3">
        <w:t>й</w:t>
      </w:r>
      <w:proofErr w:type="spellEnd"/>
      <w:r w:rsidR="005760F3">
        <w:t xml:space="preserve"> ФАП, </w:t>
      </w:r>
      <w:proofErr w:type="spellStart"/>
      <w:r w:rsidR="005760F3">
        <w:t>Пуксинский</w:t>
      </w:r>
      <w:proofErr w:type="spellEnd"/>
      <w:r w:rsidR="005760F3">
        <w:t xml:space="preserve"> ФАП, </w:t>
      </w:r>
      <w:proofErr w:type="spellStart"/>
      <w:r w:rsidR="005760F3" w:rsidRPr="00B22433">
        <w:t>Круторече</w:t>
      </w:r>
      <w:r w:rsidRPr="00B22433">
        <w:t>нский</w:t>
      </w:r>
      <w:proofErr w:type="spellEnd"/>
      <w:r w:rsidRPr="00B22433">
        <w:t xml:space="preserve"> ФАП </w:t>
      </w:r>
      <w:r>
        <w:t>– нет ме</w:t>
      </w:r>
      <w:r w:rsidR="00674CE7">
        <w:t>д</w:t>
      </w:r>
      <w:r>
        <w:t xml:space="preserve">работника). </w:t>
      </w:r>
    </w:p>
    <w:p w:rsidR="009F2930" w:rsidRDefault="00674CE7" w:rsidP="00907803">
      <w:pPr>
        <w:spacing w:after="0" w:line="240" w:lineRule="auto"/>
        <w:ind w:firstLine="425"/>
        <w:jc w:val="both"/>
      </w:pPr>
      <w:r w:rsidRPr="00674CE7">
        <w:t>Обеспеченность кадрами</w:t>
      </w:r>
      <w:r w:rsidR="00C0311E">
        <w:t xml:space="preserve"> составляет в 2014</w:t>
      </w:r>
      <w:r>
        <w:t xml:space="preserve"> году – 36</w:t>
      </w:r>
      <w:r w:rsidR="009F2930">
        <w:t xml:space="preserve"> человек</w:t>
      </w:r>
      <w:r>
        <w:t xml:space="preserve"> (</w:t>
      </w:r>
      <w:r w:rsidR="00C0311E">
        <w:t>91,1</w:t>
      </w:r>
      <w:r>
        <w:t>%</w:t>
      </w:r>
      <w:r w:rsidR="00C0311E">
        <w:t xml:space="preserve"> от штатной численности), в 2013</w:t>
      </w:r>
      <w:r>
        <w:t xml:space="preserve"> году – </w:t>
      </w:r>
      <w:r w:rsidR="00C0311E">
        <w:t>38 человек</w:t>
      </w:r>
      <w:r w:rsidR="00097EED">
        <w:t xml:space="preserve"> </w:t>
      </w:r>
      <w:r>
        <w:t>(</w:t>
      </w:r>
      <w:r w:rsidR="00C0311E">
        <w:t>86,3</w:t>
      </w:r>
      <w:r>
        <w:t xml:space="preserve"> </w:t>
      </w:r>
      <w:r w:rsidRPr="00674CE7">
        <w:t>% от штатной численности)</w:t>
      </w:r>
      <w:r>
        <w:t xml:space="preserve">. </w:t>
      </w:r>
    </w:p>
    <w:p w:rsidR="004F6377" w:rsidRPr="004F6377" w:rsidRDefault="00D31B69" w:rsidP="00D31B69">
      <w:pPr>
        <w:keepNext/>
        <w:spacing w:before="120" w:after="0" w:line="240" w:lineRule="auto"/>
        <w:outlineLvl w:val="0"/>
        <w:rPr>
          <w:rFonts w:eastAsia="Times New Roman" w:cs="Times New Roman"/>
          <w:b/>
          <w:szCs w:val="20"/>
          <w:lang w:eastAsia="x-none"/>
        </w:rPr>
      </w:pPr>
      <w:r>
        <w:rPr>
          <w:rFonts w:eastAsia="Times New Roman" w:cs="Times New Roman"/>
          <w:b/>
          <w:szCs w:val="20"/>
          <w:lang w:eastAsia="x-none"/>
        </w:rPr>
        <w:t xml:space="preserve">       </w:t>
      </w:r>
      <w:r w:rsidR="004F6377" w:rsidRPr="004F6377">
        <w:rPr>
          <w:rFonts w:eastAsia="Times New Roman" w:cs="Times New Roman"/>
          <w:b/>
          <w:szCs w:val="20"/>
          <w:lang w:eastAsia="x-none"/>
        </w:rPr>
        <w:t xml:space="preserve">Средняя заработная плата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6"/>
        <w:gridCol w:w="2377"/>
        <w:gridCol w:w="2152"/>
        <w:gridCol w:w="2056"/>
        <w:gridCol w:w="2222"/>
      </w:tblGrid>
      <w:tr w:rsidR="004F6377" w:rsidRPr="004F6377" w:rsidTr="00ED13F8">
        <w:tc>
          <w:tcPr>
            <w:tcW w:w="2863" w:type="dxa"/>
          </w:tcPr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>Показатель</w:t>
            </w:r>
          </w:p>
        </w:tc>
        <w:tc>
          <w:tcPr>
            <w:tcW w:w="3828" w:type="dxa"/>
          </w:tcPr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F6377">
              <w:rPr>
                <w:rFonts w:eastAsia="Times New Roman" w:cs="Times New Roman"/>
                <w:szCs w:val="28"/>
                <w:lang w:eastAsia="ru-RU"/>
              </w:rPr>
              <w:t xml:space="preserve">Фонд начисленной заработной платы работников учреждений здравоохранения, </w:t>
            </w:r>
          </w:p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b/>
                <w:szCs w:val="28"/>
                <w:lang w:eastAsia="ru-RU"/>
              </w:rPr>
              <w:t>тысяч рублей</w:t>
            </w:r>
          </w:p>
        </w:tc>
        <w:tc>
          <w:tcPr>
            <w:tcW w:w="3034" w:type="dxa"/>
          </w:tcPr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 xml:space="preserve">Среднемесячная заработная плата всего персонала, </w:t>
            </w:r>
          </w:p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b/>
                <w:szCs w:val="28"/>
                <w:lang w:eastAsia="x-none"/>
              </w:rPr>
              <w:t>рублей</w:t>
            </w:r>
          </w:p>
        </w:tc>
        <w:tc>
          <w:tcPr>
            <w:tcW w:w="2290" w:type="dxa"/>
          </w:tcPr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 xml:space="preserve">Среднемесячная заработная плата врачей, </w:t>
            </w:r>
          </w:p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b/>
                <w:szCs w:val="28"/>
                <w:lang w:eastAsia="x-none"/>
              </w:rPr>
              <w:t>рублей</w:t>
            </w:r>
          </w:p>
        </w:tc>
        <w:tc>
          <w:tcPr>
            <w:tcW w:w="3578" w:type="dxa"/>
          </w:tcPr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szCs w:val="28"/>
                <w:lang w:eastAsia="x-none"/>
              </w:rPr>
              <w:t xml:space="preserve">Среднемесячная заработная плата среднего медицинского персонала, </w:t>
            </w:r>
          </w:p>
          <w:p w:rsidR="004F6377" w:rsidRPr="004F6377" w:rsidRDefault="004F6377" w:rsidP="004F63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eastAsia="x-none"/>
              </w:rPr>
            </w:pPr>
            <w:r w:rsidRPr="004F6377">
              <w:rPr>
                <w:rFonts w:eastAsia="Times New Roman" w:cs="Times New Roman"/>
                <w:b/>
                <w:szCs w:val="28"/>
                <w:lang w:eastAsia="x-none"/>
              </w:rPr>
              <w:t>рублей</w:t>
            </w:r>
          </w:p>
        </w:tc>
      </w:tr>
      <w:tr w:rsidR="004F6377" w:rsidRPr="004F6377" w:rsidTr="00ED13F8">
        <w:tc>
          <w:tcPr>
            <w:tcW w:w="2863" w:type="dxa"/>
          </w:tcPr>
          <w:p w:rsidR="004F6377" w:rsidRPr="004F6377" w:rsidRDefault="00C0311E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2014</w:t>
            </w:r>
            <w:r w:rsidR="004F6377" w:rsidRPr="004F6377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3828" w:type="dxa"/>
          </w:tcPr>
          <w:p w:rsidR="004F6377" w:rsidRPr="004F6377" w:rsidRDefault="00C0311E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14483,3</w:t>
            </w:r>
          </w:p>
        </w:tc>
        <w:tc>
          <w:tcPr>
            <w:tcW w:w="3034" w:type="dxa"/>
          </w:tcPr>
          <w:p w:rsidR="004F6377" w:rsidRPr="004F6377" w:rsidRDefault="00C0311E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15770,0</w:t>
            </w:r>
          </w:p>
        </w:tc>
        <w:tc>
          <w:tcPr>
            <w:tcW w:w="2290" w:type="dxa"/>
          </w:tcPr>
          <w:p w:rsidR="004F6377" w:rsidRPr="004F6377" w:rsidRDefault="00C0311E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36370,0</w:t>
            </w:r>
          </w:p>
        </w:tc>
        <w:tc>
          <w:tcPr>
            <w:tcW w:w="3578" w:type="dxa"/>
          </w:tcPr>
          <w:p w:rsidR="004F6377" w:rsidRPr="004F6377" w:rsidRDefault="00C0311E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19570,0</w:t>
            </w:r>
          </w:p>
        </w:tc>
      </w:tr>
      <w:tr w:rsidR="004F6377" w:rsidRPr="004F6377" w:rsidTr="00ED13F8">
        <w:tc>
          <w:tcPr>
            <w:tcW w:w="2863" w:type="dxa"/>
          </w:tcPr>
          <w:p w:rsidR="004F6377" w:rsidRPr="004F6377" w:rsidRDefault="00C0311E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2013</w:t>
            </w:r>
            <w:r w:rsidR="004F6377" w:rsidRPr="004F6377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3828" w:type="dxa"/>
          </w:tcPr>
          <w:p w:rsidR="004F6377" w:rsidRPr="004F6377" w:rsidRDefault="00C0311E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17627,9</w:t>
            </w:r>
          </w:p>
        </w:tc>
        <w:tc>
          <w:tcPr>
            <w:tcW w:w="3034" w:type="dxa"/>
          </w:tcPr>
          <w:p w:rsidR="004F6377" w:rsidRPr="004F6377" w:rsidRDefault="00C0311E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18360,0</w:t>
            </w:r>
          </w:p>
        </w:tc>
        <w:tc>
          <w:tcPr>
            <w:tcW w:w="2290" w:type="dxa"/>
          </w:tcPr>
          <w:p w:rsidR="004F6377" w:rsidRPr="004F6377" w:rsidRDefault="00C0311E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40640,0</w:t>
            </w:r>
          </w:p>
        </w:tc>
        <w:tc>
          <w:tcPr>
            <w:tcW w:w="3578" w:type="dxa"/>
          </w:tcPr>
          <w:p w:rsidR="004F6377" w:rsidRPr="004F6377" w:rsidRDefault="00C0311E" w:rsidP="004F6377">
            <w:pPr>
              <w:spacing w:after="0" w:line="240" w:lineRule="auto"/>
              <w:rPr>
                <w:rFonts w:eastAsia="Times New Roman" w:cs="Times New Roman"/>
                <w:szCs w:val="28"/>
                <w:lang w:eastAsia="x-none"/>
              </w:rPr>
            </w:pPr>
            <w:r>
              <w:rPr>
                <w:rFonts w:eastAsia="Times New Roman" w:cs="Times New Roman"/>
                <w:szCs w:val="28"/>
                <w:lang w:eastAsia="x-none"/>
              </w:rPr>
              <w:t>21100,0</w:t>
            </w:r>
          </w:p>
        </w:tc>
      </w:tr>
    </w:tbl>
    <w:p w:rsidR="004F6377" w:rsidRPr="004F6377" w:rsidRDefault="004F6377" w:rsidP="004F6377">
      <w:pPr>
        <w:spacing w:after="0" w:line="240" w:lineRule="auto"/>
        <w:rPr>
          <w:rFonts w:eastAsia="Times New Roman" w:cs="Times New Roman"/>
          <w:sz w:val="24"/>
          <w:szCs w:val="24"/>
          <w:lang w:eastAsia="x-none"/>
        </w:rPr>
      </w:pPr>
    </w:p>
    <w:p w:rsidR="00D31B69" w:rsidRPr="00D31B69" w:rsidRDefault="00D31B69" w:rsidP="00D31B69">
      <w:pPr>
        <w:keepNext/>
        <w:spacing w:before="120" w:after="0" w:line="240" w:lineRule="auto"/>
        <w:jc w:val="center"/>
        <w:outlineLvl w:val="0"/>
        <w:rPr>
          <w:rFonts w:eastAsia="Times New Roman" w:cs="Times New Roman"/>
          <w:b/>
          <w:szCs w:val="20"/>
          <w:lang w:val="x-none" w:eastAsia="x-none"/>
        </w:rPr>
      </w:pPr>
      <w:r w:rsidRPr="00D31B69">
        <w:rPr>
          <w:rFonts w:eastAsia="Times New Roman" w:cs="Times New Roman"/>
          <w:b/>
          <w:szCs w:val="20"/>
          <w:lang w:val="x-none" w:eastAsia="x-none"/>
        </w:rPr>
        <w:t xml:space="preserve">Объемы и виды медицинской помощи, предоставленные населению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567"/>
        <w:gridCol w:w="850"/>
        <w:gridCol w:w="993"/>
        <w:gridCol w:w="708"/>
        <w:gridCol w:w="851"/>
        <w:gridCol w:w="1134"/>
        <w:gridCol w:w="567"/>
        <w:gridCol w:w="850"/>
        <w:gridCol w:w="993"/>
        <w:gridCol w:w="567"/>
      </w:tblGrid>
      <w:tr w:rsidR="00D31B69" w:rsidRPr="00D31B69" w:rsidTr="00DA397C">
        <w:trPr>
          <w:cantSplit/>
          <w:trHeight w:val="28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keepNext/>
              <w:spacing w:after="0" w:line="240" w:lineRule="auto"/>
              <w:ind w:right="848"/>
              <w:jc w:val="center"/>
              <w:outlineLvl w:val="3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bCs/>
                <w:szCs w:val="28"/>
                <w:lang w:eastAsia="ru-RU"/>
              </w:rPr>
              <w:t>Всего за счет областного и местных бюджетов и фонда ОМС</w:t>
            </w:r>
          </w:p>
        </w:tc>
      </w:tr>
      <w:tr w:rsidR="00D31B69" w:rsidRPr="00D31B69" w:rsidTr="00DA397C">
        <w:trPr>
          <w:cantSplit/>
          <w:trHeight w:val="86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bCs/>
                <w:szCs w:val="28"/>
                <w:lang w:eastAsia="ru-RU"/>
              </w:rPr>
              <w:t>Амбулаторно-поликлиническая  помощь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Стационарная помощь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E25E40" w:rsidP="00E25E4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Стационар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1B69">
              <w:rPr>
                <w:rFonts w:eastAsia="Times New Roman" w:cs="Times New Roman"/>
                <w:szCs w:val="28"/>
                <w:lang w:eastAsia="ru-RU"/>
              </w:rPr>
              <w:t>замещающая</w:t>
            </w:r>
            <w:r w:rsidR="00D31B69" w:rsidRPr="00D31B69">
              <w:rPr>
                <w:rFonts w:eastAsia="Times New Roman" w:cs="Times New Roman"/>
                <w:szCs w:val="28"/>
                <w:lang w:eastAsia="ru-RU"/>
              </w:rPr>
              <w:t xml:space="preserve"> помощь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Скорая  медицинская</w:t>
            </w:r>
          </w:p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помощь</w:t>
            </w:r>
          </w:p>
        </w:tc>
      </w:tr>
      <w:tr w:rsidR="00D31B69" w:rsidRPr="00D31B69" w:rsidTr="00DA397C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 xml:space="preserve">Кол-во посещений </w:t>
            </w:r>
          </w:p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на 1 жителя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Кол-во  койко-дней на 1000 человек населения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Кол-во пролеченных больных на 1000 человек населения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Default="00D31B69" w:rsidP="00D31B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 xml:space="preserve">Кол-во </w:t>
            </w:r>
          </w:p>
          <w:p w:rsidR="00D31B69" w:rsidRDefault="00D31B69" w:rsidP="00D31B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 xml:space="preserve">вызовов </w:t>
            </w:r>
            <w:proofErr w:type="gramStart"/>
            <w:r w:rsidRPr="00D31B69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D31B6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D31B69" w:rsidRDefault="00D31B69" w:rsidP="00D31B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 xml:space="preserve">1000 человек </w:t>
            </w:r>
          </w:p>
          <w:p w:rsidR="00D31B69" w:rsidRPr="00D31B69" w:rsidRDefault="00D31B69" w:rsidP="00D31B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 xml:space="preserve">населения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31B69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9366C2" w:rsidRPr="00D31B69" w:rsidTr="00DA397C">
        <w:trPr>
          <w:cantSplit/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2014</w:t>
            </w:r>
            <w:r w:rsidR="00D31B69"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2013</w:t>
            </w:r>
            <w:r w:rsidR="00D31B69"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2014</w:t>
            </w:r>
            <w:r w:rsidR="00D31B69"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2013</w:t>
            </w:r>
            <w:r w:rsidR="00D31B69"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2014</w:t>
            </w:r>
            <w:r w:rsidR="00D31B69"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2013</w:t>
            </w:r>
            <w:r w:rsidR="00D31B69"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2014</w:t>
            </w:r>
            <w:r w:rsidR="00D31B69"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C2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2013</w:t>
            </w:r>
          </w:p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31B6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D31B69" w:rsidP="00D31B6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366C2" w:rsidRPr="00D31B69" w:rsidTr="00DA397C">
        <w:trPr>
          <w:cantSplit/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468,3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69" w:rsidRPr="00D31B69" w:rsidRDefault="00BE589E" w:rsidP="00D31B6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+1</w:t>
            </w:r>
          </w:p>
        </w:tc>
      </w:tr>
    </w:tbl>
    <w:p w:rsidR="004F6377" w:rsidRDefault="004F6377" w:rsidP="00907803">
      <w:pPr>
        <w:spacing w:after="0" w:line="240" w:lineRule="auto"/>
        <w:ind w:firstLine="425"/>
        <w:jc w:val="both"/>
      </w:pPr>
    </w:p>
    <w:p w:rsidR="005F2FE2" w:rsidRDefault="00D66FBC" w:rsidP="00272A8B">
      <w:pPr>
        <w:spacing w:after="0" w:line="240" w:lineRule="auto"/>
        <w:ind w:firstLine="425"/>
        <w:jc w:val="both"/>
      </w:pPr>
      <w:r>
        <w:t>В 2014</w:t>
      </w:r>
      <w:r w:rsidR="00ED13F8">
        <w:t xml:space="preserve"> году </w:t>
      </w:r>
      <w:r w:rsidR="00ED13F8" w:rsidRPr="00ED13F8">
        <w:t>в ГБУЗ СО  «Гаринская ЦРБ» проведен</w:t>
      </w:r>
      <w:r w:rsidR="00ED13F8">
        <w:t>а</w:t>
      </w:r>
      <w:r w:rsidR="00ED13F8" w:rsidRPr="00ED13F8">
        <w:t xml:space="preserve"> диспансеризаци</w:t>
      </w:r>
      <w:r w:rsidR="00ED13F8">
        <w:t>я</w:t>
      </w:r>
      <w:r w:rsidR="00ED13F8" w:rsidRPr="00ED13F8">
        <w:t xml:space="preserve"> </w:t>
      </w:r>
      <w:r>
        <w:t>определенных групп</w:t>
      </w:r>
      <w:r w:rsidR="00ED13F8" w:rsidRPr="00ED13F8">
        <w:t xml:space="preserve"> граждан </w:t>
      </w:r>
      <w:r w:rsidR="00ED13F8">
        <w:t>в 55 предприятиях и организациях Гаринского городского округа</w:t>
      </w:r>
      <w:r w:rsidR="000A00B1">
        <w:t xml:space="preserve">. Из </w:t>
      </w:r>
      <w:r>
        <w:t>663</w:t>
      </w:r>
      <w:r w:rsidR="000A00B1">
        <w:t xml:space="preserve"> человек подлежащих диспансеризации, прошло </w:t>
      </w:r>
      <w:r>
        <w:t>145</w:t>
      </w:r>
      <w:r w:rsidR="000A00B1">
        <w:t xml:space="preserve"> человек, что составляет </w:t>
      </w:r>
      <w:r>
        <w:t>21,9</w:t>
      </w:r>
      <w:r w:rsidR="000A00B1">
        <w:t xml:space="preserve"> %.</w:t>
      </w:r>
      <w:r w:rsidR="000A00B1" w:rsidRPr="000A00B1">
        <w:t xml:space="preserve"> </w:t>
      </w:r>
    </w:p>
    <w:p w:rsidR="00272A8B" w:rsidRPr="00907803" w:rsidRDefault="000A00B1" w:rsidP="00272A8B">
      <w:pPr>
        <w:spacing w:after="0" w:line="240" w:lineRule="auto"/>
        <w:ind w:firstLine="425"/>
        <w:jc w:val="both"/>
      </w:pPr>
      <w:r>
        <w:t xml:space="preserve">    </w:t>
      </w:r>
      <w:r w:rsidR="00ED13F8" w:rsidRPr="00ED13F8">
        <w:t xml:space="preserve">                                         </w:t>
      </w:r>
    </w:p>
    <w:p w:rsidR="00C30470" w:rsidRPr="00DB36E0" w:rsidRDefault="00C30470" w:rsidP="00C30470">
      <w:pPr>
        <w:ind w:firstLine="426"/>
        <w:rPr>
          <w:b/>
        </w:rPr>
      </w:pPr>
      <w:r w:rsidRPr="00DB36E0">
        <w:rPr>
          <w:b/>
        </w:rPr>
        <w:t>1</w:t>
      </w:r>
      <w:r w:rsidR="0052415B" w:rsidRPr="00DB36E0">
        <w:rPr>
          <w:b/>
        </w:rPr>
        <w:t>5</w:t>
      </w:r>
      <w:r w:rsidRPr="00DB36E0">
        <w:rPr>
          <w:b/>
        </w:rPr>
        <w:t>.3</w:t>
      </w:r>
      <w:r w:rsidRPr="00DB36E0">
        <w:rPr>
          <w:b/>
        </w:rPr>
        <w:tab/>
        <w:t>Травматизм и гибель несовершеннолетних</w:t>
      </w:r>
    </w:p>
    <w:p w:rsidR="00DB36E0" w:rsidRPr="00AA3A8E" w:rsidRDefault="00DB36E0" w:rsidP="00DB36E0">
      <w:pPr>
        <w:spacing w:after="0" w:line="240" w:lineRule="auto"/>
        <w:ind w:firstLine="426"/>
        <w:jc w:val="both"/>
        <w:rPr>
          <w:lang w:eastAsia="ru-RU"/>
        </w:rPr>
      </w:pPr>
      <w:r>
        <w:rPr>
          <w:lang w:eastAsia="ru-RU"/>
        </w:rPr>
        <w:t xml:space="preserve">  За период 2014</w:t>
      </w:r>
      <w:r w:rsidRPr="00AA3A8E">
        <w:rPr>
          <w:lang w:eastAsia="ru-RU"/>
        </w:rPr>
        <w:t xml:space="preserve"> года в</w:t>
      </w:r>
      <w:r>
        <w:rPr>
          <w:lang w:eastAsia="ru-RU"/>
        </w:rPr>
        <w:t xml:space="preserve"> МКОУ Гаринская СОШ произошел 61 несчастный случай из них по 5 случаям составлены Акты.  В</w:t>
      </w:r>
      <w:r w:rsidRPr="00AA3A8E">
        <w:rPr>
          <w:lang w:eastAsia="ru-RU"/>
        </w:rPr>
        <w:t xml:space="preserve"> школе в процессе учебных занятий и на перемене</w:t>
      </w:r>
      <w:r>
        <w:rPr>
          <w:lang w:eastAsia="ru-RU"/>
        </w:rPr>
        <w:t xml:space="preserve"> произошел 21 несчастный случай,  40</w:t>
      </w:r>
      <w:r w:rsidRPr="00AA3A8E">
        <w:rPr>
          <w:lang w:eastAsia="ru-RU"/>
        </w:rPr>
        <w:t xml:space="preserve"> несчастных случаев составляет бытовой травматизм и уличный</w:t>
      </w:r>
      <w:r>
        <w:rPr>
          <w:lang w:eastAsia="ru-RU"/>
        </w:rPr>
        <w:t>.</w:t>
      </w:r>
    </w:p>
    <w:p w:rsidR="00DB36E0" w:rsidRPr="00AA3A8E" w:rsidRDefault="00DB36E0" w:rsidP="00DB36E0">
      <w:pPr>
        <w:spacing w:after="0" w:line="240" w:lineRule="auto"/>
        <w:ind w:firstLine="426"/>
        <w:jc w:val="both"/>
        <w:rPr>
          <w:b/>
          <w:bCs/>
          <w:lang w:eastAsia="ru-RU"/>
        </w:rPr>
      </w:pPr>
      <w:r w:rsidRPr="00AA3A8E">
        <w:rPr>
          <w:b/>
          <w:bCs/>
          <w:lang w:eastAsia="ru-RU"/>
        </w:rPr>
        <w:t>Анализ по виду травматизма</w:t>
      </w:r>
    </w:p>
    <w:p w:rsidR="00DB36E0" w:rsidRPr="00AA3A8E" w:rsidRDefault="00DB36E0" w:rsidP="00DB36E0">
      <w:pPr>
        <w:spacing w:after="0" w:line="240" w:lineRule="auto"/>
        <w:ind w:firstLine="426"/>
        <w:jc w:val="both"/>
        <w:rPr>
          <w:b/>
          <w:bCs/>
          <w:lang w:eastAsia="ru-RU"/>
        </w:rPr>
      </w:pPr>
      <w:r>
        <w:rPr>
          <w:lang w:eastAsia="ru-RU"/>
        </w:rPr>
        <w:t>В 2014</w:t>
      </w:r>
      <w:r w:rsidRPr="00AA3A8E">
        <w:rPr>
          <w:lang w:eastAsia="ru-RU"/>
        </w:rPr>
        <w:t xml:space="preserve"> году ведущее ме</w:t>
      </w:r>
      <w:r>
        <w:rPr>
          <w:lang w:eastAsia="ru-RU"/>
        </w:rPr>
        <w:t>сто занял уличный травматизм (22</w:t>
      </w:r>
      <w:r w:rsidRPr="00AA3A8E">
        <w:rPr>
          <w:lang w:eastAsia="ru-RU"/>
        </w:rPr>
        <w:t xml:space="preserve"> травм</w:t>
      </w:r>
      <w:r>
        <w:rPr>
          <w:lang w:eastAsia="ru-RU"/>
        </w:rPr>
        <w:t>ы – 36</w:t>
      </w:r>
      <w:r w:rsidRPr="00AA3A8E">
        <w:rPr>
          <w:lang w:eastAsia="ru-RU"/>
        </w:rPr>
        <w:t>%</w:t>
      </w:r>
      <w:proofErr w:type="gramStart"/>
      <w:r w:rsidRPr="00AA3A8E">
        <w:rPr>
          <w:lang w:eastAsia="ru-RU"/>
        </w:rPr>
        <w:t xml:space="preserve"> )</w:t>
      </w:r>
      <w:proofErr w:type="gramEnd"/>
      <w:r w:rsidRPr="00AA3A8E">
        <w:rPr>
          <w:lang w:eastAsia="ru-RU"/>
        </w:rPr>
        <w:t xml:space="preserve">, </w:t>
      </w:r>
      <w:r>
        <w:rPr>
          <w:lang w:eastAsia="ru-RU"/>
        </w:rPr>
        <w:t>бытовой травматизм составляет (18 травм – 30</w:t>
      </w:r>
      <w:r w:rsidRPr="00AA3A8E">
        <w:rPr>
          <w:lang w:eastAsia="ru-RU"/>
        </w:rPr>
        <w:t xml:space="preserve"> % ), на </w:t>
      </w:r>
      <w:r w:rsidRPr="00AA3A8E">
        <w:rPr>
          <w:lang w:val="en-US" w:eastAsia="ru-RU"/>
        </w:rPr>
        <w:t>III</w:t>
      </w:r>
      <w:r>
        <w:rPr>
          <w:lang w:eastAsia="ru-RU"/>
        </w:rPr>
        <w:t xml:space="preserve"> месте – школьный травматизм, перемена (11 травм – 18</w:t>
      </w:r>
      <w:r w:rsidRPr="00AA3A8E">
        <w:rPr>
          <w:lang w:eastAsia="ru-RU"/>
        </w:rPr>
        <w:t xml:space="preserve"> % ), в том </w:t>
      </w:r>
      <w:r>
        <w:rPr>
          <w:lang w:eastAsia="ru-RU"/>
        </w:rPr>
        <w:t>числе на уроках физическ</w:t>
      </w:r>
      <w:r w:rsidR="00675D82">
        <w:rPr>
          <w:lang w:eastAsia="ru-RU"/>
        </w:rPr>
        <w:t xml:space="preserve">ой культуры ( 10 травм – 16%). </w:t>
      </w:r>
      <w:r w:rsidR="00675D82">
        <w:rPr>
          <w:b/>
          <w:bCs/>
          <w:lang w:eastAsia="ru-RU"/>
        </w:rPr>
        <w:t>Н</w:t>
      </w:r>
      <w:r w:rsidRPr="00AA3A8E">
        <w:rPr>
          <w:b/>
          <w:bCs/>
          <w:lang w:eastAsia="ru-RU"/>
        </w:rPr>
        <w:t>аиболее распространен</w:t>
      </w:r>
      <w:r>
        <w:rPr>
          <w:b/>
          <w:bCs/>
          <w:lang w:eastAsia="ru-RU"/>
        </w:rPr>
        <w:t>ные места получения травм в 2014</w:t>
      </w:r>
      <w:r w:rsidRPr="00AA3A8E">
        <w:rPr>
          <w:b/>
          <w:bCs/>
          <w:lang w:eastAsia="ru-RU"/>
        </w:rPr>
        <w:t xml:space="preserve"> году:</w:t>
      </w:r>
    </w:p>
    <w:p w:rsidR="00DB36E0" w:rsidRDefault="00DB36E0" w:rsidP="00DB36E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lang w:eastAsia="ru-RU"/>
        </w:rPr>
      </w:pPr>
      <w:r w:rsidRPr="00F0320F">
        <w:rPr>
          <w:b/>
          <w:bCs/>
          <w:lang w:eastAsia="ru-RU"/>
        </w:rPr>
        <w:t>Улица</w:t>
      </w:r>
      <w:r>
        <w:rPr>
          <w:lang w:eastAsia="ru-RU"/>
        </w:rPr>
        <w:t xml:space="preserve"> - 36%;</w:t>
      </w:r>
    </w:p>
    <w:p w:rsidR="00DB36E0" w:rsidRDefault="00DB36E0" w:rsidP="00DB36E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lang w:eastAsia="ru-RU"/>
        </w:rPr>
      </w:pPr>
      <w:r w:rsidRPr="00F0320F">
        <w:rPr>
          <w:b/>
          <w:bCs/>
          <w:lang w:eastAsia="ru-RU"/>
        </w:rPr>
        <w:t>Дом</w:t>
      </w:r>
      <w:r>
        <w:rPr>
          <w:lang w:eastAsia="ru-RU"/>
        </w:rPr>
        <w:t xml:space="preserve"> - 30 %;</w:t>
      </w:r>
    </w:p>
    <w:p w:rsidR="00DB36E0" w:rsidRPr="00F0320F" w:rsidRDefault="00DB36E0" w:rsidP="00DB36E0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lang w:eastAsia="ru-RU"/>
        </w:rPr>
      </w:pPr>
      <w:r w:rsidRPr="00F0320F">
        <w:rPr>
          <w:b/>
          <w:bCs/>
          <w:lang w:eastAsia="ru-RU"/>
        </w:rPr>
        <w:t>Причины</w:t>
      </w:r>
      <w:r w:rsidRPr="00F0320F">
        <w:rPr>
          <w:lang w:eastAsia="ru-RU"/>
        </w:rPr>
        <w:t xml:space="preserve">: слабый контроль со стороны родителей, вседозволенность, отсутствие правил поведения на улице и дома, следствие грубых шалостей и опасных игр, отсутствие правил обращения с животными, </w:t>
      </w:r>
      <w:r>
        <w:rPr>
          <w:lang w:eastAsia="ru-RU"/>
        </w:rPr>
        <w:t>недостаточное знание правил по технике безопасности при работе с колющими и режущими инструментами</w:t>
      </w:r>
      <w:r w:rsidRPr="00F0320F">
        <w:rPr>
          <w:lang w:eastAsia="ru-RU"/>
        </w:rPr>
        <w:t>, несоблюдение ПДД</w:t>
      </w:r>
      <w:r>
        <w:rPr>
          <w:lang w:eastAsia="ru-RU"/>
        </w:rPr>
        <w:t>.</w:t>
      </w:r>
    </w:p>
    <w:p w:rsidR="00DB36E0" w:rsidRPr="00F0320F" w:rsidRDefault="00DB36E0" w:rsidP="00DB36E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lang w:eastAsia="ru-RU"/>
        </w:rPr>
      </w:pPr>
      <w:r w:rsidRPr="00F0320F">
        <w:rPr>
          <w:b/>
          <w:bCs/>
          <w:lang w:eastAsia="ru-RU"/>
        </w:rPr>
        <w:t>В стенах школы</w:t>
      </w:r>
      <w:r w:rsidRPr="00F0320F">
        <w:rPr>
          <w:lang w:eastAsia="ru-RU"/>
        </w:rPr>
        <w:t xml:space="preserve"> во время учебного процесса </w:t>
      </w:r>
      <w:r>
        <w:rPr>
          <w:lang w:eastAsia="ru-RU"/>
        </w:rPr>
        <w:t>и перемене: начальное звено         2 травмы - 18</w:t>
      </w:r>
      <w:r w:rsidRPr="00F0320F">
        <w:rPr>
          <w:lang w:eastAsia="ru-RU"/>
        </w:rPr>
        <w:t>%;</w:t>
      </w:r>
      <w:r>
        <w:rPr>
          <w:lang w:eastAsia="ru-RU"/>
        </w:rPr>
        <w:t xml:space="preserve"> среднее звено 7 травм -64%; старшее звено 2 травмы -</w:t>
      </w:r>
      <w:proofErr w:type="gramStart"/>
      <w:r>
        <w:rPr>
          <w:lang w:eastAsia="ru-RU"/>
        </w:rPr>
        <w:t>18</w:t>
      </w:r>
      <w:proofErr w:type="gramEnd"/>
      <w:r>
        <w:rPr>
          <w:lang w:eastAsia="ru-RU"/>
        </w:rPr>
        <w:t>% в том числе на уроке физической культуры начальное звено 2 травмы -20%; среднее звено  4 травмы -40%; старшее звено 4 травмы – 40%</w:t>
      </w:r>
    </w:p>
    <w:p w:rsidR="00DB36E0" w:rsidRPr="00F0320F" w:rsidRDefault="00DB36E0" w:rsidP="00DB36E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lang w:eastAsia="ru-RU"/>
        </w:rPr>
      </w:pPr>
      <w:r w:rsidRPr="00F0320F">
        <w:rPr>
          <w:b/>
          <w:bCs/>
          <w:lang w:eastAsia="ru-RU"/>
        </w:rPr>
        <w:t>Причины:</w:t>
      </w:r>
      <w:r>
        <w:rPr>
          <w:b/>
          <w:bCs/>
          <w:lang w:eastAsia="ru-RU"/>
        </w:rPr>
        <w:t xml:space="preserve"> </w:t>
      </w:r>
      <w:r w:rsidRPr="00F155A1">
        <w:rPr>
          <w:lang w:eastAsia="ru-RU"/>
        </w:rPr>
        <w:t>не</w:t>
      </w:r>
      <w:r>
        <w:rPr>
          <w:lang w:eastAsia="ru-RU"/>
        </w:rPr>
        <w:t xml:space="preserve">соблюдение правил поведения учащимися на переменах, уроках, вовремя игры, </w:t>
      </w:r>
      <w:r w:rsidRPr="00F155A1">
        <w:rPr>
          <w:lang w:eastAsia="ru-RU"/>
        </w:rPr>
        <w:t>недисциплинированность</w:t>
      </w:r>
      <w:r w:rsidRPr="00F0320F">
        <w:rPr>
          <w:lang w:eastAsia="ru-RU"/>
        </w:rPr>
        <w:t>,</w:t>
      </w:r>
      <w:r>
        <w:rPr>
          <w:lang w:eastAsia="ru-RU"/>
        </w:rPr>
        <w:t xml:space="preserve"> </w:t>
      </w:r>
      <w:r w:rsidRPr="00F0320F">
        <w:rPr>
          <w:lang w:eastAsia="ru-RU"/>
        </w:rPr>
        <w:t xml:space="preserve">неумение распознавать </w:t>
      </w:r>
      <w:proofErr w:type="spellStart"/>
      <w:r w:rsidRPr="00F0320F">
        <w:rPr>
          <w:lang w:eastAsia="ru-RU"/>
        </w:rPr>
        <w:t>травмоопасную</w:t>
      </w:r>
      <w:proofErr w:type="spellEnd"/>
      <w:r w:rsidRPr="00F0320F">
        <w:rPr>
          <w:lang w:eastAsia="ru-RU"/>
        </w:rPr>
        <w:t xml:space="preserve"> ситуацию,</w:t>
      </w:r>
      <w:r>
        <w:rPr>
          <w:lang w:eastAsia="ru-RU"/>
        </w:rPr>
        <w:t xml:space="preserve"> </w:t>
      </w:r>
      <w:r w:rsidRPr="00F0320F">
        <w:rPr>
          <w:lang w:eastAsia="ru-RU"/>
        </w:rPr>
        <w:t xml:space="preserve">недостаточная </w:t>
      </w:r>
      <w:proofErr w:type="spellStart"/>
      <w:r w:rsidRPr="00F0320F">
        <w:rPr>
          <w:lang w:eastAsia="ru-RU"/>
        </w:rPr>
        <w:t>обучен</w:t>
      </w:r>
      <w:r>
        <w:rPr>
          <w:lang w:eastAsia="ru-RU"/>
        </w:rPr>
        <w:t>н</w:t>
      </w:r>
      <w:r w:rsidRPr="00F0320F">
        <w:rPr>
          <w:lang w:eastAsia="ru-RU"/>
        </w:rPr>
        <w:t>ость</w:t>
      </w:r>
      <w:proofErr w:type="spellEnd"/>
      <w:r w:rsidRPr="00F0320F">
        <w:rPr>
          <w:lang w:eastAsia="ru-RU"/>
        </w:rPr>
        <w:t xml:space="preserve"> необходимым навыкам поведения,</w:t>
      </w:r>
      <w:r>
        <w:rPr>
          <w:lang w:eastAsia="ru-RU"/>
        </w:rPr>
        <w:t xml:space="preserve"> </w:t>
      </w:r>
      <w:r w:rsidRPr="00F0320F">
        <w:rPr>
          <w:lang w:eastAsia="ru-RU"/>
        </w:rPr>
        <w:t>недооценка степени опасности внезапно возникшей ситуации, физическая слабость, определенные особенности развития.</w:t>
      </w:r>
    </w:p>
    <w:p w:rsidR="00AA3A8E" w:rsidRPr="00AA3A8E" w:rsidRDefault="00AA3A8E" w:rsidP="005E7554">
      <w:pPr>
        <w:spacing w:after="0" w:line="240" w:lineRule="auto"/>
        <w:ind w:firstLine="426"/>
        <w:jc w:val="both"/>
        <w:rPr>
          <w:rFonts w:eastAsia="Times New Roman" w:cs="Times New Roman"/>
          <w:b/>
          <w:szCs w:val="28"/>
          <w:lang w:eastAsia="ru-RU"/>
        </w:rPr>
      </w:pPr>
    </w:p>
    <w:p w:rsidR="00C30470" w:rsidRPr="00DF16EC" w:rsidRDefault="0052415B" w:rsidP="00C30470">
      <w:pPr>
        <w:ind w:firstLine="426"/>
        <w:rPr>
          <w:b/>
        </w:rPr>
      </w:pPr>
      <w:r w:rsidRPr="00DF16EC">
        <w:rPr>
          <w:b/>
        </w:rPr>
        <w:t>15</w:t>
      </w:r>
      <w:r w:rsidR="00C30470" w:rsidRPr="00DF16EC">
        <w:rPr>
          <w:b/>
        </w:rPr>
        <w:t>.4</w:t>
      </w:r>
      <w:r w:rsidR="00C30470" w:rsidRPr="00DF16EC">
        <w:rPr>
          <w:b/>
        </w:rPr>
        <w:tab/>
        <w:t>Доступность и качество образования</w:t>
      </w:r>
    </w:p>
    <w:p w:rsidR="00DF16EC" w:rsidRPr="00D14320" w:rsidRDefault="00DF16EC" w:rsidP="00DF16EC">
      <w:pPr>
        <w:spacing w:after="0" w:line="240" w:lineRule="auto"/>
        <w:ind w:firstLine="425"/>
        <w:jc w:val="both"/>
      </w:pPr>
      <w:r w:rsidRPr="00D14320">
        <w:t>Расходы бюджета муниципального образования на общее образование в расчете на 1 обучающегося в 2012 году составили – 96,11 тыс. рублей, или 97,49% от уровня 2011 года,  в 2013 году – 123,7% от уровня 2012 года.</w:t>
      </w:r>
    </w:p>
    <w:p w:rsidR="00DF16EC" w:rsidRPr="00D14320" w:rsidRDefault="00DF16EC" w:rsidP="00DF16EC">
      <w:pPr>
        <w:spacing w:after="0" w:line="240" w:lineRule="auto"/>
        <w:ind w:firstLine="425"/>
        <w:jc w:val="both"/>
      </w:pPr>
      <w:r w:rsidRPr="00D14320">
        <w:t xml:space="preserve"> В 2014 году – 135,5% от уровня 2013 года. </w:t>
      </w:r>
    </w:p>
    <w:p w:rsidR="00DF16EC" w:rsidRDefault="00DF16EC" w:rsidP="00DF16EC">
      <w:pPr>
        <w:spacing w:after="0" w:line="240" w:lineRule="auto"/>
        <w:ind w:firstLine="425"/>
        <w:jc w:val="both"/>
      </w:pPr>
      <w:r w:rsidRPr="00D14320">
        <w:t>В плановом периоде ожидается рост показателя на 3-4% ежегодно. В целях оптимизации расходов бюджета муниципального образования в расчете на одного обучающегося в муниципальных общеобразовательных учреждениях будут проведены мероприятия по оптимизации численности обслуживающего персонала образовательных учреждений.</w:t>
      </w:r>
    </w:p>
    <w:p w:rsidR="00C90FFF" w:rsidRDefault="008B1494" w:rsidP="00DF16EC">
      <w:pPr>
        <w:spacing w:after="0" w:line="240" w:lineRule="auto"/>
        <w:ind w:firstLine="425"/>
        <w:jc w:val="both"/>
      </w:pPr>
      <w:r>
        <w:t>Дошкольные образовательные учреждения посещают 158 детей, учреждени</w:t>
      </w:r>
      <w:r w:rsidR="00763790">
        <w:t>я дополнительного образования ДЮСШ – 149 детей, Дом детского творчества – 248 детей.</w:t>
      </w:r>
    </w:p>
    <w:p w:rsidR="00211CEB" w:rsidRPr="00101B1F" w:rsidRDefault="00211CEB" w:rsidP="00675D82">
      <w:pPr>
        <w:spacing w:after="0" w:line="240" w:lineRule="auto"/>
        <w:ind w:firstLine="425"/>
        <w:jc w:val="both"/>
      </w:pPr>
      <w:r>
        <w:t>По состоянию на 01.01.2015 года общая численность детей в возра</w:t>
      </w:r>
      <w:r w:rsidR="00675D82">
        <w:t>сте от 0 до 7 лет составляет 287 человек,</w:t>
      </w:r>
      <w:r>
        <w:t xml:space="preserve"> в том числе 245 в </w:t>
      </w:r>
      <w:proofErr w:type="spellStart"/>
      <w:r>
        <w:t>р.п</w:t>
      </w:r>
      <w:proofErr w:type="gramStart"/>
      <w:r>
        <w:t>.Г</w:t>
      </w:r>
      <w:proofErr w:type="gramEnd"/>
      <w:r>
        <w:t>ари</w:t>
      </w:r>
      <w:proofErr w:type="spellEnd"/>
      <w:r>
        <w:t xml:space="preserve"> и 42 ребенка в сельской местности. Обеспеченность </w:t>
      </w:r>
      <w:r w:rsidR="00C90FFF">
        <w:t xml:space="preserve">местами в  дошкольных образовательных </w:t>
      </w:r>
      <w:proofErr w:type="gramStart"/>
      <w:r w:rsidR="00C90FFF">
        <w:t>учреждениях</w:t>
      </w:r>
      <w:proofErr w:type="gramEnd"/>
      <w:r w:rsidR="00C90FFF">
        <w:t xml:space="preserve"> от общего количества нуждающихся</w:t>
      </w:r>
      <w:r>
        <w:t xml:space="preserve"> </w:t>
      </w:r>
      <w:r w:rsidR="00C90FFF">
        <w:t xml:space="preserve">по состоянию на 1 января 2015 года составляет – 97%.  </w:t>
      </w:r>
      <w:r w:rsidR="00675D82">
        <w:t>Доля детей в возрасте от 1 до 6 лет, состоящих на учете для определения в муниципальные дошкольные учреждения в 2014 году составляет – 10,8%, показатель уменьшился на 2% по сравнению с 2013</w:t>
      </w:r>
      <w:r w:rsidR="00675D82" w:rsidRPr="00B22433">
        <w:t xml:space="preserve"> годом. </w:t>
      </w:r>
      <w:r w:rsidR="00C90FFF">
        <w:t xml:space="preserve">В очереди на получение мест – 5 человек. В </w:t>
      </w:r>
      <w:r w:rsidR="00675D82">
        <w:t>2015 году очередь будет закрыта.</w:t>
      </w:r>
      <w:r w:rsidR="00C90FFF">
        <w:t xml:space="preserve"> </w:t>
      </w:r>
    </w:p>
    <w:p w:rsidR="00C90FFF" w:rsidRDefault="00C90FFF" w:rsidP="00DF16EC">
      <w:pPr>
        <w:spacing w:after="0" w:line="240" w:lineRule="auto"/>
        <w:ind w:firstLine="425"/>
        <w:jc w:val="both"/>
      </w:pPr>
      <w:r>
        <w:t>Размер стоимости содержания 1 ребенка в дошкольном образовательном учреждении составляет 8000 руб. в месяц, родительская плата – 1600 рублей в месяц.</w:t>
      </w:r>
    </w:p>
    <w:p w:rsidR="00DF16EC" w:rsidRDefault="00DF16EC" w:rsidP="00DF16EC">
      <w:pPr>
        <w:spacing w:after="0" w:line="240" w:lineRule="auto"/>
        <w:ind w:firstLine="425"/>
        <w:jc w:val="both"/>
      </w:pPr>
      <w:r>
        <w:t xml:space="preserve">По итогам 2011-2014 г. г. муниципальных дошкольных образовательных учреждений, здания которых находятся в аварийном состоянии, нет. </w:t>
      </w:r>
    </w:p>
    <w:p w:rsidR="00675D82" w:rsidRDefault="00DF16EC" w:rsidP="00DF16EC">
      <w:pPr>
        <w:spacing w:after="0" w:line="240" w:lineRule="auto"/>
        <w:ind w:firstLine="425"/>
        <w:jc w:val="both"/>
      </w:pPr>
      <w:r>
        <w:t xml:space="preserve">В  2014 году был проведен капитальный ремонт кровли детского сада «Березка» сумма финансирования 1 541,043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DF16EC" w:rsidRDefault="00DF16EC" w:rsidP="00DF16EC">
      <w:pPr>
        <w:spacing w:after="0" w:line="240" w:lineRule="auto"/>
        <w:ind w:firstLine="425"/>
        <w:jc w:val="both"/>
      </w:pPr>
      <w:r>
        <w:t>Для улучшения показателя в плановом периоде  бу</w:t>
      </w:r>
      <w:r w:rsidR="00675D82">
        <w:t>дут проведены мероприятия по  замене</w:t>
      </w:r>
      <w:r>
        <w:t xml:space="preserve"> входных  уличных дверей внутри здания детского сада</w:t>
      </w:r>
      <w:r w:rsidR="00675D82">
        <w:t>,</w:t>
      </w:r>
      <w:r>
        <w:t xml:space="preserve"> сумма финансирования 1 470,0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из местного бюджета. </w:t>
      </w:r>
    </w:p>
    <w:p w:rsidR="00C90FFF" w:rsidRDefault="00C90FFF" w:rsidP="00DF16EC">
      <w:pPr>
        <w:spacing w:after="0" w:line="240" w:lineRule="auto"/>
        <w:ind w:firstLine="425"/>
        <w:jc w:val="both"/>
      </w:pPr>
      <w:r>
        <w:t>На территории Гаринского городского округа функционируют 3 общеобразовательные школы. В школах обучается 404 ученика.</w:t>
      </w:r>
    </w:p>
    <w:p w:rsidR="00DF16EC" w:rsidRDefault="00DF16EC" w:rsidP="00DF16EC">
      <w:pPr>
        <w:spacing w:after="0" w:line="240" w:lineRule="auto"/>
        <w:ind w:firstLine="425"/>
        <w:jc w:val="both"/>
      </w:pPr>
      <w:r>
        <w:t xml:space="preserve">Зданий муниципальных общеобразовательных учреждений находящихся в аварийном состоянии нет. </w:t>
      </w:r>
    </w:p>
    <w:p w:rsidR="00DF16EC" w:rsidRDefault="00DF16EC" w:rsidP="00DF16EC">
      <w:pPr>
        <w:spacing w:after="0" w:line="240" w:lineRule="auto"/>
        <w:ind w:firstLine="425"/>
        <w:jc w:val="both"/>
      </w:pPr>
      <w:r>
        <w:t>Для улучшения показателя в 2014 году проведен капитальный ремонт зданий двух муниципальных общеобразовательных учреждений в рамках областной программы «Развитие образования в Свердловской области («Наша новая школа»)</w:t>
      </w:r>
      <w:r w:rsidR="002D7D7F">
        <w:t>»</w:t>
      </w:r>
      <w:r>
        <w:t xml:space="preserve">. </w:t>
      </w:r>
    </w:p>
    <w:p w:rsidR="00DF16EC" w:rsidRDefault="00DF16EC" w:rsidP="00DF16EC">
      <w:pPr>
        <w:spacing w:after="0" w:line="240" w:lineRule="auto"/>
        <w:ind w:firstLine="425"/>
        <w:jc w:val="both"/>
      </w:pPr>
      <w:r w:rsidRPr="00135B50">
        <w:t>В 2014 году</w:t>
      </w:r>
      <w:r>
        <w:t xml:space="preserve"> проведен ремонт кровли, крыльца, замена электропроводки на 1 этаже в МКОУ Гаринская СОШ. Замена дверей в МКОУ Андрюшинская СОШ. На эти мероприятия было выделено 2 512,886,13 тыс. рублей (522,0 тыс. руб.- областной бюджет, 1 990,866,13 тыс. руб. – местный бюджет).</w:t>
      </w:r>
    </w:p>
    <w:p w:rsidR="00DF16EC" w:rsidRDefault="00DF16EC" w:rsidP="00DF16EC">
      <w:pPr>
        <w:spacing w:after="0" w:line="240" w:lineRule="auto"/>
        <w:ind w:firstLine="425"/>
        <w:jc w:val="both"/>
      </w:pPr>
      <w:r>
        <w:t xml:space="preserve">В 2015 – 2017 годах запланированы мероприятия по капитальному ремонту в  МКОУ Гаринская СОШ </w:t>
      </w:r>
      <w:r w:rsidR="00675D82">
        <w:t xml:space="preserve"> - </w:t>
      </w:r>
      <w:r>
        <w:t>замена электропроводки на 2 и 3 этажах. На эти мероприятия   выделены 752,8 тыс. руб. (82,800  тыс. руб.  областной бюджет, 670,0 тыс. руб.)</w:t>
      </w:r>
    </w:p>
    <w:p w:rsidR="00DF16EC" w:rsidRPr="002440BE" w:rsidRDefault="00675D82" w:rsidP="00DF16EC">
      <w:pPr>
        <w:spacing w:after="0" w:line="240" w:lineRule="auto"/>
        <w:ind w:firstLine="425"/>
        <w:jc w:val="both"/>
      </w:pPr>
      <w:r>
        <w:t xml:space="preserve">По итогам </w:t>
      </w:r>
      <w:r w:rsidR="00DF16EC" w:rsidRPr="00D14320">
        <w:t xml:space="preserve"> </w:t>
      </w:r>
      <w:r>
        <w:t>2014 года</w:t>
      </w:r>
      <w:r w:rsidR="00DF16EC" w:rsidRPr="00D14320">
        <w:t xml:space="preserve"> доля муниципальных общеобразовательных учреждений, соответствующих современным требованиям обучения составляет 70%.</w:t>
      </w:r>
      <w:r w:rsidR="00DF16EC" w:rsidRPr="002440BE">
        <w:t xml:space="preserve"> Необходимая работа по повышению результатов по данному показателю проводится в рамках модернизации региональной системы образования. Для этого будут проведены мероприятия по оснащению образовательных учреждений учебным оборудованием в соответствии с ФГОС основного общего образования. Запланированы мероприятия по развитию электронного обучения и дистанционных образовательных технологий. В результате проведения соответствующих меро</w:t>
      </w:r>
      <w:r>
        <w:t>приятий в  плановом периоде 2015-2017</w:t>
      </w:r>
      <w:r w:rsidR="00DF16EC" w:rsidRPr="002440BE">
        <w:t xml:space="preserve"> г. г. показатель будет составлять 100%.</w:t>
      </w:r>
    </w:p>
    <w:p w:rsidR="00DF16EC" w:rsidRDefault="00DF16EC" w:rsidP="00DF16EC">
      <w:pPr>
        <w:spacing w:after="0" w:line="240" w:lineRule="auto"/>
        <w:ind w:firstLine="425"/>
        <w:jc w:val="both"/>
      </w:pPr>
      <w:r w:rsidRPr="002440BE">
        <w:t>Из всех школ округа во вторую смену занимаются дети только в Гаринской СОШ. Доля детей, занимающихся во вторую смену составляет в  2012 году</w:t>
      </w:r>
      <w:r w:rsidR="002D7D7F">
        <w:t xml:space="preserve"> – 7,42%, </w:t>
      </w:r>
      <w:r w:rsidRPr="002440BE">
        <w:t xml:space="preserve"> уменьшение показателя на 11,38%, в 2013 г. – 13,65%, в 2014 году – 12,38 %. </w:t>
      </w:r>
      <w:r w:rsidR="002D7D7F">
        <w:t>К 2017 году прогнозируется уменьшение</w:t>
      </w:r>
      <w:r w:rsidRPr="002440BE">
        <w:t xml:space="preserve"> </w:t>
      </w:r>
      <w:r w:rsidR="00211CEB">
        <w:t xml:space="preserve">показателя </w:t>
      </w:r>
      <w:proofErr w:type="gramStart"/>
      <w:r w:rsidR="00211CEB">
        <w:t>до</w:t>
      </w:r>
      <w:proofErr w:type="gramEnd"/>
      <w:r w:rsidR="00211CEB">
        <w:t xml:space="preserve"> 11%  </w:t>
      </w:r>
      <w:proofErr w:type="gramStart"/>
      <w:r w:rsidRPr="002440BE">
        <w:t>в</w:t>
      </w:r>
      <w:proofErr w:type="gramEnd"/>
      <w:r w:rsidR="00211CEB">
        <w:t xml:space="preserve"> связи с  сокращением</w:t>
      </w:r>
      <w:r w:rsidRPr="002440BE">
        <w:t xml:space="preserve"> числа учащихся, обучающихся в общеобразовательных учреждениях. Вторая смена в Гаринской СОШ начинает занятия в 11.00 часов и заканчивает в 15.00 часов.</w:t>
      </w:r>
      <w:r w:rsidRPr="00B22433">
        <w:t xml:space="preserve"> </w:t>
      </w:r>
    </w:p>
    <w:p w:rsidR="00772FA4" w:rsidRDefault="00772FA4" w:rsidP="00772FA4">
      <w:pPr>
        <w:spacing w:after="0" w:line="240" w:lineRule="auto"/>
        <w:ind w:firstLine="425"/>
        <w:jc w:val="both"/>
      </w:pPr>
      <w:r w:rsidRPr="00B22433">
        <w:t xml:space="preserve">Доля детей в возрасте 5-18 лет, получающих услуги по дополнительному образованию постепенно увеличивается. С учетом нового законодательства (принятие федерального закона № 243-ФЗ «Об образовании в Российской Федерации») будет активно развиваться дополнительное образование на базе школ. </w:t>
      </w:r>
    </w:p>
    <w:p w:rsidR="00772FA4" w:rsidRDefault="00772FA4" w:rsidP="00772FA4">
      <w:pPr>
        <w:spacing w:after="0" w:line="240" w:lineRule="auto"/>
        <w:ind w:firstLine="425"/>
        <w:jc w:val="both"/>
      </w:pPr>
      <w:r>
        <w:t xml:space="preserve"> </w:t>
      </w:r>
      <w:r w:rsidRPr="00B22433">
        <w:t>Для повышения данного показателя предусмотрены следующие мероприятия: создание клубов различной направленности; организация и проведение учреждениями дополнительного образования творческих выставок; размещение в районной газете информации о режиме работы учреждений дополнительного образования, информации о проведении мероприятий.</w:t>
      </w:r>
    </w:p>
    <w:p w:rsidR="00DF16EC" w:rsidRDefault="00DF16EC" w:rsidP="00DF16EC">
      <w:pPr>
        <w:spacing w:after="0" w:line="240" w:lineRule="auto"/>
        <w:ind w:firstLine="425"/>
        <w:jc w:val="both"/>
      </w:pPr>
      <w:r w:rsidRPr="000E5728">
        <w:t>В 2014 году</w:t>
      </w:r>
      <w:r w:rsidRPr="00B22433">
        <w:t xml:space="preserve"> средняя номинальная заработная плата работников дошкольных образовательных </w:t>
      </w:r>
      <w:r>
        <w:t>учреждений составляет – 17263,1</w:t>
      </w:r>
      <w:r w:rsidRPr="00B22433">
        <w:t xml:space="preserve"> руб.</w:t>
      </w:r>
      <w:r>
        <w:t>, или 124,6% к уровню 2013</w:t>
      </w:r>
      <w:r w:rsidRPr="00B22433">
        <w:t xml:space="preserve"> года. </w:t>
      </w:r>
      <w:proofErr w:type="gramStart"/>
      <w:r w:rsidRPr="00B22433">
        <w:t>В предшествующем периоде р</w:t>
      </w:r>
      <w:r>
        <w:t>ост показателя составляет в 2013 году – 25,6%, в 2012 году – 37,8</w:t>
      </w:r>
      <w:r w:rsidRPr="00B22433">
        <w:t>%. В плановом периоде</w:t>
      </w:r>
      <w:r>
        <w:t xml:space="preserve"> рост показателя составит в 2015 году – 6,0%, в 2016 году – 6,0%, в 2017 году –6,0</w:t>
      </w:r>
      <w:r w:rsidRPr="00B22433">
        <w:t>%. Увеличение показателя будет проводиться в соотв</w:t>
      </w:r>
      <w:r>
        <w:t>етствии с Планом мероприятий («Дорожной карты») «Изменения в отраслях социальной сферы, направленные на повышение эффективности образования Гаринского городского округа»</w:t>
      </w:r>
      <w:r w:rsidRPr="00041CB4">
        <w:t>, утвержденным постановлением главы Гаринского</w:t>
      </w:r>
      <w:proofErr w:type="gramEnd"/>
      <w:r w:rsidRPr="00041CB4">
        <w:t xml:space="preserve"> городского округ</w:t>
      </w:r>
      <w:r>
        <w:t>а от 10.06</w:t>
      </w:r>
      <w:r w:rsidRPr="00041CB4">
        <w:t>.201</w:t>
      </w:r>
      <w:r>
        <w:t>4 г. №204</w:t>
      </w:r>
      <w:r w:rsidRPr="00041CB4">
        <w:t xml:space="preserve">. Для этого разработаны и внедрены механизмы </w:t>
      </w:r>
      <w:proofErr w:type="gramStart"/>
      <w:r w:rsidRPr="00041CB4">
        <w:t>доведения оплаты труда работников муниципальных дошкольных образовательных учреждений</w:t>
      </w:r>
      <w:proofErr w:type="gramEnd"/>
      <w:r w:rsidRPr="00041CB4">
        <w:t xml:space="preserve"> до уровня средней заработной платы в сфере общего образования  Свердловской области, спланированы дополнительные расходы бюджета на повышение оплаты труда, мониторинг уровня повышения заработной плат</w:t>
      </w:r>
      <w:r>
        <w:t>ы. На  2015 г.</w:t>
      </w:r>
      <w:r w:rsidRPr="00041CB4">
        <w:t xml:space="preserve"> предусмотрен</w:t>
      </w:r>
      <w:r>
        <w:t xml:space="preserve">о финансирование в размере 11361,1 тыс. рублей (5066,1 тыс. руб. – областной бюджет 6295,0 </w:t>
      </w:r>
      <w:r w:rsidRPr="00041CB4">
        <w:t>тыс. рублей – местный бюджет).</w:t>
      </w:r>
    </w:p>
    <w:p w:rsidR="00DF16EC" w:rsidRPr="00C33F8A" w:rsidRDefault="00DF16EC" w:rsidP="00DF16EC">
      <w:pPr>
        <w:spacing w:after="0" w:line="240" w:lineRule="auto"/>
        <w:ind w:firstLine="425"/>
        <w:jc w:val="both"/>
      </w:pPr>
      <w:proofErr w:type="gramStart"/>
      <w:r w:rsidRPr="008A3819">
        <w:t xml:space="preserve">Среднемесячная заработная плата </w:t>
      </w:r>
      <w:r w:rsidRPr="00B22433">
        <w:t>работников муниципальных общеоб</w:t>
      </w:r>
      <w:r>
        <w:t>разовательных учреждений за 2014 год составляет 25849,3</w:t>
      </w:r>
      <w:r w:rsidRPr="00B22433">
        <w:t xml:space="preserve"> руб. в месяц</w:t>
      </w:r>
      <w:r>
        <w:t>, что больше по сравнению с 2013 годом на 126,3</w:t>
      </w:r>
      <w:r w:rsidRPr="00B22433">
        <w:t>%, ув</w:t>
      </w:r>
      <w:r>
        <w:t>еличение заработной платы в 2014 году по сравнению с 2013 годом – 26,3</w:t>
      </w:r>
      <w:r w:rsidRPr="00B22433">
        <w:t>%. В плановом периоде увеличение заработной платы по отношению к пре</w:t>
      </w:r>
      <w:r>
        <w:t>дыдущему году планируется в 2015 -2017 годах – на 6</w:t>
      </w:r>
      <w:r w:rsidRPr="00B22433">
        <w:t>%. На эти цели</w:t>
      </w:r>
      <w:r>
        <w:t xml:space="preserve"> 2015г</w:t>
      </w:r>
      <w:r w:rsidRPr="00C33F8A">
        <w:rPr>
          <w:b/>
          <w:bCs/>
        </w:rPr>
        <w:t xml:space="preserve">.  </w:t>
      </w:r>
      <w:r w:rsidRPr="00C33F8A">
        <w:t>предусмотрен объем</w:t>
      </w:r>
      <w:proofErr w:type="gramEnd"/>
      <w:r w:rsidRPr="00C33F8A">
        <w:t xml:space="preserve"> финансирования в размере 38038,6 тыс. рублей (13525,6 тыс. рублей – областной бюджет, 24513,0 тыс. рублей – местный бюджет).</w:t>
      </w:r>
    </w:p>
    <w:p w:rsidR="00DF16EC" w:rsidRPr="00C33F8A" w:rsidRDefault="00DF16EC" w:rsidP="00DF16EC">
      <w:pPr>
        <w:spacing w:after="0" w:line="240" w:lineRule="auto"/>
        <w:ind w:firstLine="425"/>
        <w:jc w:val="both"/>
      </w:pPr>
      <w:r w:rsidRPr="00B22433">
        <w:t>Среднемесячная номинальная заработная плата учителей муниципальных о</w:t>
      </w:r>
      <w:r>
        <w:t>бразовательных учреждений в 2014 году составляет 35313,0руб. или 120,0%  к уровню 2013 года. В   2014</w:t>
      </w:r>
      <w:r w:rsidRPr="00B22433">
        <w:t xml:space="preserve"> году заработная</w:t>
      </w:r>
      <w:r>
        <w:t xml:space="preserve"> плата  учителей  по сравнению с 2013</w:t>
      </w:r>
      <w:r w:rsidRPr="00B22433">
        <w:t xml:space="preserve"> года</w:t>
      </w:r>
      <w:r>
        <w:t xml:space="preserve"> на 27,8%, в 2013</w:t>
      </w:r>
      <w:r w:rsidRPr="00B22433">
        <w:t xml:space="preserve"> году ув</w:t>
      </w:r>
      <w:r>
        <w:t>еличение  осталось на уровне по сравнению с 2012</w:t>
      </w:r>
      <w:r w:rsidRPr="00B22433">
        <w:t xml:space="preserve"> годом. В плановом периоде продолжится рост заработной платы в соответствии </w:t>
      </w:r>
      <w:r>
        <w:t>с Планом мероприятий («Дорожной карты») «Изменения в отраслях социальной сферы, направленные на повышение эффективности образования Гаринского городского округа»</w:t>
      </w:r>
      <w:r w:rsidRPr="00041CB4">
        <w:t>, утвержденным постановлением главы Гаринского городского округ</w:t>
      </w:r>
      <w:r>
        <w:t>а от 10.06</w:t>
      </w:r>
      <w:r w:rsidRPr="00041CB4">
        <w:t>.201</w:t>
      </w:r>
      <w:r>
        <w:t xml:space="preserve">4 г. №204. Для этого разработаны и внедрены механизмы </w:t>
      </w:r>
      <w:proofErr w:type="gramStart"/>
      <w:r>
        <w:t>доведения оплаты труда педагогических работников образовательных учреждений общего образования</w:t>
      </w:r>
      <w:proofErr w:type="gramEnd"/>
      <w:r>
        <w:t xml:space="preserve"> до уровня средней заработной платы в Свердловской области, спланированы дополнительные расходы бюджета на повышение оплаты труда, мониторинг уровня повышения заработной платы.  В 2015-2018 г. г. планируется повышение заработной платы на 20,0% . </w:t>
      </w:r>
      <w:r w:rsidRPr="00C33F8A">
        <w:t>Для этих целей в 2015 г. предусмотрен объем финансирования в размере 24513,0 тыс. рублей (24513,0 тыс. руб. - областной бюджет).</w:t>
      </w:r>
    </w:p>
    <w:p w:rsidR="00DF16EC" w:rsidRDefault="00DF16EC" w:rsidP="00DF16EC">
      <w:pPr>
        <w:spacing w:after="0" w:line="240" w:lineRule="auto"/>
        <w:ind w:firstLine="425"/>
        <w:jc w:val="both"/>
      </w:pPr>
      <w:proofErr w:type="gramStart"/>
      <w:r w:rsidRPr="004E14D4">
        <w:t>Доля выпускников муниципальных общеобразовательных учреждений, сдавших ЕГЭ по ру</w:t>
      </w:r>
      <w:r w:rsidR="00211CEB">
        <w:t>сскому языку и математике в 2011</w:t>
      </w:r>
      <w:r w:rsidRPr="004E14D4">
        <w:t xml:space="preserve"> г</w:t>
      </w:r>
      <w:r w:rsidR="00211CEB">
        <w:t>оду составила 100%. В 2012</w:t>
      </w:r>
      <w:r>
        <w:t>-2014</w:t>
      </w:r>
      <w:r w:rsidRPr="004E14D4">
        <w:t xml:space="preserve"> г. г. – 100%. В плановом периоде показатель – 100%. Для достижения планируемых значений на последующий период будут обеспечены информационные, организационно-технологические и кадровые условия организации и пр</w:t>
      </w:r>
      <w:r>
        <w:t>оведения ЕГЭ, в том числе: обес</w:t>
      </w:r>
      <w:r w:rsidRPr="004E14D4">
        <w:t xml:space="preserve">печение подготовки по всем предметам учителей - </w:t>
      </w:r>
      <w:proofErr w:type="spellStart"/>
      <w:r w:rsidRPr="004E14D4">
        <w:t>тьюторов</w:t>
      </w:r>
      <w:proofErr w:type="spellEnd"/>
      <w:r w:rsidRPr="004E14D4">
        <w:t xml:space="preserve"> и экспертов, организация их деятельности</w:t>
      </w:r>
      <w:proofErr w:type="gramEnd"/>
      <w:r w:rsidRPr="004E14D4">
        <w:t xml:space="preserve"> по методическому сопровождению других педагогов предметников; участие учащихся 9, 11 классов в тренировочных работах-аналогах ЕГЭ, организуемых Региональным центром обработки информации; организация в школах занятий, направленных на формирование навыков работы с бланками, на знание правил проведения ЕГЭ; реализация комплекса мероприятий, направленных на повышение качества образования.</w:t>
      </w:r>
    </w:p>
    <w:p w:rsidR="00DF16EC" w:rsidRDefault="00DF16EC" w:rsidP="00DF16EC">
      <w:pPr>
        <w:spacing w:after="0" w:line="240" w:lineRule="auto"/>
        <w:ind w:firstLine="425"/>
        <w:jc w:val="both"/>
      </w:pPr>
      <w:proofErr w:type="gramStart"/>
      <w:r w:rsidRPr="004E14D4">
        <w:t>Доля выпускников муниципальных общеобразовательных учреждений, не получивших аттестат о сре</w:t>
      </w:r>
      <w:r w:rsidR="00211CEB">
        <w:t>днем (полном) образовании в 2011 году – 0%, в 2012</w:t>
      </w:r>
      <w:r>
        <w:t>-2014</w:t>
      </w:r>
      <w:r w:rsidRPr="004E14D4">
        <w:t xml:space="preserve"> </w:t>
      </w:r>
      <w:proofErr w:type="spellStart"/>
      <w:r w:rsidRPr="004E14D4">
        <w:t>г.г</w:t>
      </w:r>
      <w:proofErr w:type="spellEnd"/>
      <w:r w:rsidRPr="004E14D4">
        <w:t>. – 0%. В плановом периоде этот показатель составит – 0%. Достижение планируемых значений за счет следующих мероприятий: совершенствование системы промежуточной аттестации в школе, системы оценки результатов обучения учащихся; организация профилактической работы с учащимися «группы риска»;</w:t>
      </w:r>
      <w:proofErr w:type="gramEnd"/>
      <w:r w:rsidRPr="004E14D4">
        <w:t xml:space="preserve"> организация индивидуального и дифференцированного подхода в обучении; развитие</w:t>
      </w:r>
      <w:r>
        <w:t xml:space="preserve"> методической работы, направлен</w:t>
      </w:r>
      <w:r w:rsidRPr="004E14D4">
        <w:t>ной на повышение уровня профессионализма педагогов; совершенствование системы преемственности между ступенями образования.</w:t>
      </w:r>
    </w:p>
    <w:p w:rsidR="00F41813" w:rsidRPr="008A3819" w:rsidRDefault="00F41813" w:rsidP="00DF16EC">
      <w:pPr>
        <w:spacing w:after="0" w:line="240" w:lineRule="auto"/>
        <w:jc w:val="both"/>
      </w:pPr>
    </w:p>
    <w:p w:rsidR="00C30470" w:rsidRPr="004A36EA" w:rsidRDefault="00C30470" w:rsidP="002B3E95">
      <w:pPr>
        <w:spacing w:after="0"/>
        <w:ind w:firstLine="426"/>
        <w:jc w:val="both"/>
        <w:rPr>
          <w:b/>
        </w:rPr>
      </w:pPr>
      <w:r w:rsidRPr="004A36EA">
        <w:rPr>
          <w:b/>
        </w:rPr>
        <w:t>1</w:t>
      </w:r>
      <w:r w:rsidR="0052415B">
        <w:rPr>
          <w:b/>
        </w:rPr>
        <w:t>5</w:t>
      </w:r>
      <w:r w:rsidRPr="004A36EA">
        <w:rPr>
          <w:b/>
        </w:rPr>
        <w:t>.4.1 Организация горячего питания учащихся общеобразовательных учреждений</w:t>
      </w:r>
    </w:p>
    <w:p w:rsidR="00372695" w:rsidRDefault="002B3E95" w:rsidP="00B22433">
      <w:pPr>
        <w:spacing w:line="240" w:lineRule="auto"/>
        <w:jc w:val="both"/>
        <w:rPr>
          <w:rStyle w:val="a9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 xml:space="preserve">      </w:t>
      </w:r>
      <w:r w:rsidR="00372695" w:rsidRPr="00B22433">
        <w:rPr>
          <w:rStyle w:val="a9"/>
          <w:sz w:val="28"/>
          <w:szCs w:val="28"/>
        </w:rPr>
        <w:t xml:space="preserve">В каждом </w:t>
      </w:r>
      <w:r w:rsidR="00737175" w:rsidRPr="00B22433">
        <w:rPr>
          <w:rStyle w:val="a9"/>
          <w:sz w:val="28"/>
          <w:szCs w:val="28"/>
        </w:rPr>
        <w:t xml:space="preserve">образовательном  учреждении </w:t>
      </w:r>
      <w:r w:rsidR="00372695" w:rsidRPr="00B22433">
        <w:rPr>
          <w:rStyle w:val="a9"/>
          <w:sz w:val="28"/>
          <w:szCs w:val="28"/>
        </w:rPr>
        <w:t>Гаринского городского округа разработано положение об организации школьного питания учащихся.</w:t>
      </w:r>
    </w:p>
    <w:p w:rsidR="00DF16EC" w:rsidRPr="00D46F5E" w:rsidRDefault="00DF16EC" w:rsidP="00DF16EC">
      <w:pPr>
        <w:spacing w:after="0"/>
        <w:jc w:val="both"/>
      </w:pPr>
      <w:r>
        <w:rPr>
          <w:rStyle w:val="a9"/>
          <w:sz w:val="28"/>
          <w:szCs w:val="28"/>
        </w:rPr>
        <w:t xml:space="preserve">     </w:t>
      </w:r>
      <w:r>
        <w:t xml:space="preserve"> </w:t>
      </w:r>
      <w:r w:rsidRPr="00D46F5E">
        <w:t>Основными задачами по организации питания школьников в ОУ являются:</w:t>
      </w:r>
    </w:p>
    <w:p w:rsidR="00DF16EC" w:rsidRPr="00D46F5E" w:rsidRDefault="00DF16EC" w:rsidP="00DF16EC">
      <w:pPr>
        <w:spacing w:after="0"/>
        <w:jc w:val="both"/>
      </w:pPr>
      <w:r w:rsidRPr="00D46F5E">
        <w:t>- обеспечение школьников питанием, соответствующим возрастным физиологическим потребностям;</w:t>
      </w:r>
    </w:p>
    <w:p w:rsidR="00DF16EC" w:rsidRPr="00D46F5E" w:rsidRDefault="00DF16EC" w:rsidP="00DF16EC">
      <w:pPr>
        <w:spacing w:after="0"/>
        <w:jc w:val="both"/>
      </w:pPr>
      <w:r w:rsidRPr="00D46F5E">
        <w:t>- гарантированное качество и безопасность питания и пищевых продуктов, используемых в питании;</w:t>
      </w:r>
    </w:p>
    <w:p w:rsidR="00DF16EC" w:rsidRPr="00D46F5E" w:rsidRDefault="00DF16EC" w:rsidP="00DF16EC">
      <w:pPr>
        <w:spacing w:after="0"/>
        <w:jc w:val="both"/>
      </w:pPr>
      <w:r w:rsidRPr="00D46F5E">
        <w:t>- предоставление питания учащихся на платной и льготной основе.</w:t>
      </w:r>
    </w:p>
    <w:p w:rsidR="00DF16EC" w:rsidRPr="00D46F5E" w:rsidRDefault="00DF16EC" w:rsidP="00DF16EC">
      <w:pPr>
        <w:spacing w:after="0"/>
        <w:jc w:val="both"/>
      </w:pPr>
      <w:r w:rsidRPr="00D46F5E">
        <w:t xml:space="preserve">     В школах организована постоянная информационно-просветительская работа по повышению уровня культуры питания обучающихся </w:t>
      </w:r>
      <w:r w:rsidR="008C728E">
        <w:t>в рамках учебной деятельности (</w:t>
      </w:r>
      <w:r w:rsidRPr="00D46F5E">
        <w:t>в предметном содержании учебных курсов биологии, технологии, физической культуры и внеурочных мероприятиях).</w:t>
      </w:r>
    </w:p>
    <w:p w:rsidR="00DF16EC" w:rsidRPr="00D46F5E" w:rsidRDefault="00DF16EC" w:rsidP="00DF16EC">
      <w:pPr>
        <w:spacing w:after="0"/>
        <w:jc w:val="both"/>
      </w:pPr>
      <w:r w:rsidRPr="00D46F5E">
        <w:t xml:space="preserve">    Организована работа с родителями, проводятся беседы и классные часы, посвященные вопросам роли питания.</w:t>
      </w:r>
    </w:p>
    <w:p w:rsidR="00DF16EC" w:rsidRDefault="00DF16EC" w:rsidP="00DF16EC">
      <w:pPr>
        <w:spacing w:after="0"/>
        <w:jc w:val="both"/>
      </w:pPr>
      <w:r w:rsidRPr="00D46F5E">
        <w:t xml:space="preserve">     Разработана муниципальная программа «Совершенствование организации питания учащихся в образовательных учреждениях Гаринского городского округа на 2014 -2016 </w:t>
      </w:r>
      <w:proofErr w:type="spellStart"/>
      <w:r w:rsidRPr="00D46F5E">
        <w:t>г.</w:t>
      </w:r>
      <w:proofErr w:type="gramStart"/>
      <w:r w:rsidRPr="00D46F5E">
        <w:t>г</w:t>
      </w:r>
      <w:proofErr w:type="spellEnd"/>
      <w:proofErr w:type="gramEnd"/>
      <w:r w:rsidRPr="00D46F5E">
        <w:t>.»</w:t>
      </w:r>
      <w:r>
        <w:t>.</w:t>
      </w:r>
    </w:p>
    <w:p w:rsidR="00DF16EC" w:rsidRDefault="00DF16EC" w:rsidP="00DF16EC">
      <w:pPr>
        <w:spacing w:after="0"/>
        <w:jc w:val="both"/>
      </w:pPr>
      <w:r w:rsidRPr="00D46F5E">
        <w:t xml:space="preserve">          </w:t>
      </w:r>
      <w:r>
        <w:t>Результаты, которые предполагаются достичь в ходе выполнения муниципальной программы:</w:t>
      </w:r>
    </w:p>
    <w:p w:rsidR="00DF16EC" w:rsidRDefault="00DF16EC" w:rsidP="00DF16EC">
      <w:pPr>
        <w:numPr>
          <w:ilvl w:val="0"/>
          <w:numId w:val="17"/>
        </w:numPr>
        <w:spacing w:after="0"/>
        <w:jc w:val="both"/>
      </w:pPr>
      <w:r>
        <w:t>Обеспечение горячим питанием 98 % учащихся в общеобразовательных учреждениях Гаринского городского округа.</w:t>
      </w:r>
    </w:p>
    <w:p w:rsidR="00DF16EC" w:rsidRDefault="00DF16EC" w:rsidP="00DF16EC">
      <w:pPr>
        <w:numPr>
          <w:ilvl w:val="0"/>
          <w:numId w:val="17"/>
        </w:numPr>
        <w:spacing w:after="0"/>
        <w:jc w:val="both"/>
      </w:pPr>
      <w:r>
        <w:t>Оснащение столовых общеобразовательных учреждений инвентарем, посудой, специализированной мебелью.</w:t>
      </w:r>
    </w:p>
    <w:p w:rsidR="00DF16EC" w:rsidRDefault="00DF16EC" w:rsidP="00DF16EC">
      <w:pPr>
        <w:numPr>
          <w:ilvl w:val="0"/>
          <w:numId w:val="17"/>
        </w:numPr>
        <w:spacing w:after="0"/>
        <w:jc w:val="both"/>
      </w:pPr>
      <w:r>
        <w:t>Повышение квалификации специалистов, занятых в системе детского питания общеобразовательных учреждений Гаринского городского округа.</w:t>
      </w:r>
    </w:p>
    <w:p w:rsidR="00DF16EC" w:rsidRPr="00D46F5E" w:rsidRDefault="00DF16EC" w:rsidP="00DF16EC">
      <w:pPr>
        <w:spacing w:after="0"/>
        <w:jc w:val="both"/>
      </w:pPr>
      <w:r w:rsidRPr="00D46F5E">
        <w:t xml:space="preserve">    В каждом ОУ проводятся мероприятия по обеспечению санитарно-эпидемиологического благополучия учащихся; по предупреждению заболеваемости, связанных с дефицитом микронутриентов.</w:t>
      </w:r>
    </w:p>
    <w:p w:rsidR="00DF16EC" w:rsidRPr="00D46F5E" w:rsidRDefault="00DF16EC" w:rsidP="00DF16EC">
      <w:pPr>
        <w:spacing w:after="0"/>
        <w:jc w:val="both"/>
      </w:pPr>
      <w:r w:rsidRPr="00D46F5E">
        <w:t xml:space="preserve">    С учетом возраста обучающихся в примерном меню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 Производство готовых блюд осуществляется в соответствии с технологическими  картами, в которых отражена рецептура и технология приготавливаемых блюд и кулинарных изделий.</w:t>
      </w:r>
    </w:p>
    <w:p w:rsidR="00DF16EC" w:rsidRPr="00D46F5E" w:rsidRDefault="00DF16EC" w:rsidP="00DF16EC">
      <w:pPr>
        <w:spacing w:after="0"/>
        <w:jc w:val="both"/>
      </w:pPr>
      <w:r w:rsidRPr="00D46F5E">
        <w:t xml:space="preserve">    Ежедневно в обеденном зале вывешивают, утвержденное руководителем образовательного учреждения, меню, в котором указываются сведения об объёмах блюд и названия кулинарных изделий.</w:t>
      </w:r>
    </w:p>
    <w:p w:rsidR="00DF16EC" w:rsidRPr="00D46F5E" w:rsidRDefault="00DF16EC" w:rsidP="00DF16EC">
      <w:pPr>
        <w:spacing w:after="0"/>
        <w:jc w:val="both"/>
      </w:pPr>
      <w:r w:rsidRPr="00D46F5E">
        <w:t xml:space="preserve">    К работе допускаются лица, имеющие соответствующую профессиональную квалификацию, имеющие личные медицинские книжки и прививочный сертификат.</w:t>
      </w:r>
    </w:p>
    <w:p w:rsidR="00DF16EC" w:rsidRPr="00D46F5E" w:rsidRDefault="00DF16EC" w:rsidP="00DF16EC">
      <w:pPr>
        <w:spacing w:after="0"/>
        <w:jc w:val="both"/>
      </w:pPr>
      <w:r w:rsidRPr="00D46F5E">
        <w:t xml:space="preserve">   Медицинский работник следит за организацией питания в ОУ, в том числе за качеством поступающих продуктов, правильностью закладки продуктов и приготовлением готовой пищи.</w:t>
      </w:r>
    </w:p>
    <w:p w:rsidR="000976BA" w:rsidRDefault="00DF16EC" w:rsidP="00DF16EC">
      <w:pPr>
        <w:spacing w:after="0"/>
        <w:jc w:val="both"/>
      </w:pPr>
      <w:r w:rsidRPr="00D46F5E">
        <w:t xml:space="preserve">     Во всех ОУ </w:t>
      </w:r>
      <w:r>
        <w:t xml:space="preserve">Гаринского городского округа </w:t>
      </w:r>
      <w:r w:rsidRPr="00D46F5E">
        <w:t>организована работа по охвату горячим питанием учащихся, который составляет 98 %.</w:t>
      </w:r>
    </w:p>
    <w:p w:rsidR="00DF16EC" w:rsidRPr="00DF16EC" w:rsidRDefault="00DF16EC" w:rsidP="00DF16EC">
      <w:pPr>
        <w:spacing w:after="0"/>
        <w:jc w:val="both"/>
      </w:pPr>
    </w:p>
    <w:p w:rsidR="00C30470" w:rsidRPr="00FF74A5" w:rsidRDefault="00C30470" w:rsidP="00FF74A5">
      <w:pPr>
        <w:ind w:firstLine="426"/>
        <w:jc w:val="both"/>
        <w:rPr>
          <w:b/>
        </w:rPr>
      </w:pPr>
      <w:r w:rsidRPr="00FF74A5">
        <w:rPr>
          <w:b/>
        </w:rPr>
        <w:t>1</w:t>
      </w:r>
      <w:r w:rsidR="0052415B">
        <w:rPr>
          <w:b/>
        </w:rPr>
        <w:t>5</w:t>
      </w:r>
      <w:r w:rsidRPr="00FF74A5">
        <w:rPr>
          <w:b/>
        </w:rPr>
        <w:t>.4.2</w:t>
      </w:r>
      <w:r w:rsidRPr="00FF74A5">
        <w:rPr>
          <w:b/>
        </w:rPr>
        <w:tab/>
        <w:t>Летний отдых, оздоровление и трудоустройство детей и подростков</w:t>
      </w:r>
    </w:p>
    <w:p w:rsidR="00DF16EC" w:rsidRPr="00A556B8" w:rsidRDefault="00DF16EC" w:rsidP="00DF16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pacing w:val="1"/>
          <w:lang w:eastAsia="ru-RU"/>
        </w:rPr>
      </w:pPr>
      <w:r>
        <w:rPr>
          <w:rFonts w:eastAsia="Times New Roman" w:cs="Times New Roman"/>
          <w:spacing w:val="1"/>
          <w:szCs w:val="28"/>
          <w:lang w:eastAsia="ru-RU"/>
        </w:rPr>
        <w:t xml:space="preserve">       </w:t>
      </w:r>
      <w:r>
        <w:rPr>
          <w:spacing w:val="1"/>
          <w:lang w:eastAsia="ru-RU"/>
        </w:rPr>
        <w:t>Количество</w:t>
      </w:r>
      <w:r w:rsidRPr="00EB1F8D">
        <w:rPr>
          <w:spacing w:val="1"/>
          <w:lang w:eastAsia="ru-RU"/>
        </w:rPr>
        <w:t xml:space="preserve"> учащих</w:t>
      </w:r>
      <w:r>
        <w:rPr>
          <w:spacing w:val="1"/>
          <w:lang w:eastAsia="ru-RU"/>
        </w:rPr>
        <w:t xml:space="preserve">ся в возрасте от 7 до 17 лет -  </w:t>
      </w:r>
      <w:r>
        <w:rPr>
          <w:spacing w:val="5"/>
          <w:lang w:eastAsia="ru-RU"/>
        </w:rPr>
        <w:t xml:space="preserve">504 </w:t>
      </w:r>
      <w:r>
        <w:rPr>
          <w:spacing w:val="1"/>
          <w:lang w:eastAsia="ru-RU"/>
        </w:rPr>
        <w:t xml:space="preserve">человека, </w:t>
      </w:r>
      <w:r w:rsidRPr="00B22433">
        <w:rPr>
          <w:spacing w:val="5"/>
          <w:lang w:eastAsia="ru-RU"/>
        </w:rPr>
        <w:t xml:space="preserve">охвачено </w:t>
      </w:r>
      <w:r>
        <w:rPr>
          <w:spacing w:val="5"/>
          <w:lang w:eastAsia="ru-RU"/>
        </w:rPr>
        <w:t xml:space="preserve">летним отдыхом </w:t>
      </w:r>
      <w:r w:rsidRPr="00EB1F8D">
        <w:rPr>
          <w:spacing w:val="1"/>
          <w:lang w:eastAsia="ru-RU"/>
        </w:rPr>
        <w:t>458</w:t>
      </w:r>
      <w:r>
        <w:rPr>
          <w:spacing w:val="5"/>
          <w:lang w:eastAsia="ru-RU"/>
        </w:rPr>
        <w:t xml:space="preserve"> детей.</w:t>
      </w:r>
    </w:p>
    <w:p w:rsidR="00DF16EC" w:rsidRPr="00B22433" w:rsidRDefault="00DF16EC" w:rsidP="00DF16EC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22433">
        <w:rPr>
          <w:lang w:eastAsia="ru-RU"/>
        </w:rPr>
        <w:tab/>
        <w:t>В</w:t>
      </w:r>
      <w:r w:rsidRPr="00B22433">
        <w:rPr>
          <w:spacing w:val="2"/>
          <w:lang w:eastAsia="ru-RU"/>
        </w:rPr>
        <w:t xml:space="preserve"> лагерях с дневным пребыванием</w:t>
      </w:r>
      <w:r>
        <w:rPr>
          <w:spacing w:val="2"/>
          <w:lang w:eastAsia="ru-RU"/>
        </w:rPr>
        <w:t xml:space="preserve"> детей </w:t>
      </w:r>
      <w:r w:rsidRPr="00B22433">
        <w:rPr>
          <w:spacing w:val="2"/>
          <w:lang w:eastAsia="ru-RU"/>
        </w:rPr>
        <w:t xml:space="preserve"> </w:t>
      </w:r>
      <w:r w:rsidR="008C728E">
        <w:rPr>
          <w:spacing w:val="2"/>
          <w:lang w:eastAsia="ru-RU"/>
        </w:rPr>
        <w:t xml:space="preserve">в 2014 году </w:t>
      </w:r>
      <w:r w:rsidRPr="00B22433">
        <w:rPr>
          <w:spacing w:val="2"/>
          <w:lang w:eastAsia="ru-RU"/>
        </w:rPr>
        <w:t xml:space="preserve">оздоровлено </w:t>
      </w:r>
      <w:r w:rsidRPr="00B22433">
        <w:rPr>
          <w:spacing w:val="1"/>
          <w:lang w:eastAsia="ru-RU"/>
        </w:rPr>
        <w:t>2</w:t>
      </w:r>
      <w:r>
        <w:rPr>
          <w:spacing w:val="1"/>
          <w:lang w:eastAsia="ru-RU"/>
        </w:rPr>
        <w:t>65</w:t>
      </w:r>
      <w:r w:rsidRPr="00B22433">
        <w:rPr>
          <w:spacing w:val="1"/>
          <w:lang w:eastAsia="ru-RU"/>
        </w:rPr>
        <w:t xml:space="preserve"> человек</w:t>
      </w:r>
      <w:r>
        <w:rPr>
          <w:spacing w:val="1"/>
          <w:lang w:eastAsia="ru-RU"/>
        </w:rPr>
        <w:t>, что на 12 человек больше, чем в 2013 году.</w:t>
      </w:r>
    </w:p>
    <w:p w:rsidR="00DF16EC" w:rsidRPr="00B22433" w:rsidRDefault="00DF16EC" w:rsidP="00DF16E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22433">
        <w:rPr>
          <w:spacing w:val="1"/>
          <w:lang w:eastAsia="ru-RU"/>
        </w:rPr>
        <w:tab/>
        <w:t>В</w:t>
      </w:r>
      <w:r>
        <w:rPr>
          <w:spacing w:val="1"/>
          <w:lang w:eastAsia="ru-RU"/>
        </w:rPr>
        <w:t xml:space="preserve"> санаториях </w:t>
      </w:r>
      <w:r w:rsidRPr="00B22433">
        <w:rPr>
          <w:spacing w:val="1"/>
          <w:lang w:eastAsia="ru-RU"/>
        </w:rPr>
        <w:t>о</w:t>
      </w:r>
      <w:r>
        <w:rPr>
          <w:spacing w:val="1"/>
          <w:lang w:eastAsia="ru-RU"/>
        </w:rPr>
        <w:t>здоровлено 30 детей,</w:t>
      </w:r>
      <w:r w:rsidRPr="00B22433">
        <w:rPr>
          <w:spacing w:val="1"/>
          <w:lang w:eastAsia="ru-RU"/>
        </w:rPr>
        <w:t xml:space="preserve"> из</w:t>
      </w:r>
      <w:r>
        <w:rPr>
          <w:spacing w:val="1"/>
          <w:lang w:eastAsia="ru-RU"/>
        </w:rPr>
        <w:t xml:space="preserve"> </w:t>
      </w:r>
      <w:r w:rsidRPr="00B22433">
        <w:rPr>
          <w:spacing w:val="9"/>
          <w:lang w:eastAsia="ru-RU"/>
        </w:rPr>
        <w:t>них поездом</w:t>
      </w:r>
      <w:r>
        <w:rPr>
          <w:spacing w:val="9"/>
          <w:lang w:eastAsia="ru-RU"/>
        </w:rPr>
        <w:t xml:space="preserve"> </w:t>
      </w:r>
      <w:r w:rsidRPr="00B22433">
        <w:rPr>
          <w:spacing w:val="9"/>
          <w:lang w:eastAsia="ru-RU"/>
        </w:rPr>
        <w:t>«</w:t>
      </w:r>
      <w:r>
        <w:rPr>
          <w:spacing w:val="9"/>
          <w:lang w:eastAsia="ru-RU"/>
        </w:rPr>
        <w:t>Здоровье» оздоровлено 20 детей</w:t>
      </w:r>
      <w:r>
        <w:rPr>
          <w:spacing w:val="-2"/>
          <w:lang w:eastAsia="ru-RU"/>
        </w:rPr>
        <w:t>.</w:t>
      </w:r>
    </w:p>
    <w:p w:rsidR="00DF16EC" w:rsidRPr="00B22433" w:rsidRDefault="00DF16EC" w:rsidP="00DF16E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22433">
        <w:rPr>
          <w:spacing w:val="2"/>
          <w:lang w:eastAsia="ru-RU"/>
        </w:rPr>
        <w:tab/>
        <w:t>Загородными   лаге</w:t>
      </w:r>
      <w:r>
        <w:rPr>
          <w:spacing w:val="2"/>
          <w:lang w:eastAsia="ru-RU"/>
        </w:rPr>
        <w:t>рями  охвачено 18 детей.</w:t>
      </w:r>
    </w:p>
    <w:p w:rsidR="00DF16EC" w:rsidRPr="00B22433" w:rsidRDefault="00DF16EC" w:rsidP="00DF16E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22433">
        <w:rPr>
          <w:spacing w:val="2"/>
          <w:lang w:eastAsia="ru-RU"/>
        </w:rPr>
        <w:tab/>
      </w:r>
      <w:proofErr w:type="spellStart"/>
      <w:r w:rsidRPr="00B22433">
        <w:rPr>
          <w:spacing w:val="2"/>
          <w:lang w:eastAsia="ru-RU"/>
        </w:rPr>
        <w:t>Малозатратными</w:t>
      </w:r>
      <w:proofErr w:type="spellEnd"/>
      <w:r w:rsidRPr="00B22433">
        <w:rPr>
          <w:spacing w:val="2"/>
          <w:lang w:eastAsia="ru-RU"/>
        </w:rPr>
        <w:t xml:space="preserve"> форма</w:t>
      </w:r>
      <w:r>
        <w:rPr>
          <w:spacing w:val="2"/>
          <w:lang w:eastAsia="ru-RU"/>
        </w:rPr>
        <w:t xml:space="preserve">ми отдыха  охвачен </w:t>
      </w:r>
      <w:r>
        <w:rPr>
          <w:spacing w:val="-1"/>
          <w:lang w:eastAsia="ru-RU"/>
        </w:rPr>
        <w:t>191 ребенок, что больше на 50 детей</w:t>
      </w:r>
      <w:r w:rsidRPr="00B22433">
        <w:rPr>
          <w:spacing w:val="-1"/>
          <w:lang w:eastAsia="ru-RU"/>
        </w:rPr>
        <w:t>,</w:t>
      </w:r>
      <w:r>
        <w:rPr>
          <w:spacing w:val="-1"/>
          <w:lang w:eastAsia="ru-RU"/>
        </w:rPr>
        <w:t xml:space="preserve"> чем в 2013 году</w:t>
      </w:r>
      <w:r w:rsidRPr="00B22433">
        <w:rPr>
          <w:spacing w:val="-1"/>
          <w:lang w:eastAsia="ru-RU"/>
        </w:rPr>
        <w:t>.</w:t>
      </w:r>
    </w:p>
    <w:p w:rsidR="00DF16EC" w:rsidRPr="00B22433" w:rsidRDefault="00DF16EC" w:rsidP="00DF16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lang w:eastAsia="ru-RU"/>
        </w:rPr>
      </w:pPr>
      <w:r w:rsidRPr="00B22433">
        <w:rPr>
          <w:b/>
          <w:bCs/>
          <w:spacing w:val="-4"/>
          <w:lang w:eastAsia="ru-RU"/>
        </w:rPr>
        <w:t xml:space="preserve">Лагеря с дневным пребыванием детей </w:t>
      </w:r>
      <w:r w:rsidRPr="00B22433">
        <w:rPr>
          <w:spacing w:val="-4"/>
          <w:lang w:eastAsia="ru-RU"/>
        </w:rPr>
        <w:t xml:space="preserve">работали на базе </w:t>
      </w:r>
      <w:r>
        <w:rPr>
          <w:spacing w:val="-4"/>
          <w:lang w:eastAsia="ru-RU"/>
        </w:rPr>
        <w:t>3</w:t>
      </w:r>
      <w:r w:rsidRPr="00B22433">
        <w:rPr>
          <w:spacing w:val="-4"/>
          <w:lang w:eastAsia="ru-RU"/>
        </w:rPr>
        <w:t xml:space="preserve"> общеобразовательных </w:t>
      </w:r>
      <w:r>
        <w:rPr>
          <w:spacing w:val="-1"/>
          <w:lang w:eastAsia="ru-RU"/>
        </w:rPr>
        <w:t>школ с охватом 265 человек</w:t>
      </w:r>
      <w:r w:rsidRPr="00B22433">
        <w:rPr>
          <w:spacing w:val="-1"/>
          <w:lang w:eastAsia="ru-RU"/>
        </w:rPr>
        <w:t>, из них в Гаринской СОШ - 1</w:t>
      </w:r>
      <w:r>
        <w:rPr>
          <w:spacing w:val="-1"/>
          <w:lang w:eastAsia="ru-RU"/>
        </w:rPr>
        <w:t>89</w:t>
      </w:r>
      <w:r w:rsidRPr="00B22433">
        <w:rPr>
          <w:spacing w:val="-1"/>
          <w:lang w:eastAsia="ru-RU"/>
        </w:rPr>
        <w:t xml:space="preserve"> человек, Андрюшинской</w:t>
      </w:r>
      <w:r>
        <w:rPr>
          <w:spacing w:val="-1"/>
          <w:lang w:eastAsia="ru-RU"/>
        </w:rPr>
        <w:t xml:space="preserve"> </w:t>
      </w:r>
      <w:r w:rsidRPr="00B22433">
        <w:rPr>
          <w:spacing w:val="-5"/>
          <w:lang w:eastAsia="ru-RU"/>
        </w:rPr>
        <w:t>СОШ - 3</w:t>
      </w:r>
      <w:r>
        <w:rPr>
          <w:spacing w:val="-5"/>
          <w:lang w:eastAsia="ru-RU"/>
        </w:rPr>
        <w:t>4ребенка</w:t>
      </w:r>
      <w:r w:rsidRPr="00B22433">
        <w:rPr>
          <w:spacing w:val="-5"/>
          <w:lang w:eastAsia="ru-RU"/>
        </w:rPr>
        <w:t xml:space="preserve">,   </w:t>
      </w:r>
      <w:proofErr w:type="spellStart"/>
      <w:r w:rsidRPr="00B22433">
        <w:rPr>
          <w:spacing w:val="-5"/>
          <w:lang w:eastAsia="ru-RU"/>
        </w:rPr>
        <w:t>Пуксинской</w:t>
      </w:r>
      <w:proofErr w:type="spellEnd"/>
      <w:r w:rsidRPr="00B22433">
        <w:rPr>
          <w:spacing w:val="-5"/>
          <w:lang w:eastAsia="ru-RU"/>
        </w:rPr>
        <w:t xml:space="preserve"> СОШ - </w:t>
      </w:r>
      <w:r>
        <w:rPr>
          <w:spacing w:val="-5"/>
          <w:lang w:eastAsia="ru-RU"/>
        </w:rPr>
        <w:t xml:space="preserve">15 человек, </w:t>
      </w:r>
      <w:r w:rsidRPr="00B22433">
        <w:rPr>
          <w:spacing w:val="-5"/>
          <w:lang w:eastAsia="ru-RU"/>
        </w:rPr>
        <w:t xml:space="preserve">МКОУ </w:t>
      </w:r>
      <w:r>
        <w:rPr>
          <w:spacing w:val="-5"/>
          <w:lang w:eastAsia="ru-RU"/>
        </w:rPr>
        <w:t>ДОД Дом детского творчества- 24 человека (вторая смена на базе МКОУ Гаринская СОШ)</w:t>
      </w:r>
      <w:r w:rsidRPr="00B22433">
        <w:rPr>
          <w:spacing w:val="-5"/>
          <w:lang w:eastAsia="ru-RU"/>
        </w:rPr>
        <w:t>.</w:t>
      </w:r>
    </w:p>
    <w:p w:rsidR="00DF16EC" w:rsidRPr="00B22433" w:rsidRDefault="00DF16EC" w:rsidP="00DF16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lang w:eastAsia="ru-RU"/>
        </w:rPr>
      </w:pPr>
      <w:r w:rsidRPr="00B22433">
        <w:rPr>
          <w:b/>
          <w:bCs/>
          <w:spacing w:val="4"/>
          <w:lang w:eastAsia="ru-RU"/>
        </w:rPr>
        <w:t>Трудовая занятость несовершеннолетних подростков:</w:t>
      </w:r>
    </w:p>
    <w:p w:rsidR="00DF16EC" w:rsidRPr="00B22433" w:rsidRDefault="00DF16EC" w:rsidP="00DF16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B22433">
        <w:rPr>
          <w:lang w:eastAsia="ru-RU"/>
        </w:rPr>
        <w:t xml:space="preserve">Трудовая занятость несовершеннолетних была организована в образовательных </w:t>
      </w:r>
      <w:r w:rsidRPr="00B22433">
        <w:rPr>
          <w:spacing w:val="-1"/>
          <w:lang w:eastAsia="ru-RU"/>
        </w:rPr>
        <w:t>учреждениях по ремонту школ, работе н</w:t>
      </w:r>
      <w:r>
        <w:rPr>
          <w:spacing w:val="-1"/>
          <w:lang w:eastAsia="ru-RU"/>
        </w:rPr>
        <w:t>а пришкольном участке, охвачено 62</w:t>
      </w:r>
      <w:r w:rsidRPr="00B22433">
        <w:rPr>
          <w:spacing w:val="-1"/>
          <w:lang w:eastAsia="ru-RU"/>
        </w:rPr>
        <w:t xml:space="preserve"> подростка.</w:t>
      </w:r>
    </w:p>
    <w:p w:rsidR="00C71292" w:rsidRPr="00DF16EC" w:rsidRDefault="00A556B8" w:rsidP="00DF16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1"/>
          <w:szCs w:val="28"/>
          <w:lang w:eastAsia="ru-RU"/>
        </w:rPr>
      </w:pPr>
      <w:r>
        <w:rPr>
          <w:rFonts w:eastAsia="Times New Roman" w:cs="Times New Roman"/>
          <w:spacing w:val="1"/>
          <w:szCs w:val="28"/>
          <w:lang w:eastAsia="ru-RU"/>
        </w:rPr>
        <w:tab/>
      </w:r>
    </w:p>
    <w:p w:rsidR="00763790" w:rsidRPr="00B8254A" w:rsidRDefault="00C30470" w:rsidP="00763790">
      <w:pPr>
        <w:ind w:firstLine="426"/>
        <w:rPr>
          <w:b/>
        </w:rPr>
      </w:pPr>
      <w:r w:rsidRPr="00B22433">
        <w:rPr>
          <w:b/>
        </w:rPr>
        <w:t>1</w:t>
      </w:r>
      <w:r w:rsidR="0052415B" w:rsidRPr="00B22433">
        <w:rPr>
          <w:b/>
        </w:rPr>
        <w:t>5</w:t>
      </w:r>
      <w:r w:rsidRPr="00B22433">
        <w:rPr>
          <w:b/>
        </w:rPr>
        <w:t>.</w:t>
      </w:r>
      <w:r w:rsidR="00823907" w:rsidRPr="00B22433">
        <w:rPr>
          <w:b/>
        </w:rPr>
        <w:t>5</w:t>
      </w:r>
      <w:r w:rsidRPr="00B22433">
        <w:rPr>
          <w:b/>
        </w:rPr>
        <w:tab/>
      </w:r>
      <w:r w:rsidR="00763790" w:rsidRPr="00B8254A">
        <w:rPr>
          <w:b/>
        </w:rPr>
        <w:t>Культура</w:t>
      </w:r>
    </w:p>
    <w:p w:rsidR="000D276D" w:rsidRDefault="00431AC5" w:rsidP="00431AC5">
      <w:pPr>
        <w:spacing w:after="0" w:line="240" w:lineRule="auto"/>
        <w:ind w:firstLine="425"/>
        <w:jc w:val="both"/>
      </w:pPr>
      <w:r w:rsidRPr="00B22433">
        <w:t xml:space="preserve">Уровень фактической обеспеченности клубами и учреждениями клубного типа от нормативной потребности – </w:t>
      </w:r>
      <w:r w:rsidR="0055347B" w:rsidRPr="00B22433">
        <w:t>92,3</w:t>
      </w:r>
      <w:r w:rsidRPr="00B22433">
        <w:t xml:space="preserve">%. </w:t>
      </w:r>
    </w:p>
    <w:p w:rsidR="000D276D" w:rsidRDefault="000D276D" w:rsidP="00431AC5">
      <w:pPr>
        <w:spacing w:after="0" w:line="240" w:lineRule="auto"/>
        <w:ind w:firstLine="425"/>
        <w:jc w:val="both"/>
      </w:pPr>
      <w:r>
        <w:t xml:space="preserve"> </w:t>
      </w:r>
      <w:r w:rsidR="00431AC5" w:rsidRPr="00B22433">
        <w:t xml:space="preserve">Для </w:t>
      </w:r>
      <w:r w:rsidR="0055347B" w:rsidRPr="00B22433">
        <w:t xml:space="preserve">повышения </w:t>
      </w:r>
      <w:r w:rsidR="00431AC5" w:rsidRPr="00B22433">
        <w:t xml:space="preserve">показателя в плановом периоде предусмотрено проведение работ по капитальному и текущему ремонту зданий клубов, проведение мероприятий направленных на модернизацию материально-технической базы учреждений культуры. </w:t>
      </w:r>
    </w:p>
    <w:p w:rsidR="000D276D" w:rsidRDefault="00F949CF" w:rsidP="00431AC5">
      <w:pPr>
        <w:spacing w:after="0" w:line="240" w:lineRule="auto"/>
        <w:ind w:firstLine="425"/>
        <w:jc w:val="both"/>
      </w:pPr>
      <w:r>
        <w:t>На 2015</w:t>
      </w:r>
      <w:r w:rsidR="00431AC5" w:rsidRPr="00B22433">
        <w:t xml:space="preserve">-2016 </w:t>
      </w:r>
      <w:proofErr w:type="spellStart"/>
      <w:r w:rsidR="00431AC5" w:rsidRPr="00B22433">
        <w:t>г.г</w:t>
      </w:r>
      <w:proofErr w:type="spellEnd"/>
      <w:r w:rsidR="00431AC5" w:rsidRPr="00B22433">
        <w:t xml:space="preserve">. запланировано строительство Дома культуры на 150 мест в р. п. Гари. </w:t>
      </w:r>
    </w:p>
    <w:p w:rsidR="000D276D" w:rsidRDefault="000602AC" w:rsidP="000602AC">
      <w:pPr>
        <w:spacing w:after="0" w:line="240" w:lineRule="auto"/>
        <w:ind w:firstLine="425"/>
        <w:jc w:val="both"/>
      </w:pPr>
      <w:r w:rsidRPr="00B22433">
        <w:t>Уровень фактической об</w:t>
      </w:r>
      <w:r w:rsidR="00874CAD">
        <w:t xml:space="preserve">еспеченности библиотеками в </w:t>
      </w:r>
      <w:r w:rsidRPr="00B22433">
        <w:t xml:space="preserve"> 2012, 2013</w:t>
      </w:r>
      <w:r w:rsidR="00F949CF">
        <w:t>, 2014</w:t>
      </w:r>
      <w:r w:rsidRPr="00B22433">
        <w:t xml:space="preserve"> годах – 100% от нормативной потребности. </w:t>
      </w:r>
    </w:p>
    <w:p w:rsidR="000D276D" w:rsidRDefault="000602AC" w:rsidP="000602AC">
      <w:pPr>
        <w:spacing w:after="0" w:line="240" w:lineRule="auto"/>
        <w:ind w:firstLine="425"/>
        <w:jc w:val="both"/>
      </w:pPr>
      <w:r w:rsidRPr="00B22433">
        <w:t xml:space="preserve">В плановом периоде показатель останется на прежнем уровне. </w:t>
      </w:r>
    </w:p>
    <w:p w:rsidR="000602AC" w:rsidRDefault="000602AC" w:rsidP="000602AC">
      <w:pPr>
        <w:spacing w:after="0" w:line="240" w:lineRule="auto"/>
        <w:ind w:firstLine="425"/>
        <w:jc w:val="both"/>
      </w:pPr>
      <w:r w:rsidRPr="00B22433">
        <w:t xml:space="preserve">Для поддержания показателя на уровне 100% ежегодно проводятся мероприятия по проведению капитального и текущего ремонта зданий библиотек, мероприятия, направленные на модернизацию материально-технической базы библиотек,   обучение сотрудников муниципальных библиотек на курсах повышения квалификации. </w:t>
      </w:r>
    </w:p>
    <w:p w:rsidR="00927675" w:rsidRPr="00927675" w:rsidRDefault="00927675" w:rsidP="000602AC">
      <w:pPr>
        <w:spacing w:after="0" w:line="240" w:lineRule="auto"/>
        <w:ind w:firstLine="425"/>
        <w:jc w:val="both"/>
      </w:pPr>
      <w:r>
        <w:t xml:space="preserve">В 2014 году приобретено книг и книгоиздательской продукции для муниципальных библиотек на сумму 200 тыс. рублей. Приобретено музыкальное оборудование в Районный Дом культуры, компьютерная техника в сельский клуб п. Пуксинка, всего на сумму 200 тыс. рублей. </w:t>
      </w:r>
    </w:p>
    <w:p w:rsidR="00992510" w:rsidRDefault="00927675" w:rsidP="000602AC">
      <w:pPr>
        <w:spacing w:after="0" w:line="240" w:lineRule="auto"/>
        <w:ind w:firstLine="425"/>
        <w:jc w:val="both"/>
      </w:pPr>
      <w:r w:rsidRPr="00927675">
        <w:t>В 2015-2017</w:t>
      </w:r>
      <w:r w:rsidR="000602AC" w:rsidRPr="00927675">
        <w:t xml:space="preserve"> годах в бюджете Гаринского городского округа предусмотрено выделение денежных средств на проведение мероприятий по комплектованию фондов муниципальных библиотек книгами и книгоиздат</w:t>
      </w:r>
      <w:r w:rsidRPr="00927675">
        <w:t>ельской продукцией в размере 6</w:t>
      </w:r>
      <w:r>
        <w:t xml:space="preserve">00 тыс. рублей. </w:t>
      </w:r>
    </w:p>
    <w:p w:rsidR="000D276D" w:rsidRDefault="000E2981" w:rsidP="000602AC">
      <w:pPr>
        <w:spacing w:after="0" w:line="240" w:lineRule="auto"/>
        <w:ind w:firstLine="425"/>
        <w:jc w:val="both"/>
      </w:pPr>
      <w:r w:rsidRPr="00B22433">
        <w:t>Зданий муниципальных учреждений культуры, к</w:t>
      </w:r>
      <w:r w:rsidR="0055347B" w:rsidRPr="00B22433">
        <w:t>оторые находятся в аварийном со</w:t>
      </w:r>
      <w:r w:rsidRPr="00B22433">
        <w:t xml:space="preserve">стоянии, нет. </w:t>
      </w:r>
    </w:p>
    <w:p w:rsidR="0090547B" w:rsidRPr="00992510" w:rsidRDefault="000E2981" w:rsidP="000602AC">
      <w:pPr>
        <w:spacing w:after="0" w:line="240" w:lineRule="auto"/>
        <w:ind w:firstLine="425"/>
        <w:jc w:val="both"/>
      </w:pPr>
      <w:r w:rsidRPr="00992510">
        <w:t>В рамках муниципальной программы  «Развитие культуры в Гаринском городском округе на 2013-2016 годы» в 2013 году проведен  капитальный ремонт в здании Муниципального краеведческого музея</w:t>
      </w:r>
      <w:r w:rsidR="0090547B" w:rsidRPr="00992510">
        <w:t>. В 2013-2014 годах проведены текущие ремонты</w:t>
      </w:r>
      <w:r w:rsidRPr="00992510">
        <w:t xml:space="preserve"> в помещениях сельских клубов и Дома культуры в р. п. Гари. </w:t>
      </w:r>
    </w:p>
    <w:p w:rsidR="000E2981" w:rsidRPr="00992510" w:rsidRDefault="0090547B" w:rsidP="000602AC">
      <w:pPr>
        <w:spacing w:after="0" w:line="240" w:lineRule="auto"/>
        <w:ind w:firstLine="425"/>
        <w:jc w:val="both"/>
      </w:pPr>
      <w:r w:rsidRPr="00992510">
        <w:t>В 2015-2017</w:t>
      </w:r>
      <w:r w:rsidR="000E2981" w:rsidRPr="00992510">
        <w:t xml:space="preserve"> годах </w:t>
      </w:r>
      <w:r w:rsidRPr="00992510">
        <w:t xml:space="preserve">запланированы денежные средства на проведение мероприятий по текущему ремонту помещений </w:t>
      </w:r>
      <w:r w:rsidR="000E2981" w:rsidRPr="00992510">
        <w:t xml:space="preserve"> клубов в сельских населенных пунктах округа. Для этих целей предусмотрено выделение денежных сре</w:t>
      </w:r>
      <w:proofErr w:type="gramStart"/>
      <w:r w:rsidR="000E2981" w:rsidRPr="00992510">
        <w:t>дств в р</w:t>
      </w:r>
      <w:proofErr w:type="gramEnd"/>
      <w:r w:rsidR="000E2981" w:rsidRPr="00992510">
        <w:t xml:space="preserve">азмере </w:t>
      </w:r>
      <w:r w:rsidR="00992510" w:rsidRPr="00992510">
        <w:t>370</w:t>
      </w:r>
      <w:r w:rsidR="000E2981" w:rsidRPr="00992510">
        <w:t>,0 тыс. рублей из местного бюджета.</w:t>
      </w:r>
    </w:p>
    <w:p w:rsidR="000D276D" w:rsidRDefault="00254F1A" w:rsidP="00254F1A">
      <w:pPr>
        <w:spacing w:after="0" w:line="240" w:lineRule="auto"/>
        <w:ind w:firstLine="425"/>
        <w:jc w:val="both"/>
      </w:pPr>
      <w:r w:rsidRPr="00B22433">
        <w:t>Среднемесячная заработная плата работников муниципальных учрежд</w:t>
      </w:r>
      <w:r w:rsidR="00F949CF">
        <w:t>ений культуры и искусства в 2014</w:t>
      </w:r>
      <w:r w:rsidRPr="00B22433">
        <w:t xml:space="preserve"> году составляет</w:t>
      </w:r>
      <w:r w:rsidR="00F949CF">
        <w:t xml:space="preserve"> 20322,5</w:t>
      </w:r>
      <w:r w:rsidRPr="00B22433">
        <w:t xml:space="preserve"> руб. или </w:t>
      </w:r>
      <w:r w:rsidR="0055347B" w:rsidRPr="00B22433">
        <w:t>1</w:t>
      </w:r>
      <w:r w:rsidR="00F949CF">
        <w:t>29% от уровня 2013</w:t>
      </w:r>
      <w:r w:rsidRPr="00B22433">
        <w:t xml:space="preserve"> </w:t>
      </w:r>
      <w:r w:rsidR="00F949CF">
        <w:t>года. Рост показателя в 2012</w:t>
      </w:r>
      <w:r w:rsidRPr="00B22433">
        <w:t xml:space="preserve"> г</w:t>
      </w:r>
      <w:r w:rsidR="00F949CF">
        <w:t>оду – на 10% по сравнению с 2011 годом, в 2013</w:t>
      </w:r>
      <w:r w:rsidRPr="00B22433">
        <w:t xml:space="preserve"> г</w:t>
      </w:r>
      <w:r w:rsidR="00F949CF">
        <w:t>оду – на 86% по сравнению с 2012</w:t>
      </w:r>
      <w:r w:rsidRPr="00B22433">
        <w:t xml:space="preserve"> годом. </w:t>
      </w:r>
    </w:p>
    <w:p w:rsidR="000D276D" w:rsidRDefault="00254F1A" w:rsidP="00254F1A">
      <w:pPr>
        <w:spacing w:after="0" w:line="240" w:lineRule="auto"/>
        <w:ind w:firstLine="425"/>
        <w:jc w:val="both"/>
      </w:pPr>
      <w:r w:rsidRPr="00B22433">
        <w:t>В плановом периоде рост среднемесячной заработной платы работников учреждений культу</w:t>
      </w:r>
      <w:r w:rsidR="00F949CF">
        <w:t>ры продолжится и составит в 2015</w:t>
      </w:r>
      <w:r w:rsidRPr="00B22433">
        <w:t xml:space="preserve"> году – </w:t>
      </w:r>
      <w:r w:rsidR="00F949CF">
        <w:t>21%, в 2016 году – 22%, в 2017 году – 3</w:t>
      </w:r>
      <w:r w:rsidRPr="00B22433">
        <w:t xml:space="preserve">4%. </w:t>
      </w:r>
    </w:p>
    <w:p w:rsidR="00254F1A" w:rsidRPr="00B22433" w:rsidRDefault="00254F1A" w:rsidP="00254F1A">
      <w:pPr>
        <w:spacing w:after="0" w:line="240" w:lineRule="auto"/>
        <w:ind w:firstLine="425"/>
        <w:jc w:val="both"/>
      </w:pPr>
      <w:proofErr w:type="gramStart"/>
      <w:r w:rsidRPr="00B22433">
        <w:t>Увеличение показателя будет осуществляться в соответствии с Планом мероприятий («дорожная карта») по поэтапному повышению заработной платы работников муниципальных учреждений культуры Гаринского городского округа, утвержденного постановлением главы Гаринского городского округа от 24.07.2013 года № 375: создание механизма стимулирования работников, оказывающих услуги (выполняющих работы), внедрение современных норм труда, направленных на повышение качества оказания услуг;</w:t>
      </w:r>
      <w:proofErr w:type="gramEnd"/>
      <w:r w:rsidRPr="00B22433">
        <w:t xml:space="preserve"> поэтапное повышение оплаты труда, обновление квалификационных требований к работникам, переобучение, повышение квалификации работников, изменение типов учреждений культуры, привлечение внебюджетных средств.</w:t>
      </w:r>
    </w:p>
    <w:p w:rsidR="00C30470" w:rsidRPr="0090547B" w:rsidRDefault="00254F1A" w:rsidP="00254F1A">
      <w:pPr>
        <w:spacing w:after="0" w:line="240" w:lineRule="auto"/>
        <w:ind w:firstLine="425"/>
        <w:jc w:val="both"/>
      </w:pPr>
      <w:r w:rsidRPr="0090547B">
        <w:t>На повышение заработной платы работников муниципальных учрежд</w:t>
      </w:r>
      <w:r w:rsidR="0090547B" w:rsidRPr="0090547B">
        <w:t>ений культуры и искусства в 2015-2017</w:t>
      </w:r>
      <w:r w:rsidRPr="0090547B">
        <w:t xml:space="preserve"> г. г. предусмотрено финансирование из средств местного бюджета в размере </w:t>
      </w:r>
      <w:r w:rsidR="0090547B" w:rsidRPr="0090547B">
        <w:t>49 728,0</w:t>
      </w:r>
      <w:r w:rsidRPr="0090547B">
        <w:t xml:space="preserve"> тыс. рублей.</w:t>
      </w:r>
    </w:p>
    <w:p w:rsidR="004106C1" w:rsidRPr="00215E79" w:rsidRDefault="004106C1" w:rsidP="00254F1A">
      <w:pPr>
        <w:spacing w:after="0" w:line="240" w:lineRule="auto"/>
        <w:ind w:firstLine="425"/>
        <w:jc w:val="both"/>
        <w:rPr>
          <w:color w:val="C00000"/>
        </w:rPr>
      </w:pPr>
    </w:p>
    <w:p w:rsidR="00C30470" w:rsidRPr="00772FA4" w:rsidRDefault="004A36EA" w:rsidP="00C30470">
      <w:pPr>
        <w:ind w:firstLine="426"/>
        <w:rPr>
          <w:b/>
        </w:rPr>
      </w:pPr>
      <w:r w:rsidRPr="00772FA4">
        <w:rPr>
          <w:b/>
        </w:rPr>
        <w:t>1</w:t>
      </w:r>
      <w:r w:rsidR="0052415B" w:rsidRPr="00772FA4">
        <w:rPr>
          <w:b/>
        </w:rPr>
        <w:t>5</w:t>
      </w:r>
      <w:r w:rsidRPr="00772FA4">
        <w:rPr>
          <w:b/>
        </w:rPr>
        <w:t>.6</w:t>
      </w:r>
      <w:r w:rsidR="00C30470" w:rsidRPr="00772FA4">
        <w:rPr>
          <w:b/>
        </w:rPr>
        <w:tab/>
        <w:t>Молодёжная политика</w:t>
      </w:r>
    </w:p>
    <w:p w:rsidR="00772FA4" w:rsidRPr="002F18DF" w:rsidRDefault="00772FA4" w:rsidP="00772FA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2F18DF">
        <w:rPr>
          <w:rFonts w:cs="Times New Roman"/>
          <w:szCs w:val="28"/>
        </w:rPr>
        <w:t xml:space="preserve">На территории Гаринского городского округа </w:t>
      </w:r>
      <w:r>
        <w:rPr>
          <w:rFonts w:cs="Times New Roman"/>
          <w:szCs w:val="28"/>
        </w:rPr>
        <w:t>проживает 742 человека  в возрасте от 18-35 лет – 16,5%  от общего числа жителей.</w:t>
      </w:r>
      <w:r w:rsidRPr="002F18DF">
        <w:rPr>
          <w:rFonts w:cs="Times New Roman"/>
          <w:szCs w:val="28"/>
        </w:rPr>
        <w:t xml:space="preserve"> </w:t>
      </w:r>
    </w:p>
    <w:p w:rsidR="00772FA4" w:rsidRDefault="00772FA4" w:rsidP="00772FA4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течение 2014 года в молодежной среде проведены различные мероприятия по следующим направлениям:</w:t>
      </w:r>
    </w:p>
    <w:p w:rsidR="00772FA4" w:rsidRDefault="00772FA4" w:rsidP="00772FA4">
      <w:pPr>
        <w:ind w:firstLine="709"/>
        <w:contextualSpacing/>
        <w:jc w:val="both"/>
        <w:rPr>
          <w:rFonts w:cs="Times New Roman"/>
          <w:szCs w:val="28"/>
        </w:rPr>
      </w:pPr>
      <w:r w:rsidRPr="00946E79">
        <w:rPr>
          <w:rFonts w:cs="Times New Roman"/>
          <w:b/>
          <w:szCs w:val="28"/>
        </w:rPr>
        <w:t>- гражданское становление и патриотическое воспитание молодежи: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8B5323">
        <w:rPr>
          <w:rFonts w:cs="Times New Roman"/>
          <w:szCs w:val="28"/>
        </w:rPr>
        <w:t>в 2014 году официально зарегистрирован поисковый отряд «Память» при МКОУ Гаринская СОШ. Руководитель – Сабурова Жанна Викторовна. Постоянный контингент составляют учащиеся 8-11 класс</w:t>
      </w:r>
      <w:r>
        <w:rPr>
          <w:rFonts w:cs="Times New Roman"/>
          <w:szCs w:val="28"/>
        </w:rPr>
        <w:t xml:space="preserve">ов, в возрасте от 14 до 17 лет, численность отряда </w:t>
      </w:r>
      <w:r w:rsidRPr="008B5323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 xml:space="preserve"> человек</w:t>
      </w:r>
      <w:r w:rsidRPr="008B5323">
        <w:rPr>
          <w:rFonts w:cs="Times New Roman"/>
          <w:szCs w:val="28"/>
        </w:rPr>
        <w:t>.</w:t>
      </w:r>
    </w:p>
    <w:p w:rsidR="00772FA4" w:rsidRDefault="00772FA4" w:rsidP="00772FA4">
      <w:pPr>
        <w:ind w:firstLine="709"/>
        <w:contextualSpacing/>
        <w:jc w:val="both"/>
        <w:rPr>
          <w:rFonts w:cs="Times New Roman"/>
          <w:szCs w:val="28"/>
        </w:rPr>
      </w:pPr>
      <w:r w:rsidRPr="00A864AA">
        <w:rPr>
          <w:rFonts w:cs="Times New Roman"/>
          <w:szCs w:val="28"/>
        </w:rPr>
        <w:t>За это время участники отряда, приняли участие в следующих мероприятиях:</w:t>
      </w:r>
      <w:r>
        <w:rPr>
          <w:rFonts w:cs="Times New Roman"/>
          <w:szCs w:val="28"/>
        </w:rPr>
        <w:t xml:space="preserve"> в </w:t>
      </w:r>
      <w:r w:rsidRPr="00A864AA">
        <w:rPr>
          <w:rFonts w:cs="Times New Roman"/>
          <w:szCs w:val="28"/>
        </w:rPr>
        <w:t>ежегодной акции по благоустройству мемориалов и обелисков «Вахта памяти»</w:t>
      </w:r>
      <w:r>
        <w:rPr>
          <w:rFonts w:cs="Times New Roman"/>
          <w:szCs w:val="28"/>
        </w:rPr>
        <w:t xml:space="preserve">. </w:t>
      </w:r>
      <w:proofErr w:type="gramStart"/>
      <w:r>
        <w:rPr>
          <w:rFonts w:cs="Times New Roman"/>
          <w:szCs w:val="28"/>
        </w:rPr>
        <w:t xml:space="preserve">В </w:t>
      </w:r>
      <w:r w:rsidRPr="00A864AA">
        <w:rPr>
          <w:rFonts w:cs="Times New Roman"/>
          <w:szCs w:val="28"/>
        </w:rPr>
        <w:t xml:space="preserve"> 2014 году было обустроено 3 памятника (с. </w:t>
      </w:r>
      <w:proofErr w:type="spellStart"/>
      <w:r w:rsidRPr="00A864AA">
        <w:rPr>
          <w:rFonts w:cs="Times New Roman"/>
          <w:szCs w:val="28"/>
        </w:rPr>
        <w:t>Шабурово</w:t>
      </w:r>
      <w:proofErr w:type="spellEnd"/>
      <w:r w:rsidRPr="00A864AA">
        <w:rPr>
          <w:rFonts w:cs="Times New Roman"/>
          <w:szCs w:val="28"/>
        </w:rPr>
        <w:t>, п. Пелым</w:t>
      </w:r>
      <w:r>
        <w:rPr>
          <w:rFonts w:cs="Times New Roman"/>
          <w:szCs w:val="28"/>
        </w:rPr>
        <w:t>,</w:t>
      </w:r>
      <w:r w:rsidRPr="00A864AA">
        <w:rPr>
          <w:rFonts w:cs="Times New Roman"/>
          <w:szCs w:val="28"/>
        </w:rPr>
        <w:t xml:space="preserve"> п. Новый Вагиль);</w:t>
      </w:r>
      <w:r>
        <w:rPr>
          <w:rFonts w:cs="Times New Roman"/>
          <w:szCs w:val="28"/>
        </w:rPr>
        <w:t xml:space="preserve"> в </w:t>
      </w:r>
      <w:r w:rsidRPr="00A864AA">
        <w:rPr>
          <w:rFonts w:cs="Times New Roman"/>
          <w:szCs w:val="28"/>
        </w:rPr>
        <w:t>областных акциях «Вспо</w:t>
      </w:r>
      <w:r>
        <w:rPr>
          <w:rFonts w:cs="Times New Roman"/>
          <w:szCs w:val="28"/>
        </w:rPr>
        <w:t>мним всех поименно!», «Ветеран»,</w:t>
      </w:r>
      <w:r w:rsidRPr="00A864AA">
        <w:rPr>
          <w:rFonts w:cs="Times New Roman"/>
          <w:szCs w:val="28"/>
        </w:rPr>
        <w:t xml:space="preserve"> «Помним, гордимся, наследуем!», «Пост № 1».</w:t>
      </w:r>
      <w:proofErr w:type="gramEnd"/>
    </w:p>
    <w:p w:rsidR="00772FA4" w:rsidRDefault="00772FA4" w:rsidP="00772FA4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апреля 2014 года на территории Гаринского городского округа создана общественная организация ветеранов боевых действий. В состав организации входят участники боевых действий Афганистана и Чечни, возглавляет организацию Герой России </w:t>
      </w:r>
      <w:proofErr w:type="spellStart"/>
      <w:r>
        <w:rPr>
          <w:rFonts w:cs="Times New Roman"/>
          <w:szCs w:val="28"/>
        </w:rPr>
        <w:t>Бушмелев</w:t>
      </w:r>
      <w:proofErr w:type="spellEnd"/>
      <w:r>
        <w:rPr>
          <w:rFonts w:cs="Times New Roman"/>
          <w:szCs w:val="28"/>
        </w:rPr>
        <w:t xml:space="preserve"> Е., численность более 70 человек.</w:t>
      </w:r>
    </w:p>
    <w:p w:rsidR="00772FA4" w:rsidRDefault="00772FA4" w:rsidP="00772FA4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целях подготовки молодых граждан к военной службе на территории Гаринского городского округа ежегодно проводится военно-спортивная игра «Зарница», организуются 5-ти дневные военно-спортивные сборы для юношей 10-х классов, подростки допризывного возраста направляются в оборонно-спортивный оздоровительный лагерь «Витязь».</w:t>
      </w:r>
    </w:p>
    <w:p w:rsidR="00772FA4" w:rsidRPr="002717E8" w:rsidRDefault="00772FA4" w:rsidP="00772FA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754B3C">
        <w:rPr>
          <w:rFonts w:cs="Times New Roman"/>
          <w:b/>
          <w:szCs w:val="28"/>
        </w:rPr>
        <w:t>формирование приоритетов здорового образа жизни в молодежной среде</w:t>
      </w:r>
      <w:r>
        <w:rPr>
          <w:rFonts w:cs="Times New Roman"/>
          <w:b/>
          <w:szCs w:val="28"/>
        </w:rPr>
        <w:t>:</w:t>
      </w:r>
      <w:r w:rsidRPr="00754B3C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за 2014 год на террито</w:t>
      </w:r>
      <w:r w:rsidRPr="002717E8">
        <w:rPr>
          <w:rFonts w:cs="Times New Roman"/>
          <w:szCs w:val="28"/>
        </w:rPr>
        <w:t>ри</w:t>
      </w:r>
      <w:r>
        <w:rPr>
          <w:rFonts w:cs="Times New Roman"/>
          <w:szCs w:val="28"/>
        </w:rPr>
        <w:t xml:space="preserve">и </w:t>
      </w:r>
      <w:r w:rsidRPr="002717E8">
        <w:rPr>
          <w:rFonts w:cs="Times New Roman"/>
          <w:szCs w:val="28"/>
        </w:rPr>
        <w:t xml:space="preserve"> Гаринского городского округа </w:t>
      </w:r>
      <w:r>
        <w:rPr>
          <w:rFonts w:cs="Times New Roman"/>
          <w:szCs w:val="28"/>
        </w:rPr>
        <w:t xml:space="preserve">проведено 37 спортивных мероприятий, в которых участвовало1357 человек. Проведены спортивно-массовые мероприятия «Лыжня России», «Кросс наций», также на территории Гаринского городского округа для молодежи проводятся спортивные соревнования по хоккею, футболу, волейболу и др.  </w:t>
      </w:r>
    </w:p>
    <w:p w:rsidR="00772FA4" w:rsidRDefault="00772FA4" w:rsidP="00772FA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- творческая самореализация, всестороннее развитие и поддержка талантливой молодежи</w:t>
      </w:r>
      <w:r w:rsidRPr="00A20FE0"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ежегодное проведение мероприятий в </w:t>
      </w:r>
      <w:r>
        <w:rPr>
          <w:rFonts w:cs="Times New Roman"/>
          <w:color w:val="000000" w:themeColor="text1"/>
          <w:szCs w:val="28"/>
          <w:shd w:val="clear" w:color="auto" w:fill="FFFFFF"/>
        </w:rPr>
        <w:t>учреждениях</w:t>
      </w:r>
      <w:r w:rsidRPr="00DA115E">
        <w:rPr>
          <w:rFonts w:cs="Times New Roman"/>
          <w:color w:val="000000" w:themeColor="text1"/>
          <w:szCs w:val="28"/>
          <w:shd w:val="clear" w:color="auto" w:fill="FFFFFF"/>
        </w:rPr>
        <w:t xml:space="preserve"> культуры Гаринского городского округа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обеспечивает условия для самореализации творческих потребностей и организации досуга </w:t>
      </w:r>
      <w:r w:rsidR="00677D88">
        <w:rPr>
          <w:rFonts w:cs="Times New Roman"/>
          <w:color w:val="000000" w:themeColor="text1"/>
          <w:szCs w:val="28"/>
          <w:shd w:val="clear" w:color="auto" w:fill="FFFFFF"/>
        </w:rPr>
        <w:t>молодежи</w:t>
      </w:r>
      <w:r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772FA4" w:rsidRDefault="00772FA4" w:rsidP="00772FA4">
      <w:pPr>
        <w:spacing w:after="0"/>
        <w:jc w:val="both"/>
        <w:rPr>
          <w:rFonts w:cs="Times New Roman"/>
          <w:szCs w:val="28"/>
        </w:rPr>
      </w:pPr>
      <w:r w:rsidRPr="005A0A87">
        <w:rPr>
          <w:rFonts w:cs="Times New Roman"/>
          <w:b/>
          <w:szCs w:val="28"/>
        </w:rPr>
        <w:t>- развитие молодежного парламентаризма</w:t>
      </w:r>
      <w:r>
        <w:rPr>
          <w:rFonts w:cs="Times New Roman"/>
          <w:szCs w:val="28"/>
        </w:rPr>
        <w:t xml:space="preserve"> в городском округе: при Думе Гаринского городского округа </w:t>
      </w:r>
      <w:r w:rsidR="00677D88">
        <w:rPr>
          <w:rFonts w:cs="Times New Roman"/>
          <w:szCs w:val="28"/>
        </w:rPr>
        <w:t>в 2014 году создана общественная</w:t>
      </w:r>
      <w:r>
        <w:rPr>
          <w:rFonts w:cs="Times New Roman"/>
          <w:szCs w:val="28"/>
        </w:rPr>
        <w:t xml:space="preserve"> молодежная палата.</w:t>
      </w:r>
    </w:p>
    <w:p w:rsidR="00772FA4" w:rsidRDefault="00772FA4" w:rsidP="00772FA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Проведение всех мероприятий способствует выработке активной жизненной позиции, установке социально важных ценностных ориентиров у молодежи. </w:t>
      </w:r>
      <w:proofErr w:type="gramStart"/>
      <w:r>
        <w:rPr>
          <w:rFonts w:cs="Times New Roman"/>
          <w:szCs w:val="28"/>
        </w:rPr>
        <w:t>Повышая уровень занятости молодежи мы снижаем уровень социально</w:t>
      </w:r>
      <w:proofErr w:type="gramEnd"/>
      <w:r>
        <w:rPr>
          <w:rFonts w:cs="Times New Roman"/>
          <w:szCs w:val="28"/>
        </w:rPr>
        <w:t xml:space="preserve"> - негативных явлений в молодежной среде. Другими словами, чем больше молодежь занята в </w:t>
      </w:r>
      <w:r w:rsidR="00677D88">
        <w:rPr>
          <w:rFonts w:cs="Times New Roman"/>
          <w:szCs w:val="28"/>
        </w:rPr>
        <w:t xml:space="preserve">различных </w:t>
      </w:r>
      <w:r>
        <w:rPr>
          <w:rFonts w:cs="Times New Roman"/>
          <w:szCs w:val="28"/>
        </w:rPr>
        <w:t>мероприятиях, тем меньше возможностей остается для развития наркомании, алкоголизма и экстремизма в нашем городском округе.</w:t>
      </w:r>
    </w:p>
    <w:p w:rsidR="00772FA4" w:rsidRPr="00946E79" w:rsidRDefault="00772FA4" w:rsidP="00772FA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 В планах развития </w:t>
      </w:r>
      <w:r w:rsidR="00677D88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 дальнейшая систематизация работы по всем направлениям реализации молодежной политики.</w:t>
      </w:r>
    </w:p>
    <w:p w:rsidR="008119C7" w:rsidRPr="00B22433" w:rsidRDefault="008119C7" w:rsidP="008119C7">
      <w:pPr>
        <w:spacing w:after="0" w:line="240" w:lineRule="auto"/>
        <w:ind w:firstLine="425"/>
        <w:jc w:val="both"/>
      </w:pPr>
    </w:p>
    <w:p w:rsidR="00C30470" w:rsidRPr="00DF16EC" w:rsidRDefault="00C30470" w:rsidP="00C30470">
      <w:pPr>
        <w:ind w:firstLine="426"/>
        <w:rPr>
          <w:b/>
          <w:color w:val="C00000"/>
        </w:rPr>
      </w:pPr>
      <w:r w:rsidRPr="00B22433">
        <w:rPr>
          <w:b/>
        </w:rPr>
        <w:t>1</w:t>
      </w:r>
      <w:r w:rsidR="0052415B" w:rsidRPr="00B22433">
        <w:rPr>
          <w:b/>
        </w:rPr>
        <w:t>5</w:t>
      </w:r>
      <w:r w:rsidRPr="00B22433">
        <w:rPr>
          <w:b/>
        </w:rPr>
        <w:t>.</w:t>
      </w:r>
      <w:r w:rsidR="004A36EA" w:rsidRPr="00B22433">
        <w:rPr>
          <w:b/>
        </w:rPr>
        <w:t>7</w:t>
      </w:r>
      <w:r w:rsidRPr="00B22433">
        <w:rPr>
          <w:b/>
        </w:rPr>
        <w:tab/>
      </w:r>
      <w:r w:rsidRPr="00653E22">
        <w:rPr>
          <w:b/>
        </w:rPr>
        <w:t>Развитие физкультуры и спорта</w:t>
      </w:r>
    </w:p>
    <w:p w:rsidR="000D276D" w:rsidRDefault="00C61CE9" w:rsidP="00A963D7">
      <w:pPr>
        <w:spacing w:after="0" w:line="240" w:lineRule="auto"/>
        <w:ind w:firstLine="425"/>
        <w:jc w:val="both"/>
      </w:pPr>
      <w:r w:rsidRPr="00B22433">
        <w:t>Доля населения, систематически занимающегося физической культурой и спортом, ежегодно растет.</w:t>
      </w:r>
    </w:p>
    <w:p w:rsidR="000D276D" w:rsidRDefault="00C61CE9" w:rsidP="00A963D7">
      <w:pPr>
        <w:spacing w:after="0" w:line="240" w:lineRule="auto"/>
        <w:ind w:firstLine="425"/>
        <w:jc w:val="both"/>
      </w:pPr>
      <w:r w:rsidRPr="00B22433">
        <w:t xml:space="preserve"> В 2</w:t>
      </w:r>
      <w:r w:rsidR="00215E79">
        <w:t>012 году рост на 3,5%, в 2013</w:t>
      </w:r>
      <w:r w:rsidRPr="00B22433">
        <w:t xml:space="preserve"> году -  на </w:t>
      </w:r>
      <w:r w:rsidR="007F656C">
        <w:t>1,34%.</w:t>
      </w:r>
      <w:r w:rsidR="00215E79">
        <w:t xml:space="preserve"> </w:t>
      </w:r>
      <w:r w:rsidR="007F656C">
        <w:t>В</w:t>
      </w:r>
      <w:r w:rsidR="00215E79">
        <w:t xml:space="preserve"> 2014</w:t>
      </w:r>
      <w:r w:rsidRPr="00B22433">
        <w:t xml:space="preserve"> году</w:t>
      </w:r>
      <w:r w:rsidR="007F656C">
        <w:t xml:space="preserve"> показатель составил 11,35%, рост </w:t>
      </w:r>
      <w:r w:rsidRPr="00B22433">
        <w:t xml:space="preserve"> </w:t>
      </w:r>
      <w:proofErr w:type="gramStart"/>
      <w:r w:rsidRPr="00B22433">
        <w:t>на</w:t>
      </w:r>
      <w:proofErr w:type="gramEnd"/>
      <w:r w:rsidRPr="00B22433">
        <w:t xml:space="preserve"> </w:t>
      </w:r>
      <w:r w:rsidR="00215E79">
        <w:t>0,81</w:t>
      </w:r>
      <w:r w:rsidRPr="00B22433">
        <w:t xml:space="preserve">%. </w:t>
      </w:r>
    </w:p>
    <w:p w:rsidR="000D276D" w:rsidRDefault="00C61CE9" w:rsidP="00A963D7">
      <w:pPr>
        <w:spacing w:after="0" w:line="240" w:lineRule="auto"/>
        <w:ind w:firstLine="425"/>
        <w:jc w:val="both"/>
      </w:pPr>
      <w:r w:rsidRPr="00B22433">
        <w:t xml:space="preserve">В плановом периоде ожидается  увеличение доли населения, систематически занимающегося физической культурой и спортом,  до </w:t>
      </w:r>
      <w:r w:rsidR="00D1167A" w:rsidRPr="00B22433">
        <w:t>12</w:t>
      </w:r>
      <w:r w:rsidR="00215E79">
        <w:t>,5% в 2017</w:t>
      </w:r>
      <w:r w:rsidRPr="00B22433">
        <w:t xml:space="preserve"> году.  Для этого предусмотрено выполнение необходимых мероприятий: увеличение количества проводимых мероприятий и привлечение большего числа участников; своевременное информирование населения о проводимых спортивных мероприятиях через районную газету; приобретение спортивного инвентаря и тренажеров. </w:t>
      </w:r>
    </w:p>
    <w:p w:rsidR="00232ACA" w:rsidRPr="00B22433" w:rsidRDefault="00C61CE9" w:rsidP="00A963D7">
      <w:pPr>
        <w:spacing w:after="0" w:line="240" w:lineRule="auto"/>
        <w:ind w:firstLine="425"/>
        <w:jc w:val="both"/>
      </w:pPr>
      <w:proofErr w:type="gramStart"/>
      <w:r w:rsidRPr="007F656C">
        <w:t xml:space="preserve">В рамках муниципальной программы </w:t>
      </w:r>
      <w:r w:rsidR="007F656C">
        <w:t>«Развитие</w:t>
      </w:r>
      <w:r w:rsidRPr="00B22433">
        <w:t xml:space="preserve"> физической культуры и спорта</w:t>
      </w:r>
      <w:r w:rsidR="007F656C">
        <w:t>, формирование здорового образа жизни в Гаринском городском округе до 2020 года»</w:t>
      </w:r>
      <w:r w:rsidRPr="00B22433">
        <w:t xml:space="preserve"> предусмотрены мероприятия по развитию инфраструктуры для занятий физической культурой и массовым спортом, мероприятия направленные на развитие дополнительного образование детей в сфере физической культуры и спорта, создание спортивных секций для детей и молодежи.</w:t>
      </w:r>
      <w:proofErr w:type="gramEnd"/>
      <w:r w:rsidRPr="00B22433">
        <w:t xml:space="preserve"> На приобретение спортивного инвентаря и тренажеров в бюджете Гаринского городского округа предусмотрено финансирование в размере </w:t>
      </w:r>
      <w:r w:rsidR="007F656C">
        <w:t xml:space="preserve">1 893,0 </w:t>
      </w:r>
      <w:r w:rsidRPr="00B22433">
        <w:t>тыс. рублей.</w:t>
      </w:r>
    </w:p>
    <w:p w:rsidR="0052415B" w:rsidRPr="00B22433" w:rsidRDefault="0052415B" w:rsidP="00C61CE9">
      <w:pPr>
        <w:spacing w:after="0" w:line="240" w:lineRule="auto"/>
        <w:ind w:firstLine="425"/>
        <w:jc w:val="both"/>
      </w:pPr>
    </w:p>
    <w:p w:rsidR="00C30470" w:rsidRPr="00B22433" w:rsidRDefault="0052415B" w:rsidP="0052415B">
      <w:pPr>
        <w:ind w:left="360"/>
        <w:rPr>
          <w:b/>
        </w:rPr>
      </w:pPr>
      <w:r w:rsidRPr="00B22433">
        <w:rPr>
          <w:b/>
        </w:rPr>
        <w:t xml:space="preserve">16. </w:t>
      </w:r>
      <w:r w:rsidR="00C30470" w:rsidRPr="00B22433">
        <w:rPr>
          <w:b/>
        </w:rPr>
        <w:t>Правопорядок</w:t>
      </w:r>
    </w:p>
    <w:p w:rsidR="00C30470" w:rsidRPr="00B22433" w:rsidRDefault="00672D4A" w:rsidP="0052415B">
      <w:pPr>
        <w:pStyle w:val="a5"/>
        <w:numPr>
          <w:ilvl w:val="1"/>
          <w:numId w:val="11"/>
        </w:numPr>
        <w:rPr>
          <w:b/>
        </w:rPr>
      </w:pPr>
      <w:r w:rsidRPr="00B22433">
        <w:rPr>
          <w:b/>
        </w:rPr>
        <w:t xml:space="preserve"> </w:t>
      </w:r>
      <w:r w:rsidR="00C30470" w:rsidRPr="00B22433">
        <w:rPr>
          <w:b/>
        </w:rPr>
        <w:t>Состояние преступности</w:t>
      </w:r>
    </w:p>
    <w:p w:rsidR="003B1C58" w:rsidRDefault="00F83FF6" w:rsidP="00F83FF6">
      <w:pPr>
        <w:pStyle w:val="a5"/>
        <w:ind w:left="0"/>
        <w:jc w:val="both"/>
      </w:pPr>
      <w:r>
        <w:t xml:space="preserve">      </w:t>
      </w:r>
      <w:r w:rsidR="00215E79">
        <w:t>В 2014</w:t>
      </w:r>
      <w:r w:rsidR="004A67CE" w:rsidRPr="00B22433">
        <w:t xml:space="preserve"> году на территории Гаринского городс</w:t>
      </w:r>
      <w:r w:rsidR="00215E79">
        <w:t>кого округа зарегистрировано 110</w:t>
      </w:r>
      <w:r w:rsidR="004A67CE" w:rsidRPr="00B22433">
        <w:t xml:space="preserve"> преступлений, что </w:t>
      </w:r>
      <w:r w:rsidR="00215E79">
        <w:t>больше</w:t>
      </w:r>
      <w:r w:rsidR="004A67CE" w:rsidRPr="00B22433">
        <w:t xml:space="preserve"> </w:t>
      </w:r>
      <w:r w:rsidR="00D73B82" w:rsidRPr="00B22433">
        <w:t xml:space="preserve">на </w:t>
      </w:r>
      <w:r w:rsidR="00215E79">
        <w:t>3,6 % по сравнению  с 2013</w:t>
      </w:r>
      <w:r w:rsidR="00D73B82" w:rsidRPr="00B22433">
        <w:t xml:space="preserve"> годом.</w:t>
      </w:r>
      <w:r w:rsidR="00E725CC" w:rsidRPr="00B22433">
        <w:t xml:space="preserve"> </w:t>
      </w:r>
      <w:r w:rsidR="00DF008C" w:rsidRPr="00B22433">
        <w:t xml:space="preserve">Зарегистрировано преступлений компетенции МОБ – </w:t>
      </w:r>
      <w:r w:rsidR="00215E79">
        <w:t>62</w:t>
      </w:r>
      <w:r w:rsidR="00D1167A" w:rsidRPr="00B22433">
        <w:t>,</w:t>
      </w:r>
      <w:r w:rsidR="00DF008C" w:rsidRPr="00B22433">
        <w:t xml:space="preserve"> что </w:t>
      </w:r>
      <w:r w:rsidR="00215E79">
        <w:t>в 2 раза больше, чем</w:t>
      </w:r>
      <w:r w:rsidR="00DF008C" w:rsidRPr="00B22433">
        <w:t xml:space="preserve"> </w:t>
      </w:r>
      <w:r w:rsidR="00215E79">
        <w:t>в 2013</w:t>
      </w:r>
      <w:r>
        <w:t xml:space="preserve"> году</w:t>
      </w:r>
      <w:r w:rsidR="00DF008C" w:rsidRPr="00B22433">
        <w:t>. Уровень преступности на 10 тыс. населения</w:t>
      </w:r>
      <w:r w:rsidR="00E725CC" w:rsidRPr="00B22433">
        <w:t xml:space="preserve"> составил </w:t>
      </w:r>
      <w:r>
        <w:t>314,1</w:t>
      </w:r>
      <w:r w:rsidR="00E725CC" w:rsidRPr="00B22433">
        <w:t xml:space="preserve">. </w:t>
      </w:r>
      <w:r w:rsidR="00BC00D9" w:rsidRPr="00B22433">
        <w:t xml:space="preserve">   </w:t>
      </w:r>
      <w:r>
        <w:t>Раскрыто преступлений 100 (91</w:t>
      </w:r>
      <w:r w:rsidR="00E725CC" w:rsidRPr="003B1C58">
        <w:t>%)</w:t>
      </w:r>
      <w:r w:rsidR="003B1C58">
        <w:t>.</w:t>
      </w:r>
      <w:r w:rsidR="00DF008C" w:rsidRPr="00B22433">
        <w:t xml:space="preserve"> </w:t>
      </w:r>
    </w:p>
    <w:p w:rsidR="00C30470" w:rsidRPr="008B3785" w:rsidRDefault="008B3785" w:rsidP="008B3785">
      <w:pPr>
        <w:jc w:val="both"/>
        <w:rPr>
          <w:b/>
        </w:rPr>
      </w:pPr>
      <w:r>
        <w:rPr>
          <w:b/>
        </w:rPr>
        <w:t xml:space="preserve">     </w:t>
      </w:r>
      <w:r w:rsidRPr="008B3785">
        <w:rPr>
          <w:b/>
        </w:rPr>
        <w:t xml:space="preserve">16.2 </w:t>
      </w:r>
      <w:r w:rsidR="00C30470" w:rsidRPr="008B3785">
        <w:rPr>
          <w:b/>
        </w:rPr>
        <w:t>Преступность несовершеннолетних</w:t>
      </w:r>
    </w:p>
    <w:p w:rsidR="007165DE" w:rsidRPr="00DC50A1" w:rsidRDefault="007165DE" w:rsidP="007165DE">
      <w:pPr>
        <w:pStyle w:val="a5"/>
        <w:spacing w:after="0" w:line="240" w:lineRule="auto"/>
        <w:ind w:left="0" w:firstLine="425"/>
        <w:jc w:val="both"/>
      </w:pPr>
      <w:r w:rsidRPr="00DC50A1">
        <w:t>На территории Гаринского горо</w:t>
      </w:r>
      <w:r w:rsidR="00DC50A1" w:rsidRPr="00DC50A1">
        <w:t>дского округа за 12 месяцев 2014</w:t>
      </w:r>
      <w:r w:rsidRPr="00DC50A1">
        <w:t xml:space="preserve"> года несовершеннолетними были совершены 6 преступл</w:t>
      </w:r>
      <w:r w:rsidR="00DC50A1" w:rsidRPr="00DC50A1">
        <w:t>ений. За аналогичный период 2013</w:t>
      </w:r>
      <w:r w:rsidRPr="00DC50A1">
        <w:t xml:space="preserve"> года совершено 6 преступлений. За 1</w:t>
      </w:r>
      <w:r w:rsidR="00DC50A1" w:rsidRPr="00DC50A1">
        <w:t>2 месяцев 2014</w:t>
      </w:r>
      <w:r w:rsidRPr="00DC50A1">
        <w:t xml:space="preserve"> года к уголовной о</w:t>
      </w:r>
      <w:r w:rsidR="00DC50A1" w:rsidRPr="00DC50A1">
        <w:t>тветственности были привлечены 4</w:t>
      </w:r>
      <w:r w:rsidRPr="00DC50A1">
        <w:t xml:space="preserve"> несовершеннолетних (АППГ-2).</w:t>
      </w:r>
    </w:p>
    <w:p w:rsidR="007165DE" w:rsidRPr="00DC50A1" w:rsidRDefault="007165DE" w:rsidP="007165DE">
      <w:pPr>
        <w:pStyle w:val="a5"/>
        <w:spacing w:after="0" w:line="240" w:lineRule="auto"/>
        <w:ind w:left="0" w:firstLine="425"/>
        <w:jc w:val="both"/>
      </w:pPr>
      <w:r w:rsidRPr="00DC50A1">
        <w:t xml:space="preserve"> </w:t>
      </w:r>
      <w:r w:rsidRPr="00DC50A1">
        <w:tab/>
        <w:t>Преступления совершены</w:t>
      </w:r>
      <w:r w:rsidR="00DC50A1" w:rsidRPr="00DC50A1">
        <w:t xml:space="preserve"> по ч.2 ст.158 УК РФ (кража) — 4</w:t>
      </w:r>
      <w:r w:rsidRPr="00DC50A1">
        <w:t xml:space="preserve"> преступления, угон ав</w:t>
      </w:r>
      <w:r w:rsidR="00DC50A1" w:rsidRPr="00DC50A1">
        <w:t>тотранспорта  — 2 преступления.</w:t>
      </w:r>
    </w:p>
    <w:p w:rsidR="00A00783" w:rsidRPr="00DC50A1" w:rsidRDefault="007165DE" w:rsidP="00A00783">
      <w:pPr>
        <w:spacing w:after="0" w:line="240" w:lineRule="auto"/>
        <w:jc w:val="both"/>
        <w:rPr>
          <w:rFonts w:eastAsia="SimSun" w:cs="Times New Roman"/>
          <w:b/>
          <w:bCs/>
          <w:szCs w:val="28"/>
          <w:lang w:eastAsia="zh-CN"/>
        </w:rPr>
      </w:pPr>
      <w:r w:rsidRPr="00DC50A1">
        <w:t xml:space="preserve">   </w:t>
      </w:r>
      <w:r w:rsidR="00A00783" w:rsidRPr="00DC50A1">
        <w:tab/>
      </w:r>
      <w:r w:rsidRPr="00DC50A1">
        <w:t>Вопрос о состоянии и мерах профилактики безнадзорности и преступности несовершеннолетних ежеквартально рассматривался на заседаниях территориальной комиссии</w:t>
      </w:r>
      <w:r w:rsidR="00A00783" w:rsidRPr="00DC50A1">
        <w:t xml:space="preserve"> </w:t>
      </w:r>
      <w:r w:rsidR="00A00783" w:rsidRPr="00DC50A1">
        <w:rPr>
          <w:rFonts w:eastAsia="SimSun" w:cs="Times New Roman"/>
          <w:bCs/>
          <w:szCs w:val="28"/>
          <w:lang w:eastAsia="zh-CN"/>
        </w:rPr>
        <w:t>Гаринского района по делам несовершеннолетних и защите их прав.</w:t>
      </w:r>
    </w:p>
    <w:p w:rsidR="007165DE" w:rsidRDefault="00A00783" w:rsidP="00A00783">
      <w:pPr>
        <w:pStyle w:val="a5"/>
        <w:ind w:left="0" w:firstLine="709"/>
        <w:jc w:val="both"/>
        <w:rPr>
          <w:szCs w:val="28"/>
        </w:rPr>
      </w:pPr>
      <w:r w:rsidRPr="0068581A">
        <w:rPr>
          <w:szCs w:val="28"/>
        </w:rPr>
        <w:t>В целях предупреждения безнадзорности и правонарушений среди несовершеннолетних на территории Гаринского городского округа, на основании  постановления главы Га</w:t>
      </w:r>
      <w:r w:rsidR="0068581A" w:rsidRPr="0068581A">
        <w:rPr>
          <w:szCs w:val="28"/>
        </w:rPr>
        <w:t>ринского городского округа № 175 от 15.05.2014</w:t>
      </w:r>
      <w:r w:rsidRPr="0068581A">
        <w:rPr>
          <w:szCs w:val="28"/>
        </w:rPr>
        <w:t xml:space="preserve"> г. проведена межведомственн</w:t>
      </w:r>
      <w:r w:rsidR="00A16397" w:rsidRPr="0068581A">
        <w:rPr>
          <w:szCs w:val="28"/>
        </w:rPr>
        <w:t>ая</w:t>
      </w:r>
      <w:r w:rsidRPr="0068581A">
        <w:rPr>
          <w:szCs w:val="28"/>
        </w:rPr>
        <w:t xml:space="preserve"> комплексн</w:t>
      </w:r>
      <w:r w:rsidR="00A16397" w:rsidRPr="0068581A">
        <w:rPr>
          <w:szCs w:val="28"/>
        </w:rPr>
        <w:t>ая</w:t>
      </w:r>
      <w:r w:rsidRPr="0068581A">
        <w:rPr>
          <w:szCs w:val="28"/>
        </w:rPr>
        <w:t xml:space="preserve"> профилактическ</w:t>
      </w:r>
      <w:r w:rsidR="00A16397" w:rsidRPr="0068581A">
        <w:rPr>
          <w:szCs w:val="28"/>
        </w:rPr>
        <w:t>ая операция</w:t>
      </w:r>
      <w:r w:rsidRPr="0068581A">
        <w:rPr>
          <w:szCs w:val="28"/>
        </w:rPr>
        <w:t xml:space="preserve"> «Подросток». Данная операция проводилась с 15 мая по 01 октября 201</w:t>
      </w:r>
      <w:r w:rsidR="0068581A" w:rsidRPr="0068581A">
        <w:rPr>
          <w:szCs w:val="28"/>
        </w:rPr>
        <w:t>4</w:t>
      </w:r>
      <w:r w:rsidRPr="0068581A">
        <w:rPr>
          <w:szCs w:val="28"/>
        </w:rPr>
        <w:t xml:space="preserve"> г.</w:t>
      </w:r>
    </w:p>
    <w:p w:rsidR="0068581A" w:rsidRPr="0068581A" w:rsidRDefault="0068581A" w:rsidP="00A00783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В ходе проведения операции «Подросток» Территориальной комиссией Гаринского района по делам несовершеннолетних и защите их прав совместно с отделом полиции и другими субъектами системы профилактики проведены рейды по местам концентрации несовершеннолетних с целью предупреждения и пресечения преступлений и правонарушений, совершаемых несовершеннолетними в вечер</w:t>
      </w:r>
      <w:r w:rsidR="005F2F30">
        <w:rPr>
          <w:szCs w:val="28"/>
        </w:rPr>
        <w:t>нее и ночное время.</w:t>
      </w:r>
      <w:r>
        <w:rPr>
          <w:szCs w:val="28"/>
        </w:rPr>
        <w:t xml:space="preserve"> </w:t>
      </w:r>
      <w:r w:rsidR="005F2F30">
        <w:rPr>
          <w:szCs w:val="28"/>
        </w:rPr>
        <w:t>В летних оздоровительных учреждениях с дневным пребыванием детей проведены беседы по разъяснению некоторых статей Уголовного кодекса Российской Федерации и Кодекса об административных правонарушениях. В рамках акции «Молодежь без пива» проведены рейды по торговым точкам округа и местам отдыха молодежи.</w:t>
      </w:r>
      <w:r>
        <w:rPr>
          <w:szCs w:val="28"/>
        </w:rPr>
        <w:t xml:space="preserve"> </w:t>
      </w:r>
    </w:p>
    <w:p w:rsidR="00672D4A" w:rsidRPr="00B22433" w:rsidRDefault="00672D4A" w:rsidP="00A00783">
      <w:pPr>
        <w:pStyle w:val="a5"/>
        <w:ind w:left="0" w:firstLine="709"/>
        <w:jc w:val="both"/>
        <w:rPr>
          <w:b/>
        </w:rPr>
      </w:pPr>
    </w:p>
    <w:p w:rsidR="00C30470" w:rsidRPr="008B3785" w:rsidRDefault="008B3785" w:rsidP="008B3785">
      <w:pPr>
        <w:pStyle w:val="a5"/>
        <w:numPr>
          <w:ilvl w:val="1"/>
          <w:numId w:val="14"/>
        </w:numPr>
        <w:spacing w:after="0" w:line="240" w:lineRule="auto"/>
        <w:rPr>
          <w:b/>
        </w:rPr>
      </w:pPr>
      <w:r>
        <w:rPr>
          <w:b/>
        </w:rPr>
        <w:t xml:space="preserve">  </w:t>
      </w:r>
      <w:r w:rsidR="00C30470" w:rsidRPr="008B3785">
        <w:rPr>
          <w:b/>
        </w:rPr>
        <w:t>Дорожно-транспортные происшествия</w:t>
      </w:r>
    </w:p>
    <w:p w:rsidR="00A963D7" w:rsidRPr="00B22433" w:rsidRDefault="00A963D7" w:rsidP="00A963D7">
      <w:pPr>
        <w:spacing w:after="0" w:line="240" w:lineRule="auto"/>
        <w:rPr>
          <w:b/>
        </w:rPr>
      </w:pPr>
    </w:p>
    <w:p w:rsidR="00C30470" w:rsidRPr="00B22433" w:rsidRDefault="00FC32FA" w:rsidP="00DA2D91">
      <w:pPr>
        <w:spacing w:after="0" w:line="240" w:lineRule="auto"/>
        <w:ind w:firstLine="425"/>
        <w:jc w:val="both"/>
      </w:pPr>
      <w:r w:rsidRPr="00B22433">
        <w:t xml:space="preserve">На территории Гаринского городского округа  состоит на учете </w:t>
      </w:r>
      <w:r w:rsidR="00F83FF6">
        <w:t>1762</w:t>
      </w:r>
      <w:r w:rsidRPr="00B22433">
        <w:t xml:space="preserve"> единиц</w:t>
      </w:r>
      <w:r w:rsidR="00F83FF6">
        <w:t>ы</w:t>
      </w:r>
      <w:r w:rsidRPr="00B22433">
        <w:t xml:space="preserve"> автотранспорта </w:t>
      </w:r>
      <w:r w:rsidR="00F83FF6">
        <w:t>(в 2013</w:t>
      </w:r>
      <w:r w:rsidR="00B6585A" w:rsidRPr="00B22433">
        <w:t xml:space="preserve"> г. – </w:t>
      </w:r>
      <w:r w:rsidR="00F83FF6">
        <w:t>1120</w:t>
      </w:r>
      <w:r w:rsidR="00B6585A" w:rsidRPr="00B22433">
        <w:t xml:space="preserve">).  </w:t>
      </w:r>
      <w:r w:rsidR="00F83FF6">
        <w:t>В 2014</w:t>
      </w:r>
      <w:r w:rsidRPr="00B22433">
        <w:t xml:space="preserve"> году зарегистрировано</w:t>
      </w:r>
      <w:r w:rsidR="00B6585A" w:rsidRPr="00B22433">
        <w:t xml:space="preserve"> </w:t>
      </w:r>
      <w:r w:rsidR="00F83FF6">
        <w:t>27 случаев дорожно-транспортных происшествий (в 2013</w:t>
      </w:r>
      <w:r w:rsidR="00B6585A" w:rsidRPr="00B22433">
        <w:t xml:space="preserve"> г. – </w:t>
      </w:r>
      <w:r w:rsidR="00F83FF6">
        <w:t>45</w:t>
      </w:r>
      <w:r w:rsidR="00B6585A" w:rsidRPr="00B22433">
        <w:t>),</w:t>
      </w:r>
      <w:r w:rsidR="00F83FF6">
        <w:t xml:space="preserve"> в результате которых пострадал  1 человек (в 2013 г. – 4), погибло – 0 человек (в 2013</w:t>
      </w:r>
      <w:r w:rsidR="00B6585A" w:rsidRPr="00B22433">
        <w:t xml:space="preserve"> г. – </w:t>
      </w:r>
      <w:r w:rsidR="00F83FF6">
        <w:t>1</w:t>
      </w:r>
      <w:r w:rsidR="00B6585A" w:rsidRPr="00B22433">
        <w:t xml:space="preserve">), получили ранения – </w:t>
      </w:r>
      <w:r w:rsidR="00F83FF6">
        <w:t>1 (в 2013</w:t>
      </w:r>
      <w:r w:rsidR="00B6585A" w:rsidRPr="00B22433">
        <w:t xml:space="preserve"> г. – </w:t>
      </w:r>
      <w:r w:rsidR="00F83FF6">
        <w:t>5</w:t>
      </w:r>
      <w:r w:rsidR="00B6585A" w:rsidRPr="00B22433">
        <w:t>)</w:t>
      </w:r>
      <w:r w:rsidR="00DA2D91" w:rsidRPr="00B22433">
        <w:t>. Дорожно-транспортных происшествий с участием детей не зарегистрировано.</w:t>
      </w:r>
    </w:p>
    <w:p w:rsidR="00672D4A" w:rsidRPr="00B22433" w:rsidRDefault="00672D4A" w:rsidP="00DA2D91">
      <w:pPr>
        <w:spacing w:after="0" w:line="240" w:lineRule="auto"/>
        <w:ind w:firstLine="425"/>
        <w:jc w:val="both"/>
      </w:pPr>
    </w:p>
    <w:p w:rsidR="00C30470" w:rsidRPr="00B22433" w:rsidRDefault="00C30470" w:rsidP="00EF373E">
      <w:pPr>
        <w:ind w:left="426"/>
        <w:rPr>
          <w:b/>
        </w:rPr>
      </w:pPr>
      <w:r w:rsidRPr="00B22433">
        <w:rPr>
          <w:b/>
        </w:rPr>
        <w:t>1</w:t>
      </w:r>
      <w:r w:rsidR="00672D4A" w:rsidRPr="00B22433">
        <w:rPr>
          <w:b/>
        </w:rPr>
        <w:t>6</w:t>
      </w:r>
      <w:r w:rsidRPr="00B22433">
        <w:rPr>
          <w:b/>
        </w:rPr>
        <w:t>.4</w:t>
      </w:r>
      <w:r w:rsidRPr="00B22433">
        <w:rPr>
          <w:b/>
        </w:rPr>
        <w:tab/>
        <w:t>Антинаркотическая ситуация</w:t>
      </w:r>
    </w:p>
    <w:p w:rsidR="001C3B49" w:rsidRPr="006F5CF0" w:rsidRDefault="001C3B49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F5CF0">
        <w:rPr>
          <w:rFonts w:cs="Times New Roman"/>
          <w:szCs w:val="28"/>
        </w:rPr>
        <w:t>На территории Гаринског</w:t>
      </w:r>
      <w:r w:rsidR="00364BBB" w:rsidRPr="006F5CF0">
        <w:rPr>
          <w:rFonts w:cs="Times New Roman"/>
          <w:szCs w:val="28"/>
        </w:rPr>
        <w:t>о городского округа  расположена 1</w:t>
      </w:r>
      <w:r w:rsidR="006F5CF0" w:rsidRPr="006F5CF0">
        <w:rPr>
          <w:rFonts w:cs="Times New Roman"/>
          <w:szCs w:val="28"/>
        </w:rPr>
        <w:t xml:space="preserve"> исправительная</w:t>
      </w:r>
      <w:r w:rsidRPr="006F5CF0">
        <w:rPr>
          <w:rFonts w:cs="Times New Roman"/>
          <w:szCs w:val="28"/>
        </w:rPr>
        <w:t xml:space="preserve"> колони</w:t>
      </w:r>
      <w:r w:rsidR="00364BBB" w:rsidRPr="006F5CF0">
        <w:rPr>
          <w:rFonts w:cs="Times New Roman"/>
          <w:szCs w:val="28"/>
        </w:rPr>
        <w:t xml:space="preserve">я в </w:t>
      </w:r>
      <w:proofErr w:type="spellStart"/>
      <w:r w:rsidR="00364BBB" w:rsidRPr="006F5CF0">
        <w:rPr>
          <w:rFonts w:cs="Times New Roman"/>
          <w:szCs w:val="28"/>
        </w:rPr>
        <w:t>р.п</w:t>
      </w:r>
      <w:proofErr w:type="gramStart"/>
      <w:r w:rsidR="00364BBB" w:rsidRPr="006F5CF0">
        <w:rPr>
          <w:rFonts w:cs="Times New Roman"/>
          <w:szCs w:val="28"/>
        </w:rPr>
        <w:t>.Г</w:t>
      </w:r>
      <w:proofErr w:type="gramEnd"/>
      <w:r w:rsidR="00364BBB" w:rsidRPr="006F5CF0">
        <w:rPr>
          <w:rFonts w:cs="Times New Roman"/>
          <w:szCs w:val="28"/>
        </w:rPr>
        <w:t>ари</w:t>
      </w:r>
      <w:proofErr w:type="spellEnd"/>
      <w:r w:rsidRPr="006F5CF0">
        <w:rPr>
          <w:rFonts w:cs="Times New Roman"/>
          <w:szCs w:val="28"/>
        </w:rPr>
        <w:t>. Преступления  в сфере незаконного оборота наркотиков  совершают лица, прибывшие на территорию округа на свидания с осужденными. Все обвиняемые по ст</w:t>
      </w:r>
      <w:r w:rsidR="003252AB" w:rsidRPr="006F5CF0">
        <w:rPr>
          <w:rFonts w:cs="Times New Roman"/>
          <w:szCs w:val="28"/>
        </w:rPr>
        <w:t>.</w:t>
      </w:r>
      <w:r w:rsidRPr="006F5CF0">
        <w:rPr>
          <w:rFonts w:cs="Times New Roman"/>
          <w:szCs w:val="28"/>
        </w:rPr>
        <w:t xml:space="preserve"> 228 УК РФ не являются жителями Гаринского района.</w:t>
      </w:r>
    </w:p>
    <w:p w:rsidR="00BF6665" w:rsidRPr="006F5CF0" w:rsidRDefault="00BF6665" w:rsidP="003B1C58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F5CF0">
        <w:rPr>
          <w:rFonts w:cs="Times New Roman"/>
          <w:szCs w:val="28"/>
        </w:rPr>
        <w:t>На территории округа нет лиц, стоящих на учете за  упот</w:t>
      </w:r>
      <w:r w:rsidR="003B1C58" w:rsidRPr="006F5CF0">
        <w:rPr>
          <w:rFonts w:cs="Times New Roman"/>
          <w:szCs w:val="28"/>
        </w:rPr>
        <w:t>ребление наркотических средств.</w:t>
      </w:r>
    </w:p>
    <w:p w:rsidR="001C3B49" w:rsidRPr="006F5CF0" w:rsidRDefault="001C3B49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F5CF0">
        <w:rPr>
          <w:rFonts w:cs="Times New Roman"/>
          <w:szCs w:val="28"/>
        </w:rPr>
        <w:t>В образовательных учреждениях  пров</w:t>
      </w:r>
      <w:r w:rsidR="003B1C58" w:rsidRPr="006F5CF0">
        <w:rPr>
          <w:rFonts w:cs="Times New Roman"/>
          <w:szCs w:val="28"/>
        </w:rPr>
        <w:t>одились</w:t>
      </w:r>
      <w:r w:rsidRPr="006F5CF0">
        <w:rPr>
          <w:rFonts w:cs="Times New Roman"/>
          <w:szCs w:val="28"/>
        </w:rPr>
        <w:t xml:space="preserve"> мероприятия антинаркотической направленности:</w:t>
      </w:r>
    </w:p>
    <w:p w:rsidR="001C3B49" w:rsidRPr="006F5CF0" w:rsidRDefault="001C3B49" w:rsidP="0011715C">
      <w:pPr>
        <w:spacing w:after="0" w:line="240" w:lineRule="auto"/>
        <w:jc w:val="both"/>
        <w:rPr>
          <w:rFonts w:cs="Times New Roman"/>
          <w:szCs w:val="28"/>
        </w:rPr>
      </w:pPr>
      <w:r w:rsidRPr="006F5CF0">
        <w:rPr>
          <w:rFonts w:cs="Times New Roman"/>
          <w:szCs w:val="28"/>
        </w:rPr>
        <w:t>- в 7-8 классах проведены родительские собрания с включением вопроса по профилактике наркомании учащихся  с участием медицинского работника  на тему «Здоровый образ жизни»;</w:t>
      </w:r>
    </w:p>
    <w:p w:rsidR="001C3B49" w:rsidRPr="006F5CF0" w:rsidRDefault="001C3B49" w:rsidP="0011715C">
      <w:pPr>
        <w:spacing w:after="0" w:line="240" w:lineRule="auto"/>
        <w:jc w:val="both"/>
        <w:rPr>
          <w:rFonts w:cs="Times New Roman"/>
          <w:szCs w:val="28"/>
        </w:rPr>
      </w:pPr>
      <w:r w:rsidRPr="006F5CF0">
        <w:rPr>
          <w:rFonts w:cs="Times New Roman"/>
          <w:szCs w:val="28"/>
        </w:rPr>
        <w:t>- проводились спортивные мероприятия в рамках акции «Дети без наркотиков», участвовали учащиеся 6-11 классов;</w:t>
      </w:r>
    </w:p>
    <w:p w:rsidR="001C3B49" w:rsidRPr="006F5CF0" w:rsidRDefault="001C3B49" w:rsidP="0011715C">
      <w:pPr>
        <w:spacing w:after="0" w:line="240" w:lineRule="auto"/>
        <w:jc w:val="both"/>
        <w:rPr>
          <w:rFonts w:cs="Times New Roman"/>
          <w:szCs w:val="28"/>
        </w:rPr>
      </w:pPr>
      <w:r w:rsidRPr="006F5CF0">
        <w:rPr>
          <w:rFonts w:cs="Times New Roman"/>
          <w:szCs w:val="28"/>
        </w:rPr>
        <w:t>-в 9-11 классах организован просмотр видеорол</w:t>
      </w:r>
      <w:r w:rsidR="001B441E" w:rsidRPr="006F5CF0">
        <w:rPr>
          <w:rFonts w:cs="Times New Roman"/>
          <w:szCs w:val="28"/>
        </w:rPr>
        <w:t>иков по профилактике наркомании;</w:t>
      </w:r>
    </w:p>
    <w:p w:rsidR="001C3B49" w:rsidRPr="006F5CF0" w:rsidRDefault="001C3B49" w:rsidP="0011715C">
      <w:pPr>
        <w:spacing w:after="0" w:line="240" w:lineRule="auto"/>
        <w:jc w:val="both"/>
        <w:rPr>
          <w:rFonts w:cs="Times New Roman"/>
          <w:szCs w:val="28"/>
        </w:rPr>
      </w:pPr>
      <w:r w:rsidRPr="006F5CF0">
        <w:rPr>
          <w:rFonts w:cs="Times New Roman"/>
          <w:szCs w:val="28"/>
        </w:rPr>
        <w:t>- участие во Всероссийской профилактической акции «За здоровье и безопасность наших детей»  сентябрь –</w:t>
      </w:r>
      <w:r w:rsidR="003252AB" w:rsidRPr="006F5CF0">
        <w:rPr>
          <w:rFonts w:cs="Times New Roman"/>
          <w:szCs w:val="28"/>
        </w:rPr>
        <w:t xml:space="preserve"> </w:t>
      </w:r>
      <w:r w:rsidR="003F3F8B">
        <w:rPr>
          <w:rFonts w:cs="Times New Roman"/>
          <w:szCs w:val="28"/>
        </w:rPr>
        <w:t>декабрь 2014</w:t>
      </w:r>
      <w:r w:rsidRPr="006F5CF0">
        <w:rPr>
          <w:rFonts w:cs="Times New Roman"/>
          <w:szCs w:val="28"/>
        </w:rPr>
        <w:t xml:space="preserve"> года.</w:t>
      </w:r>
    </w:p>
    <w:p w:rsidR="001C3B49" w:rsidRPr="006F5CF0" w:rsidRDefault="001C3B49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F5CF0">
        <w:rPr>
          <w:rFonts w:cs="Times New Roman"/>
          <w:szCs w:val="28"/>
        </w:rPr>
        <w:t>В образовательных учреждениях проведено</w:t>
      </w:r>
      <w:r w:rsidR="00BF6665" w:rsidRPr="006F5CF0">
        <w:rPr>
          <w:rFonts w:cs="Times New Roman"/>
          <w:szCs w:val="28"/>
        </w:rPr>
        <w:t xml:space="preserve"> </w:t>
      </w:r>
      <w:r w:rsidR="006F5CF0" w:rsidRPr="006F5CF0">
        <w:rPr>
          <w:rFonts w:cs="Times New Roman"/>
          <w:szCs w:val="28"/>
        </w:rPr>
        <w:t>тестирование</w:t>
      </w:r>
      <w:r w:rsidR="00BF6665" w:rsidRPr="006F5CF0">
        <w:rPr>
          <w:rFonts w:cs="Times New Roman"/>
          <w:szCs w:val="28"/>
        </w:rPr>
        <w:t xml:space="preserve"> 100% учащихся </w:t>
      </w:r>
      <w:r w:rsidRPr="006F5CF0">
        <w:rPr>
          <w:rFonts w:cs="Times New Roman"/>
          <w:szCs w:val="28"/>
        </w:rPr>
        <w:t xml:space="preserve">  на наличие </w:t>
      </w:r>
      <w:proofErr w:type="spellStart"/>
      <w:r w:rsidRPr="006F5CF0">
        <w:rPr>
          <w:rFonts w:cs="Times New Roman"/>
          <w:szCs w:val="28"/>
        </w:rPr>
        <w:t>психоактивных</w:t>
      </w:r>
      <w:proofErr w:type="spellEnd"/>
      <w:r w:rsidRPr="006F5CF0">
        <w:rPr>
          <w:rFonts w:cs="Times New Roman"/>
          <w:szCs w:val="28"/>
        </w:rPr>
        <w:t xml:space="preserve"> веществ, учреждения обеспечены наглядным  агитационным материалом.</w:t>
      </w:r>
    </w:p>
    <w:p w:rsidR="00307692" w:rsidRDefault="00FD5CFB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FD5CFB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целью формирования негативного отношения общества к употреблению наркотических веществ работники культурно-досуговых учреждений работают в самых различных направлениях, это беседы, акции, кинолектории, диспуты, тренинги, агитационные тематические концерты и др. В сотрудничестве с работниками образовательных и лечебных учрежден</w:t>
      </w:r>
      <w:r w:rsidR="00307692">
        <w:rPr>
          <w:rFonts w:cs="Times New Roman"/>
          <w:szCs w:val="28"/>
        </w:rPr>
        <w:t xml:space="preserve">ий, правоохранительных органов в течение 2014 года были проведены культурно-досуговые мероприятия познавательного, агитационно-просветительского характера: </w:t>
      </w:r>
    </w:p>
    <w:p w:rsidR="00307692" w:rsidRDefault="00307692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акции «НЕТ наркотикам и СПИДу!», «Жизнь без сигарет», «Перспектива», «Моя жизнь – мой выбор!», «Быть здоровым – модно!»,</w:t>
      </w:r>
    </w:p>
    <w:p w:rsidR="001C3B49" w:rsidRPr="00FD5CFB" w:rsidRDefault="00307692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беседы и диспуты «Мой выбор – здоровье!», «О смысле жизни!», «В плену безумия!». </w:t>
      </w:r>
    </w:p>
    <w:p w:rsidR="001C3B49" w:rsidRPr="006F5CF0" w:rsidRDefault="001C3B49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F5CF0">
        <w:rPr>
          <w:rFonts w:cs="Times New Roman"/>
          <w:szCs w:val="28"/>
        </w:rPr>
        <w:t>В районной газете «Вести севера»  регулярно освещаются мероприятия, проводимые с детьми и молодежью, по антинаркотической направленности.</w:t>
      </w:r>
    </w:p>
    <w:p w:rsidR="00BF6665" w:rsidRPr="006F5CF0" w:rsidRDefault="001C3B49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F5CF0">
        <w:rPr>
          <w:rFonts w:cs="Times New Roman"/>
          <w:szCs w:val="28"/>
        </w:rPr>
        <w:t>С целью взаимодействия с территориальными органами федеральных органов исполнительной власти, исполнительными органами государственной власти Свердловской области создана антин</w:t>
      </w:r>
      <w:r w:rsidR="003B1C58" w:rsidRPr="006F5CF0">
        <w:rPr>
          <w:rFonts w:cs="Times New Roman"/>
          <w:szCs w:val="28"/>
        </w:rPr>
        <w:t>аркотическая комиссия. Заседания комиссии проходя</w:t>
      </w:r>
      <w:r w:rsidRPr="006F5CF0">
        <w:rPr>
          <w:rFonts w:cs="Times New Roman"/>
          <w:szCs w:val="28"/>
        </w:rPr>
        <w:t>т ежеквартально.</w:t>
      </w:r>
    </w:p>
    <w:p w:rsidR="00672D4A" w:rsidRPr="00B22433" w:rsidRDefault="00672D4A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72D4A" w:rsidRPr="00B22433" w:rsidRDefault="00672D4A" w:rsidP="0011715C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C30470" w:rsidRPr="008B3785" w:rsidRDefault="00C30470" w:rsidP="008B3785">
      <w:pPr>
        <w:pStyle w:val="a5"/>
        <w:numPr>
          <w:ilvl w:val="0"/>
          <w:numId w:val="15"/>
        </w:numPr>
        <w:rPr>
          <w:b/>
        </w:rPr>
      </w:pPr>
      <w:r w:rsidRPr="008B3785">
        <w:rPr>
          <w:b/>
        </w:rPr>
        <w:t>Средства массовой информации</w:t>
      </w:r>
    </w:p>
    <w:p w:rsidR="00A963D7" w:rsidRPr="00B22433" w:rsidRDefault="00A963D7" w:rsidP="00A963D7">
      <w:pPr>
        <w:pStyle w:val="a5"/>
        <w:ind w:left="525"/>
        <w:rPr>
          <w:b/>
        </w:rPr>
      </w:pPr>
    </w:p>
    <w:p w:rsidR="002B6565" w:rsidRPr="00B22433" w:rsidRDefault="002B6565" w:rsidP="002B6565">
      <w:pPr>
        <w:pStyle w:val="a5"/>
        <w:spacing w:after="0" w:line="240" w:lineRule="auto"/>
        <w:ind w:left="0" w:firstLine="851"/>
        <w:jc w:val="both"/>
      </w:pPr>
      <w:r w:rsidRPr="00B22433">
        <w:t>Первая газета в Гаринском районе вышла в свет 13 февраля 1931 года под названием «Ударник». В 1941 году газета получила название «Советский север», а в ноябре 1993 года – «Вести севера».</w:t>
      </w:r>
    </w:p>
    <w:p w:rsidR="002B6565" w:rsidRPr="00B22433" w:rsidRDefault="002B6565" w:rsidP="002B6565">
      <w:pPr>
        <w:pStyle w:val="a5"/>
        <w:spacing w:after="0" w:line="240" w:lineRule="auto"/>
        <w:ind w:left="0" w:firstLine="851"/>
        <w:jc w:val="both"/>
      </w:pPr>
      <w:r w:rsidRPr="00B22433">
        <w:t>В штате редакции 6 человек, из них 3-е – творческие сотрудники.</w:t>
      </w:r>
    </w:p>
    <w:p w:rsidR="002B6565" w:rsidRPr="00B22433" w:rsidRDefault="002B6565" w:rsidP="002B6565">
      <w:pPr>
        <w:pStyle w:val="a5"/>
        <w:spacing w:after="0" w:line="240" w:lineRule="auto"/>
        <w:ind w:left="0" w:firstLine="851"/>
        <w:jc w:val="both"/>
      </w:pPr>
      <w:r w:rsidRPr="00B22433">
        <w:t xml:space="preserve">Газета </w:t>
      </w:r>
      <w:r w:rsidR="00D72056">
        <w:t>выходит 1 раз в неделю. Тираж 51</w:t>
      </w:r>
      <w:r w:rsidRPr="00B22433">
        <w:t>0 экземпляров. Учредитель – администрация Гаринского городского округа.</w:t>
      </w:r>
    </w:p>
    <w:p w:rsidR="002B6565" w:rsidRPr="00B22433" w:rsidRDefault="002B6565" w:rsidP="002B6565">
      <w:pPr>
        <w:pStyle w:val="a5"/>
        <w:spacing w:after="0" w:line="240" w:lineRule="auto"/>
        <w:ind w:left="0" w:firstLine="851"/>
        <w:jc w:val="both"/>
      </w:pPr>
      <w:r w:rsidRPr="00B22433">
        <w:t>Тематика материалов: история и действительность</w:t>
      </w:r>
      <w:r w:rsidR="003B1C58">
        <w:t xml:space="preserve"> жизни района, рассказы о </w:t>
      </w:r>
      <w:r w:rsidRPr="00B22433">
        <w:t>достойных</w:t>
      </w:r>
      <w:r w:rsidR="003B1C58">
        <w:t xml:space="preserve"> жителях района</w:t>
      </w:r>
      <w:r w:rsidRPr="00B22433">
        <w:t>, о делах предприятий, общественных образований.</w:t>
      </w:r>
    </w:p>
    <w:p w:rsidR="002B6565" w:rsidRPr="00B22433" w:rsidRDefault="002B6565" w:rsidP="002B6565">
      <w:pPr>
        <w:pStyle w:val="a5"/>
        <w:spacing w:after="0" w:line="240" w:lineRule="auto"/>
        <w:ind w:left="0" w:firstLine="851"/>
        <w:jc w:val="both"/>
      </w:pPr>
      <w:r w:rsidRPr="00B22433">
        <w:t>В газете публикуются официальные сообщения и материалы администрации Гаринского городского округа и Думы Гаринского городского округа.</w:t>
      </w:r>
    </w:p>
    <w:p w:rsidR="00C30470" w:rsidRPr="00B22433" w:rsidRDefault="00C30470" w:rsidP="00C30470">
      <w:pPr>
        <w:pStyle w:val="a5"/>
        <w:ind w:left="1065"/>
        <w:rPr>
          <w:b/>
        </w:rPr>
      </w:pPr>
    </w:p>
    <w:p w:rsidR="00C30470" w:rsidRPr="006B5596" w:rsidRDefault="00C30470" w:rsidP="008B3785">
      <w:pPr>
        <w:pStyle w:val="a5"/>
        <w:numPr>
          <w:ilvl w:val="0"/>
          <w:numId w:val="15"/>
        </w:numPr>
        <w:rPr>
          <w:b/>
        </w:rPr>
      </w:pPr>
      <w:r w:rsidRPr="006B5596">
        <w:rPr>
          <w:b/>
        </w:rPr>
        <w:t>Работа с обращениями граждан, поступившими в адрес администрации</w:t>
      </w:r>
    </w:p>
    <w:p w:rsidR="00C30470" w:rsidRPr="00364BBB" w:rsidRDefault="00C30470" w:rsidP="003F6DB5">
      <w:pPr>
        <w:pStyle w:val="a5"/>
        <w:spacing w:after="0" w:line="240" w:lineRule="auto"/>
        <w:ind w:left="0" w:firstLine="992"/>
        <w:jc w:val="both"/>
        <w:rPr>
          <w:color w:val="C00000"/>
        </w:rPr>
      </w:pPr>
    </w:p>
    <w:p w:rsidR="006B5596" w:rsidRPr="00CF4B7D" w:rsidRDefault="006B5596" w:rsidP="006B5596">
      <w:pPr>
        <w:spacing w:line="240" w:lineRule="auto"/>
        <w:rPr>
          <w:szCs w:val="28"/>
        </w:rPr>
      </w:pPr>
      <w:r>
        <w:rPr>
          <w:szCs w:val="28"/>
        </w:rPr>
        <w:t xml:space="preserve">         </w:t>
      </w:r>
      <w:r w:rsidRPr="00CF4B7D">
        <w:rPr>
          <w:szCs w:val="28"/>
        </w:rPr>
        <w:t xml:space="preserve">В 2014 году в Администрацию Гаринского городского округа поступило 774 обращения граждан,  это на 56% выше, чем в 2013 году(494 обращения). Это связано с тем, что увеличилось количество обращений граждан  по вопросам жилья, строительства, землепользования, местного самоуправления,  коммунального хозяйства и  социального обеспечения. </w:t>
      </w:r>
    </w:p>
    <w:p w:rsidR="006B5596" w:rsidRPr="00CF4B7D" w:rsidRDefault="006B5596" w:rsidP="006B5596">
      <w:pPr>
        <w:spacing w:line="240" w:lineRule="auto"/>
        <w:rPr>
          <w:szCs w:val="28"/>
        </w:rPr>
      </w:pPr>
      <w:r>
        <w:rPr>
          <w:szCs w:val="28"/>
        </w:rPr>
        <w:t xml:space="preserve">          </w:t>
      </w:r>
      <w:r w:rsidRPr="00CF4B7D">
        <w:rPr>
          <w:szCs w:val="28"/>
        </w:rPr>
        <w:t>Статистика письменных обращений граждан выглядит следующим образом:</w:t>
      </w:r>
    </w:p>
    <w:p w:rsidR="006B5596" w:rsidRPr="00CF4B7D" w:rsidRDefault="006B5596" w:rsidP="006B5596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b/>
          <w:i/>
          <w:szCs w:val="28"/>
        </w:rPr>
      </w:pPr>
      <w:r w:rsidRPr="00CF4B7D">
        <w:rPr>
          <w:szCs w:val="28"/>
        </w:rPr>
        <w:t xml:space="preserve">На первом месте обращения, </w:t>
      </w:r>
      <w:r w:rsidRPr="00CF4B7D">
        <w:rPr>
          <w:b/>
          <w:i/>
          <w:szCs w:val="28"/>
        </w:rPr>
        <w:t xml:space="preserve">касающиеся улучшения жилищных условий и предоставления жилья </w:t>
      </w:r>
      <w:r w:rsidRPr="00CF4B7D">
        <w:rPr>
          <w:szCs w:val="28"/>
        </w:rPr>
        <w:t>– 513 обращений и составляют 66,28 % (в 2013 году поступило 242 обращений по данной тематике, что составляло 45,83 %);</w:t>
      </w:r>
    </w:p>
    <w:p w:rsidR="006B5596" w:rsidRPr="00CF4B7D" w:rsidRDefault="006B5596" w:rsidP="006B5596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b/>
          <w:i/>
          <w:szCs w:val="28"/>
        </w:rPr>
      </w:pPr>
      <w:r w:rsidRPr="00CF4B7D">
        <w:rPr>
          <w:szCs w:val="28"/>
        </w:rPr>
        <w:t xml:space="preserve">Вопросы в сфере </w:t>
      </w:r>
      <w:r w:rsidRPr="00CF4B7D">
        <w:rPr>
          <w:b/>
          <w:i/>
          <w:szCs w:val="28"/>
        </w:rPr>
        <w:t xml:space="preserve">землепользования </w:t>
      </w:r>
      <w:r w:rsidRPr="00CF4B7D">
        <w:rPr>
          <w:szCs w:val="28"/>
        </w:rPr>
        <w:t>составили 9,43% от общего количества,  поступило 73 обращения (в 2013 году было зафиксировано 114 обращений);</w:t>
      </w:r>
    </w:p>
    <w:p w:rsidR="006B5596" w:rsidRPr="00CF4B7D" w:rsidRDefault="006B5596" w:rsidP="006B5596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b/>
          <w:i/>
          <w:szCs w:val="28"/>
        </w:rPr>
      </w:pPr>
      <w:r w:rsidRPr="00CF4B7D">
        <w:rPr>
          <w:szCs w:val="28"/>
        </w:rPr>
        <w:t xml:space="preserve">Вопросы сферы </w:t>
      </w:r>
      <w:r w:rsidRPr="00CF4B7D">
        <w:rPr>
          <w:b/>
          <w:i/>
          <w:szCs w:val="28"/>
        </w:rPr>
        <w:t xml:space="preserve">жилищно-коммунального хозяйства </w:t>
      </w:r>
      <w:r w:rsidRPr="00CF4B7D">
        <w:rPr>
          <w:szCs w:val="28"/>
        </w:rPr>
        <w:t>– 49 обращений и составляют 6,33 % от общего количества обращений (в 2013 году вопросы ЖКХ  составляли 9,85%);</w:t>
      </w:r>
    </w:p>
    <w:p w:rsidR="006B5596" w:rsidRPr="00CF4B7D" w:rsidRDefault="006B5596" w:rsidP="006B5596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b/>
          <w:i/>
          <w:szCs w:val="28"/>
        </w:rPr>
      </w:pPr>
      <w:r w:rsidRPr="00CF4B7D">
        <w:rPr>
          <w:szCs w:val="28"/>
        </w:rPr>
        <w:t>На четвертом месте находятся вопросы по строительству, в 2014 году было зафиксировано  46 обращений, что составляет 5,94% от общего количества обращений;</w:t>
      </w:r>
    </w:p>
    <w:p w:rsidR="006B5596" w:rsidRPr="00CF4B7D" w:rsidRDefault="006B5596" w:rsidP="006B5596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b/>
          <w:i/>
          <w:szCs w:val="28"/>
        </w:rPr>
      </w:pPr>
      <w:r w:rsidRPr="00CF4B7D">
        <w:rPr>
          <w:szCs w:val="28"/>
        </w:rPr>
        <w:t xml:space="preserve">Обращения граждан по вопросам местного самоуправления- 33 обращения, что составило в 2014 году 4,26% от общего количества обращений;   </w:t>
      </w:r>
    </w:p>
    <w:p w:rsidR="006B5596" w:rsidRPr="00CF4B7D" w:rsidRDefault="006B5596" w:rsidP="006B5596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b/>
          <w:i/>
          <w:szCs w:val="28"/>
        </w:rPr>
      </w:pPr>
      <w:r w:rsidRPr="00CF4B7D">
        <w:rPr>
          <w:szCs w:val="28"/>
        </w:rPr>
        <w:t xml:space="preserve">Вопросы, касающиеся </w:t>
      </w:r>
      <w:r w:rsidRPr="00CF4B7D">
        <w:rPr>
          <w:b/>
          <w:i/>
          <w:szCs w:val="28"/>
        </w:rPr>
        <w:t>социального обеспечения</w:t>
      </w:r>
      <w:r w:rsidRPr="00CF4B7D">
        <w:rPr>
          <w:szCs w:val="28"/>
        </w:rPr>
        <w:t>, где приоритетной остается тематика «оказание материальной помощи». В 2014году поступило 33 обращения  по вопросам социальной помощи, это составило 4,26% от общего количества обращений  (в 2013 году было 22 обращения, или  4,17 % от общего количества).</w:t>
      </w:r>
    </w:p>
    <w:p w:rsidR="006B5596" w:rsidRPr="00CF4B7D" w:rsidRDefault="006B5596" w:rsidP="006B5596">
      <w:pPr>
        <w:spacing w:line="240" w:lineRule="auto"/>
        <w:rPr>
          <w:szCs w:val="28"/>
        </w:rPr>
      </w:pPr>
      <w:proofErr w:type="gramStart"/>
      <w:r w:rsidRPr="00CF4B7D">
        <w:rPr>
          <w:szCs w:val="28"/>
        </w:rPr>
        <w:t>Уровень исполнительской дисциплины по исполнению ответов на обращения граждан достигнут</w:t>
      </w:r>
      <w:proofErr w:type="gramEnd"/>
      <w:r w:rsidRPr="00CF4B7D">
        <w:rPr>
          <w:szCs w:val="28"/>
        </w:rPr>
        <w:t xml:space="preserve"> 100 процентов. </w:t>
      </w:r>
    </w:p>
    <w:p w:rsidR="00C30470" w:rsidRDefault="00C30470" w:rsidP="008808A4"/>
    <w:p w:rsidR="00E94B99" w:rsidRDefault="00E94B99" w:rsidP="008808A4"/>
    <w:p w:rsidR="00E94B99" w:rsidRPr="00B22433" w:rsidRDefault="00E94B99" w:rsidP="008808A4">
      <w:r>
        <w:t xml:space="preserve">Глава Гаринского городского округа                                       А.Г. Лыжин </w:t>
      </w:r>
    </w:p>
    <w:sectPr w:rsidR="00E94B99" w:rsidRPr="00B22433" w:rsidSect="000510B5">
      <w:footerReference w:type="default" r:id="rId10"/>
      <w:pgSz w:w="11906" w:h="16838"/>
      <w:pgMar w:top="709" w:right="425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D6" w:rsidRDefault="005661D6" w:rsidP="005F12AE">
      <w:pPr>
        <w:spacing w:after="0" w:line="240" w:lineRule="auto"/>
      </w:pPr>
      <w:r>
        <w:separator/>
      </w:r>
    </w:p>
  </w:endnote>
  <w:endnote w:type="continuationSeparator" w:id="0">
    <w:p w:rsidR="005661D6" w:rsidRDefault="005661D6" w:rsidP="005F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10259"/>
      <w:docPartObj>
        <w:docPartGallery w:val="Page Numbers (Bottom of Page)"/>
        <w:docPartUnique/>
      </w:docPartObj>
    </w:sdtPr>
    <w:sdtEndPr/>
    <w:sdtContent>
      <w:p w:rsidR="00F768BE" w:rsidRDefault="00F768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6A">
          <w:rPr>
            <w:noProof/>
          </w:rPr>
          <w:t>2</w:t>
        </w:r>
        <w:r>
          <w:fldChar w:fldCharType="end"/>
        </w:r>
      </w:p>
    </w:sdtContent>
  </w:sdt>
  <w:p w:rsidR="00F768BE" w:rsidRDefault="00F768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D6" w:rsidRDefault="005661D6" w:rsidP="005F12AE">
      <w:pPr>
        <w:spacing w:after="0" w:line="240" w:lineRule="auto"/>
      </w:pPr>
      <w:r>
        <w:separator/>
      </w:r>
    </w:p>
  </w:footnote>
  <w:footnote w:type="continuationSeparator" w:id="0">
    <w:p w:rsidR="005661D6" w:rsidRDefault="005661D6" w:rsidP="005F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1C19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2">
    <w:nsid w:val="00C66603"/>
    <w:multiLevelType w:val="hybridMultilevel"/>
    <w:tmpl w:val="C7D84FB0"/>
    <w:lvl w:ilvl="0" w:tplc="80F483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73F21C2"/>
    <w:multiLevelType w:val="hybridMultilevel"/>
    <w:tmpl w:val="847877F6"/>
    <w:lvl w:ilvl="0" w:tplc="3E4AED3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6710D"/>
    <w:multiLevelType w:val="multilevel"/>
    <w:tmpl w:val="8552067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2682D7B"/>
    <w:multiLevelType w:val="hybridMultilevel"/>
    <w:tmpl w:val="E6DE5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107BD3"/>
    <w:multiLevelType w:val="hybridMultilevel"/>
    <w:tmpl w:val="FB9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E2DC3"/>
    <w:multiLevelType w:val="hybridMultilevel"/>
    <w:tmpl w:val="A4886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538AE"/>
    <w:multiLevelType w:val="multilevel"/>
    <w:tmpl w:val="5EF2FAC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CEF437D"/>
    <w:multiLevelType w:val="multilevel"/>
    <w:tmpl w:val="8CC4A7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4F15293A"/>
    <w:multiLevelType w:val="hybridMultilevel"/>
    <w:tmpl w:val="A17461BA"/>
    <w:lvl w:ilvl="0" w:tplc="3E4AED3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74C4C"/>
    <w:multiLevelType w:val="hybridMultilevel"/>
    <w:tmpl w:val="02D4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B3BA4"/>
    <w:multiLevelType w:val="hybridMultilevel"/>
    <w:tmpl w:val="230493E4"/>
    <w:lvl w:ilvl="0" w:tplc="32987B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B184899"/>
    <w:multiLevelType w:val="hybridMultilevel"/>
    <w:tmpl w:val="823A7AEC"/>
    <w:lvl w:ilvl="0" w:tplc="BDB8AF0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C6E67"/>
    <w:multiLevelType w:val="multilevel"/>
    <w:tmpl w:val="5916370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*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06"/>
    <w:rsid w:val="000017D9"/>
    <w:rsid w:val="00005A91"/>
    <w:rsid w:val="0001243E"/>
    <w:rsid w:val="00013349"/>
    <w:rsid w:val="000204B6"/>
    <w:rsid w:val="00023030"/>
    <w:rsid w:val="0003735B"/>
    <w:rsid w:val="00041CB4"/>
    <w:rsid w:val="000510B5"/>
    <w:rsid w:val="000553DE"/>
    <w:rsid w:val="00057942"/>
    <w:rsid w:val="000602AC"/>
    <w:rsid w:val="00064DA8"/>
    <w:rsid w:val="0006570F"/>
    <w:rsid w:val="00065922"/>
    <w:rsid w:val="000710E3"/>
    <w:rsid w:val="000724A9"/>
    <w:rsid w:val="00073A54"/>
    <w:rsid w:val="000816B2"/>
    <w:rsid w:val="000825E9"/>
    <w:rsid w:val="0009404C"/>
    <w:rsid w:val="000954EF"/>
    <w:rsid w:val="000976BA"/>
    <w:rsid w:val="00097EED"/>
    <w:rsid w:val="000A00B1"/>
    <w:rsid w:val="000A4E3B"/>
    <w:rsid w:val="000B65BE"/>
    <w:rsid w:val="000B7FBF"/>
    <w:rsid w:val="000D276D"/>
    <w:rsid w:val="000D30B1"/>
    <w:rsid w:val="000D5E73"/>
    <w:rsid w:val="000D715A"/>
    <w:rsid w:val="000E075E"/>
    <w:rsid w:val="000E2981"/>
    <w:rsid w:val="000F4B4D"/>
    <w:rsid w:val="000F5E9B"/>
    <w:rsid w:val="000F6C3B"/>
    <w:rsid w:val="00101B1F"/>
    <w:rsid w:val="00101F70"/>
    <w:rsid w:val="00105414"/>
    <w:rsid w:val="00105E23"/>
    <w:rsid w:val="00107491"/>
    <w:rsid w:val="001145EE"/>
    <w:rsid w:val="0011715C"/>
    <w:rsid w:val="001217DA"/>
    <w:rsid w:val="00122417"/>
    <w:rsid w:val="0012243B"/>
    <w:rsid w:val="0012609E"/>
    <w:rsid w:val="00135BBE"/>
    <w:rsid w:val="00135C31"/>
    <w:rsid w:val="00141EBE"/>
    <w:rsid w:val="0015087E"/>
    <w:rsid w:val="00151F3C"/>
    <w:rsid w:val="001535EF"/>
    <w:rsid w:val="00161874"/>
    <w:rsid w:val="001654CA"/>
    <w:rsid w:val="00173172"/>
    <w:rsid w:val="00176078"/>
    <w:rsid w:val="00180C9E"/>
    <w:rsid w:val="00190232"/>
    <w:rsid w:val="001919BA"/>
    <w:rsid w:val="001945D3"/>
    <w:rsid w:val="001A3AA1"/>
    <w:rsid w:val="001A5AE3"/>
    <w:rsid w:val="001B441E"/>
    <w:rsid w:val="001B44AB"/>
    <w:rsid w:val="001B61CC"/>
    <w:rsid w:val="001C1E1F"/>
    <w:rsid w:val="001C3B49"/>
    <w:rsid w:val="001D380F"/>
    <w:rsid w:val="001D6E88"/>
    <w:rsid w:val="001E5E6C"/>
    <w:rsid w:val="001F0A8B"/>
    <w:rsid w:val="001F500D"/>
    <w:rsid w:val="001F61D1"/>
    <w:rsid w:val="00211CEB"/>
    <w:rsid w:val="00215E79"/>
    <w:rsid w:val="00232ACA"/>
    <w:rsid w:val="00236536"/>
    <w:rsid w:val="00240C4C"/>
    <w:rsid w:val="002425DC"/>
    <w:rsid w:val="00246161"/>
    <w:rsid w:val="002517CC"/>
    <w:rsid w:val="00254F1A"/>
    <w:rsid w:val="00272A8B"/>
    <w:rsid w:val="00272CC1"/>
    <w:rsid w:val="002739F7"/>
    <w:rsid w:val="00284BF7"/>
    <w:rsid w:val="00290498"/>
    <w:rsid w:val="00290856"/>
    <w:rsid w:val="00291E78"/>
    <w:rsid w:val="0029680F"/>
    <w:rsid w:val="00297515"/>
    <w:rsid w:val="002A2DAD"/>
    <w:rsid w:val="002A56FD"/>
    <w:rsid w:val="002A6EB2"/>
    <w:rsid w:val="002B3E95"/>
    <w:rsid w:val="002B6565"/>
    <w:rsid w:val="002B749C"/>
    <w:rsid w:val="002C167B"/>
    <w:rsid w:val="002C6CA6"/>
    <w:rsid w:val="002D1D12"/>
    <w:rsid w:val="002D23D3"/>
    <w:rsid w:val="002D71D3"/>
    <w:rsid w:val="002D7D7F"/>
    <w:rsid w:val="00302E75"/>
    <w:rsid w:val="00303FD4"/>
    <w:rsid w:val="0030472F"/>
    <w:rsid w:val="00307692"/>
    <w:rsid w:val="00323FC1"/>
    <w:rsid w:val="003252AB"/>
    <w:rsid w:val="003263B3"/>
    <w:rsid w:val="00331BE0"/>
    <w:rsid w:val="00331F77"/>
    <w:rsid w:val="00332E33"/>
    <w:rsid w:val="003368B7"/>
    <w:rsid w:val="00340916"/>
    <w:rsid w:val="00351312"/>
    <w:rsid w:val="00355716"/>
    <w:rsid w:val="00357991"/>
    <w:rsid w:val="00360F61"/>
    <w:rsid w:val="0036499C"/>
    <w:rsid w:val="00364BBB"/>
    <w:rsid w:val="00372695"/>
    <w:rsid w:val="00372D34"/>
    <w:rsid w:val="00373E19"/>
    <w:rsid w:val="003764B7"/>
    <w:rsid w:val="00386376"/>
    <w:rsid w:val="0039022E"/>
    <w:rsid w:val="00397615"/>
    <w:rsid w:val="003B1C58"/>
    <w:rsid w:val="003B2D98"/>
    <w:rsid w:val="003B4247"/>
    <w:rsid w:val="003B5537"/>
    <w:rsid w:val="003B571B"/>
    <w:rsid w:val="003C2E9B"/>
    <w:rsid w:val="003C72D6"/>
    <w:rsid w:val="003D163A"/>
    <w:rsid w:val="003F2EC5"/>
    <w:rsid w:val="003F3F7B"/>
    <w:rsid w:val="003F3F8B"/>
    <w:rsid w:val="003F4CFA"/>
    <w:rsid w:val="003F6DB5"/>
    <w:rsid w:val="003F7464"/>
    <w:rsid w:val="0040148A"/>
    <w:rsid w:val="004106C1"/>
    <w:rsid w:val="00412E22"/>
    <w:rsid w:val="0041572A"/>
    <w:rsid w:val="00416A4D"/>
    <w:rsid w:val="00417D75"/>
    <w:rsid w:val="00424994"/>
    <w:rsid w:val="00431AC5"/>
    <w:rsid w:val="004408E8"/>
    <w:rsid w:val="00447888"/>
    <w:rsid w:val="00455ADF"/>
    <w:rsid w:val="00456EC3"/>
    <w:rsid w:val="0047549F"/>
    <w:rsid w:val="00485FEB"/>
    <w:rsid w:val="00492AE4"/>
    <w:rsid w:val="004A1309"/>
    <w:rsid w:val="004A36EA"/>
    <w:rsid w:val="004A67CE"/>
    <w:rsid w:val="004C5593"/>
    <w:rsid w:val="004D5925"/>
    <w:rsid w:val="004E14D4"/>
    <w:rsid w:val="004F08E8"/>
    <w:rsid w:val="004F3AB7"/>
    <w:rsid w:val="004F6377"/>
    <w:rsid w:val="005112E4"/>
    <w:rsid w:val="0051294C"/>
    <w:rsid w:val="0052415B"/>
    <w:rsid w:val="00537F54"/>
    <w:rsid w:val="0054187D"/>
    <w:rsid w:val="00550DDD"/>
    <w:rsid w:val="00551DFF"/>
    <w:rsid w:val="0055347B"/>
    <w:rsid w:val="00556427"/>
    <w:rsid w:val="005606CA"/>
    <w:rsid w:val="0056110A"/>
    <w:rsid w:val="005661D6"/>
    <w:rsid w:val="0057122B"/>
    <w:rsid w:val="00574ACB"/>
    <w:rsid w:val="005760F3"/>
    <w:rsid w:val="00577A1B"/>
    <w:rsid w:val="00586916"/>
    <w:rsid w:val="00592E94"/>
    <w:rsid w:val="005B140E"/>
    <w:rsid w:val="005B2E7F"/>
    <w:rsid w:val="005C636C"/>
    <w:rsid w:val="005C7A71"/>
    <w:rsid w:val="005D2C4D"/>
    <w:rsid w:val="005D371A"/>
    <w:rsid w:val="005E28AA"/>
    <w:rsid w:val="005E7554"/>
    <w:rsid w:val="005F12AE"/>
    <w:rsid w:val="005F2F30"/>
    <w:rsid w:val="005F2FE2"/>
    <w:rsid w:val="0060047E"/>
    <w:rsid w:val="00625811"/>
    <w:rsid w:val="00630A30"/>
    <w:rsid w:val="006475F7"/>
    <w:rsid w:val="00653E22"/>
    <w:rsid w:val="0065633A"/>
    <w:rsid w:val="00657B76"/>
    <w:rsid w:val="00672D4A"/>
    <w:rsid w:val="00674CE7"/>
    <w:rsid w:val="00675D82"/>
    <w:rsid w:val="006770E9"/>
    <w:rsid w:val="00677D88"/>
    <w:rsid w:val="006856E2"/>
    <w:rsid w:val="0068581A"/>
    <w:rsid w:val="0069008D"/>
    <w:rsid w:val="00696016"/>
    <w:rsid w:val="006A619C"/>
    <w:rsid w:val="006B5596"/>
    <w:rsid w:val="006C73A3"/>
    <w:rsid w:val="006E0191"/>
    <w:rsid w:val="006E1C75"/>
    <w:rsid w:val="006E5031"/>
    <w:rsid w:val="006E64FB"/>
    <w:rsid w:val="006E7F23"/>
    <w:rsid w:val="006F2161"/>
    <w:rsid w:val="006F43C3"/>
    <w:rsid w:val="006F5CF0"/>
    <w:rsid w:val="0070021F"/>
    <w:rsid w:val="00703C6A"/>
    <w:rsid w:val="00712B89"/>
    <w:rsid w:val="0071423B"/>
    <w:rsid w:val="00714E78"/>
    <w:rsid w:val="007165DE"/>
    <w:rsid w:val="00717DCA"/>
    <w:rsid w:val="007203BE"/>
    <w:rsid w:val="007332A9"/>
    <w:rsid w:val="0073390F"/>
    <w:rsid w:val="00737175"/>
    <w:rsid w:val="00744610"/>
    <w:rsid w:val="007447A4"/>
    <w:rsid w:val="007453A6"/>
    <w:rsid w:val="00746849"/>
    <w:rsid w:val="00754B60"/>
    <w:rsid w:val="00755594"/>
    <w:rsid w:val="0075674F"/>
    <w:rsid w:val="00760CFE"/>
    <w:rsid w:val="00763790"/>
    <w:rsid w:val="00763E7C"/>
    <w:rsid w:val="007645E6"/>
    <w:rsid w:val="007659EC"/>
    <w:rsid w:val="00772FA4"/>
    <w:rsid w:val="00777328"/>
    <w:rsid w:val="00782EEB"/>
    <w:rsid w:val="007878F1"/>
    <w:rsid w:val="00790540"/>
    <w:rsid w:val="00793F0C"/>
    <w:rsid w:val="00797171"/>
    <w:rsid w:val="007B5FE3"/>
    <w:rsid w:val="007C0FC8"/>
    <w:rsid w:val="007C3925"/>
    <w:rsid w:val="007C3955"/>
    <w:rsid w:val="007C7277"/>
    <w:rsid w:val="007D4013"/>
    <w:rsid w:val="007D5B5F"/>
    <w:rsid w:val="007E0E71"/>
    <w:rsid w:val="007E4C42"/>
    <w:rsid w:val="007E6EA0"/>
    <w:rsid w:val="007F656C"/>
    <w:rsid w:val="00807617"/>
    <w:rsid w:val="008119C7"/>
    <w:rsid w:val="00812399"/>
    <w:rsid w:val="00823907"/>
    <w:rsid w:val="008265E6"/>
    <w:rsid w:val="00827284"/>
    <w:rsid w:val="00830D0B"/>
    <w:rsid w:val="00831C87"/>
    <w:rsid w:val="0083452C"/>
    <w:rsid w:val="008471C5"/>
    <w:rsid w:val="008640EF"/>
    <w:rsid w:val="00874CAD"/>
    <w:rsid w:val="008808A4"/>
    <w:rsid w:val="00883FAF"/>
    <w:rsid w:val="00890EC5"/>
    <w:rsid w:val="00894383"/>
    <w:rsid w:val="008A3819"/>
    <w:rsid w:val="008B1494"/>
    <w:rsid w:val="008B3785"/>
    <w:rsid w:val="008B4D48"/>
    <w:rsid w:val="008C728E"/>
    <w:rsid w:val="008D0617"/>
    <w:rsid w:val="008D3E71"/>
    <w:rsid w:val="008D76C7"/>
    <w:rsid w:val="008E09FC"/>
    <w:rsid w:val="008F00C6"/>
    <w:rsid w:val="008F3FA4"/>
    <w:rsid w:val="008F669F"/>
    <w:rsid w:val="0090547B"/>
    <w:rsid w:val="00907803"/>
    <w:rsid w:val="00920A90"/>
    <w:rsid w:val="00927675"/>
    <w:rsid w:val="00931988"/>
    <w:rsid w:val="009366C2"/>
    <w:rsid w:val="00937E5F"/>
    <w:rsid w:val="009416DD"/>
    <w:rsid w:val="00946379"/>
    <w:rsid w:val="00950B0A"/>
    <w:rsid w:val="009525C3"/>
    <w:rsid w:val="00953DBD"/>
    <w:rsid w:val="00957A58"/>
    <w:rsid w:val="00966046"/>
    <w:rsid w:val="00971374"/>
    <w:rsid w:val="00977708"/>
    <w:rsid w:val="009868DC"/>
    <w:rsid w:val="00986A5A"/>
    <w:rsid w:val="00992510"/>
    <w:rsid w:val="00994D0C"/>
    <w:rsid w:val="00996DDF"/>
    <w:rsid w:val="009A4640"/>
    <w:rsid w:val="009B17EA"/>
    <w:rsid w:val="009B4D23"/>
    <w:rsid w:val="009B7574"/>
    <w:rsid w:val="009C585E"/>
    <w:rsid w:val="009C5F29"/>
    <w:rsid w:val="009D17FA"/>
    <w:rsid w:val="009D2B25"/>
    <w:rsid w:val="009F2930"/>
    <w:rsid w:val="009F4A24"/>
    <w:rsid w:val="00A00783"/>
    <w:rsid w:val="00A01A98"/>
    <w:rsid w:val="00A03CD1"/>
    <w:rsid w:val="00A12F4B"/>
    <w:rsid w:val="00A13342"/>
    <w:rsid w:val="00A1558A"/>
    <w:rsid w:val="00A16397"/>
    <w:rsid w:val="00A35A8D"/>
    <w:rsid w:val="00A524CF"/>
    <w:rsid w:val="00A556B8"/>
    <w:rsid w:val="00A56181"/>
    <w:rsid w:val="00A66856"/>
    <w:rsid w:val="00A67870"/>
    <w:rsid w:val="00A704DA"/>
    <w:rsid w:val="00A77E31"/>
    <w:rsid w:val="00A80D29"/>
    <w:rsid w:val="00A832F8"/>
    <w:rsid w:val="00A87FCB"/>
    <w:rsid w:val="00A963D7"/>
    <w:rsid w:val="00AA3A8E"/>
    <w:rsid w:val="00AA652B"/>
    <w:rsid w:val="00AA7BA1"/>
    <w:rsid w:val="00AA7CF4"/>
    <w:rsid w:val="00AB7024"/>
    <w:rsid w:val="00AB7CC5"/>
    <w:rsid w:val="00AC4133"/>
    <w:rsid w:val="00AC449B"/>
    <w:rsid w:val="00AC5088"/>
    <w:rsid w:val="00AC6BE0"/>
    <w:rsid w:val="00AD2925"/>
    <w:rsid w:val="00AD4E3B"/>
    <w:rsid w:val="00AD75E2"/>
    <w:rsid w:val="00AD7C97"/>
    <w:rsid w:val="00AE59D9"/>
    <w:rsid w:val="00AE6B08"/>
    <w:rsid w:val="00B14A72"/>
    <w:rsid w:val="00B22433"/>
    <w:rsid w:val="00B22B3C"/>
    <w:rsid w:val="00B359B5"/>
    <w:rsid w:val="00B60C66"/>
    <w:rsid w:val="00B6585A"/>
    <w:rsid w:val="00B7246C"/>
    <w:rsid w:val="00B8254A"/>
    <w:rsid w:val="00B8771A"/>
    <w:rsid w:val="00BC00D9"/>
    <w:rsid w:val="00BD1076"/>
    <w:rsid w:val="00BD2806"/>
    <w:rsid w:val="00BD36D5"/>
    <w:rsid w:val="00BD6591"/>
    <w:rsid w:val="00BD6E7A"/>
    <w:rsid w:val="00BE589E"/>
    <w:rsid w:val="00BF2BEF"/>
    <w:rsid w:val="00BF5E8C"/>
    <w:rsid w:val="00BF6665"/>
    <w:rsid w:val="00C0311E"/>
    <w:rsid w:val="00C13ACF"/>
    <w:rsid w:val="00C179B0"/>
    <w:rsid w:val="00C30470"/>
    <w:rsid w:val="00C37FC1"/>
    <w:rsid w:val="00C61CE9"/>
    <w:rsid w:val="00C71292"/>
    <w:rsid w:val="00C90FFF"/>
    <w:rsid w:val="00C95DA1"/>
    <w:rsid w:val="00C96D26"/>
    <w:rsid w:val="00CB78A1"/>
    <w:rsid w:val="00CC4861"/>
    <w:rsid w:val="00CD0EDE"/>
    <w:rsid w:val="00CE05A6"/>
    <w:rsid w:val="00CF5540"/>
    <w:rsid w:val="00CF6B01"/>
    <w:rsid w:val="00D1167A"/>
    <w:rsid w:val="00D1257F"/>
    <w:rsid w:val="00D31B69"/>
    <w:rsid w:val="00D43252"/>
    <w:rsid w:val="00D51F6C"/>
    <w:rsid w:val="00D544DB"/>
    <w:rsid w:val="00D57FA6"/>
    <w:rsid w:val="00D61583"/>
    <w:rsid w:val="00D66FBC"/>
    <w:rsid w:val="00D72056"/>
    <w:rsid w:val="00D73B82"/>
    <w:rsid w:val="00D7482F"/>
    <w:rsid w:val="00D76E15"/>
    <w:rsid w:val="00DA227C"/>
    <w:rsid w:val="00DA2D91"/>
    <w:rsid w:val="00DA397C"/>
    <w:rsid w:val="00DB1E18"/>
    <w:rsid w:val="00DB2FBC"/>
    <w:rsid w:val="00DB36E0"/>
    <w:rsid w:val="00DC41BE"/>
    <w:rsid w:val="00DC50A1"/>
    <w:rsid w:val="00DC70A4"/>
    <w:rsid w:val="00DD54E8"/>
    <w:rsid w:val="00DF008C"/>
    <w:rsid w:val="00DF16EC"/>
    <w:rsid w:val="00DF2522"/>
    <w:rsid w:val="00DF2639"/>
    <w:rsid w:val="00DF3191"/>
    <w:rsid w:val="00E24306"/>
    <w:rsid w:val="00E25E40"/>
    <w:rsid w:val="00E32547"/>
    <w:rsid w:val="00E34B54"/>
    <w:rsid w:val="00E37BE6"/>
    <w:rsid w:val="00E47451"/>
    <w:rsid w:val="00E64A3F"/>
    <w:rsid w:val="00E70616"/>
    <w:rsid w:val="00E725CC"/>
    <w:rsid w:val="00E74594"/>
    <w:rsid w:val="00E8225C"/>
    <w:rsid w:val="00E94B99"/>
    <w:rsid w:val="00E95B84"/>
    <w:rsid w:val="00EA2896"/>
    <w:rsid w:val="00EA7276"/>
    <w:rsid w:val="00EB1CC6"/>
    <w:rsid w:val="00EB1F8D"/>
    <w:rsid w:val="00EB38D4"/>
    <w:rsid w:val="00EB7C26"/>
    <w:rsid w:val="00EC1B42"/>
    <w:rsid w:val="00EC3356"/>
    <w:rsid w:val="00EC36E4"/>
    <w:rsid w:val="00ED13F8"/>
    <w:rsid w:val="00ED441C"/>
    <w:rsid w:val="00ED51A4"/>
    <w:rsid w:val="00EE3EBD"/>
    <w:rsid w:val="00EE4DCD"/>
    <w:rsid w:val="00EE5C44"/>
    <w:rsid w:val="00EE7587"/>
    <w:rsid w:val="00EF373E"/>
    <w:rsid w:val="00EF6545"/>
    <w:rsid w:val="00EF6FD5"/>
    <w:rsid w:val="00F00064"/>
    <w:rsid w:val="00F0320F"/>
    <w:rsid w:val="00F123C5"/>
    <w:rsid w:val="00F16DE4"/>
    <w:rsid w:val="00F21B61"/>
    <w:rsid w:val="00F232CE"/>
    <w:rsid w:val="00F41242"/>
    <w:rsid w:val="00F41813"/>
    <w:rsid w:val="00F425D4"/>
    <w:rsid w:val="00F4475F"/>
    <w:rsid w:val="00F53322"/>
    <w:rsid w:val="00F6373D"/>
    <w:rsid w:val="00F67AFB"/>
    <w:rsid w:val="00F742F3"/>
    <w:rsid w:val="00F74C3C"/>
    <w:rsid w:val="00F768BE"/>
    <w:rsid w:val="00F83FF6"/>
    <w:rsid w:val="00F94435"/>
    <w:rsid w:val="00F949CF"/>
    <w:rsid w:val="00FB1EAD"/>
    <w:rsid w:val="00FB4CB9"/>
    <w:rsid w:val="00FC321B"/>
    <w:rsid w:val="00FC32FA"/>
    <w:rsid w:val="00FD5CFB"/>
    <w:rsid w:val="00FE21C7"/>
    <w:rsid w:val="00FF00BD"/>
    <w:rsid w:val="00FF18A7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470"/>
    <w:pPr>
      <w:ind w:left="720"/>
      <w:contextualSpacing/>
    </w:pPr>
  </w:style>
  <w:style w:type="paragraph" w:styleId="a6">
    <w:name w:val="footer"/>
    <w:basedOn w:val="a"/>
    <w:link w:val="a7"/>
    <w:uiPriority w:val="99"/>
    <w:rsid w:val="007C39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C3925"/>
    <w:rPr>
      <w:rFonts w:eastAsia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E95B84"/>
  </w:style>
  <w:style w:type="character" w:customStyle="1" w:styleId="a9">
    <w:name w:val="Основной текст Знак"/>
    <w:basedOn w:val="a0"/>
    <w:link w:val="aa"/>
    <w:rsid w:val="00372695"/>
    <w:rPr>
      <w:rFonts w:cs="Times New Roman"/>
      <w:spacing w:val="10"/>
      <w:sz w:val="18"/>
      <w:szCs w:val="18"/>
      <w:shd w:val="clear" w:color="auto" w:fill="FFFFFF"/>
    </w:rPr>
  </w:style>
  <w:style w:type="paragraph" w:styleId="aa">
    <w:name w:val="Body Text"/>
    <w:basedOn w:val="a"/>
    <w:link w:val="a9"/>
    <w:rsid w:val="00372695"/>
    <w:pPr>
      <w:widowControl w:val="0"/>
      <w:shd w:val="clear" w:color="auto" w:fill="FFFFFF"/>
      <w:spacing w:before="180" w:after="60" w:line="240" w:lineRule="atLeast"/>
    </w:pPr>
    <w:rPr>
      <w:rFonts w:cs="Times New Roman"/>
      <w:spacing w:val="10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372695"/>
  </w:style>
  <w:style w:type="paragraph" w:styleId="ab">
    <w:name w:val="header"/>
    <w:basedOn w:val="a"/>
    <w:link w:val="ac"/>
    <w:uiPriority w:val="99"/>
    <w:unhideWhenUsed/>
    <w:rsid w:val="005F1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2AE"/>
  </w:style>
  <w:style w:type="paragraph" w:customStyle="1" w:styleId="ad">
    <w:name w:val="Документ ИКСО"/>
    <w:basedOn w:val="a"/>
    <w:rsid w:val="00CB78A1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470"/>
    <w:pPr>
      <w:ind w:left="720"/>
      <w:contextualSpacing/>
    </w:pPr>
  </w:style>
  <w:style w:type="paragraph" w:styleId="a6">
    <w:name w:val="footer"/>
    <w:basedOn w:val="a"/>
    <w:link w:val="a7"/>
    <w:uiPriority w:val="99"/>
    <w:rsid w:val="007C39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C3925"/>
    <w:rPr>
      <w:rFonts w:eastAsia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E95B84"/>
  </w:style>
  <w:style w:type="character" w:customStyle="1" w:styleId="a9">
    <w:name w:val="Основной текст Знак"/>
    <w:basedOn w:val="a0"/>
    <w:link w:val="aa"/>
    <w:rsid w:val="00372695"/>
    <w:rPr>
      <w:rFonts w:cs="Times New Roman"/>
      <w:spacing w:val="10"/>
      <w:sz w:val="18"/>
      <w:szCs w:val="18"/>
      <w:shd w:val="clear" w:color="auto" w:fill="FFFFFF"/>
    </w:rPr>
  </w:style>
  <w:style w:type="paragraph" w:styleId="aa">
    <w:name w:val="Body Text"/>
    <w:basedOn w:val="a"/>
    <w:link w:val="a9"/>
    <w:rsid w:val="00372695"/>
    <w:pPr>
      <w:widowControl w:val="0"/>
      <w:shd w:val="clear" w:color="auto" w:fill="FFFFFF"/>
      <w:spacing w:before="180" w:after="60" w:line="240" w:lineRule="atLeast"/>
    </w:pPr>
    <w:rPr>
      <w:rFonts w:cs="Times New Roman"/>
      <w:spacing w:val="10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372695"/>
  </w:style>
  <w:style w:type="paragraph" w:styleId="ab">
    <w:name w:val="header"/>
    <w:basedOn w:val="a"/>
    <w:link w:val="ac"/>
    <w:uiPriority w:val="99"/>
    <w:unhideWhenUsed/>
    <w:rsid w:val="005F1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12AE"/>
  </w:style>
  <w:style w:type="paragraph" w:customStyle="1" w:styleId="ad">
    <w:name w:val="Документ ИКСО"/>
    <w:basedOn w:val="a"/>
    <w:rsid w:val="00CB78A1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3FC9-4EC3-4ED2-B810-D57AFCFA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11717</Words>
  <Characters>66791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РГППУ</Company>
  <LinksUpToDate>false</LinksUpToDate>
  <CharactersWithSpaces>78352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Хозяин</cp:lastModifiedBy>
  <cp:revision>2</cp:revision>
  <cp:lastPrinted>2015-06-10T12:40:00Z</cp:lastPrinted>
  <dcterms:created xsi:type="dcterms:W3CDTF">2018-10-17T06:31:00Z</dcterms:created>
  <dcterms:modified xsi:type="dcterms:W3CDTF">2018-10-17T06:31:00Z</dcterms:modified>
</cp:coreProperties>
</file>