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6E4D8B" w:rsidRDefault="006E4D8B" w:rsidP="00BF097A">
      <w:pPr>
        <w:tabs>
          <w:tab w:val="left" w:pos="0"/>
        </w:tabs>
        <w:spacing w:after="0" w:line="240" w:lineRule="auto"/>
        <w:jc w:val="center"/>
        <w:rPr>
          <w:rFonts w:ascii="Times New Roman" w:hAnsi="Times New Roman" w:cs="Times New Roman"/>
          <w:b/>
          <w:color w:val="C00000"/>
          <w:sz w:val="36"/>
          <w:szCs w:val="36"/>
        </w:rPr>
      </w:pPr>
    </w:p>
    <w:p w:rsidR="006E4D8B" w:rsidRDefault="006E4D8B" w:rsidP="00BF097A">
      <w:pPr>
        <w:tabs>
          <w:tab w:val="left" w:pos="0"/>
        </w:tabs>
        <w:spacing w:after="0" w:line="240" w:lineRule="auto"/>
        <w:jc w:val="center"/>
        <w:rPr>
          <w:rFonts w:ascii="Times New Roman" w:hAnsi="Times New Roman" w:cs="Times New Roman"/>
          <w:b/>
          <w:color w:val="C00000"/>
          <w:sz w:val="36"/>
          <w:szCs w:val="36"/>
        </w:rPr>
      </w:pPr>
      <w:r>
        <w:rPr>
          <w:rFonts w:ascii="Times New Roman" w:hAnsi="Times New Roman" w:cs="Times New Roman"/>
          <w:b/>
          <w:noProof/>
          <w:color w:val="C00000"/>
          <w:sz w:val="36"/>
          <w:szCs w:val="36"/>
        </w:rPr>
        <w:drawing>
          <wp:inline distT="0" distB="0" distL="0" distR="0">
            <wp:extent cx="1009650" cy="1209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09650" cy="1209675"/>
                    </a:xfrm>
                    <a:prstGeom prst="rect">
                      <a:avLst/>
                    </a:prstGeom>
                    <a:noFill/>
                    <a:ln w="9525">
                      <a:noFill/>
                      <a:miter lim="800000"/>
                      <a:headEnd/>
                      <a:tailEnd/>
                    </a:ln>
                  </pic:spPr>
                </pic:pic>
              </a:graphicData>
            </a:graphic>
          </wp:inline>
        </w:drawing>
      </w:r>
    </w:p>
    <w:p w:rsidR="006E4D8B" w:rsidRDefault="006E4D8B" w:rsidP="006E4D8B">
      <w:pPr>
        <w:tabs>
          <w:tab w:val="left" w:pos="0"/>
        </w:tabs>
        <w:spacing w:after="0" w:line="240" w:lineRule="auto"/>
        <w:rPr>
          <w:rFonts w:ascii="Times New Roman" w:hAnsi="Times New Roman" w:cs="Times New Roman"/>
          <w:b/>
          <w:color w:val="C00000"/>
          <w:sz w:val="36"/>
          <w:szCs w:val="36"/>
        </w:rPr>
      </w:pPr>
    </w:p>
    <w:p w:rsidR="00BF097A" w:rsidRDefault="00BF097A" w:rsidP="00BF097A">
      <w:pPr>
        <w:tabs>
          <w:tab w:val="left" w:pos="0"/>
        </w:tabs>
        <w:spacing w:after="0" w:line="240" w:lineRule="auto"/>
        <w:jc w:val="center"/>
        <w:rPr>
          <w:rFonts w:ascii="Times New Roman" w:hAnsi="Times New Roman" w:cs="Times New Roman"/>
          <w:b/>
          <w:color w:val="C00000"/>
          <w:sz w:val="36"/>
          <w:szCs w:val="36"/>
        </w:rPr>
      </w:pPr>
      <w:r w:rsidRPr="00BF097A">
        <w:rPr>
          <w:rFonts w:ascii="Times New Roman" w:hAnsi="Times New Roman" w:cs="Times New Roman"/>
          <w:b/>
          <w:color w:val="C00000"/>
          <w:sz w:val="36"/>
          <w:szCs w:val="36"/>
        </w:rPr>
        <w:t>Памятка по правилам оборота гражданского оружия на территорииРоссийской Федерации</w:t>
      </w:r>
    </w:p>
    <w:p w:rsidR="00BF097A" w:rsidRPr="00BF097A" w:rsidRDefault="00BF097A" w:rsidP="00BF097A">
      <w:pPr>
        <w:tabs>
          <w:tab w:val="left" w:pos="0"/>
        </w:tabs>
        <w:spacing w:after="0" w:line="240" w:lineRule="auto"/>
        <w:jc w:val="center"/>
        <w:rPr>
          <w:rFonts w:ascii="Times New Roman" w:hAnsi="Times New Roman" w:cs="Times New Roman"/>
          <w:b/>
          <w:color w:val="C00000"/>
          <w:sz w:val="36"/>
          <w:szCs w:val="36"/>
        </w:rPr>
      </w:pP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Порядок хранения, ношения, транспортирования и использования гражданского оружия на территории Российской Федерации определяется:</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Федеральным законом  от 13 декабря 1996 года «Об оружии»  №150-ФЗ   (далее - Законом);</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правилами оборота гражданского и служебного оружия и патронов к нему на территории Российской Федерации, утвержденными постановлением Правительства Российской Федерации от 21 июля 1998 года №814(далее Правил).</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w:t>
      </w:r>
    </w:p>
    <w:p w:rsidR="00BF097A" w:rsidRPr="00D96DA7" w:rsidRDefault="00BF097A" w:rsidP="00BF097A">
      <w:pPr>
        <w:pStyle w:val="a3"/>
        <w:numPr>
          <w:ilvl w:val="0"/>
          <w:numId w:val="1"/>
        </w:numPr>
        <w:spacing w:after="0" w:line="240" w:lineRule="auto"/>
        <w:jc w:val="both"/>
        <w:rPr>
          <w:rFonts w:ascii="Times New Roman" w:hAnsi="Times New Roman" w:cs="Times New Roman"/>
          <w:b/>
          <w:sz w:val="28"/>
          <w:szCs w:val="28"/>
        </w:rPr>
      </w:pPr>
      <w:bookmarkStart w:id="0" w:name="_GoBack"/>
      <w:bookmarkEnd w:id="0"/>
      <w:r w:rsidRPr="00D96DA7">
        <w:rPr>
          <w:rFonts w:ascii="Times New Roman" w:hAnsi="Times New Roman" w:cs="Times New Roman"/>
          <w:b/>
          <w:sz w:val="28"/>
          <w:szCs w:val="28"/>
        </w:rPr>
        <w:t>Порядок хранения гражданского оружия:</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В соответствии со статьей 22  Закона  хранение гражданского  оружия и патронов к нему разрешается  гражданам, получившим в органах внутренних дел разрешения на хранение и ношение оружия. Хранение гражданского оружия, которое приобретается без лицензии и регистрация которого в органах внутренних дел не требуется, осуществляется без разрешения на хранение оружия. Гражданское  оружие должно храниться в условиях, обеспечивающих его сохранность, безопасность хранения и исключающих доступ к нему посторонних лиц. Гражданам запрещается хранение и использование найденного ими или переданного им огнестрельного оружия, собственниками которого они не являются, за исключением случаев, установленных Законом. Такое оружие подлежит немедленной сдаче в органы внутренних дел.</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xml:space="preserve">В случае смерти владельца оружия, лицам, совместно с ним проживавшим необходимо так же  незамедлительно проинформировать орган внутренних дел по месту регистрации оружия для принятия решения о его передаче на временное хранение. В соответствии со статьей 27 Закона оружие и патроны к нему, изъятые в связи со смертью собственника, находятся на хранении в органе внутренних дел до решения вопроса о наследовании имущества и получении права на владение оружием либо до отчуждения оружия, но не более одного года. По истечении одного года органом внутренних дел принимаются установленные </w:t>
      </w:r>
      <w:r w:rsidRPr="00D81931">
        <w:rPr>
          <w:rFonts w:ascii="Times New Roman" w:hAnsi="Times New Roman" w:cs="Times New Roman"/>
          <w:sz w:val="28"/>
          <w:szCs w:val="28"/>
        </w:rPr>
        <w:lastRenderedPageBreak/>
        <w:t>гражданским законодательством меры по принудительному отчуждению указанных оружия и патронов к нему.</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Пунктом 59 Правил так же определено, что принадлежащие гражданам Российской Федерации оружие и патроны должны храниться по месту их проживания с соблюдением условий, обеспечивающих их сохранность, безопасность хранения и исключающих доступ к ним посторонних лиц, в запирающихся на замок сейфах или металлических шкафах, ящиках из высокопрочных материалов либо в деревянных ящиках, обитых железом. </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Хранение оружия и патронов гражданами Российской Федерации в местах временного пребывания должно осуществляться с соблюдением условий, исключающих доступ к оружию посторонних лиц.</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Граждане Российской Федерации, являющиеся членами спортивных стрелковых обществ и клубов, могут хранить принадлежащее им оружие и патроны на спортивных стрелково-стендовых объектах по месту проведения тренировочных стрельб и соревнований.</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Согласно статьи 13 Закона в случае изменения места жительства гражданин Российской Федерации обязан в двухнедельный срок со дня регистрации по новому месту жительства обратиться в соответствующий орган внутренних дел с заявлением о постановке на учет принадлежащего ему оружия.</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За незаконное хранение нарезного охотничьего оружия предусматривается уголовная ответственность, гладкоствольного охотничьего оружия и огнестрельного оружия ограниченного поражения – административная ответственность. </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w:t>
      </w:r>
    </w:p>
    <w:p w:rsidR="00BF097A" w:rsidRPr="00D81931" w:rsidRDefault="00BF097A" w:rsidP="00BF097A">
      <w:pPr>
        <w:spacing w:after="0" w:line="240" w:lineRule="auto"/>
        <w:ind w:firstLine="709"/>
        <w:jc w:val="both"/>
        <w:rPr>
          <w:rFonts w:ascii="Times New Roman" w:hAnsi="Times New Roman" w:cs="Times New Roman"/>
          <w:b/>
          <w:sz w:val="28"/>
          <w:szCs w:val="28"/>
        </w:rPr>
      </w:pPr>
      <w:r w:rsidRPr="00D81931">
        <w:rPr>
          <w:rFonts w:ascii="Times New Roman" w:hAnsi="Times New Roman" w:cs="Times New Roman"/>
          <w:b/>
          <w:sz w:val="28"/>
          <w:szCs w:val="28"/>
        </w:rPr>
        <w:t>2. Порядок  применения, ношения и использования гражданского оружия:</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В соответствии со статьей 24  Закона  граждане Российской Федерации могут применять имеющееся у них на законных основаниях оружие для защиты жизни, здоровья и собственности в состоянии необходимой обороны или крайней необходимости.</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Применению оружия должно предшествовать четко выраженное предупреждение об этом лица, против которого применяется оружие, 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 При этом применение оружия в состоянии необходимой обороны не должно причинить вред третьим лицам.</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Запрещается применять огнестрельное оружие в отношении женщин,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 О каждом случае применения оружия владелец оружия обязан незамедлительно, но не позднее суток, сообщить в орган внутренних дел по месту применения оружия.</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lastRenderedPageBreak/>
        <w:t>Лицам, владеющим на законном основании оружием и имеющим право на его ношение, запрещается иметь при себе оружие во время участия в собраниях, митингах, демонстрациях, шествиях, пикетировании, религиозных обрядах и церемониях, культурно-развлекательных, спортивных и иных публичных мероприятиях, за исключением лиц, принимающих непосредственное участие в спортивных мероприятиях с использованием спортивного оружия, казаков, участвующих в собраниях казачьих обществ, религиозных обрядах и церемониях, культурно-развлекательныхмероприятиях, связанных с ношением казачьей формы, лиц, участвующих в религиозных обрядах и церемониях, культурно-развлекательных мероприятиях, связанных с ношением национального костюма, в местностях, где ношение клинкового холодного оружия является принадлежностью такого костюма, а также лиц, уполномоченных организатором определенного публичного мероприятия обеспечивать общественный порядок и безопасность граждан, соблюдение законности при его проведении. Организаторы культурно-развлекательных и спортивных мероприятий вправе осуществлять временное хранение принадлежащего гражданам оружия в соответствии с настоящим Федеральным законом.</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Запрещается обнажение оружия в случае, если отсутствуют основания для его применения, предусмотренные частью первой статьи 24 Закона (за исключением случаев, предусмотренных законодательством Российской Федерации).</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В соответствии с пунктом 62 Правил ношение оружия осуществляется на основании выданных органами внутренних дел лицензий либо разрешений на хранение и ношение конкретных видов, типов и моделей оружия.</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Порядок ношения гражданами Российской Федерации охотничьего и спортивного оружия определен подпунктом «г» пункта 62 Правил: «Во время охоты, проведения спортивных мероприятий, тренировочных и учебных стрельб».</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Согласно пункта 63 Правил, ношение огнестрельного длинноствольного оружия осуществляется в расчехленном состоянии, со снаряженным магазином или барабаном, поставленным на предохранитель, а огнестрельного короткоствольного оружия - в кобуре в аналогичном виде.</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Досылание патрона в патронник разрешается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В ходе проведения охоты или спортивных мероприятий заряжание оружия осуществляется в порядке, определенном соответствующими правилами.</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xml:space="preserve">Так же в соответствии с пунктом 67  Правил, при ношении оружия владелец обязан иметь при себе документы, удостоверяющие их личность (паспорт или служебное удостоверение, военный или охотничий </w:t>
      </w:r>
      <w:r w:rsidRPr="00D81931">
        <w:rPr>
          <w:rFonts w:ascii="Times New Roman" w:hAnsi="Times New Roman" w:cs="Times New Roman"/>
          <w:sz w:val="28"/>
          <w:szCs w:val="28"/>
        </w:rPr>
        <w:lastRenderedPageBreak/>
        <w:t>билет и т.п.), а также выданные органами внутренних дел лицензию либо разрешение на хранение и ношение имеющегося у них оружия.</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На основании пункта 2.1 статьи 6 Закона на территории Российской Федерации запрещается ношение и перевозка в границах населенных пунктов пневматического оружия в заряженном или снаряженном состоянии, а также использование такого оружия в границах населенных пунктов вне помещений и участков местности, специально приспособленных для спортивной стрельбы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и согласованными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w:t>
      </w:r>
    </w:p>
    <w:p w:rsidR="00BF097A" w:rsidRPr="00D81931" w:rsidRDefault="00BF097A" w:rsidP="00BF097A">
      <w:pPr>
        <w:spacing w:after="0" w:line="240" w:lineRule="auto"/>
        <w:ind w:firstLine="709"/>
        <w:jc w:val="both"/>
        <w:rPr>
          <w:rFonts w:ascii="Times New Roman" w:hAnsi="Times New Roman" w:cs="Times New Roman"/>
          <w:b/>
          <w:sz w:val="28"/>
          <w:szCs w:val="28"/>
        </w:rPr>
      </w:pPr>
      <w:r w:rsidRPr="00D81931">
        <w:rPr>
          <w:rFonts w:ascii="Times New Roman" w:hAnsi="Times New Roman" w:cs="Times New Roman"/>
          <w:b/>
          <w:sz w:val="28"/>
          <w:szCs w:val="28"/>
        </w:rPr>
        <w:t>3.Транспортирование гражданского оружия:</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В соответствии с пунктом 77  Правил  граждане Российской Федерации осуществляют транспортирование оружия в количестве не более 5 единиц и патронов не более 400 штук на основании разрешений органов внутренних дел на хранение или хранение и ношение соответствующих видов, типов и моделей оружия либо лицензий на их приобретение, коллекционирование или экспонирование.</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Транспортирование принадлежащего гражданам оружия осуществляется в чехлах, кобурах или специальных футлярах.</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Транспортирование оружия и патронов в количестве, превышающем указанные нормы, осуществляется гражданами Российской Федерации в порядке, предусмотренном для юридических лиц, который определен пунктом 69 Правил.</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w:t>
      </w:r>
    </w:p>
    <w:p w:rsidR="00BF097A" w:rsidRPr="00D81931" w:rsidRDefault="00BF097A" w:rsidP="00BF097A">
      <w:pPr>
        <w:spacing w:after="0" w:line="240" w:lineRule="auto"/>
        <w:ind w:firstLine="709"/>
        <w:jc w:val="both"/>
        <w:rPr>
          <w:rFonts w:ascii="Times New Roman" w:hAnsi="Times New Roman" w:cs="Times New Roman"/>
          <w:b/>
          <w:sz w:val="28"/>
          <w:szCs w:val="28"/>
        </w:rPr>
      </w:pPr>
      <w:r w:rsidRPr="00D81931">
        <w:rPr>
          <w:rFonts w:ascii="Times New Roman" w:hAnsi="Times New Roman" w:cs="Times New Roman"/>
          <w:b/>
          <w:sz w:val="28"/>
          <w:szCs w:val="28"/>
        </w:rPr>
        <w:t>4.Виды административных наказаний за нарушение правил оборота гражданского оружия, установленные  кодексом об административных правонарушениях Российской Федерации.</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В соответствии:</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с пунктом 4,  статьи 20.8 нарушение правил хранения, ношения или уничтожения оружия и патронов к нему гражданами - 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с пунктом 6, статьи 20.8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 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lastRenderedPageBreak/>
        <w:t>- со статьей 20.9 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 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со статьей 20.10  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органов внутренних дел -</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с пунктом 1 статьи  20.11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 влечет предупреждение или наложение административного штрафа в размере от одной тысячи до трех тысяч рублей;</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с пунктом 1 статьи 20.12 пересылка оружия - влечет наложение административного штрафа в размере от пятисот до одной тысячи рублей с конфискацией оружия или без таковой;</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с пунктом 2 статьи 20.12  нарушение правил перевозки, транспортирования оружия и патронов к нему - влечет наложение административного штрафа в размере от одной тысячи до одной тысячи пятисот рублей;</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 с пунктом 3 статьи 20.12 нарушение правил использования оружия и патронов к нему - 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BF097A"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со статьей  20.13 стрельба из оружия в населенных пунктах и в других не отведенных для этого местах, а равно в отведенных для этого местах с нарушением установленных правил - влечет наложение административного штрафа в размере от двух тысяч до пяти тысяч рублей с конфискацией оружия и патронов к нему либо лишение права на приобретение и хранение или хранение и ношение оружия на срок от одного года до трех лет с конфискацией оружия и патронов к нему.</w:t>
      </w:r>
    </w:p>
    <w:p w:rsidR="006E4D8B" w:rsidRPr="00D81931" w:rsidRDefault="006E4D8B" w:rsidP="00BF097A">
      <w:pPr>
        <w:spacing w:after="0" w:line="240" w:lineRule="auto"/>
        <w:ind w:firstLine="709"/>
        <w:jc w:val="both"/>
        <w:rPr>
          <w:rFonts w:ascii="Times New Roman" w:hAnsi="Times New Roman" w:cs="Times New Roman"/>
          <w:sz w:val="28"/>
          <w:szCs w:val="28"/>
        </w:rPr>
      </w:pPr>
    </w:p>
    <w:p w:rsidR="00BF097A" w:rsidRPr="00D81931" w:rsidRDefault="00BF097A" w:rsidP="00BF097A">
      <w:pPr>
        <w:spacing w:after="0" w:line="240" w:lineRule="auto"/>
        <w:ind w:firstLine="709"/>
        <w:jc w:val="both"/>
        <w:rPr>
          <w:rFonts w:ascii="Times New Roman" w:hAnsi="Times New Roman" w:cs="Times New Roman"/>
          <w:sz w:val="28"/>
          <w:szCs w:val="28"/>
        </w:rPr>
      </w:pPr>
    </w:p>
    <w:p w:rsidR="00BF097A" w:rsidRPr="00D81931" w:rsidRDefault="00BF097A" w:rsidP="00BF097A">
      <w:pPr>
        <w:spacing w:after="0" w:line="240" w:lineRule="auto"/>
        <w:ind w:firstLine="709"/>
        <w:jc w:val="both"/>
        <w:rPr>
          <w:rFonts w:ascii="Times New Roman" w:hAnsi="Times New Roman" w:cs="Times New Roman"/>
          <w:sz w:val="28"/>
          <w:szCs w:val="28"/>
        </w:rPr>
      </w:pPr>
    </w:p>
    <w:p w:rsidR="00BF097A" w:rsidRPr="00D81931" w:rsidRDefault="00BF097A" w:rsidP="00BF097A">
      <w:pPr>
        <w:spacing w:after="0" w:line="240" w:lineRule="auto"/>
        <w:ind w:firstLine="709"/>
        <w:jc w:val="both"/>
        <w:rPr>
          <w:rFonts w:ascii="Times New Roman" w:hAnsi="Times New Roman" w:cs="Times New Roman"/>
          <w:b/>
          <w:sz w:val="28"/>
          <w:szCs w:val="28"/>
        </w:rPr>
      </w:pPr>
      <w:r w:rsidRPr="00D81931">
        <w:rPr>
          <w:rFonts w:ascii="Times New Roman" w:hAnsi="Times New Roman" w:cs="Times New Roman"/>
          <w:b/>
          <w:sz w:val="28"/>
          <w:szCs w:val="28"/>
        </w:rPr>
        <w:lastRenderedPageBreak/>
        <w:t>5. Виды наказаний за незаконный оборот оружия, определяются Уголовным кодексом Российской Федерации.</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В соответствии:</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с пунктом 1 статьи 222</w:t>
      </w:r>
      <w:r>
        <w:rPr>
          <w:rFonts w:ascii="Times New Roman" w:hAnsi="Times New Roman" w:cs="Times New Roman"/>
          <w:sz w:val="28"/>
          <w:szCs w:val="28"/>
        </w:rPr>
        <w:t xml:space="preserve"> Уголовного Кодекса Российской Федерации  (далее – УК РФ)</w:t>
      </w:r>
      <w:r w:rsidRPr="00D81931">
        <w:rPr>
          <w:rFonts w:ascii="Times New Roman" w:hAnsi="Times New Roman" w:cs="Times New Roman"/>
          <w:sz w:val="28"/>
          <w:szCs w:val="28"/>
        </w:rPr>
        <w:t>, </w:t>
      </w:r>
      <w:r>
        <w:rPr>
          <w:rFonts w:ascii="Times New Roman" w:hAnsi="Times New Roman" w:cs="Times New Roman"/>
          <w:sz w:val="28"/>
          <w:szCs w:val="28"/>
        </w:rPr>
        <w:t>н</w:t>
      </w:r>
      <w:r w:rsidRPr="00D81931">
        <w:rPr>
          <w:rFonts w:ascii="Times New Roman" w:hAnsi="Times New Roman" w:cs="Times New Roman"/>
          <w:sz w:val="28"/>
          <w:szCs w:val="28"/>
        </w:rPr>
        <w:t>езаконные приобретение, передача, сбыт хранение, перевозка или ношение огнестрельного оружия, его основных частей, боеприпасов (за исключением гражданскогоогнестрельного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взрывчатых веществ или взрывных устройств - наказываются ограничением свободы насрок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 с пунктом 2 статьи 222  УК РФ те же деяния, совершенные группой лиц по предварительному сговору - наказываются лишением свободы на срок от двух до шести лет;</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с пунктом 3 статьи 222   УК РФ деяния, предусмотренные частями первой или второй</w:t>
      </w:r>
      <w:r>
        <w:rPr>
          <w:rFonts w:ascii="Times New Roman" w:hAnsi="Times New Roman" w:cs="Times New Roman"/>
          <w:sz w:val="28"/>
          <w:szCs w:val="28"/>
        </w:rPr>
        <w:t xml:space="preserve"> </w:t>
      </w:r>
      <w:r w:rsidRPr="00D81931">
        <w:rPr>
          <w:rFonts w:ascii="Times New Roman" w:hAnsi="Times New Roman" w:cs="Times New Roman"/>
          <w:sz w:val="28"/>
          <w:szCs w:val="28"/>
        </w:rPr>
        <w:t>настоящей статьи, совершенные организованной группой -наказываются лишением свободы на срок от пяти до восьми лет;</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с пунктом 4 статьи 222 УК РФ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 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с пунктом 1 статьи 223 УК РФ 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взрывчатых веществ или взрывных устройств -наказываются лишением свободы на срок от трех до пяти лет со штрафом в размере от ста тысяч до двухсот тысяч рублей;</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с пунктом 2 статьи 223 УК РФ те же деяния, совершенные группой лиц по предварительному сговору - наказываются лишением свободы на срок от двух до шести лет;</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с пунктом 3 статьи 223  УК РФ деяния, предусмотренные частями первой или второйнастоящей статьи, совершенные организованной группой -наказываются лишением свободы на срок от пяти до восьми лет;</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lastRenderedPageBreak/>
        <w:t> - с пунктом 4 статьи 223 УК РФ 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-наказываются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 со статьей  224 УК РФ  небрежное хранение огнестрельного оружия, создавшее условия для его использования другим лицом, если это повлекло тяжкие последствия -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BF097A" w:rsidRPr="00D81931" w:rsidRDefault="00BF097A" w:rsidP="00BF097A">
      <w:pPr>
        <w:spacing w:after="0" w:line="240" w:lineRule="auto"/>
        <w:ind w:firstLine="709"/>
        <w:jc w:val="both"/>
        <w:rPr>
          <w:rFonts w:ascii="Times New Roman" w:hAnsi="Times New Roman" w:cs="Times New Roman"/>
          <w:sz w:val="28"/>
          <w:szCs w:val="28"/>
        </w:rPr>
      </w:pPr>
      <w:r w:rsidRPr="00D81931">
        <w:rPr>
          <w:rFonts w:ascii="Times New Roman" w:hAnsi="Times New Roman" w:cs="Times New Roman"/>
          <w:sz w:val="28"/>
          <w:szCs w:val="28"/>
        </w:rPr>
        <w:t>В статьях 222,223,224 Уголовного кодекса Российской Федерации указано, что лицо, добровольно сдавшее предметы, указанные в перечисленных выше статьях освобождается от уголовной ответственности, если в его действиях не содержится иного состава преступления.</w:t>
      </w:r>
    </w:p>
    <w:p w:rsidR="00BF097A" w:rsidRPr="00D81931" w:rsidRDefault="00BF097A" w:rsidP="00BF097A">
      <w:pPr>
        <w:tabs>
          <w:tab w:val="left" w:pos="1879"/>
        </w:tabs>
        <w:spacing w:after="0"/>
        <w:ind w:firstLine="709"/>
        <w:rPr>
          <w:rFonts w:ascii="Times New Roman" w:hAnsi="Times New Roman" w:cs="Times New Roman"/>
          <w:sz w:val="28"/>
          <w:szCs w:val="28"/>
        </w:rPr>
      </w:pPr>
    </w:p>
    <w:p w:rsidR="00BF097A" w:rsidRPr="00BF097A" w:rsidRDefault="00BF097A" w:rsidP="00BF097A">
      <w:pPr>
        <w:tabs>
          <w:tab w:val="left" w:pos="1879"/>
        </w:tabs>
        <w:spacing w:after="0"/>
        <w:jc w:val="center"/>
        <w:rPr>
          <w:rFonts w:ascii="Times New Roman" w:hAnsi="Times New Roman" w:cs="Times New Roman"/>
          <w:b/>
          <w:sz w:val="28"/>
          <w:szCs w:val="28"/>
        </w:rPr>
      </w:pPr>
      <w:r w:rsidRPr="00BF097A">
        <w:rPr>
          <w:rFonts w:ascii="Times New Roman" w:hAnsi="Times New Roman" w:cs="Times New Roman"/>
          <w:b/>
          <w:sz w:val="28"/>
          <w:szCs w:val="28"/>
        </w:rPr>
        <w:t>(информация подготовлена по материалам предоставленными МО МВД России «Серовский»)</w:t>
      </w:r>
    </w:p>
    <w:p w:rsidR="00BF097A" w:rsidRPr="00D81931" w:rsidRDefault="00BF097A" w:rsidP="00BF097A">
      <w:pPr>
        <w:tabs>
          <w:tab w:val="left" w:pos="1879"/>
        </w:tabs>
        <w:spacing w:after="0"/>
        <w:ind w:firstLine="709"/>
        <w:rPr>
          <w:rFonts w:ascii="Times New Roman" w:hAnsi="Times New Roman" w:cs="Times New Roman"/>
          <w:sz w:val="28"/>
          <w:szCs w:val="28"/>
        </w:rPr>
      </w:pPr>
    </w:p>
    <w:p w:rsidR="004B619F" w:rsidRDefault="004B619F"/>
    <w:p w:rsidR="009E3746" w:rsidRDefault="009E3746">
      <w:r>
        <w:rPr>
          <w:noProof/>
        </w:rPr>
        <w:drawing>
          <wp:inline distT="0" distB="0" distL="0" distR="0">
            <wp:extent cx="5753100" cy="20193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753100" cy="2019300"/>
                    </a:xfrm>
                    <a:prstGeom prst="rect">
                      <a:avLst/>
                    </a:prstGeom>
                    <a:noFill/>
                    <a:ln w="9525">
                      <a:noFill/>
                      <a:miter lim="800000"/>
                      <a:headEnd/>
                      <a:tailEnd/>
                    </a:ln>
                  </pic:spPr>
                </pic:pic>
              </a:graphicData>
            </a:graphic>
          </wp:inline>
        </w:drawing>
      </w:r>
    </w:p>
    <w:sectPr w:rsidR="009E3746" w:rsidSect="00BF097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ACF" w:rsidRDefault="005E2ACF" w:rsidP="00BF097A">
      <w:pPr>
        <w:spacing w:after="0" w:line="240" w:lineRule="auto"/>
      </w:pPr>
      <w:r>
        <w:separator/>
      </w:r>
    </w:p>
  </w:endnote>
  <w:endnote w:type="continuationSeparator" w:id="1">
    <w:p w:rsidR="005E2ACF" w:rsidRDefault="005E2ACF" w:rsidP="00BF0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97A" w:rsidRDefault="00BF097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97A" w:rsidRDefault="00BF097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97A" w:rsidRDefault="00BF097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ACF" w:rsidRDefault="005E2ACF" w:rsidP="00BF097A">
      <w:pPr>
        <w:spacing w:after="0" w:line="240" w:lineRule="auto"/>
      </w:pPr>
      <w:r>
        <w:separator/>
      </w:r>
    </w:p>
  </w:footnote>
  <w:footnote w:type="continuationSeparator" w:id="1">
    <w:p w:rsidR="005E2ACF" w:rsidRDefault="005E2ACF" w:rsidP="00BF09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97A" w:rsidRDefault="00BF097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97A" w:rsidRDefault="00BF097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97A" w:rsidRDefault="00BF097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66FF7"/>
    <w:multiLevelType w:val="hybridMultilevel"/>
    <w:tmpl w:val="A7CCBC96"/>
    <w:lvl w:ilvl="0" w:tplc="A148E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hdrShapeDefaults>
    <o:shapedefaults v:ext="edit" spidmax="6146">
      <o:colormenu v:ext="edit" fillcolor="none [665]"/>
    </o:shapedefaults>
  </w:hdrShapeDefaults>
  <w:footnotePr>
    <w:footnote w:id="0"/>
    <w:footnote w:id="1"/>
  </w:footnotePr>
  <w:endnotePr>
    <w:endnote w:id="0"/>
    <w:endnote w:id="1"/>
  </w:endnotePr>
  <w:compat>
    <w:useFELayout/>
  </w:compat>
  <w:rsids>
    <w:rsidRoot w:val="00BF097A"/>
    <w:rsid w:val="001942CE"/>
    <w:rsid w:val="004B619F"/>
    <w:rsid w:val="005E2ACF"/>
    <w:rsid w:val="006E4D8B"/>
    <w:rsid w:val="009E3746"/>
    <w:rsid w:val="00BF0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1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97A"/>
    <w:pPr>
      <w:ind w:left="720"/>
      <w:contextualSpacing/>
    </w:pPr>
    <w:rPr>
      <w:rFonts w:eastAsiaTheme="minorHAnsi"/>
      <w:lang w:eastAsia="en-US"/>
    </w:rPr>
  </w:style>
  <w:style w:type="paragraph" w:styleId="a4">
    <w:name w:val="header"/>
    <w:basedOn w:val="a"/>
    <w:link w:val="a5"/>
    <w:uiPriority w:val="99"/>
    <w:semiHidden/>
    <w:unhideWhenUsed/>
    <w:rsid w:val="00BF097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F097A"/>
  </w:style>
  <w:style w:type="paragraph" w:styleId="a6">
    <w:name w:val="footer"/>
    <w:basedOn w:val="a"/>
    <w:link w:val="a7"/>
    <w:uiPriority w:val="99"/>
    <w:semiHidden/>
    <w:unhideWhenUsed/>
    <w:rsid w:val="00BF097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F097A"/>
  </w:style>
  <w:style w:type="paragraph" w:styleId="a8">
    <w:name w:val="Balloon Text"/>
    <w:basedOn w:val="a"/>
    <w:link w:val="a9"/>
    <w:uiPriority w:val="99"/>
    <w:semiHidden/>
    <w:unhideWhenUsed/>
    <w:rsid w:val="00BF097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097A"/>
    <w:rPr>
      <w:rFonts w:ascii="Tahoma" w:hAnsi="Tahoma" w:cs="Tahoma"/>
      <w:sz w:val="16"/>
      <w:szCs w:val="16"/>
    </w:rPr>
  </w:style>
  <w:style w:type="paragraph" w:styleId="aa">
    <w:name w:val="No Spacing"/>
    <w:link w:val="ab"/>
    <w:uiPriority w:val="1"/>
    <w:qFormat/>
    <w:rsid w:val="00BF097A"/>
    <w:pPr>
      <w:spacing w:after="0" w:line="240" w:lineRule="auto"/>
    </w:pPr>
    <w:rPr>
      <w:lang w:eastAsia="en-US"/>
    </w:rPr>
  </w:style>
  <w:style w:type="character" w:customStyle="1" w:styleId="ab">
    <w:name w:val="Без интервала Знак"/>
    <w:basedOn w:val="a0"/>
    <w:link w:val="aa"/>
    <w:uiPriority w:val="1"/>
    <w:rsid w:val="00BF097A"/>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2450</Words>
  <Characters>13967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dc:creator>
  <cp:keywords/>
  <dc:description/>
  <cp:lastModifiedBy>gari</cp:lastModifiedBy>
  <cp:revision>4</cp:revision>
  <dcterms:created xsi:type="dcterms:W3CDTF">2019-04-02T05:13:00Z</dcterms:created>
  <dcterms:modified xsi:type="dcterms:W3CDTF">2019-04-02T05:31:00Z</dcterms:modified>
</cp:coreProperties>
</file>