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5B" w:rsidRPr="00FF38CD" w:rsidRDefault="00563E5B" w:rsidP="00671F65">
      <w:pPr>
        <w:shd w:val="clear" w:color="auto" w:fill="FFFFFF"/>
        <w:autoSpaceDE w:val="0"/>
        <w:autoSpaceDN w:val="0"/>
        <w:adjustRightInd w:val="0"/>
        <w:ind w:left="5529"/>
      </w:pPr>
      <w:r w:rsidRPr="00FF38CD">
        <w:t>Приложение</w:t>
      </w:r>
      <w:r>
        <w:t xml:space="preserve"> 1</w:t>
      </w:r>
    </w:p>
    <w:p w:rsidR="00563E5B" w:rsidRPr="00FF38CD" w:rsidRDefault="00563E5B" w:rsidP="00671F65">
      <w:pPr>
        <w:shd w:val="clear" w:color="auto" w:fill="FFFFFF"/>
        <w:autoSpaceDE w:val="0"/>
        <w:autoSpaceDN w:val="0"/>
        <w:adjustRightInd w:val="0"/>
        <w:ind w:left="5529"/>
      </w:pPr>
      <w:r w:rsidRPr="00FF38CD">
        <w:t xml:space="preserve">к постановлению администрации </w:t>
      </w:r>
      <w:r w:rsidR="00F22DBF">
        <w:t>Гаринского городского округа Свердловской области</w:t>
      </w:r>
    </w:p>
    <w:p w:rsidR="00563E5B" w:rsidRPr="00FF38CD" w:rsidRDefault="00563E5B" w:rsidP="00671F65">
      <w:pPr>
        <w:ind w:left="5529"/>
        <w:rPr>
          <w:color w:val="000000"/>
          <w:sz w:val="16"/>
          <w:szCs w:val="16"/>
        </w:rPr>
      </w:pPr>
      <w:r w:rsidRPr="00FF38CD">
        <w:t>от</w:t>
      </w:r>
      <w:r w:rsidR="00671F65" w:rsidRPr="00F22DBF">
        <w:t xml:space="preserve"> </w:t>
      </w:r>
      <w:r w:rsidR="00FE1F94">
        <w:t>15.07.2020</w:t>
      </w:r>
      <w:r w:rsidRPr="00FF38CD">
        <w:t xml:space="preserve"> № </w:t>
      </w:r>
      <w:r w:rsidR="00FE1F94">
        <w:t>225</w:t>
      </w:r>
      <w:bookmarkStart w:id="0" w:name="_GoBack"/>
      <w:bookmarkEnd w:id="0"/>
    </w:p>
    <w:p w:rsidR="00563E5B" w:rsidRDefault="00563E5B" w:rsidP="00563E5B"/>
    <w:p w:rsidR="00563E5B" w:rsidRDefault="00563E5B" w:rsidP="003526C9">
      <w:pPr>
        <w:pStyle w:val="21"/>
        <w:numPr>
          <w:ilvl w:val="0"/>
          <w:numId w:val="1"/>
        </w:numPr>
        <w:jc w:val="center"/>
        <w:rPr>
          <w:rStyle w:val="23"/>
          <w:szCs w:val="28"/>
        </w:rPr>
      </w:pPr>
      <w:bookmarkStart w:id="1" w:name="_Toc23329076"/>
      <w:r w:rsidRPr="00636AD4">
        <w:rPr>
          <w:rStyle w:val="23"/>
          <w:szCs w:val="28"/>
        </w:rPr>
        <w:t>Проект планировки территории. Графическая часть</w:t>
      </w:r>
      <w:bookmarkEnd w:id="1"/>
    </w:p>
    <w:p w:rsidR="003226E4" w:rsidRDefault="00074B26" w:rsidP="00074B26">
      <w:pPr>
        <w:jc w:val="center"/>
        <w:rPr>
          <w:lang w:eastAsia="en-US"/>
        </w:rPr>
      </w:pPr>
      <w:r>
        <w:rPr>
          <w:lang w:eastAsia="en-US"/>
        </w:rPr>
        <w:t>Чертеж границ зон планируемого размещения линейных объектов</w:t>
      </w:r>
    </w:p>
    <w:p w:rsidR="00074B26" w:rsidRDefault="001764E6" w:rsidP="00074B26">
      <w:pPr>
        <w:jc w:val="center"/>
        <w:rPr>
          <w:lang w:eastAsia="en-US"/>
        </w:rPr>
      </w:pPr>
      <w:r>
        <w:rPr>
          <w:lang w:eastAsia="en-US"/>
        </w:rPr>
        <w:t>Свердловская область</w:t>
      </w:r>
      <w:r w:rsidR="00074B26">
        <w:rPr>
          <w:lang w:eastAsia="en-US"/>
        </w:rPr>
        <w:t xml:space="preserve">, </w:t>
      </w:r>
      <w:proofErr w:type="spellStart"/>
      <w:r>
        <w:rPr>
          <w:lang w:eastAsia="en-US"/>
        </w:rPr>
        <w:t>Гаринский</w:t>
      </w:r>
      <w:proofErr w:type="spellEnd"/>
      <w:r>
        <w:rPr>
          <w:lang w:eastAsia="en-US"/>
        </w:rPr>
        <w:t xml:space="preserve"> городской округ</w:t>
      </w:r>
    </w:p>
    <w:p w:rsidR="00074B26" w:rsidRDefault="00074B26" w:rsidP="00074B26">
      <w:pPr>
        <w:jc w:val="center"/>
        <w:rPr>
          <w:lang w:eastAsia="en-US"/>
        </w:rPr>
      </w:pPr>
      <w:r>
        <w:rPr>
          <w:lang w:eastAsia="en-US"/>
        </w:rPr>
        <w:t>Масштаб 1:2000</w:t>
      </w:r>
    </w:p>
    <w:p w:rsidR="00AC2F18" w:rsidRDefault="00AC2F18" w:rsidP="00074B26">
      <w:pPr>
        <w:jc w:val="center"/>
        <w:rPr>
          <w:lang w:eastAsia="en-US"/>
        </w:rPr>
      </w:pPr>
    </w:p>
    <w:p w:rsidR="00C133D2" w:rsidRPr="003226E4" w:rsidRDefault="00C133D2" w:rsidP="00074B26">
      <w:pPr>
        <w:jc w:val="center"/>
        <w:rPr>
          <w:lang w:eastAsia="en-US"/>
        </w:rPr>
      </w:pPr>
      <w:r>
        <w:rPr>
          <w:noProof/>
        </w:rPr>
        <w:drawing>
          <wp:inline distT="0" distB="0" distL="0" distR="0">
            <wp:extent cx="6371818" cy="62714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ом 1.jpg"/>
                    <pic:cNvPicPr/>
                  </pic:nvPicPr>
                  <pic:blipFill rotWithShape="1">
                    <a:blip r:embed="rId9" cstate="print">
                      <a:extLst>
                        <a:ext uri="{28A0092B-C50C-407E-A947-70E740481C1C}">
                          <a14:useLocalDpi xmlns:a14="http://schemas.microsoft.com/office/drawing/2010/main" val="0"/>
                        </a:ext>
                      </a:extLst>
                    </a:blip>
                    <a:srcRect l="11475" t="2291" r="20483" b="2986"/>
                    <a:stretch/>
                  </pic:blipFill>
                  <pic:spPr bwMode="auto">
                    <a:xfrm>
                      <a:off x="0" y="0"/>
                      <a:ext cx="6382179" cy="6281602"/>
                    </a:xfrm>
                    <a:prstGeom prst="rect">
                      <a:avLst/>
                    </a:prstGeom>
                    <a:ln>
                      <a:noFill/>
                    </a:ln>
                    <a:extLst>
                      <a:ext uri="{53640926-AAD7-44D8-BBD7-CCE9431645EC}">
                        <a14:shadowObscured xmlns:a14="http://schemas.microsoft.com/office/drawing/2010/main"/>
                      </a:ext>
                    </a:extLst>
                  </pic:spPr>
                </pic:pic>
              </a:graphicData>
            </a:graphic>
          </wp:inline>
        </w:drawing>
      </w:r>
    </w:p>
    <w:p w:rsidR="003226E4" w:rsidRPr="003226E4" w:rsidRDefault="003226E4" w:rsidP="0002125E">
      <w:pPr>
        <w:jc w:val="center"/>
        <w:rPr>
          <w:lang w:eastAsia="en-US"/>
        </w:rPr>
      </w:pPr>
    </w:p>
    <w:p w:rsidR="003226E4" w:rsidRDefault="003226E4" w:rsidP="003226E4">
      <w:pPr>
        <w:rPr>
          <w:lang w:eastAsia="en-US"/>
        </w:rPr>
      </w:pPr>
      <w:r>
        <w:rPr>
          <w:lang w:eastAsia="en-US"/>
        </w:rPr>
        <w:br w:type="page"/>
      </w:r>
    </w:p>
    <w:p w:rsidR="00C91AF0" w:rsidRDefault="003526C9" w:rsidP="003526C9">
      <w:pPr>
        <w:pStyle w:val="a5"/>
        <w:numPr>
          <w:ilvl w:val="0"/>
          <w:numId w:val="1"/>
        </w:numPr>
        <w:jc w:val="center"/>
        <w:rPr>
          <w:sz w:val="28"/>
          <w:szCs w:val="28"/>
        </w:rPr>
      </w:pPr>
      <w:r w:rsidRPr="003526C9">
        <w:rPr>
          <w:sz w:val="28"/>
          <w:szCs w:val="28"/>
        </w:rPr>
        <w:lastRenderedPageBreak/>
        <w:t>Положение о размещении линейного объекта</w:t>
      </w:r>
    </w:p>
    <w:p w:rsidR="000F7512" w:rsidRDefault="000F7512" w:rsidP="000F7512">
      <w:pPr>
        <w:pStyle w:val="1"/>
        <w:numPr>
          <w:ilvl w:val="0"/>
          <w:numId w:val="0"/>
        </w:numPr>
        <w:spacing w:after="240"/>
        <w:ind w:left="431"/>
        <w:jc w:val="center"/>
        <w:rPr>
          <w:rFonts w:ascii="Times New Roman" w:eastAsia="Times New Roman" w:hAnsi="Times New Roman" w:cs="Times New Roman"/>
          <w:color w:val="000000" w:themeColor="text1"/>
          <w:sz w:val="24"/>
          <w:szCs w:val="24"/>
        </w:rPr>
      </w:pPr>
      <w:bookmarkStart w:id="2" w:name="_Toc23329078"/>
      <w:r w:rsidRPr="000F7512">
        <w:rPr>
          <w:rFonts w:ascii="Times New Roman" w:eastAsia="Times New Roman" w:hAnsi="Times New Roman" w:cs="Times New Roman"/>
          <w:color w:val="000000" w:themeColor="text1"/>
          <w:sz w:val="24"/>
          <w:szCs w:val="24"/>
        </w:rPr>
        <w:t>2.1.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bookmarkEnd w:id="2"/>
    </w:p>
    <w:p w:rsidR="00B107D5" w:rsidRPr="001A263C" w:rsidRDefault="00B107D5" w:rsidP="00B107D5">
      <w:pPr>
        <w:spacing w:line="360" w:lineRule="auto"/>
        <w:ind w:firstLine="709"/>
        <w:jc w:val="both"/>
      </w:pPr>
      <w:r>
        <w:rPr>
          <w:color w:val="000000" w:themeColor="text1"/>
        </w:rPr>
        <w:t xml:space="preserve">Документация по планировке территории, предусматривающей размещение объекта иного значения </w:t>
      </w:r>
      <w:bookmarkStart w:id="3" w:name="_Hlk35422295"/>
      <w:r>
        <w:rPr>
          <w:color w:val="000000" w:themeColor="text1"/>
        </w:rPr>
        <w:t>«</w:t>
      </w:r>
      <w:bookmarkStart w:id="4" w:name="_Hlk35332961"/>
      <w:r>
        <w:t>Карьер № 2 расположенный на участке МН «Сургут - Полоцк» 712 км – 767 км</w:t>
      </w:r>
      <w:bookmarkEnd w:id="4"/>
      <w:r>
        <w:rPr>
          <w:color w:val="000000" w:themeColor="text1"/>
        </w:rPr>
        <w:t>»</w:t>
      </w:r>
      <w:bookmarkEnd w:id="3"/>
      <w:r>
        <w:rPr>
          <w:color w:val="000000" w:themeColor="text1"/>
        </w:rPr>
        <w:t>, выполнена ООО «</w:t>
      </w:r>
      <w:proofErr w:type="spellStart"/>
      <w:r>
        <w:rPr>
          <w:color w:val="000000" w:themeColor="text1"/>
        </w:rPr>
        <w:t>ПурГеоКом</w:t>
      </w:r>
      <w:proofErr w:type="spellEnd"/>
      <w:r>
        <w:rPr>
          <w:color w:val="000000" w:themeColor="text1"/>
        </w:rPr>
        <w:t>» для АО «</w:t>
      </w:r>
      <w:proofErr w:type="spellStart"/>
      <w:r>
        <w:rPr>
          <w:color w:val="000000" w:themeColor="text1"/>
        </w:rPr>
        <w:t>Транснефть</w:t>
      </w:r>
      <w:proofErr w:type="spellEnd"/>
      <w:r>
        <w:rPr>
          <w:color w:val="000000" w:themeColor="text1"/>
        </w:rPr>
        <w:t>-Сибирь».</w:t>
      </w:r>
    </w:p>
    <w:p w:rsidR="00B107D5" w:rsidRPr="00B107D5" w:rsidRDefault="00B107D5" w:rsidP="00B107D5">
      <w:pPr>
        <w:spacing w:line="360" w:lineRule="auto"/>
        <w:ind w:firstLine="709"/>
        <w:jc w:val="both"/>
        <w:rPr>
          <w:color w:val="000000" w:themeColor="text1"/>
        </w:rPr>
      </w:pPr>
      <w:r w:rsidRPr="00B107D5">
        <w:rPr>
          <w:color w:val="000000" w:themeColor="text1"/>
        </w:rPr>
        <w:t xml:space="preserve">Данная документация разработана на основании постановления администрации Гаринского городского округа Свердловской области «О принятии решения о подготовке документации по планировке территории» для линейного объекта: </w:t>
      </w:r>
      <w:r w:rsidRPr="00635722">
        <w:rPr>
          <w:color w:val="000000" w:themeColor="text1"/>
        </w:rPr>
        <w:t>«</w:t>
      </w:r>
      <w:r w:rsidRPr="00B107D5">
        <w:rPr>
          <w:color w:val="000000" w:themeColor="text1"/>
        </w:rPr>
        <w:t>Карьер № 2 расположенный на участке МН «Сургут - Полоцк» 712 км – 767 км</w:t>
      </w:r>
      <w:r w:rsidRPr="00635722">
        <w:rPr>
          <w:color w:val="000000" w:themeColor="text1"/>
        </w:rPr>
        <w:t>» от 20.04.2020 № 112 (в ред. постановления от 27.04.2020 № 128).</w:t>
      </w:r>
    </w:p>
    <w:p w:rsidR="00B107D5" w:rsidRDefault="00B107D5" w:rsidP="00B107D5">
      <w:pPr>
        <w:spacing w:line="360" w:lineRule="auto"/>
        <w:ind w:firstLine="709"/>
        <w:jc w:val="both"/>
      </w:pPr>
      <w:r w:rsidRPr="00B107D5">
        <w:rPr>
          <w:color w:val="000000" w:themeColor="text1"/>
        </w:rPr>
        <w:t>Подготовка проекта планировки территории</w:t>
      </w:r>
      <w:r w:rsidRPr="00251DC7">
        <w:t xml:space="preserve"> осуществляется для выделения элементов планировочной структуры</w:t>
      </w:r>
      <w:r>
        <w:t>, установления параметров планируемого развития элементов планировочной структуры линейного объекта</w:t>
      </w:r>
      <w:r w:rsidRPr="00251DC7">
        <w:t>,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t xml:space="preserve"> </w:t>
      </w:r>
    </w:p>
    <w:p w:rsidR="00B107D5" w:rsidRDefault="00B107D5" w:rsidP="00B107D5">
      <w:pPr>
        <w:spacing w:line="360" w:lineRule="auto"/>
        <w:ind w:firstLine="709"/>
        <w:jc w:val="both"/>
      </w:pPr>
      <w:r w:rsidRPr="00A83360">
        <w:t xml:space="preserve">Линейным объектом является подъездная </w:t>
      </w:r>
      <w:r>
        <w:t>авто</w:t>
      </w:r>
      <w:r w:rsidRPr="00A83360">
        <w:t xml:space="preserve">дорога к карьеру № 2. Планируемый карьер суглинка и глины необходим для реконструкции </w:t>
      </w:r>
      <w:r>
        <w:t>технологического</w:t>
      </w:r>
      <w:r w:rsidRPr="00A83360">
        <w:t xml:space="preserve"> проезда магистрального нефтепровода «</w:t>
      </w:r>
      <w:r w:rsidRPr="00A83360">
        <w:rPr>
          <w:color w:val="000000" w:themeColor="text1"/>
        </w:rPr>
        <w:t>Сургут-Полоцк</w:t>
      </w:r>
      <w:r w:rsidRPr="00A83360">
        <w:t>»</w:t>
      </w:r>
      <w:r>
        <w:t xml:space="preserve"> на участке 712 км – 767 км</w:t>
      </w:r>
      <w:r w:rsidRPr="00A83360">
        <w:t xml:space="preserve">. Проектируемая автодорога к карьеру строительных материалов является подъездной. Автомобильная дорога запроектирована по нормам для дорог V категории. Согласно СП 34.13330.2012 «Автомобильные дороги» таб. 4.1 и 37.13330.2012 актуализированной редакции СНиП 2.05.07-91 «Промышленный транспорт» пункта 7.1, как </w:t>
      </w:r>
      <w:proofErr w:type="spellStart"/>
      <w:r w:rsidRPr="00A83360">
        <w:t>межплощадочная</w:t>
      </w:r>
      <w:proofErr w:type="spellEnd"/>
      <w:r w:rsidRPr="00A83360">
        <w:t xml:space="preserve"> дорога, по назначению - вспомогательная, по срокам использования –</w:t>
      </w:r>
      <w:r>
        <w:t xml:space="preserve"> на 15 лет</w:t>
      </w:r>
      <w:r w:rsidRPr="00AE6F6A">
        <w:t xml:space="preserve"> </w:t>
      </w:r>
      <w:r>
        <w:t>(</w:t>
      </w:r>
      <w:r w:rsidRPr="00A83360">
        <w:t>до окончания действия лицензии</w:t>
      </w:r>
      <w:r>
        <w:t>)</w:t>
      </w:r>
      <w:r w:rsidRPr="00A83360">
        <w:t>, по объему перевозок - с невыраженным грузооборотом.</w:t>
      </w:r>
    </w:p>
    <w:p w:rsidR="00B107D5" w:rsidRDefault="00B107D5" w:rsidP="00B107D5">
      <w:pPr>
        <w:spacing w:line="360" w:lineRule="auto"/>
        <w:ind w:firstLine="709"/>
        <w:jc w:val="both"/>
      </w:pPr>
      <w:r>
        <w:t>Основные технико-экономические характеристики приведены в таблице 1.</w:t>
      </w:r>
    </w:p>
    <w:p w:rsidR="00B107D5" w:rsidRDefault="00B107D5" w:rsidP="00B107D5">
      <w:pPr>
        <w:spacing w:line="360" w:lineRule="auto"/>
        <w:ind w:firstLine="709"/>
        <w:jc w:val="both"/>
      </w:pPr>
      <w:r>
        <w:t>Таблица 1. Основные технико-экономические характеристики линейного объекта.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4433"/>
        <w:gridCol w:w="1422"/>
        <w:gridCol w:w="3114"/>
      </w:tblGrid>
      <w:tr w:rsidR="00B107D5" w:rsidRPr="009D73CC" w:rsidTr="00000356">
        <w:trPr>
          <w:cantSplit/>
          <w:trHeight w:val="725"/>
          <w:tblHeader/>
          <w:jc w:val="center"/>
        </w:trPr>
        <w:tc>
          <w:tcPr>
            <w:tcW w:w="1091" w:type="dxa"/>
            <w:shd w:val="clear" w:color="auto" w:fill="F2F2F2" w:themeFill="background1" w:themeFillShade="F2"/>
          </w:tcPr>
          <w:p w:rsidR="00B107D5" w:rsidRPr="009D73CC" w:rsidRDefault="00B107D5" w:rsidP="00000356">
            <w:pPr>
              <w:jc w:val="center"/>
              <w:rPr>
                <w:b/>
                <w:sz w:val="20"/>
                <w:szCs w:val="20"/>
              </w:rPr>
            </w:pPr>
          </w:p>
          <w:p w:rsidR="00B107D5" w:rsidRPr="009D73CC" w:rsidRDefault="00B107D5" w:rsidP="00000356">
            <w:pPr>
              <w:jc w:val="center"/>
              <w:rPr>
                <w:b/>
                <w:sz w:val="20"/>
                <w:szCs w:val="20"/>
              </w:rPr>
            </w:pPr>
            <w:r w:rsidRPr="009D73CC">
              <w:rPr>
                <w:b/>
                <w:sz w:val="20"/>
                <w:szCs w:val="20"/>
              </w:rPr>
              <w:t>№ п/п</w:t>
            </w:r>
          </w:p>
        </w:tc>
        <w:tc>
          <w:tcPr>
            <w:tcW w:w="4433" w:type="dxa"/>
            <w:shd w:val="clear" w:color="auto" w:fill="F2F2F2" w:themeFill="background1" w:themeFillShade="F2"/>
          </w:tcPr>
          <w:p w:rsidR="00B107D5" w:rsidRPr="009D73CC" w:rsidRDefault="00B107D5" w:rsidP="00000356">
            <w:pPr>
              <w:jc w:val="center"/>
              <w:rPr>
                <w:b/>
                <w:sz w:val="20"/>
                <w:szCs w:val="20"/>
              </w:rPr>
            </w:pPr>
          </w:p>
          <w:p w:rsidR="00B107D5" w:rsidRPr="009D73CC" w:rsidRDefault="00B107D5" w:rsidP="00000356">
            <w:pPr>
              <w:jc w:val="center"/>
              <w:rPr>
                <w:b/>
                <w:sz w:val="20"/>
                <w:szCs w:val="20"/>
              </w:rPr>
            </w:pPr>
            <w:r w:rsidRPr="009D73CC">
              <w:rPr>
                <w:b/>
                <w:sz w:val="20"/>
                <w:szCs w:val="20"/>
              </w:rPr>
              <w:t>Наименование</w:t>
            </w:r>
          </w:p>
          <w:p w:rsidR="00B107D5" w:rsidRPr="009D73CC" w:rsidRDefault="00B107D5" w:rsidP="00000356">
            <w:pPr>
              <w:jc w:val="center"/>
              <w:rPr>
                <w:b/>
                <w:sz w:val="20"/>
                <w:szCs w:val="20"/>
              </w:rPr>
            </w:pPr>
          </w:p>
        </w:tc>
        <w:tc>
          <w:tcPr>
            <w:tcW w:w="1422" w:type="dxa"/>
            <w:shd w:val="clear" w:color="auto" w:fill="F2F2F2" w:themeFill="background1" w:themeFillShade="F2"/>
          </w:tcPr>
          <w:p w:rsidR="00B107D5" w:rsidRPr="009D73CC" w:rsidRDefault="00B107D5" w:rsidP="00000356">
            <w:pPr>
              <w:jc w:val="center"/>
              <w:rPr>
                <w:b/>
                <w:sz w:val="20"/>
                <w:szCs w:val="20"/>
              </w:rPr>
            </w:pPr>
          </w:p>
          <w:p w:rsidR="00B107D5" w:rsidRPr="009D73CC" w:rsidRDefault="00B107D5" w:rsidP="00000356">
            <w:pPr>
              <w:jc w:val="center"/>
              <w:rPr>
                <w:b/>
                <w:sz w:val="20"/>
                <w:szCs w:val="20"/>
              </w:rPr>
            </w:pPr>
            <w:r w:rsidRPr="009D73CC">
              <w:rPr>
                <w:b/>
                <w:sz w:val="20"/>
                <w:szCs w:val="20"/>
              </w:rPr>
              <w:t>Ед. изм.</w:t>
            </w:r>
          </w:p>
        </w:tc>
        <w:tc>
          <w:tcPr>
            <w:tcW w:w="3114" w:type="dxa"/>
            <w:shd w:val="clear" w:color="auto" w:fill="F2F2F2" w:themeFill="background1" w:themeFillShade="F2"/>
          </w:tcPr>
          <w:p w:rsidR="00B107D5" w:rsidRPr="009D73CC" w:rsidRDefault="00B107D5" w:rsidP="00000356">
            <w:pPr>
              <w:jc w:val="center"/>
              <w:rPr>
                <w:b/>
                <w:sz w:val="20"/>
                <w:szCs w:val="20"/>
              </w:rPr>
            </w:pPr>
          </w:p>
          <w:p w:rsidR="00B107D5" w:rsidRPr="009D73CC" w:rsidRDefault="00B107D5" w:rsidP="00000356">
            <w:pPr>
              <w:jc w:val="center"/>
              <w:rPr>
                <w:b/>
                <w:sz w:val="20"/>
                <w:szCs w:val="20"/>
              </w:rPr>
            </w:pPr>
            <w:r w:rsidRPr="009D73CC">
              <w:rPr>
                <w:b/>
                <w:sz w:val="20"/>
                <w:szCs w:val="20"/>
              </w:rPr>
              <w:t>Показатели</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w:t>
            </w:r>
          </w:p>
        </w:tc>
        <w:tc>
          <w:tcPr>
            <w:tcW w:w="4433" w:type="dxa"/>
            <w:vAlign w:val="center"/>
          </w:tcPr>
          <w:p w:rsidR="00B107D5" w:rsidRPr="009D73CC" w:rsidRDefault="00B107D5" w:rsidP="00000356">
            <w:pPr>
              <w:shd w:val="clear" w:color="auto" w:fill="FFFFFF"/>
              <w:ind w:right="-19" w:firstLine="33"/>
              <w:jc w:val="center"/>
              <w:rPr>
                <w:sz w:val="20"/>
                <w:szCs w:val="20"/>
              </w:rPr>
            </w:pPr>
            <w:r w:rsidRPr="009D73CC">
              <w:rPr>
                <w:sz w:val="20"/>
                <w:szCs w:val="20"/>
              </w:rPr>
              <w:t>2</w:t>
            </w:r>
          </w:p>
        </w:tc>
        <w:tc>
          <w:tcPr>
            <w:tcW w:w="1422" w:type="dxa"/>
            <w:vAlign w:val="center"/>
          </w:tcPr>
          <w:p w:rsidR="00B107D5" w:rsidRPr="009D73CC" w:rsidRDefault="00B107D5" w:rsidP="00000356">
            <w:pPr>
              <w:shd w:val="clear" w:color="auto" w:fill="FFFFFF"/>
              <w:ind w:right="-19"/>
              <w:jc w:val="center"/>
              <w:rPr>
                <w:sz w:val="20"/>
                <w:szCs w:val="20"/>
              </w:rPr>
            </w:pPr>
            <w:r w:rsidRPr="009D73CC">
              <w:rPr>
                <w:sz w:val="20"/>
                <w:szCs w:val="20"/>
              </w:rPr>
              <w:t>3</w:t>
            </w:r>
          </w:p>
        </w:tc>
        <w:tc>
          <w:tcPr>
            <w:tcW w:w="3114" w:type="dxa"/>
            <w:vAlign w:val="center"/>
          </w:tcPr>
          <w:p w:rsidR="00B107D5" w:rsidRPr="009D73CC" w:rsidRDefault="00B107D5" w:rsidP="00000356">
            <w:pPr>
              <w:shd w:val="clear" w:color="auto" w:fill="FFFFFF"/>
              <w:ind w:right="-19"/>
              <w:jc w:val="center"/>
              <w:rPr>
                <w:sz w:val="20"/>
                <w:szCs w:val="20"/>
              </w:rPr>
            </w:pPr>
            <w:r w:rsidRPr="009D73CC">
              <w:rPr>
                <w:sz w:val="20"/>
                <w:szCs w:val="20"/>
              </w:rPr>
              <w:t>4</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Вид строительства</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Новое строительство</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2</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Категория дороги (участка)</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 xml:space="preserve">V </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3</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Расчетная интенсивность движения автотранспорта</w:t>
            </w:r>
          </w:p>
        </w:tc>
        <w:tc>
          <w:tcPr>
            <w:tcW w:w="1422" w:type="dxa"/>
            <w:vAlign w:val="center"/>
          </w:tcPr>
          <w:p w:rsidR="00B107D5" w:rsidRPr="009D73CC" w:rsidRDefault="00B107D5" w:rsidP="00000356">
            <w:pPr>
              <w:shd w:val="clear" w:color="auto" w:fill="FFFFFF"/>
              <w:ind w:right="-19"/>
              <w:jc w:val="center"/>
              <w:rPr>
                <w:sz w:val="20"/>
                <w:szCs w:val="20"/>
              </w:rPr>
            </w:pPr>
            <w:r w:rsidRPr="009D73CC">
              <w:rPr>
                <w:sz w:val="20"/>
                <w:szCs w:val="20"/>
              </w:rPr>
              <w:t>Ед. техники в сутки</w:t>
            </w: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50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highlight w:val="yellow"/>
              </w:rPr>
            </w:pPr>
            <w:r w:rsidRPr="009D73CC">
              <w:rPr>
                <w:sz w:val="20"/>
                <w:szCs w:val="20"/>
              </w:rPr>
              <w:t>4</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Длина участка строительства</w:t>
            </w:r>
          </w:p>
        </w:tc>
        <w:tc>
          <w:tcPr>
            <w:tcW w:w="1422" w:type="dxa"/>
            <w:vAlign w:val="center"/>
          </w:tcPr>
          <w:p w:rsidR="00B107D5" w:rsidRPr="009D73CC" w:rsidRDefault="00B107D5" w:rsidP="00000356">
            <w:pPr>
              <w:shd w:val="clear" w:color="auto" w:fill="FFFFFF"/>
              <w:ind w:right="-19"/>
              <w:jc w:val="center"/>
              <w:rPr>
                <w:sz w:val="20"/>
                <w:szCs w:val="20"/>
              </w:rPr>
            </w:pPr>
            <w:r w:rsidRPr="009D73CC">
              <w:rPr>
                <w:sz w:val="20"/>
                <w:szCs w:val="20"/>
              </w:rPr>
              <w:t>м</w:t>
            </w:r>
          </w:p>
        </w:tc>
        <w:tc>
          <w:tcPr>
            <w:tcW w:w="3114" w:type="dxa"/>
            <w:vAlign w:val="center"/>
          </w:tcPr>
          <w:p w:rsidR="00B107D5" w:rsidRPr="009D73CC" w:rsidRDefault="00B107D5" w:rsidP="00000356">
            <w:pPr>
              <w:shd w:val="clear" w:color="auto" w:fill="FFFFFF"/>
              <w:ind w:right="-19" w:firstLine="132"/>
              <w:rPr>
                <w:sz w:val="20"/>
                <w:szCs w:val="20"/>
                <w:lang w:val="en-US"/>
              </w:rPr>
            </w:pPr>
            <w:r w:rsidRPr="009D73CC">
              <w:rPr>
                <w:sz w:val="20"/>
                <w:szCs w:val="20"/>
                <w:lang w:val="en-US"/>
              </w:rPr>
              <w:t>205</w:t>
            </w:r>
            <w:r w:rsidRPr="009D73CC">
              <w:rPr>
                <w:sz w:val="20"/>
                <w:szCs w:val="20"/>
              </w:rPr>
              <w:t>,</w:t>
            </w:r>
            <w:r w:rsidRPr="009D73CC">
              <w:rPr>
                <w:sz w:val="20"/>
                <w:szCs w:val="20"/>
                <w:lang w:val="en-US"/>
              </w:rPr>
              <w:t>95</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lastRenderedPageBreak/>
              <w:t>5</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Расчетная скорость движения транспорта</w:t>
            </w:r>
          </w:p>
        </w:tc>
        <w:tc>
          <w:tcPr>
            <w:tcW w:w="1422" w:type="dxa"/>
            <w:vAlign w:val="center"/>
          </w:tcPr>
          <w:p w:rsidR="00B107D5" w:rsidRPr="009D73CC" w:rsidRDefault="00B107D5" w:rsidP="00000356">
            <w:pPr>
              <w:shd w:val="clear" w:color="auto" w:fill="FFFFFF"/>
              <w:ind w:right="-19"/>
              <w:jc w:val="center"/>
              <w:rPr>
                <w:sz w:val="20"/>
                <w:szCs w:val="20"/>
              </w:rPr>
            </w:pPr>
            <w:r w:rsidRPr="009D73CC">
              <w:rPr>
                <w:sz w:val="20"/>
                <w:szCs w:val="20"/>
              </w:rPr>
              <w:t>км/час</w:t>
            </w: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35</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6</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Ширина земляного полотна</w:t>
            </w:r>
          </w:p>
        </w:tc>
        <w:tc>
          <w:tcPr>
            <w:tcW w:w="1422" w:type="dxa"/>
            <w:vAlign w:val="center"/>
          </w:tcPr>
          <w:p w:rsidR="00B107D5" w:rsidRPr="009D73CC" w:rsidRDefault="00B107D5" w:rsidP="00000356">
            <w:pPr>
              <w:shd w:val="clear" w:color="auto" w:fill="FFFFFF"/>
              <w:ind w:right="-19"/>
              <w:jc w:val="center"/>
              <w:rPr>
                <w:sz w:val="20"/>
                <w:szCs w:val="20"/>
              </w:rPr>
            </w:pPr>
            <w:r w:rsidRPr="009D73CC">
              <w:rPr>
                <w:sz w:val="20"/>
                <w:szCs w:val="20"/>
              </w:rPr>
              <w:t>м</w:t>
            </w: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Не менее 9,0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7</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Ширина проезжей части</w:t>
            </w:r>
          </w:p>
        </w:tc>
        <w:tc>
          <w:tcPr>
            <w:tcW w:w="1422" w:type="dxa"/>
            <w:vAlign w:val="center"/>
          </w:tcPr>
          <w:p w:rsidR="00B107D5" w:rsidRPr="009D73CC" w:rsidRDefault="00B107D5" w:rsidP="00000356">
            <w:pPr>
              <w:shd w:val="clear" w:color="auto" w:fill="FFFFFF"/>
              <w:ind w:right="-19"/>
              <w:jc w:val="center"/>
              <w:rPr>
                <w:sz w:val="20"/>
                <w:szCs w:val="20"/>
              </w:rPr>
            </w:pPr>
            <w:r w:rsidRPr="009D73CC">
              <w:rPr>
                <w:sz w:val="20"/>
                <w:szCs w:val="20"/>
              </w:rPr>
              <w:t>м</w:t>
            </w: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Не менее 6,0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8</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Тип дорожной одежды и вид покрытия</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грунтовая</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9</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Поперечный уклон проезжей части</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color w:val="000000" w:themeColor="text1"/>
                <w:sz w:val="20"/>
                <w:szCs w:val="20"/>
              </w:rPr>
            </w:pPr>
            <w:r w:rsidRPr="009D73CC">
              <w:rPr>
                <w:color w:val="000000" w:themeColor="text1"/>
                <w:sz w:val="20"/>
                <w:szCs w:val="20"/>
              </w:rPr>
              <w:t>30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10</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Поперечный уклон обочин</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color w:val="000000" w:themeColor="text1"/>
                <w:sz w:val="20"/>
                <w:szCs w:val="20"/>
              </w:rPr>
            </w:pPr>
            <w:r w:rsidRPr="009D73CC">
              <w:rPr>
                <w:color w:val="000000" w:themeColor="text1"/>
                <w:sz w:val="20"/>
                <w:szCs w:val="20"/>
              </w:rPr>
              <w:t>50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hanging="10"/>
              <w:jc w:val="center"/>
              <w:rPr>
                <w:sz w:val="20"/>
                <w:szCs w:val="20"/>
              </w:rPr>
            </w:pPr>
            <w:r w:rsidRPr="009D73CC">
              <w:rPr>
                <w:sz w:val="20"/>
                <w:szCs w:val="20"/>
              </w:rPr>
              <w:t>11</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Наибольший продольный уклон</w:t>
            </w:r>
          </w:p>
        </w:tc>
        <w:tc>
          <w:tcPr>
            <w:tcW w:w="1422" w:type="dxa"/>
            <w:vAlign w:val="center"/>
          </w:tcPr>
          <w:p w:rsidR="00B107D5" w:rsidRPr="009D73CC" w:rsidRDefault="00B107D5" w:rsidP="00000356">
            <w:pPr>
              <w:shd w:val="clear" w:color="auto" w:fill="FFFFFF"/>
              <w:ind w:right="-19"/>
              <w:jc w:val="center"/>
              <w:rPr>
                <w:sz w:val="20"/>
                <w:szCs w:val="20"/>
              </w:rPr>
            </w:pPr>
            <w:r w:rsidRPr="009D73CC">
              <w:rPr>
                <w:sz w:val="20"/>
                <w:szCs w:val="20"/>
              </w:rPr>
              <w:t>%</w:t>
            </w: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40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12</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 xml:space="preserve">Наименьшее расстояние видимости </w:t>
            </w:r>
          </w:p>
          <w:p w:rsidR="00B107D5" w:rsidRPr="009D73CC" w:rsidRDefault="00B107D5" w:rsidP="00000356">
            <w:pPr>
              <w:shd w:val="clear" w:color="auto" w:fill="FFFFFF"/>
              <w:ind w:right="-19"/>
              <w:rPr>
                <w:sz w:val="20"/>
                <w:szCs w:val="20"/>
              </w:rPr>
            </w:pPr>
            <w:r w:rsidRPr="009D73CC">
              <w:rPr>
                <w:sz w:val="20"/>
                <w:szCs w:val="20"/>
              </w:rPr>
              <w:t>Поверхности дороги</w:t>
            </w:r>
          </w:p>
          <w:p w:rsidR="00B107D5" w:rsidRPr="009D73CC" w:rsidRDefault="00B107D5" w:rsidP="00000356">
            <w:pPr>
              <w:shd w:val="clear" w:color="auto" w:fill="FFFFFF"/>
              <w:ind w:right="-19"/>
              <w:rPr>
                <w:sz w:val="20"/>
                <w:szCs w:val="20"/>
              </w:rPr>
            </w:pPr>
            <w:r w:rsidRPr="009D73CC">
              <w:rPr>
                <w:sz w:val="20"/>
                <w:szCs w:val="20"/>
              </w:rPr>
              <w:t>Встречного автомобиля</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color w:val="000000" w:themeColor="text1"/>
                <w:sz w:val="20"/>
                <w:szCs w:val="20"/>
              </w:rPr>
            </w:pPr>
          </w:p>
          <w:p w:rsidR="00B107D5" w:rsidRPr="009D73CC" w:rsidRDefault="00B107D5" w:rsidP="00000356">
            <w:pPr>
              <w:shd w:val="clear" w:color="auto" w:fill="FFFFFF"/>
              <w:ind w:right="-19" w:firstLine="132"/>
              <w:rPr>
                <w:color w:val="000000" w:themeColor="text1"/>
                <w:sz w:val="20"/>
                <w:szCs w:val="20"/>
              </w:rPr>
            </w:pPr>
            <w:r w:rsidRPr="009D73CC">
              <w:rPr>
                <w:color w:val="000000" w:themeColor="text1"/>
                <w:sz w:val="20"/>
                <w:szCs w:val="20"/>
              </w:rPr>
              <w:t>75</w:t>
            </w:r>
          </w:p>
          <w:p w:rsidR="00B107D5" w:rsidRPr="009D73CC" w:rsidRDefault="00B107D5" w:rsidP="00000356">
            <w:pPr>
              <w:shd w:val="clear" w:color="auto" w:fill="FFFFFF"/>
              <w:ind w:right="-19" w:firstLine="132"/>
              <w:rPr>
                <w:color w:val="000000" w:themeColor="text1"/>
                <w:sz w:val="20"/>
                <w:szCs w:val="20"/>
              </w:rPr>
            </w:pPr>
            <w:r w:rsidRPr="009D73CC">
              <w:rPr>
                <w:color w:val="000000" w:themeColor="text1"/>
                <w:sz w:val="20"/>
                <w:szCs w:val="20"/>
              </w:rPr>
              <w:t>150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12.1</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 xml:space="preserve">Наименьшие радиусы кривых </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color w:val="000000" w:themeColor="text1"/>
                <w:sz w:val="20"/>
                <w:szCs w:val="20"/>
              </w:rPr>
            </w:pP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12.2</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В плане</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color w:val="000000" w:themeColor="text1"/>
                <w:sz w:val="20"/>
                <w:szCs w:val="20"/>
              </w:rPr>
            </w:pPr>
            <w:r w:rsidRPr="009D73CC">
              <w:rPr>
                <w:color w:val="000000" w:themeColor="text1"/>
                <w:sz w:val="20"/>
                <w:szCs w:val="20"/>
              </w:rPr>
              <w:t>150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12.2.1</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В продольном профиле</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color w:val="000000" w:themeColor="text1"/>
                <w:sz w:val="20"/>
                <w:szCs w:val="20"/>
              </w:rPr>
            </w:pP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12.2.2</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-выпуклые</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color w:val="000000" w:themeColor="text1"/>
                <w:sz w:val="20"/>
                <w:szCs w:val="20"/>
              </w:rPr>
            </w:pPr>
            <w:r w:rsidRPr="009D73CC">
              <w:rPr>
                <w:color w:val="000000" w:themeColor="text1"/>
                <w:sz w:val="20"/>
                <w:szCs w:val="20"/>
              </w:rPr>
              <w:t>1000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13</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-вогнутые</w:t>
            </w:r>
          </w:p>
        </w:tc>
        <w:tc>
          <w:tcPr>
            <w:tcW w:w="1422" w:type="dxa"/>
            <w:vAlign w:val="center"/>
          </w:tcPr>
          <w:p w:rsidR="00B107D5" w:rsidRPr="009D73CC" w:rsidRDefault="00B107D5" w:rsidP="00000356">
            <w:pPr>
              <w:shd w:val="clear" w:color="auto" w:fill="FFFFFF"/>
              <w:ind w:right="-19"/>
              <w:jc w:val="center"/>
              <w:rPr>
                <w:sz w:val="20"/>
                <w:szCs w:val="20"/>
              </w:rPr>
            </w:pPr>
          </w:p>
        </w:tc>
        <w:tc>
          <w:tcPr>
            <w:tcW w:w="3114" w:type="dxa"/>
            <w:vAlign w:val="center"/>
          </w:tcPr>
          <w:p w:rsidR="00B107D5" w:rsidRPr="009D73CC" w:rsidRDefault="00B107D5" w:rsidP="00000356">
            <w:pPr>
              <w:shd w:val="clear" w:color="auto" w:fill="FFFFFF"/>
              <w:ind w:right="-19" w:firstLine="132"/>
              <w:rPr>
                <w:color w:val="000000" w:themeColor="text1"/>
                <w:sz w:val="20"/>
                <w:szCs w:val="20"/>
              </w:rPr>
            </w:pPr>
            <w:r w:rsidRPr="009D73CC">
              <w:rPr>
                <w:color w:val="000000" w:themeColor="text1"/>
                <w:sz w:val="20"/>
                <w:szCs w:val="20"/>
              </w:rPr>
              <w:t>800</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14</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Минимальная высота насыпи</w:t>
            </w:r>
          </w:p>
        </w:tc>
        <w:tc>
          <w:tcPr>
            <w:tcW w:w="1422" w:type="dxa"/>
            <w:vAlign w:val="center"/>
          </w:tcPr>
          <w:p w:rsidR="00B107D5" w:rsidRPr="009D73CC" w:rsidRDefault="00B107D5" w:rsidP="00000356">
            <w:pPr>
              <w:pStyle w:val="a6"/>
              <w:widowControl w:val="0"/>
              <w:shd w:val="clear" w:color="auto" w:fill="FFFFFF"/>
              <w:ind w:right="-19"/>
              <w:rPr>
                <w:sz w:val="20"/>
                <w:szCs w:val="20"/>
              </w:rPr>
            </w:pPr>
            <w:r w:rsidRPr="009D73CC">
              <w:rPr>
                <w:sz w:val="20"/>
                <w:szCs w:val="20"/>
              </w:rPr>
              <w:t>м</w:t>
            </w:r>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Не менее 0,8</w:t>
            </w:r>
          </w:p>
        </w:tc>
      </w:tr>
      <w:tr w:rsidR="00B107D5" w:rsidRPr="009D73CC" w:rsidTr="00000356">
        <w:trPr>
          <w:cantSplit/>
          <w:trHeight w:val="355"/>
          <w:jc w:val="center"/>
        </w:trPr>
        <w:tc>
          <w:tcPr>
            <w:tcW w:w="1091" w:type="dxa"/>
            <w:vAlign w:val="center"/>
          </w:tcPr>
          <w:p w:rsidR="00B107D5" w:rsidRPr="009D73CC" w:rsidRDefault="00B107D5" w:rsidP="00000356">
            <w:pPr>
              <w:shd w:val="clear" w:color="auto" w:fill="FFFFFF"/>
              <w:ind w:right="-19"/>
              <w:jc w:val="center"/>
              <w:rPr>
                <w:sz w:val="20"/>
                <w:szCs w:val="20"/>
              </w:rPr>
            </w:pPr>
            <w:r w:rsidRPr="009D73CC">
              <w:rPr>
                <w:sz w:val="20"/>
                <w:szCs w:val="20"/>
              </w:rPr>
              <w:t>15</w:t>
            </w:r>
          </w:p>
        </w:tc>
        <w:tc>
          <w:tcPr>
            <w:tcW w:w="4433" w:type="dxa"/>
            <w:vAlign w:val="center"/>
          </w:tcPr>
          <w:p w:rsidR="00B107D5" w:rsidRPr="009D73CC" w:rsidRDefault="00B107D5" w:rsidP="00000356">
            <w:pPr>
              <w:shd w:val="clear" w:color="auto" w:fill="FFFFFF"/>
              <w:ind w:right="-19"/>
              <w:rPr>
                <w:sz w:val="20"/>
                <w:szCs w:val="20"/>
              </w:rPr>
            </w:pPr>
            <w:r w:rsidRPr="009D73CC">
              <w:rPr>
                <w:sz w:val="20"/>
                <w:szCs w:val="20"/>
              </w:rPr>
              <w:t>Водопропускная труба</w:t>
            </w:r>
          </w:p>
        </w:tc>
        <w:tc>
          <w:tcPr>
            <w:tcW w:w="1422" w:type="dxa"/>
            <w:vAlign w:val="center"/>
          </w:tcPr>
          <w:p w:rsidR="00B107D5" w:rsidRPr="009D73CC" w:rsidRDefault="00B107D5" w:rsidP="00000356">
            <w:pPr>
              <w:pStyle w:val="a6"/>
              <w:widowControl w:val="0"/>
              <w:shd w:val="clear" w:color="auto" w:fill="FFFFFF"/>
              <w:ind w:right="-19"/>
              <w:rPr>
                <w:sz w:val="20"/>
                <w:szCs w:val="20"/>
              </w:rPr>
            </w:pPr>
            <w:proofErr w:type="spellStart"/>
            <w:r w:rsidRPr="009D73CC">
              <w:rPr>
                <w:sz w:val="20"/>
                <w:szCs w:val="20"/>
              </w:rPr>
              <w:t>шт</w:t>
            </w:r>
            <w:proofErr w:type="spellEnd"/>
          </w:p>
        </w:tc>
        <w:tc>
          <w:tcPr>
            <w:tcW w:w="3114" w:type="dxa"/>
            <w:vAlign w:val="center"/>
          </w:tcPr>
          <w:p w:rsidR="00B107D5" w:rsidRPr="009D73CC" w:rsidRDefault="00B107D5" w:rsidP="00000356">
            <w:pPr>
              <w:shd w:val="clear" w:color="auto" w:fill="FFFFFF"/>
              <w:ind w:right="-19" w:firstLine="132"/>
              <w:rPr>
                <w:sz w:val="20"/>
                <w:szCs w:val="20"/>
              </w:rPr>
            </w:pPr>
            <w:r w:rsidRPr="009D73CC">
              <w:rPr>
                <w:sz w:val="20"/>
                <w:szCs w:val="20"/>
              </w:rPr>
              <w:t>1</w:t>
            </w:r>
          </w:p>
        </w:tc>
      </w:tr>
    </w:tbl>
    <w:p w:rsidR="004952B8" w:rsidRPr="004952B8" w:rsidRDefault="004952B8" w:rsidP="00293DE0">
      <w:pPr>
        <w:pStyle w:val="21"/>
        <w:numPr>
          <w:ilvl w:val="0"/>
          <w:numId w:val="0"/>
        </w:numPr>
        <w:jc w:val="center"/>
        <w:rPr>
          <w:b w:val="0"/>
        </w:rPr>
      </w:pPr>
      <w:bookmarkStart w:id="5" w:name="_Toc23329079"/>
      <w:r w:rsidRPr="004952B8">
        <w:rPr>
          <w:b w:val="0"/>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5"/>
    </w:p>
    <w:p w:rsidR="000F7512" w:rsidRDefault="003113F3" w:rsidP="004952B8">
      <w:pPr>
        <w:spacing w:line="360" w:lineRule="auto"/>
        <w:ind w:firstLine="709"/>
        <w:jc w:val="both"/>
      </w:pPr>
      <w:r>
        <w:t>Граница зоны планируемого размещения линейного объекта «</w:t>
      </w:r>
      <w:sdt>
        <w:sdtPr>
          <w:alias w:val="Тема"/>
          <w:tag w:val=""/>
          <w:id w:val="1917435525"/>
          <w:placeholder>
            <w:docPart w:val="613AE5C9862345928D0CD847C40DD5FA"/>
          </w:placeholder>
          <w:dataBinding w:prefixMappings="xmlns:ns0='http://purl.org/dc/elements/1.1/' xmlns:ns1='http://schemas.openxmlformats.org/package/2006/metadata/core-properties' " w:xpath="/ns1:coreProperties[1]/ns0:subject[1]" w:storeItemID="{6C3C8BC8-F283-45AE-878A-BAB7291924A1}"/>
          <w:text/>
        </w:sdtPr>
        <w:sdtEndPr/>
        <w:sdtContent>
          <w:r>
            <w:t>Карьер № 2 расположенный на участке МН «Сургут - Полоцк» 712 км – 767 км</w:t>
          </w:r>
        </w:sdtContent>
      </w:sdt>
      <w:r>
        <w:t>» установлена</w:t>
      </w:r>
      <w:r w:rsidRPr="00542B0F">
        <w:t xml:space="preserve"> на межселенной территории в границах </w:t>
      </w:r>
      <w:r>
        <w:t>Гаринского городского округа Свердловской области</w:t>
      </w:r>
      <w:r w:rsidR="00946E06">
        <w:t>.</w:t>
      </w:r>
    </w:p>
    <w:p w:rsidR="00463203" w:rsidRPr="004B1D27" w:rsidRDefault="00463203" w:rsidP="004B1D27">
      <w:pPr>
        <w:pStyle w:val="21"/>
        <w:numPr>
          <w:ilvl w:val="1"/>
          <w:numId w:val="1"/>
        </w:numPr>
        <w:jc w:val="center"/>
        <w:rPr>
          <w:b w:val="0"/>
        </w:rPr>
      </w:pPr>
      <w:bookmarkStart w:id="6" w:name="_Toc23329080"/>
      <w:r w:rsidRPr="00463203">
        <w:rPr>
          <w:b w:val="0"/>
        </w:rPr>
        <w:t xml:space="preserve">Перечень координат характерных точек границ зон планируемого размещения </w:t>
      </w:r>
      <w:r w:rsidR="004B1D27">
        <w:rPr>
          <w:b w:val="0"/>
        </w:rPr>
        <w:t xml:space="preserve">   </w:t>
      </w:r>
      <w:r w:rsidRPr="004B1D27">
        <w:rPr>
          <w:b w:val="0"/>
        </w:rPr>
        <w:t>линейн</w:t>
      </w:r>
      <w:r w:rsidR="00C36329" w:rsidRPr="004B1D27">
        <w:rPr>
          <w:b w:val="0"/>
        </w:rPr>
        <w:t>ых</w:t>
      </w:r>
      <w:r w:rsidRPr="004B1D27">
        <w:rPr>
          <w:b w:val="0"/>
        </w:rPr>
        <w:t xml:space="preserve"> объект</w:t>
      </w:r>
      <w:bookmarkEnd w:id="6"/>
      <w:r w:rsidR="00C36329" w:rsidRPr="004B1D27">
        <w:rPr>
          <w:b w:val="0"/>
        </w:rPr>
        <w:t>ов</w:t>
      </w:r>
    </w:p>
    <w:p w:rsidR="00463203" w:rsidRDefault="00463203" w:rsidP="00463203">
      <w:pPr>
        <w:spacing w:line="360" w:lineRule="auto"/>
        <w:ind w:firstLine="709"/>
        <w:jc w:val="both"/>
        <w:rPr>
          <w:color w:val="000000"/>
        </w:rPr>
      </w:pPr>
      <w:r>
        <w:rPr>
          <w:color w:val="000000"/>
        </w:rPr>
        <w:t>Перечень к</w:t>
      </w:r>
      <w:r w:rsidRPr="00251DC7">
        <w:rPr>
          <w:color w:val="000000"/>
        </w:rPr>
        <w:t xml:space="preserve">оординат </w:t>
      </w:r>
      <w:r>
        <w:rPr>
          <w:color w:val="000000"/>
        </w:rPr>
        <w:t xml:space="preserve">характерных точек границы </w:t>
      </w:r>
      <w:r w:rsidRPr="00251DC7">
        <w:rPr>
          <w:rFonts w:eastAsia="Calibri"/>
          <w:lang w:eastAsia="en-US"/>
        </w:rPr>
        <w:t>зоны планируемого размещения линейного объекта</w:t>
      </w:r>
      <w:r>
        <w:rPr>
          <w:rFonts w:eastAsia="Calibri"/>
          <w:lang w:eastAsia="en-US"/>
        </w:rPr>
        <w:t xml:space="preserve"> представлен в таблице 2</w:t>
      </w:r>
      <w:r w:rsidRPr="00251DC7">
        <w:rPr>
          <w:color w:val="000000"/>
        </w:rPr>
        <w:t>.</w:t>
      </w:r>
    </w:p>
    <w:p w:rsidR="00B500CA" w:rsidRDefault="00463203" w:rsidP="00463203">
      <w:pPr>
        <w:widowControl w:val="0"/>
        <w:suppressAutoHyphens/>
        <w:spacing w:line="360" w:lineRule="auto"/>
        <w:sectPr w:rsidR="00B500CA" w:rsidSect="00671F65">
          <w:headerReference w:type="default" r:id="rId10"/>
          <w:pgSz w:w="11906" w:h="16838"/>
          <w:pgMar w:top="567" w:right="707" w:bottom="1276" w:left="1134" w:header="708" w:footer="708" w:gutter="0"/>
          <w:pgNumType w:start="2"/>
          <w:cols w:space="708"/>
          <w:docGrid w:linePitch="360"/>
        </w:sectPr>
      </w:pPr>
      <w:r w:rsidRPr="0045040F">
        <w:t xml:space="preserve">Таблица </w:t>
      </w:r>
      <w:r>
        <w:t>2</w:t>
      </w:r>
      <w:r w:rsidRPr="0045040F">
        <w:t xml:space="preserve"> - Перечень координат характерных точек</w:t>
      </w:r>
      <w:r>
        <w:t xml:space="preserve"> (</w:t>
      </w:r>
      <w:r w:rsidR="002F3A0C">
        <w:t>Система координат МСК 66, 1 зона</w:t>
      </w:r>
      <w:r>
        <w:t>)</w:t>
      </w:r>
      <w:r w:rsidRPr="0045040F">
        <w:t>.</w:t>
      </w:r>
    </w:p>
    <w:tbl>
      <w:tblPr>
        <w:tblW w:w="4480" w:type="dxa"/>
        <w:jc w:val="center"/>
        <w:tblLook w:val="04A0" w:firstRow="1" w:lastRow="0" w:firstColumn="1" w:lastColumn="0" w:noHBand="0" w:noVBand="1"/>
      </w:tblPr>
      <w:tblGrid>
        <w:gridCol w:w="960"/>
        <w:gridCol w:w="1760"/>
        <w:gridCol w:w="1760"/>
      </w:tblGrid>
      <w:tr w:rsidR="002F3A0C" w:rsidRPr="004B437C" w:rsidTr="002F3A0C">
        <w:trPr>
          <w:trHeight w:val="300"/>
          <w:tblHeader/>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F3A0C" w:rsidRPr="004B437C" w:rsidRDefault="002F3A0C" w:rsidP="00000356">
            <w:pPr>
              <w:jc w:val="center"/>
              <w:rPr>
                <w:b/>
                <w:sz w:val="20"/>
                <w:szCs w:val="20"/>
              </w:rPr>
            </w:pPr>
            <w:r w:rsidRPr="004B437C">
              <w:rPr>
                <w:b/>
                <w:sz w:val="20"/>
                <w:szCs w:val="20"/>
              </w:rPr>
              <w:lastRenderedPageBreak/>
              <w:t>№ точки</w:t>
            </w:r>
          </w:p>
        </w:tc>
        <w:tc>
          <w:tcPr>
            <w:tcW w:w="352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F3A0C" w:rsidRPr="004B437C" w:rsidRDefault="002F3A0C" w:rsidP="00000356">
            <w:pPr>
              <w:jc w:val="center"/>
              <w:rPr>
                <w:b/>
                <w:sz w:val="20"/>
                <w:szCs w:val="20"/>
              </w:rPr>
            </w:pPr>
            <w:r w:rsidRPr="004B437C">
              <w:rPr>
                <w:b/>
                <w:sz w:val="20"/>
                <w:szCs w:val="20"/>
              </w:rPr>
              <w:t>Координаты</w:t>
            </w:r>
          </w:p>
        </w:tc>
      </w:tr>
      <w:tr w:rsidR="002F3A0C" w:rsidRPr="004B437C" w:rsidTr="002F3A0C">
        <w:trPr>
          <w:trHeight w:val="300"/>
          <w:tblHeader/>
          <w:jc w:val="center"/>
        </w:trPr>
        <w:tc>
          <w:tcPr>
            <w:tcW w:w="9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F3A0C" w:rsidRPr="004B437C" w:rsidRDefault="002F3A0C" w:rsidP="00000356">
            <w:pPr>
              <w:rPr>
                <w:b/>
                <w:sz w:val="20"/>
                <w:szCs w:val="20"/>
              </w:rPr>
            </w:pPr>
          </w:p>
        </w:tc>
        <w:tc>
          <w:tcPr>
            <w:tcW w:w="1760" w:type="dxa"/>
            <w:tcBorders>
              <w:top w:val="nil"/>
              <w:left w:val="nil"/>
              <w:bottom w:val="single" w:sz="4" w:space="0" w:color="auto"/>
              <w:right w:val="single" w:sz="4" w:space="0" w:color="auto"/>
            </w:tcBorders>
            <w:shd w:val="clear" w:color="auto" w:fill="F2F2F2" w:themeFill="background1" w:themeFillShade="F2"/>
            <w:noWrap/>
            <w:vAlign w:val="center"/>
            <w:hideMark/>
          </w:tcPr>
          <w:p w:rsidR="002F3A0C" w:rsidRPr="004B437C" w:rsidRDefault="002F3A0C" w:rsidP="00000356">
            <w:pPr>
              <w:jc w:val="center"/>
              <w:rPr>
                <w:b/>
                <w:sz w:val="20"/>
                <w:szCs w:val="20"/>
              </w:rPr>
            </w:pPr>
            <w:r w:rsidRPr="004B437C">
              <w:rPr>
                <w:b/>
                <w:sz w:val="20"/>
                <w:szCs w:val="20"/>
              </w:rPr>
              <w:t>Х</w:t>
            </w:r>
          </w:p>
        </w:tc>
        <w:tc>
          <w:tcPr>
            <w:tcW w:w="1760" w:type="dxa"/>
            <w:tcBorders>
              <w:top w:val="nil"/>
              <w:left w:val="nil"/>
              <w:bottom w:val="single" w:sz="4" w:space="0" w:color="auto"/>
              <w:right w:val="single" w:sz="4" w:space="0" w:color="auto"/>
            </w:tcBorders>
            <w:shd w:val="clear" w:color="auto" w:fill="F2F2F2" w:themeFill="background1" w:themeFillShade="F2"/>
            <w:noWrap/>
            <w:vAlign w:val="center"/>
            <w:hideMark/>
          </w:tcPr>
          <w:p w:rsidR="002F3A0C" w:rsidRPr="004B437C" w:rsidRDefault="002F3A0C" w:rsidP="00000356">
            <w:pPr>
              <w:jc w:val="center"/>
              <w:rPr>
                <w:b/>
                <w:sz w:val="20"/>
                <w:szCs w:val="20"/>
              </w:rPr>
            </w:pPr>
            <w:r w:rsidRPr="004B437C">
              <w:rPr>
                <w:b/>
                <w:sz w:val="20"/>
                <w:szCs w:val="20"/>
              </w:rPr>
              <w:t>Y</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666926.09</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1666330.99</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2</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666840.52</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1666396.22</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3</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666811.90</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1666418.04</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4</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666796.41</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1666429.85</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5</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666784.33</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1666439.06</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666773.89</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1666472.24</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lastRenderedPageBreak/>
              <w:t>7</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666738.22</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1666422.98</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8</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666772.98</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1666422.57</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9</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666785.30</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1666413.18</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10</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666800.66</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1666401.47</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11</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666829.39</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1666379.57</w:t>
            </w:r>
          </w:p>
        </w:tc>
      </w:tr>
      <w:tr w:rsidR="002F3A0C" w:rsidRPr="004B437C" w:rsidTr="002F3A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12</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666914.75</w:t>
            </w:r>
          </w:p>
        </w:tc>
        <w:tc>
          <w:tcPr>
            <w:tcW w:w="1760" w:type="dxa"/>
            <w:tcBorders>
              <w:top w:val="nil"/>
              <w:left w:val="nil"/>
              <w:bottom w:val="single" w:sz="4" w:space="0" w:color="auto"/>
              <w:right w:val="single" w:sz="4" w:space="0" w:color="auto"/>
            </w:tcBorders>
            <w:shd w:val="clear" w:color="auto" w:fill="auto"/>
            <w:noWrap/>
            <w:hideMark/>
          </w:tcPr>
          <w:p w:rsidR="002F3A0C" w:rsidRPr="004B437C" w:rsidRDefault="002F3A0C" w:rsidP="00000356">
            <w:pPr>
              <w:jc w:val="center"/>
              <w:rPr>
                <w:sz w:val="20"/>
                <w:szCs w:val="20"/>
              </w:rPr>
            </w:pPr>
            <w:r w:rsidRPr="004B437C">
              <w:rPr>
                <w:sz w:val="20"/>
                <w:szCs w:val="20"/>
              </w:rPr>
              <w:t>1666314.49</w:t>
            </w:r>
          </w:p>
        </w:tc>
      </w:tr>
    </w:tbl>
    <w:p w:rsidR="00B500CA" w:rsidRDefault="00B500CA" w:rsidP="004740BB">
      <w:pPr>
        <w:spacing w:line="360" w:lineRule="auto"/>
        <w:ind w:firstLine="709"/>
        <w:jc w:val="both"/>
        <w:rPr>
          <w:color w:val="000000"/>
        </w:rPr>
        <w:sectPr w:rsidR="00B500CA" w:rsidSect="00B500CA">
          <w:type w:val="continuous"/>
          <w:pgSz w:w="11906" w:h="16838"/>
          <w:pgMar w:top="567" w:right="707" w:bottom="1276" w:left="1134" w:header="708" w:footer="708" w:gutter="0"/>
          <w:pgNumType w:start="2"/>
          <w:cols w:num="2" w:space="708"/>
          <w:docGrid w:linePitch="360"/>
        </w:sectPr>
      </w:pPr>
    </w:p>
    <w:p w:rsidR="00C36329" w:rsidRDefault="00C36329" w:rsidP="00C36329">
      <w:pPr>
        <w:pStyle w:val="a9"/>
        <w:numPr>
          <w:ilvl w:val="1"/>
          <w:numId w:val="1"/>
        </w:numPr>
        <w:ind w:left="777"/>
        <w:rPr>
          <w:b w:val="0"/>
          <w:sz w:val="24"/>
        </w:rPr>
      </w:pPr>
      <w:r w:rsidRPr="00C36329">
        <w:rPr>
          <w:b w:val="0"/>
          <w:sz w:val="24"/>
        </w:rPr>
        <w:lastRenderedPageBreak/>
        <w:t>Перечень координат характерных точек границ зон планируемого размещения линейных объектов, подлежащих переносу (переустройству)</w:t>
      </w:r>
      <w:r>
        <w:rPr>
          <w:b w:val="0"/>
          <w:sz w:val="24"/>
        </w:rPr>
        <w:t xml:space="preserve"> </w:t>
      </w:r>
      <w:r w:rsidRPr="00C36329">
        <w:rPr>
          <w:b w:val="0"/>
          <w:sz w:val="24"/>
        </w:rPr>
        <w:t>из зон планируемого размещения линейных объектов</w:t>
      </w:r>
    </w:p>
    <w:p w:rsidR="00C36329" w:rsidRDefault="00C36329" w:rsidP="00086436">
      <w:pPr>
        <w:pStyle w:val="a9"/>
        <w:spacing w:before="0" w:after="0" w:line="360" w:lineRule="auto"/>
        <w:ind w:firstLine="851"/>
        <w:jc w:val="left"/>
        <w:rPr>
          <w:rFonts w:eastAsia="Times New Roman" w:cs="Times New Roman"/>
          <w:b w:val="0"/>
          <w:iCs w:val="0"/>
          <w:sz w:val="24"/>
        </w:rPr>
      </w:pPr>
      <w:r w:rsidRPr="00C36329">
        <w:rPr>
          <w:rFonts w:eastAsia="Times New Roman" w:cs="Times New Roman"/>
          <w:b w:val="0"/>
          <w:iCs w:val="0"/>
          <w:sz w:val="24"/>
        </w:rPr>
        <w:t>Проектом не предусматривается перенос (переустройство) линейных объектов из зоны планируемого размещения линейного объекта.</w:t>
      </w:r>
    </w:p>
    <w:p w:rsidR="00424E5A" w:rsidRPr="00424E5A" w:rsidRDefault="00424E5A" w:rsidP="00424E5A">
      <w:pPr>
        <w:pStyle w:val="a9"/>
        <w:numPr>
          <w:ilvl w:val="1"/>
          <w:numId w:val="1"/>
        </w:numPr>
        <w:ind w:left="777"/>
        <w:rPr>
          <w:b w:val="0"/>
          <w:sz w:val="24"/>
        </w:rPr>
      </w:pPr>
      <w:bookmarkStart w:id="7" w:name="_Toc31979563"/>
      <w:r w:rsidRPr="00424E5A">
        <w:rPr>
          <w:b w:val="0"/>
          <w:sz w:val="24"/>
        </w:rPr>
        <w:t>Предельные параметры разрешённого строительства, реконструкции ОКС, входящих в состав линейных объектов в границах зон их планируемого размещения:</w:t>
      </w:r>
      <w:bookmarkEnd w:id="7"/>
    </w:p>
    <w:p w:rsidR="00424E5A" w:rsidRPr="00424E5A" w:rsidRDefault="00424E5A" w:rsidP="00C7667D">
      <w:pPr>
        <w:pStyle w:val="a9"/>
        <w:numPr>
          <w:ilvl w:val="2"/>
          <w:numId w:val="1"/>
        </w:numPr>
        <w:jc w:val="left"/>
        <w:rPr>
          <w:b w:val="0"/>
          <w:sz w:val="24"/>
        </w:rPr>
      </w:pPr>
      <w:bookmarkStart w:id="8" w:name="_Toc31979564"/>
      <w:r w:rsidRPr="00424E5A">
        <w:rPr>
          <w:b w:val="0"/>
          <w:sz w:val="24"/>
        </w:rPr>
        <w:t>Предельное количество этажей и (или) предельная высота ОКС, входящих в состав линейных объектов, в границах каждой зоны планируемого размещения таких объектов;</w:t>
      </w:r>
      <w:bookmarkEnd w:id="8"/>
    </w:p>
    <w:p w:rsidR="00424E5A" w:rsidRPr="00ED2DF8" w:rsidRDefault="00AC4B8B" w:rsidP="00424E5A">
      <w:pPr>
        <w:spacing w:line="360" w:lineRule="auto"/>
        <w:ind w:firstLine="851"/>
        <w:jc w:val="both"/>
      </w:pPr>
      <w:r w:rsidRPr="00ED2DF8">
        <w:t xml:space="preserve">Размещение объекта планируется вне границ населённых пунктов на землях </w:t>
      </w:r>
      <w:r>
        <w:t>лесного фонда и промышленности. О</w:t>
      </w:r>
      <w:r w:rsidRPr="00ED2DF8">
        <w:t>бъект (</w:t>
      </w:r>
      <w:r>
        <w:t>подъездная дорога) является наземным сооружением; ОКС, входящие в состав линейного объекта, не запланированы</w:t>
      </w:r>
      <w:r w:rsidRPr="00ED2DF8">
        <w:t>. Соответственно, установление предельного количества этажей и (или) предельной высоты ОКС, входящих в состав линейных объектов, в границах каждой зоны планируемого размещения таких объектов в настоящей документации не требуется.</w:t>
      </w:r>
    </w:p>
    <w:p w:rsidR="00424E5A" w:rsidRPr="00C7667D" w:rsidRDefault="00424E5A" w:rsidP="00C7667D">
      <w:pPr>
        <w:pStyle w:val="a9"/>
        <w:numPr>
          <w:ilvl w:val="2"/>
          <w:numId w:val="1"/>
        </w:numPr>
        <w:jc w:val="left"/>
        <w:rPr>
          <w:b w:val="0"/>
          <w:sz w:val="24"/>
        </w:rPr>
      </w:pPr>
      <w:bookmarkStart w:id="9" w:name="_Toc31979565"/>
      <w:r w:rsidRPr="00C7667D">
        <w:rPr>
          <w:b w:val="0"/>
          <w:sz w:val="24"/>
        </w:rPr>
        <w:t>Максимальный процент застройки каждой зоны планируемого размещения ОКС, входящих в состав линейных объектов, определяемый как отношение площади зоны планируемого размещения ОКС, входящего в состав линейного объекта, которая может быть застроена, ко всей площади этой зоны;</w:t>
      </w:r>
      <w:bookmarkEnd w:id="9"/>
    </w:p>
    <w:p w:rsidR="00424E5A" w:rsidRPr="00ED2DF8" w:rsidRDefault="00424E5A" w:rsidP="00424E5A">
      <w:pPr>
        <w:spacing w:line="360" w:lineRule="auto"/>
        <w:ind w:firstLine="851"/>
        <w:jc w:val="both"/>
      </w:pPr>
      <w:r w:rsidRPr="00ED2DF8">
        <w:t>Настоящей документацией максимальный процент застройки каждой зоны планируемого размещения ОКС, входящих в состав линейных объектов, определяемый как отношение площади зоны планируемого размещения ОКС, входящего в состав линейного объекта, которая может быть застроена, ко всей площади этой зоны не устанавливается.</w:t>
      </w:r>
    </w:p>
    <w:p w:rsidR="00424E5A" w:rsidRPr="00C7667D" w:rsidRDefault="00424E5A" w:rsidP="00C7667D">
      <w:pPr>
        <w:pStyle w:val="a9"/>
        <w:numPr>
          <w:ilvl w:val="2"/>
          <w:numId w:val="1"/>
        </w:numPr>
        <w:jc w:val="left"/>
        <w:rPr>
          <w:b w:val="0"/>
          <w:sz w:val="24"/>
        </w:rPr>
      </w:pPr>
      <w:bookmarkStart w:id="10" w:name="_Toc31979566"/>
      <w:r w:rsidRPr="00C7667D">
        <w:rPr>
          <w:b w:val="0"/>
          <w:sz w:val="24"/>
        </w:rPr>
        <w:t>Минимальные отступы от границ земельных участков в целях определения мест допустимого размещения ОКС,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w:t>
      </w:r>
      <w:bookmarkEnd w:id="10"/>
    </w:p>
    <w:p w:rsidR="00293DE0" w:rsidRDefault="00424E5A" w:rsidP="00C7667D">
      <w:pPr>
        <w:spacing w:line="360" w:lineRule="auto"/>
        <w:ind w:firstLine="851"/>
        <w:jc w:val="both"/>
      </w:pPr>
      <w:r>
        <w:t>Настоящей документацией м</w:t>
      </w:r>
      <w:r w:rsidRPr="00ED2DF8">
        <w:t>инимальные отступы от границ земельных участков в целях определения мест допустимого размещения ОКС,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 не устанавливаются.</w:t>
      </w:r>
    </w:p>
    <w:p w:rsidR="00811828" w:rsidRPr="00811828" w:rsidRDefault="00811828" w:rsidP="00796A7B">
      <w:pPr>
        <w:pStyle w:val="a9"/>
        <w:numPr>
          <w:ilvl w:val="1"/>
          <w:numId w:val="1"/>
        </w:numPr>
        <w:ind w:left="284"/>
        <w:rPr>
          <w:b w:val="0"/>
          <w:sz w:val="24"/>
        </w:rPr>
      </w:pPr>
      <w:bookmarkStart w:id="11" w:name="_Toc31979567"/>
      <w:r w:rsidRPr="00811828">
        <w:rPr>
          <w:b w:val="0"/>
          <w:sz w:val="24"/>
        </w:rPr>
        <w:lastRenderedPageBreak/>
        <w:t>Требования к архитектурным решениям ОКС,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w:t>
      </w:r>
      <w:r w:rsidRPr="00811828">
        <w:rPr>
          <w:b w:val="0"/>
          <w:sz w:val="24"/>
        </w:rPr>
        <w:br/>
      </w:r>
      <w:r w:rsidRPr="00811828">
        <w:rPr>
          <w:b w:val="0"/>
          <w:sz w:val="24"/>
        </w:rPr>
        <w:noBreakHyphen/>
        <w:t xml:space="preserve"> требований к цветовому решению внешнего облика таких объектов;</w:t>
      </w:r>
      <w:r w:rsidRPr="00811828">
        <w:rPr>
          <w:b w:val="0"/>
          <w:sz w:val="24"/>
        </w:rPr>
        <w:br/>
      </w:r>
      <w:r w:rsidRPr="00811828">
        <w:rPr>
          <w:b w:val="0"/>
          <w:sz w:val="24"/>
        </w:rPr>
        <w:noBreakHyphen/>
        <w:t xml:space="preserve"> требований к строительным материалам, определяющим внешний облик таких </w:t>
      </w:r>
      <w:r w:rsidR="00796A7B">
        <w:rPr>
          <w:b w:val="0"/>
          <w:sz w:val="24"/>
        </w:rPr>
        <w:t>о</w:t>
      </w:r>
      <w:r w:rsidRPr="00811828">
        <w:rPr>
          <w:b w:val="0"/>
          <w:sz w:val="24"/>
        </w:rPr>
        <w:t xml:space="preserve">бъектов; </w:t>
      </w:r>
      <w:r w:rsidRPr="00811828">
        <w:rPr>
          <w:b w:val="0"/>
          <w:sz w:val="24"/>
        </w:rPr>
        <w:br/>
      </w:r>
      <w:r w:rsidRPr="00811828">
        <w:rPr>
          <w:b w:val="0"/>
          <w:sz w:val="24"/>
        </w:rPr>
        <w:noBreakHyphen/>
        <w:t xml:space="preserve"> требований к объёмно-пространственным,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bookmarkEnd w:id="11"/>
    </w:p>
    <w:p w:rsidR="00811828" w:rsidRDefault="00811828" w:rsidP="00811828">
      <w:pPr>
        <w:spacing w:line="360" w:lineRule="auto"/>
        <w:ind w:firstLine="851"/>
        <w:jc w:val="both"/>
      </w:pPr>
      <w:r w:rsidRPr="00ED2DF8">
        <w:t xml:space="preserve">Требования к: цветовому решению внешнего облика, </w:t>
      </w:r>
      <w:r w:rsidRPr="00ED2DF8">
        <w:rPr>
          <w:bCs/>
        </w:rPr>
        <w:t>строительным материалам, определяющим внешний облик</w:t>
      </w:r>
      <w:r w:rsidRPr="00ED2DF8">
        <w:t xml:space="preserve"> и объёмно-пространственным,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в настоящей документации не определены на основании </w:t>
      </w:r>
      <w:r>
        <w:t>отсутствия</w:t>
      </w:r>
      <w:r w:rsidRPr="00ED2DF8">
        <w:t xml:space="preserve"> ОКС, входящи</w:t>
      </w:r>
      <w:r>
        <w:t>х</w:t>
      </w:r>
      <w:r w:rsidRPr="00ED2DF8">
        <w:t xml:space="preserve"> в состав линейных объектов, </w:t>
      </w:r>
      <w:r>
        <w:t>и</w:t>
      </w:r>
      <w:r w:rsidRPr="00ED2DF8">
        <w:t xml:space="preserve"> расположен</w:t>
      </w:r>
      <w:r>
        <w:t>ия</w:t>
      </w:r>
      <w:r w:rsidRPr="00ED2DF8">
        <w:t xml:space="preserve"> </w:t>
      </w:r>
      <w:r>
        <w:t xml:space="preserve">линейного объекта </w:t>
      </w:r>
      <w:r w:rsidRPr="00ED2DF8">
        <w:t xml:space="preserve">вне границ территорий исторических поселений федерального или регионального значения. </w:t>
      </w:r>
    </w:p>
    <w:p w:rsidR="00811828" w:rsidRPr="00796A7B" w:rsidRDefault="00811828" w:rsidP="00796A7B">
      <w:pPr>
        <w:pStyle w:val="a9"/>
        <w:numPr>
          <w:ilvl w:val="1"/>
          <w:numId w:val="1"/>
        </w:numPr>
        <w:ind w:left="777"/>
        <w:rPr>
          <w:b w:val="0"/>
          <w:sz w:val="24"/>
        </w:rPr>
      </w:pPr>
      <w:bookmarkStart w:id="12" w:name="_Toc31979568"/>
      <w:r w:rsidRPr="00796A7B">
        <w:rPr>
          <w:b w:val="0"/>
          <w:sz w:val="24"/>
        </w:rPr>
        <w:t>Информация о необходимости осуществления мероприятий по защите сохраняемых ОКС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ОКС,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bookmarkEnd w:id="12"/>
    </w:p>
    <w:p w:rsidR="00811828" w:rsidRPr="00964BC0" w:rsidRDefault="00E71821" w:rsidP="00811828">
      <w:pPr>
        <w:tabs>
          <w:tab w:val="left" w:pos="993"/>
        </w:tabs>
        <w:spacing w:line="360" w:lineRule="auto"/>
        <w:ind w:firstLine="851"/>
        <w:jc w:val="both"/>
        <w:rPr>
          <w:bCs/>
        </w:rPr>
      </w:pPr>
      <w:r w:rsidRPr="00F74E8E">
        <w:rPr>
          <w:bCs/>
        </w:rPr>
        <w:t>Проектируемый линейный объект пересекает существующи</w:t>
      </w:r>
      <w:r>
        <w:rPr>
          <w:bCs/>
        </w:rPr>
        <w:t>й</w:t>
      </w:r>
      <w:r w:rsidRPr="00F74E8E">
        <w:rPr>
          <w:bCs/>
        </w:rPr>
        <w:t xml:space="preserve"> </w:t>
      </w:r>
      <w:r>
        <w:rPr>
          <w:bCs/>
        </w:rPr>
        <w:t>объект капитального строительства МН «Холмогоры-Клин» (ст. 1220, гл. 1,3)</w:t>
      </w:r>
      <w:r w:rsidRPr="00F74E8E">
        <w:rPr>
          <w:bCs/>
        </w:rPr>
        <w:t xml:space="preserve">. </w:t>
      </w:r>
      <w:r>
        <w:rPr>
          <w:bCs/>
        </w:rPr>
        <w:t xml:space="preserve">Также проектируемый линейный объект пересекает ОКС (проектируемые трубопровод и ВЛ), планируемые к </w:t>
      </w:r>
      <w:r w:rsidRPr="00F74E8E">
        <w:rPr>
          <w:bCs/>
        </w:rPr>
        <w:t>строительству в соответствии с ранее утвержденной документацией</w:t>
      </w:r>
      <w:r>
        <w:rPr>
          <w:bCs/>
        </w:rPr>
        <w:t xml:space="preserve"> (ДПТ «Участок магистрального нефтепровода «Сургут-Полоцк» 712 км – 767 км. Замена трубы на участке 760-767 км, Ду-1200 мм. </w:t>
      </w:r>
      <w:proofErr w:type="spellStart"/>
      <w:r>
        <w:rPr>
          <w:bCs/>
        </w:rPr>
        <w:t>Урайское</w:t>
      </w:r>
      <w:proofErr w:type="spellEnd"/>
      <w:r>
        <w:rPr>
          <w:bCs/>
        </w:rPr>
        <w:t xml:space="preserve"> УМН. Реконструкция», Приказ Минэнерго РФ от 24.01.2020 № 28). Для </w:t>
      </w:r>
      <w:r w:rsidRPr="00F74E8E">
        <w:rPr>
          <w:bCs/>
        </w:rPr>
        <w:t>защит</w:t>
      </w:r>
      <w:r>
        <w:rPr>
          <w:bCs/>
        </w:rPr>
        <w:t>ы</w:t>
      </w:r>
      <w:r w:rsidRPr="00F74E8E">
        <w:rPr>
          <w:bCs/>
        </w:rPr>
        <w:t xml:space="preserve"> и предотвращени</w:t>
      </w:r>
      <w:r>
        <w:rPr>
          <w:bCs/>
        </w:rPr>
        <w:t>я</w:t>
      </w:r>
      <w:r w:rsidRPr="00F74E8E">
        <w:rPr>
          <w:bCs/>
        </w:rPr>
        <w:t xml:space="preserve"> возможного негативного воздействия на ОКС, в связи с размещением линейного объекта, </w:t>
      </w:r>
      <w:r>
        <w:rPr>
          <w:bCs/>
        </w:rPr>
        <w:t>необходимо на стадии проектирования получить технические условия на обустройство пересечения с объектами АО «</w:t>
      </w:r>
      <w:proofErr w:type="spellStart"/>
      <w:r>
        <w:rPr>
          <w:bCs/>
        </w:rPr>
        <w:t>Транснефть</w:t>
      </w:r>
      <w:proofErr w:type="spellEnd"/>
      <w:r>
        <w:rPr>
          <w:bCs/>
        </w:rPr>
        <w:t>-Сибирь»</w:t>
      </w:r>
      <w:r w:rsidR="0086567D" w:rsidRPr="00B86358">
        <w:rPr>
          <w:bCs/>
        </w:rPr>
        <w:t>.</w:t>
      </w:r>
    </w:p>
    <w:p w:rsidR="00811828" w:rsidRPr="00796A7B" w:rsidRDefault="00811828" w:rsidP="00796A7B">
      <w:pPr>
        <w:pStyle w:val="a9"/>
        <w:numPr>
          <w:ilvl w:val="1"/>
          <w:numId w:val="1"/>
        </w:numPr>
        <w:ind w:left="777"/>
        <w:rPr>
          <w:b w:val="0"/>
          <w:sz w:val="24"/>
        </w:rPr>
      </w:pPr>
      <w:bookmarkStart w:id="13" w:name="_Toc31979569"/>
      <w:r w:rsidRPr="00796A7B">
        <w:rPr>
          <w:b w:val="0"/>
          <w:sz w:val="24"/>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13"/>
    </w:p>
    <w:p w:rsidR="00811828" w:rsidRPr="00ED2DF8" w:rsidRDefault="00BA3D67" w:rsidP="00811828">
      <w:pPr>
        <w:spacing w:line="360" w:lineRule="auto"/>
        <w:ind w:firstLine="851"/>
        <w:jc w:val="both"/>
      </w:pPr>
      <w:r w:rsidRPr="001D02E3">
        <w:t>Мероприятия по сохранению объектов культурного наследия от возможного негативного воздействия, в связи с размещением линейных объектов не определены по причине отсутствия на планируемой территории объектов культурного наследия</w:t>
      </w:r>
      <w:r w:rsidRPr="007A03C7">
        <w:t>.</w:t>
      </w:r>
    </w:p>
    <w:p w:rsidR="00D7676A" w:rsidRPr="00D7676A" w:rsidRDefault="00D7676A" w:rsidP="00D7676A">
      <w:pPr>
        <w:pStyle w:val="a9"/>
        <w:numPr>
          <w:ilvl w:val="1"/>
          <w:numId w:val="1"/>
        </w:numPr>
        <w:ind w:left="777"/>
        <w:rPr>
          <w:b w:val="0"/>
          <w:sz w:val="24"/>
        </w:rPr>
      </w:pPr>
      <w:bookmarkStart w:id="14" w:name="_Toc31979570"/>
      <w:r>
        <w:rPr>
          <w:b w:val="0"/>
          <w:sz w:val="24"/>
        </w:rPr>
        <w:lastRenderedPageBreak/>
        <w:t xml:space="preserve"> </w:t>
      </w:r>
      <w:r w:rsidRPr="00D7676A">
        <w:rPr>
          <w:b w:val="0"/>
          <w:sz w:val="24"/>
        </w:rPr>
        <w:t>Информация о необходимости осуществления мероприятий по охране окружающей среды</w:t>
      </w:r>
      <w:bookmarkEnd w:id="14"/>
    </w:p>
    <w:p w:rsidR="000433CA" w:rsidRPr="00017CFA" w:rsidRDefault="000433CA" w:rsidP="000433CA">
      <w:pPr>
        <w:widowControl w:val="0"/>
        <w:spacing w:line="360" w:lineRule="auto"/>
        <w:ind w:firstLine="851"/>
        <w:jc w:val="both"/>
        <w:rPr>
          <w:rFonts w:eastAsia="Arial Unicode MS"/>
        </w:rPr>
      </w:pPr>
      <w:r w:rsidRPr="00017CFA">
        <w:t>При выполнении работ необходимо соблюдать требования по защите окружающей среды</w:t>
      </w:r>
      <w:r>
        <w:t xml:space="preserve"> и </w:t>
      </w:r>
      <w:r w:rsidRPr="00017CFA">
        <w:t>условия землепользования, установленные законо</w:t>
      </w:r>
      <w:r>
        <w:t>дательством по охране природы.</w:t>
      </w:r>
    </w:p>
    <w:p w:rsidR="000433CA" w:rsidRPr="00C70A80" w:rsidRDefault="000433CA" w:rsidP="000433CA">
      <w:pPr>
        <w:spacing w:line="360" w:lineRule="auto"/>
        <w:ind w:firstLine="851"/>
        <w:jc w:val="both"/>
        <w:rPr>
          <w:lang w:val="x-none"/>
        </w:rPr>
      </w:pPr>
      <w:r w:rsidRPr="00C70A80">
        <w:rPr>
          <w:lang w:val="x-none"/>
        </w:rPr>
        <w:t>При строительстве объекта возможны механические и химические негативные воздействия на состояние земель.</w:t>
      </w:r>
    </w:p>
    <w:p w:rsidR="000433CA" w:rsidRPr="00C70A80" w:rsidRDefault="000433CA" w:rsidP="000433CA">
      <w:pPr>
        <w:spacing w:line="360" w:lineRule="auto"/>
        <w:ind w:firstLine="851"/>
        <w:jc w:val="both"/>
        <w:rPr>
          <w:lang w:val="x-none"/>
        </w:rPr>
      </w:pPr>
      <w:r w:rsidRPr="00C70A80">
        <w:rPr>
          <w:lang w:val="x-none"/>
        </w:rPr>
        <w:t>Механические воздействия связаны с использованием при строительстве тяжелой техники, размещением временных бытовых и строительных свалок.</w:t>
      </w:r>
    </w:p>
    <w:p w:rsidR="000433CA" w:rsidRPr="00C70A80" w:rsidRDefault="000433CA" w:rsidP="000433CA">
      <w:pPr>
        <w:spacing w:line="360" w:lineRule="auto"/>
        <w:ind w:firstLine="851"/>
        <w:jc w:val="both"/>
        <w:rPr>
          <w:lang w:val="x-none"/>
        </w:rPr>
      </w:pPr>
      <w:r w:rsidRPr="00C70A80">
        <w:rPr>
          <w:lang w:val="x-none"/>
        </w:rPr>
        <w:t>Наиболее опасным является возможное химическое воздействие продуктами выбросов транспортных средств и строительных машин. Происходит выделение вместе с отработанными газами окислов углерода, азота и углеводородов, загрязнение почв отработанными маслами автотранспорта. Автотранспорт является основным источником загрязнения почв свинцом. Последствия загрязнения почв трудно устранимы, поэтому даже после прекращения воздействия почвы длительное время могут быть источниками вторичного загрязнения других сред.</w:t>
      </w:r>
    </w:p>
    <w:p w:rsidR="000433CA" w:rsidRPr="00017CFA" w:rsidRDefault="00A94552" w:rsidP="000433CA">
      <w:pPr>
        <w:spacing w:line="360" w:lineRule="auto"/>
        <w:ind w:firstLine="851"/>
        <w:jc w:val="both"/>
      </w:pPr>
      <w:r w:rsidRPr="003121D5">
        <w:t xml:space="preserve">Проектируемый объект расположен за пределами водоохраной зоны и прибрежной защитной полосы реки </w:t>
      </w:r>
      <w:proofErr w:type="spellStart"/>
      <w:r w:rsidRPr="003121D5">
        <w:t>Олгушош</w:t>
      </w:r>
      <w:proofErr w:type="spellEnd"/>
      <w:r w:rsidRPr="003121D5">
        <w:t xml:space="preserve">, </w:t>
      </w:r>
      <w:proofErr w:type="spellStart"/>
      <w:r w:rsidRPr="003121D5">
        <w:t>водоохранные</w:t>
      </w:r>
      <w:proofErr w:type="spellEnd"/>
      <w:r w:rsidRPr="003121D5">
        <w:t xml:space="preserve"> мероприятия не планируются</w:t>
      </w:r>
      <w:r w:rsidR="000433CA">
        <w:t>.</w:t>
      </w:r>
    </w:p>
    <w:p w:rsidR="000433CA" w:rsidRPr="00017CFA" w:rsidRDefault="000433CA" w:rsidP="000433CA">
      <w:pPr>
        <w:widowControl w:val="0"/>
        <w:spacing w:line="360" w:lineRule="auto"/>
        <w:ind w:firstLine="851"/>
        <w:jc w:val="both"/>
      </w:pPr>
      <w:bookmarkStart w:id="15" w:name="_Toc316889331"/>
      <w:r w:rsidRPr="00017CFA">
        <w:t>В целях снижения отрицательного воздействия на растительный и животный мир при ремонте и эксплуатации проектируем</w:t>
      </w:r>
      <w:r>
        <w:t>ого</w:t>
      </w:r>
      <w:r w:rsidRPr="00017CFA">
        <w:t xml:space="preserve"> сооружени</w:t>
      </w:r>
      <w:r>
        <w:t>я</w:t>
      </w:r>
      <w:r w:rsidRPr="00017CFA">
        <w:t>, предусмотрены следующие мероприятия:</w:t>
      </w:r>
    </w:p>
    <w:p w:rsidR="000433CA" w:rsidRPr="00017CFA" w:rsidRDefault="000433CA" w:rsidP="000433CA">
      <w:pPr>
        <w:pStyle w:val="a0"/>
        <w:widowControl w:val="0"/>
        <w:tabs>
          <w:tab w:val="clear" w:pos="1049"/>
        </w:tabs>
        <w:ind w:firstLine="851"/>
        <w:jc w:val="both"/>
        <w:rPr>
          <w:szCs w:val="24"/>
        </w:rPr>
      </w:pPr>
      <w:r w:rsidRPr="00017CFA">
        <w:rPr>
          <w:szCs w:val="24"/>
        </w:rPr>
        <w:t>обязательное соблюдение границ территории, отведенной для производства строительно-монтажных работ, запрет на несанкционированное передвижение техники, особенно вездеходной, вне коридора территории полосы отвода;</w:t>
      </w:r>
    </w:p>
    <w:p w:rsidR="000433CA" w:rsidRPr="00017CFA" w:rsidRDefault="000433CA" w:rsidP="000433CA">
      <w:pPr>
        <w:pStyle w:val="a0"/>
        <w:widowControl w:val="0"/>
        <w:tabs>
          <w:tab w:val="clear" w:pos="1049"/>
        </w:tabs>
        <w:ind w:firstLine="851"/>
        <w:jc w:val="both"/>
        <w:rPr>
          <w:szCs w:val="24"/>
        </w:rPr>
      </w:pPr>
      <w:r w:rsidRPr="00017CFA">
        <w:rPr>
          <w:szCs w:val="24"/>
        </w:rPr>
        <w:t>исключение возможности сброса любых сточных вод и отходов в места массовых скоплений водных и околоводных животных;</w:t>
      </w:r>
    </w:p>
    <w:p w:rsidR="000433CA" w:rsidRPr="00017CFA" w:rsidRDefault="000433CA" w:rsidP="000433CA">
      <w:pPr>
        <w:pStyle w:val="a0"/>
        <w:widowControl w:val="0"/>
        <w:tabs>
          <w:tab w:val="clear" w:pos="1049"/>
        </w:tabs>
        <w:ind w:firstLine="851"/>
        <w:jc w:val="both"/>
        <w:rPr>
          <w:szCs w:val="24"/>
        </w:rPr>
      </w:pPr>
      <w:r w:rsidRPr="00017CFA">
        <w:rPr>
          <w:szCs w:val="24"/>
        </w:rPr>
        <w:t>строгое соблюдение правил противопожарной безопасности;</w:t>
      </w:r>
    </w:p>
    <w:p w:rsidR="000433CA" w:rsidRPr="00017CFA" w:rsidRDefault="000433CA" w:rsidP="000433CA">
      <w:pPr>
        <w:pStyle w:val="a0"/>
        <w:widowControl w:val="0"/>
        <w:tabs>
          <w:tab w:val="clear" w:pos="1049"/>
        </w:tabs>
        <w:ind w:firstLine="851"/>
        <w:jc w:val="both"/>
        <w:rPr>
          <w:szCs w:val="24"/>
        </w:rPr>
      </w:pPr>
      <w:r w:rsidRPr="00017CFA">
        <w:rPr>
          <w:szCs w:val="24"/>
        </w:rPr>
        <w:t xml:space="preserve">запрет сброса на поверхность растительного покрова каких-либо технологических жидкостей; </w:t>
      </w:r>
    </w:p>
    <w:p w:rsidR="000433CA" w:rsidRPr="00017CFA" w:rsidRDefault="000433CA" w:rsidP="000433CA">
      <w:pPr>
        <w:pStyle w:val="a0"/>
        <w:widowControl w:val="0"/>
        <w:tabs>
          <w:tab w:val="clear" w:pos="1049"/>
        </w:tabs>
        <w:ind w:firstLine="851"/>
        <w:jc w:val="both"/>
        <w:rPr>
          <w:szCs w:val="24"/>
        </w:rPr>
      </w:pPr>
      <w:r w:rsidRPr="00017CFA">
        <w:rPr>
          <w:szCs w:val="24"/>
        </w:rPr>
        <w:t>запрет ввоза и хранения всех орудий охотничьего промысла (охотничьего оружия, капканов и т.д.), запрет на содержание собак, запрет любительской охоты.</w:t>
      </w:r>
    </w:p>
    <w:p w:rsidR="000433CA" w:rsidRPr="00017CFA" w:rsidRDefault="000433CA" w:rsidP="000433CA">
      <w:pPr>
        <w:widowControl w:val="0"/>
        <w:spacing w:line="360" w:lineRule="auto"/>
        <w:ind w:firstLine="851"/>
        <w:jc w:val="both"/>
      </w:pPr>
      <w:r w:rsidRPr="00017CFA">
        <w:t>После завершения работ запрещается оставлять неубранные конструкции, оборудование.</w:t>
      </w:r>
    </w:p>
    <w:p w:rsidR="000433CA" w:rsidRPr="00017CFA" w:rsidRDefault="000433CA" w:rsidP="000433CA">
      <w:pPr>
        <w:widowControl w:val="0"/>
        <w:spacing w:line="360" w:lineRule="auto"/>
        <w:ind w:firstLine="851"/>
        <w:jc w:val="both"/>
      </w:pPr>
      <w:r w:rsidRPr="00017CFA">
        <w:t xml:space="preserve">Для предотвращения гибели объектов животного мира от воздействия вредных веществ и сырья, находящихся на производственной площадке, необходимо хранить </w:t>
      </w:r>
      <w:r w:rsidRPr="00017CFA">
        <w:lastRenderedPageBreak/>
        <w:t>материалы и сырье только на огороженных площадках.</w:t>
      </w:r>
    </w:p>
    <w:bookmarkEnd w:id="15"/>
    <w:p w:rsidR="000433CA" w:rsidRPr="00017CFA" w:rsidRDefault="000433CA" w:rsidP="000433CA">
      <w:pPr>
        <w:widowControl w:val="0"/>
        <w:spacing w:line="360" w:lineRule="auto"/>
        <w:ind w:firstLine="851"/>
        <w:jc w:val="both"/>
      </w:pPr>
      <w:r w:rsidRPr="00017CFA">
        <w:t>Мероприятия по охране атмосферного воздуха от загрязнения выбросами вредных веществ являются в основном организационными, контролирующими топливный цикл и направленными на сокращение расхода топлива и снижение объема выбросов загрязняющих веществ.</w:t>
      </w:r>
    </w:p>
    <w:p w:rsidR="000433CA" w:rsidRPr="00017CFA" w:rsidRDefault="000433CA" w:rsidP="000433CA">
      <w:pPr>
        <w:widowControl w:val="0"/>
        <w:spacing w:line="360" w:lineRule="auto"/>
        <w:ind w:firstLine="851"/>
        <w:jc w:val="both"/>
      </w:pPr>
      <w:r w:rsidRPr="00017CFA">
        <w:t>Состав мероприятий:</w:t>
      </w:r>
    </w:p>
    <w:p w:rsidR="000433CA" w:rsidRPr="00017CFA" w:rsidRDefault="000433CA" w:rsidP="000433CA">
      <w:pPr>
        <w:pStyle w:val="a0"/>
        <w:widowControl w:val="0"/>
        <w:tabs>
          <w:tab w:val="clear" w:pos="1049"/>
        </w:tabs>
        <w:ind w:firstLine="851"/>
        <w:jc w:val="both"/>
        <w:rPr>
          <w:szCs w:val="24"/>
        </w:rPr>
      </w:pPr>
      <w:r w:rsidRPr="00017CFA">
        <w:t xml:space="preserve"> допуск к эксплуатации машин и механизмов в исправном состоянии, контроль за состоянием технических средств, способных вызвать загорание естественной растительности</w:t>
      </w:r>
      <w:r w:rsidRPr="00017CFA">
        <w:rPr>
          <w:szCs w:val="24"/>
        </w:rPr>
        <w:t>;</w:t>
      </w:r>
    </w:p>
    <w:p w:rsidR="000433CA" w:rsidRPr="00017CFA" w:rsidRDefault="000433CA" w:rsidP="000433CA">
      <w:pPr>
        <w:pStyle w:val="a0"/>
        <w:widowControl w:val="0"/>
        <w:tabs>
          <w:tab w:val="clear" w:pos="1049"/>
        </w:tabs>
        <w:ind w:firstLine="851"/>
        <w:jc w:val="both"/>
        <w:rPr>
          <w:szCs w:val="24"/>
        </w:rPr>
      </w:pPr>
      <w:r w:rsidRPr="00017CFA">
        <w:t>контроль топливной системы механизмов, а также системы регулировки подачи топлива, обеспечивающих полное его сгорание (силами подрядчика) для удержания значений выбросов загрязняющих веществ от автотранспорта и строительной техники в расчетных пределах;</w:t>
      </w:r>
    </w:p>
    <w:p w:rsidR="000433CA" w:rsidRPr="00017CFA" w:rsidRDefault="000433CA" w:rsidP="000433CA">
      <w:pPr>
        <w:pStyle w:val="a0"/>
        <w:ind w:firstLine="851"/>
        <w:jc w:val="both"/>
      </w:pPr>
      <w:r w:rsidRPr="00017CFA">
        <w:t>применение в процессе строительства веществ, строительных материалов, имеющих сертификаты качества;</w:t>
      </w:r>
    </w:p>
    <w:p w:rsidR="000433CA" w:rsidRPr="00017CFA" w:rsidRDefault="000433CA" w:rsidP="000433CA">
      <w:pPr>
        <w:pStyle w:val="a0"/>
        <w:ind w:firstLine="851"/>
        <w:jc w:val="both"/>
      </w:pPr>
      <w:r w:rsidRPr="00017CFA">
        <w:t>запрещение разведения костров и сжигания в них любых видов материалов и отходов;</w:t>
      </w:r>
    </w:p>
    <w:p w:rsidR="000433CA" w:rsidRPr="00017CFA" w:rsidRDefault="000433CA" w:rsidP="000433CA">
      <w:pPr>
        <w:pStyle w:val="a0"/>
        <w:ind w:firstLine="851"/>
        <w:jc w:val="both"/>
      </w:pPr>
      <w:r w:rsidRPr="00017CFA">
        <w:t>проведение периодического экологического контроля выбросов автотранспорта и строительной техники силами подрядчика;</w:t>
      </w:r>
    </w:p>
    <w:p w:rsidR="000433CA" w:rsidRPr="00017CFA" w:rsidRDefault="000433CA" w:rsidP="000433CA">
      <w:pPr>
        <w:pStyle w:val="a0"/>
        <w:ind w:firstLine="851"/>
        <w:jc w:val="both"/>
      </w:pPr>
      <w:r w:rsidRPr="00017CFA">
        <w:t>использование оборудования, выбросы которого не превышают нормативно-допустимых;</w:t>
      </w:r>
    </w:p>
    <w:p w:rsidR="000433CA" w:rsidRPr="00017CFA" w:rsidRDefault="000433CA" w:rsidP="000433CA">
      <w:pPr>
        <w:pStyle w:val="a0"/>
        <w:ind w:firstLine="851"/>
        <w:jc w:val="both"/>
      </w:pPr>
      <w:r w:rsidRPr="00017CFA">
        <w:t>оперативное реагирование на все случаи нарушения природоохранного законодательства.</w:t>
      </w:r>
    </w:p>
    <w:p w:rsidR="000433CA" w:rsidRPr="00017CFA" w:rsidRDefault="000433CA" w:rsidP="000433CA">
      <w:pPr>
        <w:widowControl w:val="0"/>
        <w:spacing w:line="360" w:lineRule="auto"/>
        <w:ind w:firstLine="851"/>
        <w:jc w:val="both"/>
      </w:pPr>
      <w:r w:rsidRPr="00017CFA">
        <w:t>При проведении технического обслуживания дорожных машин следует особое внимание уделять контрольным и регулировочным работам по системе питания, зажигания и газораспределительному механизму двигателя. Эти меры обеспечивают полное сгорание топлива, снижают его расход, значительно уменьшают выброс токсичных веществ.</w:t>
      </w:r>
    </w:p>
    <w:p w:rsidR="000433CA" w:rsidRPr="00017CFA" w:rsidRDefault="000433CA" w:rsidP="000433CA">
      <w:pPr>
        <w:widowControl w:val="0"/>
        <w:spacing w:line="360" w:lineRule="auto"/>
        <w:ind w:firstLine="851"/>
        <w:jc w:val="both"/>
      </w:pPr>
      <w:r w:rsidRPr="00017CFA">
        <w:t>Контроль за подрядными организациями в части соблюдения требований природоохранного законодательства при выполнении работ по строительству, реконструкции и капитальному ремонту объектов организаций системы «</w:t>
      </w:r>
      <w:proofErr w:type="spellStart"/>
      <w:r w:rsidRPr="00017CFA">
        <w:t>Транснефть</w:t>
      </w:r>
      <w:proofErr w:type="spellEnd"/>
      <w:r w:rsidRPr="00017CFA">
        <w:t>» осуществляется:</w:t>
      </w:r>
    </w:p>
    <w:p w:rsidR="000433CA" w:rsidRPr="00017CFA" w:rsidRDefault="000433CA" w:rsidP="000433CA">
      <w:pPr>
        <w:pStyle w:val="11"/>
        <w:numPr>
          <w:ilvl w:val="0"/>
          <w:numId w:val="8"/>
        </w:numPr>
        <w:tabs>
          <w:tab w:val="left" w:pos="-567"/>
        </w:tabs>
        <w:suppressAutoHyphens/>
        <w:spacing w:line="360" w:lineRule="auto"/>
        <w:ind w:left="0" w:firstLine="851"/>
        <w:jc w:val="both"/>
        <w:rPr>
          <w:color w:val="auto"/>
        </w:rPr>
      </w:pPr>
      <w:r w:rsidRPr="00017CFA">
        <w:rPr>
          <w:color w:val="auto"/>
        </w:rPr>
        <w:t>органами государственного контроля (в рамках проводимых проверок соблюдения требований природоохранного законодательства);</w:t>
      </w:r>
    </w:p>
    <w:p w:rsidR="000433CA" w:rsidRPr="00017CFA" w:rsidRDefault="000433CA" w:rsidP="000433CA">
      <w:pPr>
        <w:pStyle w:val="11"/>
        <w:numPr>
          <w:ilvl w:val="0"/>
          <w:numId w:val="8"/>
        </w:numPr>
        <w:tabs>
          <w:tab w:val="left" w:pos="-567"/>
          <w:tab w:val="left" w:pos="1418"/>
        </w:tabs>
        <w:suppressAutoHyphens/>
        <w:spacing w:line="360" w:lineRule="auto"/>
        <w:ind w:left="0" w:firstLine="851"/>
        <w:jc w:val="both"/>
        <w:rPr>
          <w:color w:val="auto"/>
        </w:rPr>
      </w:pPr>
      <w:r w:rsidRPr="00017CFA">
        <w:rPr>
          <w:color w:val="auto"/>
        </w:rPr>
        <w:t>заказчиком (в рамках проводимых проверок соблюдения требований природоохранного законодательства);</w:t>
      </w:r>
    </w:p>
    <w:p w:rsidR="000433CA" w:rsidRPr="00017CFA" w:rsidRDefault="000433CA" w:rsidP="000433CA">
      <w:pPr>
        <w:pStyle w:val="11"/>
        <w:numPr>
          <w:ilvl w:val="0"/>
          <w:numId w:val="8"/>
        </w:numPr>
        <w:tabs>
          <w:tab w:val="left" w:pos="-567"/>
          <w:tab w:val="left" w:pos="1418"/>
        </w:tabs>
        <w:suppressAutoHyphens/>
        <w:spacing w:line="360" w:lineRule="auto"/>
        <w:ind w:left="0" w:firstLine="851"/>
        <w:jc w:val="both"/>
        <w:rPr>
          <w:color w:val="auto"/>
        </w:rPr>
      </w:pPr>
      <w:r w:rsidRPr="00017CFA">
        <w:rPr>
          <w:color w:val="auto"/>
        </w:rPr>
        <w:lastRenderedPageBreak/>
        <w:t>ООО «</w:t>
      </w:r>
      <w:proofErr w:type="spellStart"/>
      <w:r w:rsidRPr="00017CFA">
        <w:rPr>
          <w:color w:val="auto"/>
        </w:rPr>
        <w:t>Транснефть</w:t>
      </w:r>
      <w:proofErr w:type="spellEnd"/>
      <w:r w:rsidRPr="00017CFA">
        <w:rPr>
          <w:color w:val="auto"/>
        </w:rPr>
        <w:t xml:space="preserve"> Надзор» и другими организациями, осуществляющими строительный контроль заказчика;</w:t>
      </w:r>
    </w:p>
    <w:p w:rsidR="000433CA" w:rsidRPr="00017CFA" w:rsidRDefault="000433CA" w:rsidP="000433CA">
      <w:pPr>
        <w:pStyle w:val="11"/>
        <w:numPr>
          <w:ilvl w:val="0"/>
          <w:numId w:val="8"/>
        </w:numPr>
        <w:tabs>
          <w:tab w:val="left" w:pos="-567"/>
          <w:tab w:val="left" w:pos="1418"/>
        </w:tabs>
        <w:suppressAutoHyphens/>
        <w:spacing w:line="360" w:lineRule="auto"/>
        <w:ind w:left="0" w:firstLine="851"/>
        <w:jc w:val="both"/>
        <w:rPr>
          <w:color w:val="auto"/>
        </w:rPr>
      </w:pPr>
      <w:r w:rsidRPr="00017CFA">
        <w:rPr>
          <w:color w:val="auto"/>
        </w:rPr>
        <w:t>специализированными организациями (в рамках проведения экологического мониторинга);</w:t>
      </w:r>
    </w:p>
    <w:p w:rsidR="000433CA" w:rsidRPr="00017CFA" w:rsidRDefault="000433CA" w:rsidP="000433CA">
      <w:pPr>
        <w:pStyle w:val="11"/>
        <w:numPr>
          <w:ilvl w:val="0"/>
          <w:numId w:val="8"/>
        </w:numPr>
        <w:tabs>
          <w:tab w:val="left" w:pos="-567"/>
          <w:tab w:val="left" w:pos="709"/>
        </w:tabs>
        <w:suppressAutoHyphens/>
        <w:spacing w:line="360" w:lineRule="auto"/>
        <w:ind w:left="0" w:firstLine="851"/>
        <w:jc w:val="both"/>
        <w:rPr>
          <w:color w:val="auto"/>
        </w:rPr>
      </w:pPr>
      <w:r w:rsidRPr="00017CFA">
        <w:rPr>
          <w:color w:val="auto"/>
        </w:rPr>
        <w:t>подрядной организацией (в рамках производственного экологического контроля).</w:t>
      </w:r>
    </w:p>
    <w:p w:rsidR="00FC219B" w:rsidRPr="00A73F10" w:rsidRDefault="00FC219B" w:rsidP="00FC219B">
      <w:pPr>
        <w:suppressAutoHyphens/>
        <w:autoSpaceDE w:val="0"/>
        <w:autoSpaceDN w:val="0"/>
        <w:adjustRightInd w:val="0"/>
        <w:spacing w:line="360" w:lineRule="auto"/>
        <w:ind w:firstLine="851"/>
        <w:jc w:val="both"/>
      </w:pPr>
      <w:r w:rsidRPr="00A73F10">
        <w:t xml:space="preserve">Согласно письму Министерства природных ресурсов и экологии </w:t>
      </w:r>
      <w:r>
        <w:t>Свердловской области</w:t>
      </w:r>
      <w:r w:rsidRPr="00A73F10">
        <w:t xml:space="preserve"> от </w:t>
      </w:r>
      <w:r>
        <w:t>01</w:t>
      </w:r>
      <w:r w:rsidRPr="00A73F10">
        <w:t xml:space="preserve"> </w:t>
      </w:r>
      <w:r>
        <w:t>августа</w:t>
      </w:r>
      <w:r w:rsidRPr="00A73F10">
        <w:t xml:space="preserve"> 201</w:t>
      </w:r>
      <w:r>
        <w:t>9</w:t>
      </w:r>
      <w:r w:rsidRPr="00A73F10">
        <w:t xml:space="preserve"> года № 12-</w:t>
      </w:r>
      <w:r>
        <w:t>17-02</w:t>
      </w:r>
      <w:r w:rsidRPr="00A73F10">
        <w:t>/</w:t>
      </w:r>
      <w:r>
        <w:t>12803</w:t>
      </w:r>
      <w:r w:rsidRPr="00A73F10">
        <w:t xml:space="preserve"> установлено, что проектируемый объект не находится в границах особо охраняемых природных территорий </w:t>
      </w:r>
      <w:r>
        <w:t>регионального</w:t>
      </w:r>
      <w:r w:rsidRPr="00A73F10">
        <w:t xml:space="preserve"> значения.</w:t>
      </w:r>
    </w:p>
    <w:p w:rsidR="000433CA" w:rsidRPr="00EA3139" w:rsidRDefault="00FC219B" w:rsidP="00FC219B">
      <w:pPr>
        <w:spacing w:line="360" w:lineRule="auto"/>
        <w:ind w:firstLine="851"/>
        <w:jc w:val="both"/>
      </w:pPr>
      <w:r w:rsidRPr="003B2C30">
        <w:t xml:space="preserve">Согласно письму </w:t>
      </w:r>
      <w:bookmarkStart w:id="16" w:name="_Hlk35422241"/>
      <w:r>
        <w:t>администрации Гаринского городского округа</w:t>
      </w:r>
      <w:r w:rsidRPr="003B2C30">
        <w:t xml:space="preserve"> от </w:t>
      </w:r>
      <w:r>
        <w:t>15</w:t>
      </w:r>
      <w:r w:rsidRPr="003B2C30">
        <w:t xml:space="preserve"> </w:t>
      </w:r>
      <w:r>
        <w:t>июля</w:t>
      </w:r>
      <w:r w:rsidRPr="003B2C30">
        <w:t xml:space="preserve"> 2019 года № </w:t>
      </w:r>
      <w:r>
        <w:t>2183</w:t>
      </w:r>
      <w:bookmarkEnd w:id="16"/>
      <w:r w:rsidRPr="003B2C30">
        <w:t xml:space="preserve">, </w:t>
      </w:r>
      <w:r>
        <w:t>на изыскиваемом участке по объекту</w:t>
      </w:r>
      <w:r w:rsidRPr="003B2C30">
        <w:t xml:space="preserve"> действующие особо охраняемые природные территории местного значения</w:t>
      </w:r>
      <w:r>
        <w:t xml:space="preserve">, а также </w:t>
      </w:r>
      <w:r w:rsidRPr="00AF25E5">
        <w:t>территори</w:t>
      </w:r>
      <w:r>
        <w:t>и</w:t>
      </w:r>
      <w:r w:rsidRPr="00AF25E5">
        <w:t xml:space="preserve"> традиционного</w:t>
      </w:r>
      <w:r>
        <w:t xml:space="preserve"> </w:t>
      </w:r>
      <w:r w:rsidRPr="00AF25E5">
        <w:t>пользования коренных малочисленных народов Севера</w:t>
      </w:r>
      <w:r w:rsidRPr="003B2C30">
        <w:t xml:space="preserve"> отсутствуют</w:t>
      </w:r>
      <w:r w:rsidR="000433CA" w:rsidRPr="00EA3139">
        <w:t>.</w:t>
      </w:r>
    </w:p>
    <w:p w:rsidR="004E004E" w:rsidRPr="004E004E" w:rsidRDefault="004E004E" w:rsidP="004E004E">
      <w:pPr>
        <w:pStyle w:val="a9"/>
        <w:numPr>
          <w:ilvl w:val="1"/>
          <w:numId w:val="1"/>
        </w:numPr>
        <w:ind w:left="777"/>
        <w:rPr>
          <w:b w:val="0"/>
          <w:sz w:val="24"/>
        </w:rPr>
      </w:pPr>
      <w:bookmarkStart w:id="17" w:name="_Toc31979571"/>
      <w:r w:rsidRPr="004E004E">
        <w:rPr>
          <w:b w:val="0"/>
          <w:sz w:val="24"/>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17"/>
    </w:p>
    <w:p w:rsidR="004E3329" w:rsidRPr="004E3329" w:rsidRDefault="004E3329" w:rsidP="004E3329">
      <w:pPr>
        <w:tabs>
          <w:tab w:val="left" w:pos="142"/>
          <w:tab w:val="left" w:pos="1134"/>
        </w:tabs>
        <w:suppressAutoHyphens/>
        <w:spacing w:line="360" w:lineRule="auto"/>
        <w:ind w:firstLine="851"/>
        <w:jc w:val="both"/>
        <w:rPr>
          <w:bCs/>
        </w:rPr>
        <w:sectPr w:rsidR="004E3329" w:rsidRPr="004E3329" w:rsidSect="00720FBD">
          <w:type w:val="continuous"/>
          <w:pgSz w:w="11906" w:h="16838" w:code="9"/>
          <w:pgMar w:top="1134" w:right="624" w:bottom="1701" w:left="1418" w:header="357" w:footer="323" w:gutter="0"/>
          <w:cols w:space="708"/>
          <w:docGrid w:linePitch="360"/>
        </w:sectPr>
      </w:pPr>
      <w:r w:rsidRPr="004E3329">
        <w:rPr>
          <w:rFonts w:eastAsia="Calibri"/>
          <w:color w:val="000000" w:themeColor="text1"/>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 в составе проектной документации объекта капитального строительства:</w:t>
      </w:r>
      <w:r w:rsidRPr="004E3329">
        <w:rPr>
          <w:bCs/>
        </w:rPr>
        <w:t xml:space="preserve"> </w:t>
      </w:r>
      <w:r w:rsidRPr="004E3329">
        <w:rPr>
          <w:color w:val="000000" w:themeColor="text1"/>
        </w:rPr>
        <w:t>«</w:t>
      </w:r>
      <w:r>
        <w:t>Карьер № 2 расположенный на участке МН «Сургут - Полоцк» 712 км – 767 км</w:t>
      </w:r>
      <w:r w:rsidRPr="004E3329">
        <w:rPr>
          <w:color w:val="000000" w:themeColor="text1"/>
        </w:rPr>
        <w:t>»</w:t>
      </w:r>
      <w:r w:rsidRPr="004E3329">
        <w:rPr>
          <w:bCs/>
        </w:rPr>
        <w:t xml:space="preserve"> </w:t>
      </w:r>
      <w:r w:rsidRPr="004E3329">
        <w:rPr>
          <w:rFonts w:eastAsia="Calibri"/>
          <w:color w:val="000000" w:themeColor="text1"/>
          <w:lang w:eastAsia="en-US"/>
        </w:rPr>
        <w:t xml:space="preserve">согласно пункту 14 статьи 48 Градостроительного кодекса Российской Федерации от 29 декабря 2004 года № 190-ФЗ </w:t>
      </w:r>
      <w:r w:rsidRPr="004E3329">
        <w:rPr>
          <w:bCs/>
        </w:rPr>
        <w:t>не требуется.</w:t>
      </w:r>
    </w:p>
    <w:p w:rsidR="000433CA" w:rsidRDefault="000433CA" w:rsidP="000433CA">
      <w:pPr>
        <w:tabs>
          <w:tab w:val="left" w:pos="142"/>
          <w:tab w:val="left" w:pos="1134"/>
        </w:tabs>
        <w:suppressAutoHyphens/>
        <w:spacing w:line="360" w:lineRule="auto"/>
        <w:ind w:firstLine="851"/>
        <w:contextualSpacing/>
        <w:jc w:val="both"/>
        <w:rPr>
          <w:bCs/>
        </w:rPr>
        <w:sectPr w:rsidR="000433CA" w:rsidSect="00F22DBF">
          <w:type w:val="continuous"/>
          <w:pgSz w:w="11906" w:h="16838" w:code="9"/>
          <w:pgMar w:top="1134" w:right="624" w:bottom="1701" w:left="1418" w:header="357" w:footer="323" w:gutter="0"/>
          <w:cols w:space="708"/>
          <w:docGrid w:linePitch="360"/>
        </w:sectPr>
      </w:pPr>
    </w:p>
    <w:p w:rsidR="00811828" w:rsidRPr="00C7667D" w:rsidRDefault="00811828" w:rsidP="004E004E">
      <w:pPr>
        <w:tabs>
          <w:tab w:val="left" w:pos="142"/>
          <w:tab w:val="left" w:pos="1134"/>
        </w:tabs>
        <w:suppressAutoHyphens/>
        <w:spacing w:line="360" w:lineRule="auto"/>
        <w:ind w:firstLine="709"/>
        <w:contextualSpacing/>
        <w:jc w:val="both"/>
      </w:pPr>
    </w:p>
    <w:sectPr w:rsidR="00811828" w:rsidRPr="00C7667D" w:rsidSect="00B500CA">
      <w:type w:val="continuous"/>
      <w:pgSz w:w="11906" w:h="16838"/>
      <w:pgMar w:top="567" w:right="707" w:bottom="1276"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EF" w:rsidRDefault="00FA18EF" w:rsidP="00671F65">
      <w:r>
        <w:separator/>
      </w:r>
    </w:p>
  </w:endnote>
  <w:endnote w:type="continuationSeparator" w:id="0">
    <w:p w:rsidR="00FA18EF" w:rsidRDefault="00FA18EF" w:rsidP="0067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EF" w:rsidRDefault="00FA18EF" w:rsidP="00671F65">
      <w:r>
        <w:separator/>
      </w:r>
    </w:p>
  </w:footnote>
  <w:footnote w:type="continuationSeparator" w:id="0">
    <w:p w:rsidR="00FA18EF" w:rsidRDefault="00FA18EF" w:rsidP="00671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954220"/>
      <w:docPartObj>
        <w:docPartGallery w:val="Page Numbers (Top of Page)"/>
        <w:docPartUnique/>
      </w:docPartObj>
    </w:sdtPr>
    <w:sdtEndPr/>
    <w:sdtContent>
      <w:p w:rsidR="00F22DBF" w:rsidRDefault="00F22DBF">
        <w:pPr>
          <w:pStyle w:val="ad"/>
          <w:jc w:val="center"/>
        </w:pPr>
        <w:r>
          <w:fldChar w:fldCharType="begin"/>
        </w:r>
        <w:r>
          <w:instrText>PAGE   \* MERGEFORMAT</w:instrText>
        </w:r>
        <w:r>
          <w:fldChar w:fldCharType="separate"/>
        </w:r>
        <w:r w:rsidR="00FE1F94">
          <w:rPr>
            <w:noProof/>
          </w:rPr>
          <w:t>2</w:t>
        </w:r>
        <w:r>
          <w:fldChar w:fldCharType="end"/>
        </w:r>
      </w:p>
    </w:sdtContent>
  </w:sdt>
  <w:p w:rsidR="00F22DBF" w:rsidRDefault="00F22D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78E"/>
    <w:multiLevelType w:val="hybridMultilevel"/>
    <w:tmpl w:val="89ECACA2"/>
    <w:lvl w:ilvl="0" w:tplc="7F72A96A">
      <w:start w:val="1"/>
      <w:numFmt w:val="bullet"/>
      <w:lvlText w:val=""/>
      <w:lvlJc w:val="left"/>
      <w:pPr>
        <w:ind w:left="1429" w:hanging="360"/>
      </w:pPr>
      <w:rPr>
        <w:rFonts w:ascii="Symbol" w:hAnsi="Symbol" w:hint="default"/>
        <w:b w:val="0"/>
        <w:i w:val="0"/>
        <w:sz w:val="24"/>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1">
    <w:nsid w:val="30962BE2"/>
    <w:multiLevelType w:val="hybridMultilevel"/>
    <w:tmpl w:val="B510C31E"/>
    <w:lvl w:ilvl="0" w:tplc="5400DA8C">
      <w:start w:val="1"/>
      <w:numFmt w:val="russianLower"/>
      <w:pStyle w:val="a"/>
      <w:lvlText w:val="%1)"/>
      <w:lvlJc w:val="left"/>
      <w:pPr>
        <w:tabs>
          <w:tab w:val="num" w:pos="709"/>
        </w:tabs>
        <w:ind w:left="0"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A023B1"/>
    <w:multiLevelType w:val="multilevel"/>
    <w:tmpl w:val="45901764"/>
    <w:lvl w:ilvl="0">
      <w:start w:val="1"/>
      <w:numFmt w:val="decimal"/>
      <w:lvlText w:val="%1"/>
      <w:lvlJc w:val="left"/>
      <w:pPr>
        <w:ind w:left="432" w:hanging="432"/>
      </w:pPr>
      <w:rPr>
        <w:rFonts w:hint="default"/>
      </w:rPr>
    </w:lvl>
    <w:lvl w:ilvl="1">
      <w:start w:val="2"/>
      <w:numFmt w:val="decimal"/>
      <w:lvlText w:val="%2.1.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556A0F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350452E"/>
    <w:multiLevelType w:val="multilevel"/>
    <w:tmpl w:val="E74031E8"/>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E752801"/>
    <w:multiLevelType w:val="multilevel"/>
    <w:tmpl w:val="70F03788"/>
    <w:lvl w:ilvl="0">
      <w:start w:val="1"/>
      <w:numFmt w:val="bullet"/>
      <w:pStyle w:val="a0"/>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6">
    <w:nsid w:val="7E8B5C0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4"/>
  </w:num>
  <w:num w:numId="2">
    <w:abstractNumId w:val="3"/>
  </w:num>
  <w:num w:numId="3">
    <w:abstractNumId w:val="6"/>
  </w:num>
  <w:num w:numId="4">
    <w:abstractNumId w:val="6"/>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5B"/>
    <w:rsid w:val="000121EC"/>
    <w:rsid w:val="0002125E"/>
    <w:rsid w:val="000433CA"/>
    <w:rsid w:val="00071664"/>
    <w:rsid w:val="00074B26"/>
    <w:rsid w:val="00081B44"/>
    <w:rsid w:val="00086436"/>
    <w:rsid w:val="000C6A8C"/>
    <w:rsid w:val="000C6FCD"/>
    <w:rsid w:val="000D25B2"/>
    <w:rsid w:val="000D2622"/>
    <w:rsid w:val="000F7512"/>
    <w:rsid w:val="00110868"/>
    <w:rsid w:val="00170434"/>
    <w:rsid w:val="00172667"/>
    <w:rsid w:val="001764E6"/>
    <w:rsid w:val="0020603A"/>
    <w:rsid w:val="0026053F"/>
    <w:rsid w:val="00260D75"/>
    <w:rsid w:val="002767E7"/>
    <w:rsid w:val="002927AC"/>
    <w:rsid w:val="00293DE0"/>
    <w:rsid w:val="002F3A0C"/>
    <w:rsid w:val="0031088B"/>
    <w:rsid w:val="003113F3"/>
    <w:rsid w:val="003226E4"/>
    <w:rsid w:val="003526C9"/>
    <w:rsid w:val="00353753"/>
    <w:rsid w:val="00371A7B"/>
    <w:rsid w:val="003751D1"/>
    <w:rsid w:val="00392554"/>
    <w:rsid w:val="003976B5"/>
    <w:rsid w:val="003A3564"/>
    <w:rsid w:val="003B1AA2"/>
    <w:rsid w:val="003E0075"/>
    <w:rsid w:val="003E2D39"/>
    <w:rsid w:val="00424E5A"/>
    <w:rsid w:val="00425C3F"/>
    <w:rsid w:val="00441F64"/>
    <w:rsid w:val="00463203"/>
    <w:rsid w:val="004740BB"/>
    <w:rsid w:val="0048557D"/>
    <w:rsid w:val="004952B8"/>
    <w:rsid w:val="004B1D27"/>
    <w:rsid w:val="004C2E14"/>
    <w:rsid w:val="004E004E"/>
    <w:rsid w:val="004E3329"/>
    <w:rsid w:val="004F6817"/>
    <w:rsid w:val="00506FBE"/>
    <w:rsid w:val="00563E5B"/>
    <w:rsid w:val="0057178D"/>
    <w:rsid w:val="006003CE"/>
    <w:rsid w:val="006067E5"/>
    <w:rsid w:val="00620B15"/>
    <w:rsid w:val="00671F65"/>
    <w:rsid w:val="006A2BDF"/>
    <w:rsid w:val="006F540C"/>
    <w:rsid w:val="00742E5C"/>
    <w:rsid w:val="00744D94"/>
    <w:rsid w:val="00782FD4"/>
    <w:rsid w:val="00796A7B"/>
    <w:rsid w:val="007C4097"/>
    <w:rsid w:val="00811828"/>
    <w:rsid w:val="0086567D"/>
    <w:rsid w:val="008A4CAA"/>
    <w:rsid w:val="008A63DF"/>
    <w:rsid w:val="00946E06"/>
    <w:rsid w:val="009504CC"/>
    <w:rsid w:val="00957947"/>
    <w:rsid w:val="00A01A5D"/>
    <w:rsid w:val="00A80C6A"/>
    <w:rsid w:val="00A94552"/>
    <w:rsid w:val="00AA66BE"/>
    <w:rsid w:val="00AC2F18"/>
    <w:rsid w:val="00AC4B8B"/>
    <w:rsid w:val="00AF2D72"/>
    <w:rsid w:val="00B107D5"/>
    <w:rsid w:val="00B11E27"/>
    <w:rsid w:val="00B21033"/>
    <w:rsid w:val="00B34D33"/>
    <w:rsid w:val="00B500CA"/>
    <w:rsid w:val="00B81506"/>
    <w:rsid w:val="00BA2A57"/>
    <w:rsid w:val="00BA3D67"/>
    <w:rsid w:val="00BF4A74"/>
    <w:rsid w:val="00C133D2"/>
    <w:rsid w:val="00C36329"/>
    <w:rsid w:val="00C3647B"/>
    <w:rsid w:val="00C7667D"/>
    <w:rsid w:val="00C8116B"/>
    <w:rsid w:val="00C91AF0"/>
    <w:rsid w:val="00C94A96"/>
    <w:rsid w:val="00CB05B8"/>
    <w:rsid w:val="00CC7A67"/>
    <w:rsid w:val="00D0269F"/>
    <w:rsid w:val="00D221E8"/>
    <w:rsid w:val="00D259F3"/>
    <w:rsid w:val="00D60A5F"/>
    <w:rsid w:val="00D7676A"/>
    <w:rsid w:val="00DB7EE4"/>
    <w:rsid w:val="00DE5148"/>
    <w:rsid w:val="00E1680E"/>
    <w:rsid w:val="00E22498"/>
    <w:rsid w:val="00E334B8"/>
    <w:rsid w:val="00E4334E"/>
    <w:rsid w:val="00E6597F"/>
    <w:rsid w:val="00E71821"/>
    <w:rsid w:val="00EC58F0"/>
    <w:rsid w:val="00F22DBF"/>
    <w:rsid w:val="00F421D2"/>
    <w:rsid w:val="00FA18EF"/>
    <w:rsid w:val="00FC219B"/>
    <w:rsid w:val="00FD3863"/>
    <w:rsid w:val="00FE1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3E5B"/>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0F7512"/>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unhideWhenUsed/>
    <w:qFormat/>
    <w:rsid w:val="00563E5B"/>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semiHidden/>
    <w:unhideWhenUsed/>
    <w:qFormat/>
    <w:rsid w:val="000F7512"/>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1"/>
    <w:next w:val="a1"/>
    <w:link w:val="40"/>
    <w:uiPriority w:val="9"/>
    <w:semiHidden/>
    <w:unhideWhenUsed/>
    <w:qFormat/>
    <w:rsid w:val="000F7512"/>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0"/>
    <w:uiPriority w:val="9"/>
    <w:semiHidden/>
    <w:unhideWhenUsed/>
    <w:qFormat/>
    <w:rsid w:val="000F7512"/>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0F751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
    <w:semiHidden/>
    <w:unhideWhenUsed/>
    <w:qFormat/>
    <w:rsid w:val="000F751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semiHidden/>
    <w:unhideWhenUsed/>
    <w:qFormat/>
    <w:rsid w:val="000F751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0F751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3">
    <w:name w:val="Заголовок 2 Знак3"/>
    <w:aliases w:val="Заголовок 2 Знак1 Знак Знак,Заголовок 2 Знак Знак Знак Знак,Заголовок 2 Знак1 Знак1,Заголовок 2 Знак Знак Знак1,Заголовок 2 Знак Знак3,Заголовок 2 Знак Знак1 Знак Знак,Заголовок 2 Знак2 Знак,Заголовок 2 Знак Знак2 Знак,КНГ2 Знак"/>
    <w:rsid w:val="00563E5B"/>
    <w:rPr>
      <w:b/>
      <w:sz w:val="28"/>
      <w:lang w:val="ru-RU" w:eastAsia="en-US" w:bidi="ar-SA"/>
    </w:rPr>
  </w:style>
  <w:style w:type="paragraph" w:customStyle="1" w:styleId="21">
    <w:name w:val="Заголовок_2_ПИР"/>
    <w:basedOn w:val="2"/>
    <w:next w:val="a1"/>
    <w:qFormat/>
    <w:rsid w:val="00563E5B"/>
    <w:pPr>
      <w:keepNext w:val="0"/>
      <w:keepLines w:val="0"/>
      <w:spacing w:before="240" w:after="240"/>
      <w:ind w:left="710"/>
      <w:jc w:val="both"/>
    </w:pPr>
    <w:rPr>
      <w:rFonts w:ascii="Times New Roman" w:eastAsia="Times New Roman" w:hAnsi="Times New Roman" w:cs="Times New Roman"/>
      <w:b/>
      <w:color w:val="auto"/>
      <w:sz w:val="24"/>
      <w:szCs w:val="24"/>
    </w:rPr>
  </w:style>
  <w:style w:type="character" w:customStyle="1" w:styleId="20">
    <w:name w:val="Заголовок 2 Знак"/>
    <w:basedOn w:val="a2"/>
    <w:link w:val="2"/>
    <w:uiPriority w:val="9"/>
    <w:rsid w:val="00563E5B"/>
    <w:rPr>
      <w:rFonts w:asciiTheme="majorHAnsi" w:eastAsiaTheme="majorEastAsia" w:hAnsiTheme="majorHAnsi" w:cstheme="majorBidi"/>
      <w:color w:val="2E74B5" w:themeColor="accent1" w:themeShade="BF"/>
      <w:sz w:val="26"/>
      <w:szCs w:val="26"/>
      <w:lang w:eastAsia="ru-RU"/>
    </w:rPr>
  </w:style>
  <w:style w:type="paragraph" w:styleId="a5">
    <w:name w:val="List Paragraph"/>
    <w:basedOn w:val="a1"/>
    <w:uiPriority w:val="34"/>
    <w:qFormat/>
    <w:rsid w:val="003526C9"/>
    <w:pPr>
      <w:ind w:left="720"/>
      <w:contextualSpacing/>
    </w:pPr>
  </w:style>
  <w:style w:type="paragraph" w:customStyle="1" w:styleId="a6">
    <w:name w:val="Таблица по середине"/>
    <w:basedOn w:val="a1"/>
    <w:next w:val="a1"/>
    <w:link w:val="a7"/>
    <w:rsid w:val="000F7512"/>
    <w:pPr>
      <w:jc w:val="center"/>
    </w:pPr>
  </w:style>
  <w:style w:type="character" w:customStyle="1" w:styleId="a7">
    <w:name w:val="Таблица по середине Знак"/>
    <w:link w:val="a6"/>
    <w:rsid w:val="000F7512"/>
    <w:rPr>
      <w:rFonts w:ascii="Times New Roman" w:eastAsia="Times New Roman" w:hAnsi="Times New Roman" w:cs="Times New Roman"/>
      <w:sz w:val="24"/>
      <w:szCs w:val="24"/>
      <w:lang w:eastAsia="ru-RU"/>
    </w:rPr>
  </w:style>
  <w:style w:type="character" w:customStyle="1" w:styleId="FontStyle37">
    <w:name w:val="Font Style37"/>
    <w:basedOn w:val="a2"/>
    <w:uiPriority w:val="99"/>
    <w:rsid w:val="000F7512"/>
    <w:rPr>
      <w:rFonts w:ascii="Arial" w:hAnsi="Arial" w:cs="Arial"/>
      <w:sz w:val="20"/>
      <w:szCs w:val="20"/>
    </w:rPr>
  </w:style>
  <w:style w:type="character" w:styleId="a8">
    <w:name w:val="Placeholder Text"/>
    <w:basedOn w:val="a2"/>
    <w:uiPriority w:val="99"/>
    <w:semiHidden/>
    <w:rsid w:val="000F7512"/>
    <w:rPr>
      <w:color w:val="808080"/>
    </w:rPr>
  </w:style>
  <w:style w:type="character" w:customStyle="1" w:styleId="10">
    <w:name w:val="Заголовок 1 Знак"/>
    <w:basedOn w:val="a2"/>
    <w:link w:val="1"/>
    <w:uiPriority w:val="9"/>
    <w:rsid w:val="000F7512"/>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2"/>
    <w:link w:val="3"/>
    <w:uiPriority w:val="9"/>
    <w:semiHidden/>
    <w:rsid w:val="000F751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uiPriority w:val="9"/>
    <w:semiHidden/>
    <w:rsid w:val="000F7512"/>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uiPriority w:val="9"/>
    <w:semiHidden/>
    <w:rsid w:val="000F7512"/>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uiPriority w:val="9"/>
    <w:semiHidden/>
    <w:rsid w:val="000F7512"/>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2"/>
    <w:link w:val="7"/>
    <w:uiPriority w:val="9"/>
    <w:semiHidden/>
    <w:rsid w:val="000F7512"/>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uiPriority w:val="9"/>
    <w:semiHidden/>
    <w:rsid w:val="000F751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uiPriority w:val="9"/>
    <w:semiHidden/>
    <w:rsid w:val="000F7512"/>
    <w:rPr>
      <w:rFonts w:asciiTheme="majorHAnsi" w:eastAsiaTheme="majorEastAsia" w:hAnsiTheme="majorHAnsi" w:cstheme="majorBidi"/>
      <w:i/>
      <w:iCs/>
      <w:color w:val="272727" w:themeColor="text1" w:themeTint="D8"/>
      <w:sz w:val="21"/>
      <w:szCs w:val="21"/>
      <w:lang w:eastAsia="ru-RU"/>
    </w:rPr>
  </w:style>
  <w:style w:type="paragraph" w:customStyle="1" w:styleId="a9">
    <w:name w:val="ЗаголовокСодержания_ПИР"/>
    <w:basedOn w:val="a1"/>
    <w:qFormat/>
    <w:rsid w:val="00C36329"/>
    <w:pPr>
      <w:suppressAutoHyphens/>
      <w:spacing w:before="240" w:after="240"/>
      <w:jc w:val="center"/>
    </w:pPr>
    <w:rPr>
      <w:rFonts w:eastAsia="Calibri" w:cs="Arial"/>
      <w:b/>
      <w:iCs/>
      <w:sz w:val="28"/>
    </w:rPr>
  </w:style>
  <w:style w:type="character" w:styleId="aa">
    <w:name w:val="Hyperlink"/>
    <w:uiPriority w:val="99"/>
    <w:rsid w:val="00424E5A"/>
    <w:rPr>
      <w:rFonts w:ascii="Times New Roman" w:hAnsi="Times New Roman"/>
      <w:color w:val="0000FF"/>
      <w:sz w:val="24"/>
      <w:szCs w:val="22"/>
      <w:u w:val="none"/>
    </w:rPr>
  </w:style>
  <w:style w:type="paragraph" w:customStyle="1" w:styleId="a">
    <w:name w:val="НумерованныйБуквы"/>
    <w:basedOn w:val="a1"/>
    <w:rsid w:val="00424E5A"/>
    <w:pPr>
      <w:numPr>
        <w:numId w:val="5"/>
      </w:numPr>
      <w:spacing w:line="360" w:lineRule="auto"/>
      <w:jc w:val="both"/>
    </w:pPr>
    <w:rPr>
      <w:szCs w:val="20"/>
    </w:rPr>
  </w:style>
  <w:style w:type="paragraph" w:customStyle="1" w:styleId="a0">
    <w:name w:val="МаркированныйТочка"/>
    <w:basedOn w:val="a1"/>
    <w:link w:val="ab"/>
    <w:qFormat/>
    <w:rsid w:val="00D7676A"/>
    <w:pPr>
      <w:numPr>
        <w:numId w:val="7"/>
      </w:numPr>
      <w:spacing w:line="360" w:lineRule="auto"/>
    </w:pPr>
    <w:rPr>
      <w:szCs w:val="20"/>
    </w:rPr>
  </w:style>
  <w:style w:type="character" w:customStyle="1" w:styleId="ab">
    <w:name w:val="МаркированныйТочка Знак"/>
    <w:link w:val="a0"/>
    <w:rsid w:val="00D7676A"/>
    <w:rPr>
      <w:rFonts w:ascii="Times New Roman" w:eastAsia="Times New Roman" w:hAnsi="Times New Roman" w:cs="Times New Roman"/>
      <w:sz w:val="24"/>
      <w:szCs w:val="20"/>
      <w:lang w:eastAsia="ru-RU"/>
    </w:rPr>
  </w:style>
  <w:style w:type="paragraph" w:customStyle="1" w:styleId="11">
    <w:name w:val="Абзац списка1"/>
    <w:basedOn w:val="a1"/>
    <w:rsid w:val="00D7676A"/>
    <w:pPr>
      <w:ind w:left="720"/>
    </w:pPr>
    <w:rPr>
      <w:color w:val="00FF00"/>
    </w:rPr>
  </w:style>
  <w:style w:type="paragraph" w:customStyle="1" w:styleId="ac">
    <w:name w:val="Обычн. текст"/>
    <w:basedOn w:val="a5"/>
    <w:qFormat/>
    <w:rsid w:val="00D7676A"/>
    <w:pPr>
      <w:spacing w:line="360" w:lineRule="auto"/>
      <w:ind w:left="0" w:right="170" w:firstLine="709"/>
      <w:jc w:val="both"/>
    </w:pPr>
  </w:style>
  <w:style w:type="paragraph" w:styleId="ad">
    <w:name w:val="header"/>
    <w:basedOn w:val="a1"/>
    <w:link w:val="ae"/>
    <w:uiPriority w:val="99"/>
    <w:unhideWhenUsed/>
    <w:rsid w:val="00671F65"/>
    <w:pPr>
      <w:tabs>
        <w:tab w:val="center" w:pos="4677"/>
        <w:tab w:val="right" w:pos="9355"/>
      </w:tabs>
    </w:pPr>
  </w:style>
  <w:style w:type="character" w:customStyle="1" w:styleId="ae">
    <w:name w:val="Верхний колонтитул Знак"/>
    <w:basedOn w:val="a2"/>
    <w:link w:val="ad"/>
    <w:uiPriority w:val="99"/>
    <w:rsid w:val="00671F65"/>
    <w:rPr>
      <w:rFonts w:ascii="Times New Roman" w:eastAsia="Times New Roman" w:hAnsi="Times New Roman" w:cs="Times New Roman"/>
      <w:sz w:val="24"/>
      <w:szCs w:val="24"/>
      <w:lang w:eastAsia="ru-RU"/>
    </w:rPr>
  </w:style>
  <w:style w:type="paragraph" w:styleId="af">
    <w:name w:val="footer"/>
    <w:basedOn w:val="a1"/>
    <w:link w:val="af0"/>
    <w:uiPriority w:val="99"/>
    <w:unhideWhenUsed/>
    <w:rsid w:val="00671F65"/>
    <w:pPr>
      <w:tabs>
        <w:tab w:val="center" w:pos="4677"/>
        <w:tab w:val="right" w:pos="9355"/>
      </w:tabs>
    </w:pPr>
  </w:style>
  <w:style w:type="character" w:customStyle="1" w:styleId="af0">
    <w:name w:val="Нижний колонтитул Знак"/>
    <w:basedOn w:val="a2"/>
    <w:link w:val="af"/>
    <w:uiPriority w:val="99"/>
    <w:rsid w:val="00671F65"/>
    <w:rPr>
      <w:rFonts w:ascii="Times New Roman" w:eastAsia="Times New Roman" w:hAnsi="Times New Roman" w:cs="Times New Roman"/>
      <w:sz w:val="24"/>
      <w:szCs w:val="24"/>
      <w:lang w:eastAsia="ru-RU"/>
    </w:rPr>
  </w:style>
  <w:style w:type="paragraph" w:customStyle="1" w:styleId="af1">
    <w:name w:val="Таблица шапка"/>
    <w:basedOn w:val="a6"/>
    <w:qFormat/>
    <w:rsid w:val="00B500CA"/>
    <w:rPr>
      <w:b/>
      <w:bCs/>
      <w:szCs w:val="20"/>
    </w:rPr>
  </w:style>
  <w:style w:type="paragraph" w:styleId="af2">
    <w:name w:val="Balloon Text"/>
    <w:basedOn w:val="a1"/>
    <w:link w:val="af3"/>
    <w:uiPriority w:val="99"/>
    <w:semiHidden/>
    <w:unhideWhenUsed/>
    <w:rsid w:val="00FE1F94"/>
    <w:rPr>
      <w:rFonts w:ascii="Tahoma" w:hAnsi="Tahoma" w:cs="Tahoma"/>
      <w:sz w:val="16"/>
      <w:szCs w:val="16"/>
    </w:rPr>
  </w:style>
  <w:style w:type="character" w:customStyle="1" w:styleId="af3">
    <w:name w:val="Текст выноски Знак"/>
    <w:basedOn w:val="a2"/>
    <w:link w:val="af2"/>
    <w:uiPriority w:val="99"/>
    <w:semiHidden/>
    <w:rsid w:val="00FE1F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3E5B"/>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0F7512"/>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unhideWhenUsed/>
    <w:qFormat/>
    <w:rsid w:val="00563E5B"/>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semiHidden/>
    <w:unhideWhenUsed/>
    <w:qFormat/>
    <w:rsid w:val="000F7512"/>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1"/>
    <w:next w:val="a1"/>
    <w:link w:val="40"/>
    <w:uiPriority w:val="9"/>
    <w:semiHidden/>
    <w:unhideWhenUsed/>
    <w:qFormat/>
    <w:rsid w:val="000F7512"/>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0"/>
    <w:uiPriority w:val="9"/>
    <w:semiHidden/>
    <w:unhideWhenUsed/>
    <w:qFormat/>
    <w:rsid w:val="000F7512"/>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0F751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
    <w:semiHidden/>
    <w:unhideWhenUsed/>
    <w:qFormat/>
    <w:rsid w:val="000F751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semiHidden/>
    <w:unhideWhenUsed/>
    <w:qFormat/>
    <w:rsid w:val="000F751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0F751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3">
    <w:name w:val="Заголовок 2 Знак3"/>
    <w:aliases w:val="Заголовок 2 Знак1 Знак Знак,Заголовок 2 Знак Знак Знак Знак,Заголовок 2 Знак1 Знак1,Заголовок 2 Знак Знак Знак1,Заголовок 2 Знак Знак3,Заголовок 2 Знак Знак1 Знак Знак,Заголовок 2 Знак2 Знак,Заголовок 2 Знак Знак2 Знак,КНГ2 Знак"/>
    <w:rsid w:val="00563E5B"/>
    <w:rPr>
      <w:b/>
      <w:sz w:val="28"/>
      <w:lang w:val="ru-RU" w:eastAsia="en-US" w:bidi="ar-SA"/>
    </w:rPr>
  </w:style>
  <w:style w:type="paragraph" w:customStyle="1" w:styleId="21">
    <w:name w:val="Заголовок_2_ПИР"/>
    <w:basedOn w:val="2"/>
    <w:next w:val="a1"/>
    <w:qFormat/>
    <w:rsid w:val="00563E5B"/>
    <w:pPr>
      <w:keepNext w:val="0"/>
      <w:keepLines w:val="0"/>
      <w:spacing w:before="240" w:after="240"/>
      <w:ind w:left="710"/>
      <w:jc w:val="both"/>
    </w:pPr>
    <w:rPr>
      <w:rFonts w:ascii="Times New Roman" w:eastAsia="Times New Roman" w:hAnsi="Times New Roman" w:cs="Times New Roman"/>
      <w:b/>
      <w:color w:val="auto"/>
      <w:sz w:val="24"/>
      <w:szCs w:val="24"/>
    </w:rPr>
  </w:style>
  <w:style w:type="character" w:customStyle="1" w:styleId="20">
    <w:name w:val="Заголовок 2 Знак"/>
    <w:basedOn w:val="a2"/>
    <w:link w:val="2"/>
    <w:uiPriority w:val="9"/>
    <w:rsid w:val="00563E5B"/>
    <w:rPr>
      <w:rFonts w:asciiTheme="majorHAnsi" w:eastAsiaTheme="majorEastAsia" w:hAnsiTheme="majorHAnsi" w:cstheme="majorBidi"/>
      <w:color w:val="2E74B5" w:themeColor="accent1" w:themeShade="BF"/>
      <w:sz w:val="26"/>
      <w:szCs w:val="26"/>
      <w:lang w:eastAsia="ru-RU"/>
    </w:rPr>
  </w:style>
  <w:style w:type="paragraph" w:styleId="a5">
    <w:name w:val="List Paragraph"/>
    <w:basedOn w:val="a1"/>
    <w:uiPriority w:val="34"/>
    <w:qFormat/>
    <w:rsid w:val="003526C9"/>
    <w:pPr>
      <w:ind w:left="720"/>
      <w:contextualSpacing/>
    </w:pPr>
  </w:style>
  <w:style w:type="paragraph" w:customStyle="1" w:styleId="a6">
    <w:name w:val="Таблица по середине"/>
    <w:basedOn w:val="a1"/>
    <w:next w:val="a1"/>
    <w:link w:val="a7"/>
    <w:rsid w:val="000F7512"/>
    <w:pPr>
      <w:jc w:val="center"/>
    </w:pPr>
  </w:style>
  <w:style w:type="character" w:customStyle="1" w:styleId="a7">
    <w:name w:val="Таблица по середине Знак"/>
    <w:link w:val="a6"/>
    <w:rsid w:val="000F7512"/>
    <w:rPr>
      <w:rFonts w:ascii="Times New Roman" w:eastAsia="Times New Roman" w:hAnsi="Times New Roman" w:cs="Times New Roman"/>
      <w:sz w:val="24"/>
      <w:szCs w:val="24"/>
      <w:lang w:eastAsia="ru-RU"/>
    </w:rPr>
  </w:style>
  <w:style w:type="character" w:customStyle="1" w:styleId="FontStyle37">
    <w:name w:val="Font Style37"/>
    <w:basedOn w:val="a2"/>
    <w:uiPriority w:val="99"/>
    <w:rsid w:val="000F7512"/>
    <w:rPr>
      <w:rFonts w:ascii="Arial" w:hAnsi="Arial" w:cs="Arial"/>
      <w:sz w:val="20"/>
      <w:szCs w:val="20"/>
    </w:rPr>
  </w:style>
  <w:style w:type="character" w:styleId="a8">
    <w:name w:val="Placeholder Text"/>
    <w:basedOn w:val="a2"/>
    <w:uiPriority w:val="99"/>
    <w:semiHidden/>
    <w:rsid w:val="000F7512"/>
    <w:rPr>
      <w:color w:val="808080"/>
    </w:rPr>
  </w:style>
  <w:style w:type="character" w:customStyle="1" w:styleId="10">
    <w:name w:val="Заголовок 1 Знак"/>
    <w:basedOn w:val="a2"/>
    <w:link w:val="1"/>
    <w:uiPriority w:val="9"/>
    <w:rsid w:val="000F7512"/>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2"/>
    <w:link w:val="3"/>
    <w:uiPriority w:val="9"/>
    <w:semiHidden/>
    <w:rsid w:val="000F751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uiPriority w:val="9"/>
    <w:semiHidden/>
    <w:rsid w:val="000F7512"/>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uiPriority w:val="9"/>
    <w:semiHidden/>
    <w:rsid w:val="000F7512"/>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uiPriority w:val="9"/>
    <w:semiHidden/>
    <w:rsid w:val="000F7512"/>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2"/>
    <w:link w:val="7"/>
    <w:uiPriority w:val="9"/>
    <w:semiHidden/>
    <w:rsid w:val="000F7512"/>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uiPriority w:val="9"/>
    <w:semiHidden/>
    <w:rsid w:val="000F751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uiPriority w:val="9"/>
    <w:semiHidden/>
    <w:rsid w:val="000F7512"/>
    <w:rPr>
      <w:rFonts w:asciiTheme="majorHAnsi" w:eastAsiaTheme="majorEastAsia" w:hAnsiTheme="majorHAnsi" w:cstheme="majorBidi"/>
      <w:i/>
      <w:iCs/>
      <w:color w:val="272727" w:themeColor="text1" w:themeTint="D8"/>
      <w:sz w:val="21"/>
      <w:szCs w:val="21"/>
      <w:lang w:eastAsia="ru-RU"/>
    </w:rPr>
  </w:style>
  <w:style w:type="paragraph" w:customStyle="1" w:styleId="a9">
    <w:name w:val="ЗаголовокСодержания_ПИР"/>
    <w:basedOn w:val="a1"/>
    <w:qFormat/>
    <w:rsid w:val="00C36329"/>
    <w:pPr>
      <w:suppressAutoHyphens/>
      <w:spacing w:before="240" w:after="240"/>
      <w:jc w:val="center"/>
    </w:pPr>
    <w:rPr>
      <w:rFonts w:eastAsia="Calibri" w:cs="Arial"/>
      <w:b/>
      <w:iCs/>
      <w:sz w:val="28"/>
    </w:rPr>
  </w:style>
  <w:style w:type="character" w:styleId="aa">
    <w:name w:val="Hyperlink"/>
    <w:uiPriority w:val="99"/>
    <w:rsid w:val="00424E5A"/>
    <w:rPr>
      <w:rFonts w:ascii="Times New Roman" w:hAnsi="Times New Roman"/>
      <w:color w:val="0000FF"/>
      <w:sz w:val="24"/>
      <w:szCs w:val="22"/>
      <w:u w:val="none"/>
    </w:rPr>
  </w:style>
  <w:style w:type="paragraph" w:customStyle="1" w:styleId="a">
    <w:name w:val="НумерованныйБуквы"/>
    <w:basedOn w:val="a1"/>
    <w:rsid w:val="00424E5A"/>
    <w:pPr>
      <w:numPr>
        <w:numId w:val="5"/>
      </w:numPr>
      <w:spacing w:line="360" w:lineRule="auto"/>
      <w:jc w:val="both"/>
    </w:pPr>
    <w:rPr>
      <w:szCs w:val="20"/>
    </w:rPr>
  </w:style>
  <w:style w:type="paragraph" w:customStyle="1" w:styleId="a0">
    <w:name w:val="МаркированныйТочка"/>
    <w:basedOn w:val="a1"/>
    <w:link w:val="ab"/>
    <w:qFormat/>
    <w:rsid w:val="00D7676A"/>
    <w:pPr>
      <w:numPr>
        <w:numId w:val="7"/>
      </w:numPr>
      <w:spacing w:line="360" w:lineRule="auto"/>
    </w:pPr>
    <w:rPr>
      <w:szCs w:val="20"/>
    </w:rPr>
  </w:style>
  <w:style w:type="character" w:customStyle="1" w:styleId="ab">
    <w:name w:val="МаркированныйТочка Знак"/>
    <w:link w:val="a0"/>
    <w:rsid w:val="00D7676A"/>
    <w:rPr>
      <w:rFonts w:ascii="Times New Roman" w:eastAsia="Times New Roman" w:hAnsi="Times New Roman" w:cs="Times New Roman"/>
      <w:sz w:val="24"/>
      <w:szCs w:val="20"/>
      <w:lang w:eastAsia="ru-RU"/>
    </w:rPr>
  </w:style>
  <w:style w:type="paragraph" w:customStyle="1" w:styleId="11">
    <w:name w:val="Абзац списка1"/>
    <w:basedOn w:val="a1"/>
    <w:rsid w:val="00D7676A"/>
    <w:pPr>
      <w:ind w:left="720"/>
    </w:pPr>
    <w:rPr>
      <w:color w:val="00FF00"/>
    </w:rPr>
  </w:style>
  <w:style w:type="paragraph" w:customStyle="1" w:styleId="ac">
    <w:name w:val="Обычн. текст"/>
    <w:basedOn w:val="a5"/>
    <w:qFormat/>
    <w:rsid w:val="00D7676A"/>
    <w:pPr>
      <w:spacing w:line="360" w:lineRule="auto"/>
      <w:ind w:left="0" w:right="170" w:firstLine="709"/>
      <w:jc w:val="both"/>
    </w:pPr>
  </w:style>
  <w:style w:type="paragraph" w:styleId="ad">
    <w:name w:val="header"/>
    <w:basedOn w:val="a1"/>
    <w:link w:val="ae"/>
    <w:uiPriority w:val="99"/>
    <w:unhideWhenUsed/>
    <w:rsid w:val="00671F65"/>
    <w:pPr>
      <w:tabs>
        <w:tab w:val="center" w:pos="4677"/>
        <w:tab w:val="right" w:pos="9355"/>
      </w:tabs>
    </w:pPr>
  </w:style>
  <w:style w:type="character" w:customStyle="1" w:styleId="ae">
    <w:name w:val="Верхний колонтитул Знак"/>
    <w:basedOn w:val="a2"/>
    <w:link w:val="ad"/>
    <w:uiPriority w:val="99"/>
    <w:rsid w:val="00671F65"/>
    <w:rPr>
      <w:rFonts w:ascii="Times New Roman" w:eastAsia="Times New Roman" w:hAnsi="Times New Roman" w:cs="Times New Roman"/>
      <w:sz w:val="24"/>
      <w:szCs w:val="24"/>
      <w:lang w:eastAsia="ru-RU"/>
    </w:rPr>
  </w:style>
  <w:style w:type="paragraph" w:styleId="af">
    <w:name w:val="footer"/>
    <w:basedOn w:val="a1"/>
    <w:link w:val="af0"/>
    <w:uiPriority w:val="99"/>
    <w:unhideWhenUsed/>
    <w:rsid w:val="00671F65"/>
    <w:pPr>
      <w:tabs>
        <w:tab w:val="center" w:pos="4677"/>
        <w:tab w:val="right" w:pos="9355"/>
      </w:tabs>
    </w:pPr>
  </w:style>
  <w:style w:type="character" w:customStyle="1" w:styleId="af0">
    <w:name w:val="Нижний колонтитул Знак"/>
    <w:basedOn w:val="a2"/>
    <w:link w:val="af"/>
    <w:uiPriority w:val="99"/>
    <w:rsid w:val="00671F65"/>
    <w:rPr>
      <w:rFonts w:ascii="Times New Roman" w:eastAsia="Times New Roman" w:hAnsi="Times New Roman" w:cs="Times New Roman"/>
      <w:sz w:val="24"/>
      <w:szCs w:val="24"/>
      <w:lang w:eastAsia="ru-RU"/>
    </w:rPr>
  </w:style>
  <w:style w:type="paragraph" w:customStyle="1" w:styleId="af1">
    <w:name w:val="Таблица шапка"/>
    <w:basedOn w:val="a6"/>
    <w:qFormat/>
    <w:rsid w:val="00B500CA"/>
    <w:rPr>
      <w:b/>
      <w:bCs/>
      <w:szCs w:val="20"/>
    </w:rPr>
  </w:style>
  <w:style w:type="paragraph" w:styleId="af2">
    <w:name w:val="Balloon Text"/>
    <w:basedOn w:val="a1"/>
    <w:link w:val="af3"/>
    <w:uiPriority w:val="99"/>
    <w:semiHidden/>
    <w:unhideWhenUsed/>
    <w:rsid w:val="00FE1F94"/>
    <w:rPr>
      <w:rFonts w:ascii="Tahoma" w:hAnsi="Tahoma" w:cs="Tahoma"/>
      <w:sz w:val="16"/>
      <w:szCs w:val="16"/>
    </w:rPr>
  </w:style>
  <w:style w:type="character" w:customStyle="1" w:styleId="af3">
    <w:name w:val="Текст выноски Знак"/>
    <w:basedOn w:val="a2"/>
    <w:link w:val="af2"/>
    <w:uiPriority w:val="99"/>
    <w:semiHidden/>
    <w:rsid w:val="00FE1F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3AE5C9862345928D0CD847C40DD5FA"/>
        <w:category>
          <w:name w:val="Общие"/>
          <w:gallery w:val="placeholder"/>
        </w:category>
        <w:types>
          <w:type w:val="bbPlcHdr"/>
        </w:types>
        <w:behaviors>
          <w:behavior w:val="content"/>
        </w:behaviors>
        <w:guid w:val="{87F6ABF2-4800-4ABD-9F84-FE52C2A9C20B}"/>
      </w:docPartPr>
      <w:docPartBody>
        <w:p w:rsidR="00677319" w:rsidRDefault="008C4D13" w:rsidP="008C4D13">
          <w:pPr>
            <w:pStyle w:val="613AE5C9862345928D0CD847C40DD5FA"/>
          </w:pPr>
          <w:r w:rsidRPr="00CC6240">
            <w:rPr>
              <w:rStyle w:val="a3"/>
            </w:rPr>
            <w:t>[Тема]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A3"/>
    <w:rsid w:val="00677319"/>
    <w:rsid w:val="006A2414"/>
    <w:rsid w:val="00891E98"/>
    <w:rsid w:val="008C4D13"/>
    <w:rsid w:val="00EC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4D13"/>
    <w:rPr>
      <w:color w:val="808080"/>
    </w:rPr>
  </w:style>
  <w:style w:type="paragraph" w:customStyle="1" w:styleId="BE602AE47E9545E2B7E61C10702D5F57">
    <w:name w:val="BE602AE47E9545E2B7E61C10702D5F57"/>
    <w:rsid w:val="00EC5CA3"/>
  </w:style>
  <w:style w:type="paragraph" w:customStyle="1" w:styleId="A93D462A413A427CBC1086E92259FEEA">
    <w:name w:val="A93D462A413A427CBC1086E92259FEEA"/>
    <w:rsid w:val="00EC5CA3"/>
  </w:style>
  <w:style w:type="paragraph" w:customStyle="1" w:styleId="613AE5C9862345928D0CD847C40DD5FA">
    <w:name w:val="613AE5C9862345928D0CD847C40DD5FA"/>
    <w:rsid w:val="008C4D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4D13"/>
    <w:rPr>
      <w:color w:val="808080"/>
    </w:rPr>
  </w:style>
  <w:style w:type="paragraph" w:customStyle="1" w:styleId="BE602AE47E9545E2B7E61C10702D5F57">
    <w:name w:val="BE602AE47E9545E2B7E61C10702D5F57"/>
    <w:rsid w:val="00EC5CA3"/>
  </w:style>
  <w:style w:type="paragraph" w:customStyle="1" w:styleId="A93D462A413A427CBC1086E92259FEEA">
    <w:name w:val="A93D462A413A427CBC1086E92259FEEA"/>
    <w:rsid w:val="00EC5CA3"/>
  </w:style>
  <w:style w:type="paragraph" w:customStyle="1" w:styleId="613AE5C9862345928D0CD847C40DD5FA">
    <w:name w:val="613AE5C9862345928D0CD847C40DD5FA"/>
    <w:rsid w:val="008C4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50EA-9C75-4675-9656-BF8B55F8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12690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Карьер № 2 расположенный на участке МН «Сургут - Полоцк» 712 км – 767 км</dc:subject>
  <dc:creator>Ракова Ирина Леонидовна</dc:creator>
  <cp:lastModifiedBy>Uzver</cp:lastModifiedBy>
  <cp:revision>2</cp:revision>
  <dcterms:created xsi:type="dcterms:W3CDTF">2020-07-15T04:24:00Z</dcterms:created>
  <dcterms:modified xsi:type="dcterms:W3CDTF">2020-07-15T04:24:00Z</dcterms:modified>
</cp:coreProperties>
</file>