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3C" w:rsidRPr="002E7E9E" w:rsidRDefault="002E7E9E">
      <w:pPr>
        <w:rPr>
          <w:rFonts w:ascii="Times New Roman" w:hAnsi="Times New Roman" w:cs="Times New Roman"/>
          <w:b/>
          <w:sz w:val="32"/>
          <w:szCs w:val="32"/>
        </w:rPr>
      </w:pPr>
      <w:r w:rsidRPr="002E7E9E">
        <w:rPr>
          <w:rFonts w:ascii="Times New Roman" w:hAnsi="Times New Roman" w:cs="Times New Roman"/>
          <w:b/>
          <w:sz w:val="32"/>
          <w:szCs w:val="32"/>
        </w:rPr>
        <w:t>Изменение в налоговом законодательстве: с 1 января 2020 года налог на имущество физических лиц будет рассчитываться исходя кадастровой стоимости</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 xml:space="preserve">В соответствии с Законом Свердловской области от 26 марта 2019 года № 23-03 "Об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 переход Свердловской области к применению порядка определения налоговой базы по налогу на имущество физических лиц исходя из кадастровой стоимости объектов недвижимого имущества будет осуществлен с 1 января 2020 года (первый срок уплаты налога от кадастровой стоимости — 1 декабря 2021 года). </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В 2019 году ГБУ Свердловской области "Центр государственной кадастровой оценки" проведены мероприятия по формированию экономически обоснованной кадастровой оценки объектов недвижимости, расположенных на территории Свердловской области, в порядке, установленном статьей 14 Федерального закона от 3 июля 2016 года № 237-ФЗ "О государственной кадастровой оценке".</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Порядок исчисления и уплаты налога на имущество физических лиц от кадастровой стоимости определяется главой 32 НК РФ:</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1. При исчислении налога на имущество физических лиц от кадастровой стоимости размер ставки налога зависит от вида объекта недвижимости:</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0,1% — для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один жилой дом; гаражей и машино-мест (в том числе расположенных в объектах, включенных в перечень, определяемый в соответствии с пунктом 7 статьи 378.8 НК РФ);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2% —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объектов, кадастровая стоимость которых превышает 300 млн. рублей;</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0,5% — для иных объектов.</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2. При расчете налога на базе кадастровой стоимости применяются налоговые вычеты.</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Налоговая база уменьшается:</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 в отношении квартир (части жилого дома) — на величину кадастровой стоимости 20 квадратных метров общей площади квартиры, части жилого дома;</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 в отношении комнаты (части квартиры) — на величину кадастровой стоимости 10 квадратных метров площади комнаты, части квартиры;</w:t>
      </w:r>
      <w:bookmarkStart w:id="0" w:name="_GoBack"/>
      <w:bookmarkEnd w:id="0"/>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lastRenderedPageBreak/>
        <w:t>- в отношении жилого дома — на величину кадастровой стоимости 50 квадратных метров общей площади жилого дома;</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 в отношении единого недвижимого комплекса — на 1 миллион рублей.</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 в отношении объектов налогообложения, находящихся в собственности лиц, имеющих трех и более несовершеннолетних детей, —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 Пунктом 8 статьи 408 НК РФ предусмотрен трехлетний период (начиная с года, в котором впервые налог рассчитывается исходя из кадастровой стоимости), в течение которого применяется формула расчета, ограничивающая резкий рост налоговой нагрузки. С учетом этой формулы ежегодно сумма налога по объекту налогообложения не может увеличиваться больше чем на 20% разности между суммой налога с кадастровой стоимости и суммой налога с инвентаризационной стоимости.</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sz w:val="24"/>
          <w:szCs w:val="24"/>
        </w:rPr>
        <w:t> Право на налоговую льготу имеют категории налогоплательщиков, определенные статьей 407 НК РФ.</w:t>
      </w:r>
    </w:p>
    <w:p w:rsidR="002E7E9E" w:rsidRPr="002E7E9E" w:rsidRDefault="002E7E9E" w:rsidP="002E7E9E">
      <w:pPr>
        <w:jc w:val="both"/>
        <w:rPr>
          <w:rFonts w:ascii="Times New Roman" w:hAnsi="Times New Roman" w:cs="Times New Roman"/>
          <w:b/>
          <w:bCs/>
          <w:sz w:val="28"/>
          <w:szCs w:val="28"/>
        </w:rPr>
      </w:pPr>
      <w:r w:rsidRPr="002E7E9E">
        <w:rPr>
          <w:rFonts w:ascii="Times New Roman" w:hAnsi="Times New Roman" w:cs="Times New Roman"/>
          <w:b/>
          <w:bCs/>
          <w:sz w:val="24"/>
          <w:szCs w:val="24"/>
        </w:rPr>
        <w:t>          </w:t>
      </w:r>
      <w:r w:rsidRPr="002E7E9E">
        <w:rPr>
          <w:rFonts w:ascii="Times New Roman" w:hAnsi="Times New Roman" w:cs="Times New Roman"/>
          <w:b/>
          <w:bCs/>
          <w:sz w:val="28"/>
          <w:szCs w:val="28"/>
        </w:rPr>
        <w:t xml:space="preserve">Каждый собственник имущества может ознакомиться с кадастровой оценкой, размером налогового вычета (если таковой предусмотрен), </w:t>
      </w:r>
      <w:hyperlink r:id="rId4" w:history="1">
        <w:r w:rsidRPr="002E7E9E">
          <w:rPr>
            <w:rStyle w:val="a3"/>
            <w:rFonts w:ascii="Times New Roman" w:hAnsi="Times New Roman" w:cs="Times New Roman"/>
            <w:b/>
            <w:bCs/>
            <w:i/>
            <w:iCs/>
            <w:sz w:val="28"/>
            <w:szCs w:val="28"/>
          </w:rPr>
          <w:t>здесь </w:t>
        </w:r>
      </w:hyperlink>
      <w:r w:rsidRPr="002E7E9E">
        <w:rPr>
          <w:rFonts w:ascii="Times New Roman" w:hAnsi="Times New Roman" w:cs="Times New Roman"/>
          <w:b/>
          <w:bCs/>
          <w:sz w:val="28"/>
          <w:szCs w:val="28"/>
        </w:rPr>
        <w:t xml:space="preserve">в случае несогласия или выявления расхождений обратиться по телефону горячей линии государственного бюджетного учреждения Свердловской области "Центр государственной кадастровой оценки": +7 (343) 311-00-66 (доб. 248) </w:t>
      </w:r>
    </w:p>
    <w:p w:rsidR="002E7E9E" w:rsidRPr="002E7E9E" w:rsidRDefault="002E7E9E" w:rsidP="002E7E9E">
      <w:pPr>
        <w:jc w:val="both"/>
        <w:rPr>
          <w:rFonts w:ascii="Times New Roman" w:hAnsi="Times New Roman" w:cs="Times New Roman"/>
          <w:sz w:val="24"/>
          <w:szCs w:val="24"/>
        </w:rPr>
      </w:pPr>
      <w:r w:rsidRPr="002E7E9E">
        <w:rPr>
          <w:rFonts w:ascii="Times New Roman" w:hAnsi="Times New Roman" w:cs="Times New Roman"/>
          <w:b/>
          <w:bCs/>
          <w:sz w:val="24"/>
          <w:szCs w:val="24"/>
        </w:rPr>
        <w:t> </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b/>
          <w:bCs/>
          <w:sz w:val="24"/>
          <w:szCs w:val="24"/>
        </w:rPr>
        <w:t>Способы корректировки кадастровой стоимости, которыми могут воспользоваться физические лица:</w:t>
      </w:r>
    </w:p>
    <w:tbl>
      <w:tblP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3389"/>
        <w:gridCol w:w="6402"/>
      </w:tblGrid>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Способы корректировки кадастровой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Особенности</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1.</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Подача в ГБУ СО "Центр государственной кадастровой оценки" деклараций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Порядок подачи деклараций и образцы заполнения представлены на официальном сайте ГБУ СО "Центр государственной кадастровой оценки"</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http://cgko66.ru/2019/02/13/декларации/</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2.</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Подача замечаний к стоимости до ее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Порядок подачи замечаний и рекомендуемая форма представлены на официальном сайте ГБУ СО "Центр государственной кадастровой оценки"</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http: //cgko66.ru/</w:t>
            </w:r>
            <w:proofErr w:type="spellStart"/>
            <w:r w:rsidRPr="002E7E9E">
              <w:rPr>
                <w:rFonts w:ascii="Times New Roman" w:hAnsi="Times New Roman" w:cs="Times New Roman"/>
                <w:sz w:val="24"/>
                <w:szCs w:val="24"/>
              </w:rPr>
              <w:t>zamechaniya</w:t>
            </w:r>
            <w:proofErr w:type="spellEnd"/>
            <w:r w:rsidRPr="002E7E9E">
              <w:rPr>
                <w:rFonts w:ascii="Times New Roman" w:hAnsi="Times New Roman" w:cs="Times New Roman"/>
                <w:sz w:val="24"/>
                <w:szCs w:val="24"/>
              </w:rPr>
              <w:t>/</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3.</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Исправление ГБУ во внесудебном порядке ошибок, допущенных при определении кадастровой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Только в сторону понижения.</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Порядок и форма обращения определены статьями 20 и 21 Федерального закона от 03.07.2016 № 237-ФЗ (ред. от 29.07.2017) "0 государственной кадастровой оценке"</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lastRenderedPageBreak/>
              <w:t>4.</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Оспаривание в комиссии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Стоимость будет установлена на дату начала применения кадастровой стоимости</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5.</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Оспаривание в суде общей юрисдикции</w:t>
            </w:r>
          </w:p>
        </w:tc>
        <w:tc>
          <w:tcPr>
            <w:tcW w:w="0" w:type="auto"/>
            <w:vAlign w:val="center"/>
            <w:hideMark/>
          </w:tcPr>
          <w:p w:rsidR="002E7E9E" w:rsidRPr="002E7E9E" w:rsidRDefault="002E7E9E" w:rsidP="002E7E9E">
            <w:pPr>
              <w:rPr>
                <w:rFonts w:ascii="Times New Roman" w:hAnsi="Times New Roman" w:cs="Times New Roman"/>
                <w:sz w:val="24"/>
                <w:szCs w:val="24"/>
              </w:rPr>
            </w:pPr>
          </w:p>
        </w:tc>
      </w:tr>
    </w:tbl>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Справочная информация:</w:t>
      </w:r>
    </w:p>
    <w:tbl>
      <w:tblP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6823"/>
        <w:gridCol w:w="2968"/>
      </w:tblGrid>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Интернет-сервис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Назначение</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1.</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xml:space="preserve">Справочная информация по объектам недвижимости в режиме </w:t>
            </w:r>
            <w:proofErr w:type="spellStart"/>
            <w:r w:rsidRPr="002E7E9E">
              <w:rPr>
                <w:rFonts w:ascii="Times New Roman" w:hAnsi="Times New Roman" w:cs="Times New Roman"/>
                <w:sz w:val="24"/>
                <w:szCs w:val="24"/>
              </w:rPr>
              <w:t>online</w:t>
            </w:r>
            <w:proofErr w:type="spellEnd"/>
          </w:p>
          <w:p w:rsidR="002E7E9E" w:rsidRPr="002E7E9E" w:rsidRDefault="002E7E9E" w:rsidP="002E7E9E">
            <w:pPr>
              <w:rPr>
                <w:rFonts w:ascii="Times New Roman" w:hAnsi="Times New Roman" w:cs="Times New Roman"/>
                <w:sz w:val="24"/>
                <w:szCs w:val="24"/>
              </w:rPr>
            </w:pPr>
            <w:hyperlink r:id="rId5" w:tgtFrame="_blank" w:history="1">
              <w:r w:rsidRPr="002E7E9E">
                <w:rPr>
                  <w:rStyle w:val="a3"/>
                  <w:rFonts w:ascii="Times New Roman" w:hAnsi="Times New Roman" w:cs="Times New Roman"/>
                  <w:sz w:val="24"/>
                  <w:szCs w:val="24"/>
                </w:rPr>
                <w:t>https://rosreestr.ru/wps/portal/online_request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Возможность узнать кадастровый номер и кадастровую стоимость</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2.</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xml:space="preserve">Налоговый калькулятор — Расчет земельного налога и налога на имущество физических лиц </w:t>
            </w:r>
            <w:hyperlink r:id="rId6" w:tgtFrame="_blank" w:history="1">
              <w:r w:rsidRPr="002E7E9E">
                <w:rPr>
                  <w:rStyle w:val="a3"/>
                  <w:rFonts w:ascii="Times New Roman" w:hAnsi="Times New Roman" w:cs="Times New Roman"/>
                  <w:sz w:val="24"/>
                  <w:szCs w:val="24"/>
                </w:rPr>
                <w:t>https://www.nalog.ru/rn66/service/nalog_calc/</w:t>
              </w:r>
            </w:hyperlink>
            <w:r w:rsidRPr="002E7E9E">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Расчет земельного налога и налога на имущество физических лиц в условиях 2019 года</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3.</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xml:space="preserve">Справочная информация о ставках и льготах по имущественным налогам </w:t>
            </w:r>
            <w:hyperlink r:id="rId7" w:tgtFrame="_blank" w:history="1">
              <w:r w:rsidRPr="002E7E9E">
                <w:rPr>
                  <w:rStyle w:val="a3"/>
                  <w:rFonts w:ascii="Times New Roman" w:hAnsi="Times New Roman" w:cs="Times New Roman"/>
                  <w:sz w:val="24"/>
                  <w:szCs w:val="24"/>
                </w:rPr>
                <w:t>https://www.nalog.ru/rn66/service/Tax/</w:t>
              </w:r>
            </w:hyperlink>
            <w:r w:rsidRPr="002E7E9E">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Возможность узнать действующие ставки и льготы на территории конкретного муниципального образования</w:t>
            </w:r>
          </w:p>
        </w:tc>
      </w:tr>
      <w:tr w:rsidR="002E7E9E" w:rsidRPr="002E7E9E" w:rsidTr="002E7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4.</w:t>
            </w:r>
          </w:p>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 xml:space="preserve">Промежуточные отчетные документы, содержащие сведения об объектах оценки с их характеристиками и полученной кадастровой стоимостью </w:t>
            </w:r>
            <w:hyperlink r:id="rId8" w:tgtFrame="_blank" w:history="1">
              <w:r w:rsidRPr="002E7E9E">
                <w:rPr>
                  <w:rStyle w:val="a3"/>
                  <w:rFonts w:ascii="Times New Roman" w:hAnsi="Times New Roman" w:cs="Times New Roman"/>
                  <w:sz w:val="24"/>
                  <w:szCs w:val="24"/>
                </w:rPr>
                <w:t>http://cgko66.ru/doc-fz-237/</w:t>
              </w:r>
            </w:hyperlink>
            <w:r w:rsidRPr="002E7E9E">
              <w:rPr>
                <w:rFonts w:ascii="Times New Roman" w:hAnsi="Times New Roman" w:cs="Times New Roman"/>
                <w:sz w:val="24"/>
                <w:szCs w:val="24"/>
              </w:rPr>
              <w:t xml:space="preserve"> </w:t>
            </w:r>
          </w:p>
          <w:p w:rsidR="002E7E9E" w:rsidRPr="002E7E9E" w:rsidRDefault="002E7E9E" w:rsidP="002E7E9E">
            <w:pPr>
              <w:rPr>
                <w:rFonts w:ascii="Times New Roman" w:hAnsi="Times New Roman" w:cs="Times New Roman"/>
                <w:sz w:val="24"/>
                <w:szCs w:val="24"/>
              </w:rPr>
            </w:pPr>
            <w:hyperlink r:id="rId9" w:tgtFrame="_blank" w:history="1">
              <w:r w:rsidRPr="002E7E9E">
                <w:rPr>
                  <w:rStyle w:val="a3"/>
                  <w:rFonts w:ascii="Times New Roman" w:hAnsi="Times New Roman" w:cs="Times New Roman"/>
                  <w:sz w:val="24"/>
                  <w:szCs w:val="24"/>
                </w:rPr>
                <w:t>https://rosreestr.rU/wps/portal/p/cc_ib_portal_ib_ais_fdgko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7E9E" w:rsidRPr="002E7E9E" w:rsidRDefault="002E7E9E" w:rsidP="002E7E9E">
            <w:pPr>
              <w:rPr>
                <w:rFonts w:ascii="Times New Roman" w:hAnsi="Times New Roman" w:cs="Times New Roman"/>
                <w:sz w:val="24"/>
                <w:szCs w:val="24"/>
              </w:rPr>
            </w:pPr>
            <w:r w:rsidRPr="002E7E9E">
              <w:rPr>
                <w:rFonts w:ascii="Times New Roman" w:hAnsi="Times New Roman" w:cs="Times New Roman"/>
                <w:sz w:val="24"/>
                <w:szCs w:val="24"/>
              </w:rPr>
              <w:t>Описание процесса определения кадастровой стоимости, которая будет применяться для расчета налога на имущества физических лиц с 01.01.2020</w:t>
            </w:r>
          </w:p>
        </w:tc>
      </w:tr>
    </w:tbl>
    <w:p w:rsidR="002E7E9E" w:rsidRPr="002E7E9E" w:rsidRDefault="002E7E9E">
      <w:pPr>
        <w:rPr>
          <w:rFonts w:ascii="Times New Roman" w:hAnsi="Times New Roman" w:cs="Times New Roman"/>
          <w:sz w:val="24"/>
          <w:szCs w:val="24"/>
        </w:rPr>
      </w:pPr>
    </w:p>
    <w:sectPr w:rsidR="002E7E9E" w:rsidRPr="002E7E9E" w:rsidSect="00F31FE2">
      <w:pgSz w:w="11906" w:h="16838" w:code="9"/>
      <w:pgMar w:top="1134" w:right="849" w:bottom="1134" w:left="170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F1"/>
    <w:rsid w:val="00064D3C"/>
    <w:rsid w:val="002E7E9E"/>
    <w:rsid w:val="007509F1"/>
    <w:rsid w:val="00E37921"/>
    <w:rsid w:val="00EB6C3F"/>
    <w:rsid w:val="00F3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420D-36B8-4C81-9734-8D0C7DD0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7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5681">
      <w:bodyDiv w:val="1"/>
      <w:marLeft w:val="0"/>
      <w:marRight w:val="0"/>
      <w:marTop w:val="0"/>
      <w:marBottom w:val="0"/>
      <w:divBdr>
        <w:top w:val="none" w:sz="0" w:space="0" w:color="auto"/>
        <w:left w:val="none" w:sz="0" w:space="0" w:color="auto"/>
        <w:bottom w:val="none" w:sz="0" w:space="0" w:color="auto"/>
        <w:right w:val="none" w:sz="0" w:space="0" w:color="auto"/>
      </w:divBdr>
      <w:divsChild>
        <w:div w:id="1927690572">
          <w:marLeft w:val="0"/>
          <w:marRight w:val="0"/>
          <w:marTop w:val="0"/>
          <w:marBottom w:val="0"/>
          <w:divBdr>
            <w:top w:val="none" w:sz="0" w:space="0" w:color="auto"/>
            <w:left w:val="none" w:sz="0" w:space="0" w:color="auto"/>
            <w:bottom w:val="none" w:sz="0" w:space="0" w:color="auto"/>
            <w:right w:val="none" w:sz="0" w:space="0" w:color="auto"/>
          </w:divBdr>
          <w:divsChild>
            <w:div w:id="175728480">
              <w:marLeft w:val="0"/>
              <w:marRight w:val="0"/>
              <w:marTop w:val="0"/>
              <w:marBottom w:val="0"/>
              <w:divBdr>
                <w:top w:val="none" w:sz="0" w:space="0" w:color="auto"/>
                <w:left w:val="none" w:sz="0" w:space="0" w:color="auto"/>
                <w:bottom w:val="none" w:sz="0" w:space="0" w:color="auto"/>
                <w:right w:val="none" w:sz="0" w:space="0" w:color="auto"/>
              </w:divBdr>
              <w:divsChild>
                <w:div w:id="1876458715">
                  <w:marLeft w:val="0"/>
                  <w:marRight w:val="0"/>
                  <w:marTop w:val="0"/>
                  <w:marBottom w:val="0"/>
                  <w:divBdr>
                    <w:top w:val="none" w:sz="0" w:space="0" w:color="auto"/>
                    <w:left w:val="none" w:sz="0" w:space="0" w:color="auto"/>
                    <w:bottom w:val="none" w:sz="0" w:space="0" w:color="auto"/>
                    <w:right w:val="none" w:sz="0" w:space="0" w:color="auto"/>
                  </w:divBdr>
                  <w:divsChild>
                    <w:div w:id="1376270443">
                      <w:marLeft w:val="0"/>
                      <w:marRight w:val="0"/>
                      <w:marTop w:val="0"/>
                      <w:marBottom w:val="0"/>
                      <w:divBdr>
                        <w:top w:val="none" w:sz="0" w:space="0" w:color="auto"/>
                        <w:left w:val="none" w:sz="0" w:space="0" w:color="auto"/>
                        <w:bottom w:val="none" w:sz="0" w:space="0" w:color="auto"/>
                        <w:right w:val="none" w:sz="0" w:space="0" w:color="auto"/>
                      </w:divBdr>
                      <w:divsChild>
                        <w:div w:id="2026589028">
                          <w:marLeft w:val="0"/>
                          <w:marRight w:val="0"/>
                          <w:marTop w:val="0"/>
                          <w:marBottom w:val="0"/>
                          <w:divBdr>
                            <w:top w:val="none" w:sz="0" w:space="0" w:color="auto"/>
                            <w:left w:val="none" w:sz="0" w:space="0" w:color="auto"/>
                            <w:bottom w:val="none" w:sz="0" w:space="0" w:color="auto"/>
                            <w:right w:val="none" w:sz="0" w:space="0" w:color="auto"/>
                          </w:divBdr>
                          <w:divsChild>
                            <w:div w:id="2025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ko66.ru/doc-fz-237/" TargetMode="External"/><Relationship Id="rId3" Type="http://schemas.openxmlformats.org/officeDocument/2006/relationships/webSettings" Target="webSettings.xml"/><Relationship Id="rId7" Type="http://schemas.openxmlformats.org/officeDocument/2006/relationships/hyperlink" Target="https://www.nalog.ru/rn66/service/T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og.ru/rn66/service/nalog_calc/" TargetMode="External"/><Relationship Id="rId11" Type="http://schemas.openxmlformats.org/officeDocument/2006/relationships/theme" Target="theme/theme1.xml"/><Relationship Id="rId5" Type="http://schemas.openxmlformats.org/officeDocument/2006/relationships/hyperlink" Target="https://rosreestr.ru/wps/portal/online_request" TargetMode="External"/><Relationship Id="rId10" Type="http://schemas.openxmlformats.org/officeDocument/2006/relationships/fontTable" Target="fontTable.xml"/><Relationship Id="rId4" Type="http://schemas.openxmlformats.org/officeDocument/2006/relationships/hyperlink" Target="https://ntura.midural.ru/uploads/document/11147/nizhneturinskij-gorodskoj-okrug.xlsx" TargetMode="External"/><Relationship Id="rId9" Type="http://schemas.openxmlformats.org/officeDocument/2006/relationships/hyperlink" Target="https://rosreestr.ru/wps/portal/p/cc_ib_portal_ib_ais_fdg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фин.управление</dc:creator>
  <cp:keywords/>
  <dc:description/>
  <cp:lastModifiedBy>фин.управление</cp:lastModifiedBy>
  <cp:revision>2</cp:revision>
  <dcterms:created xsi:type="dcterms:W3CDTF">2019-07-30T06:00:00Z</dcterms:created>
  <dcterms:modified xsi:type="dcterms:W3CDTF">2019-07-30T06:04:00Z</dcterms:modified>
</cp:coreProperties>
</file>