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3" w:rsidRPr="00294BD3" w:rsidRDefault="00193AE3" w:rsidP="00545A7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193AE3" w:rsidRPr="00294BD3" w:rsidRDefault="00193AE3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93AE3" w:rsidRPr="00294BD3" w:rsidRDefault="00193AE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ПЕРМСКОГО КРАЯ</w:t>
      </w:r>
    </w:p>
    <w:p w:rsidR="00193AE3" w:rsidRPr="00294BD3" w:rsidRDefault="00193AE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AE3" w:rsidRPr="00294BD3" w:rsidRDefault="00193AE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РЕШЕНИЕ</w:t>
      </w:r>
    </w:p>
    <w:p w:rsidR="00193AE3" w:rsidRPr="00294BD3" w:rsidRDefault="00193AE3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30.10.2013</w:t>
      </w:r>
      <w:r w:rsidRPr="00294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126  </w:t>
      </w:r>
      <w:r w:rsidRPr="00294BD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94BD3">
        <w:rPr>
          <w:rFonts w:ascii="Times New Roman" w:hAnsi="Times New Roman"/>
          <w:color w:val="FFFFFF"/>
          <w:sz w:val="28"/>
          <w:szCs w:val="28"/>
        </w:rPr>
        <w:t>.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услуг, которые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являются необходимыми и обязательными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предоставления муниципальных услуг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отраслевыми (функциональными) органами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и предоставляются организациями,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участвующими в предоставлении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услуг, и Порядка определения размера платы </w:t>
      </w: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оказание услуг, которые являются необходимыми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предоставлении отраслевыми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(функциональными) органами администрации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193AE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193AE3" w:rsidRPr="00294BD3" w:rsidRDefault="00193AE3" w:rsidP="00410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3AE3" w:rsidRDefault="00193AE3" w:rsidP="00141A5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94BD3">
        <w:rPr>
          <w:rFonts w:ascii="Times New Roman" w:hAnsi="Times New Roman"/>
          <w:noProof/>
          <w:sz w:val="28"/>
          <w:szCs w:val="28"/>
        </w:rPr>
        <w:t xml:space="preserve">В соответствии </w:t>
      </w:r>
      <w:r>
        <w:rPr>
          <w:rFonts w:ascii="Times New Roman" w:hAnsi="Times New Roman"/>
          <w:noProof/>
          <w:sz w:val="28"/>
          <w:szCs w:val="28"/>
        </w:rPr>
        <w:t xml:space="preserve">со статьей 9 </w:t>
      </w:r>
      <w:r w:rsidRPr="00294BD3">
        <w:rPr>
          <w:rFonts w:ascii="Times New Roman" w:hAnsi="Times New Roman"/>
          <w:noProof/>
          <w:sz w:val="28"/>
          <w:szCs w:val="28"/>
        </w:rPr>
        <w:t>Федеральн</w:t>
      </w:r>
      <w:r>
        <w:rPr>
          <w:rFonts w:ascii="Times New Roman" w:hAnsi="Times New Roman"/>
          <w:noProof/>
          <w:sz w:val="28"/>
          <w:szCs w:val="28"/>
        </w:rPr>
        <w:t>ого</w:t>
      </w:r>
      <w:r w:rsidRPr="00294BD3">
        <w:rPr>
          <w:rFonts w:ascii="Times New Roman" w:hAnsi="Times New Roman"/>
          <w:noProof/>
          <w:sz w:val="28"/>
          <w:szCs w:val="28"/>
        </w:rPr>
        <w:t xml:space="preserve"> закон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294BD3">
        <w:rPr>
          <w:rFonts w:ascii="Times New Roman" w:hAnsi="Times New Roman"/>
          <w:noProof/>
          <w:sz w:val="28"/>
          <w:szCs w:val="28"/>
        </w:rPr>
        <w:t xml:space="preserve"> от 27</w:t>
      </w:r>
      <w:r>
        <w:rPr>
          <w:rFonts w:ascii="Times New Roman" w:hAnsi="Times New Roman"/>
          <w:noProof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0 г"/>
        </w:smartTagPr>
        <w:r w:rsidRPr="00294BD3">
          <w:rPr>
            <w:rFonts w:ascii="Times New Roman" w:hAnsi="Times New Roman"/>
            <w:noProof/>
            <w:sz w:val="28"/>
            <w:szCs w:val="28"/>
          </w:rPr>
          <w:t>2010</w:t>
        </w:r>
        <w:r>
          <w:rPr>
            <w:rFonts w:ascii="Times New Roman" w:hAnsi="Times New Roman"/>
            <w:noProof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noProof/>
          <w:sz w:val="28"/>
          <w:szCs w:val="28"/>
        </w:rPr>
        <w:t>.</w:t>
      </w:r>
      <w:r w:rsidRPr="00294BD3">
        <w:rPr>
          <w:rFonts w:ascii="Times New Roman" w:hAnsi="Times New Roman"/>
          <w:noProof/>
          <w:sz w:val="28"/>
          <w:szCs w:val="28"/>
        </w:rPr>
        <w:t xml:space="preserve"> № 210-ФЗ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94BD3">
        <w:rPr>
          <w:rFonts w:ascii="Times New Roman" w:hAnsi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noProof/>
          <w:sz w:val="28"/>
          <w:szCs w:val="28"/>
        </w:rPr>
        <w:t>», статьей 20, пунктом 6 части 8 статьи 22 Устава Краснокамского муниципального района,</w:t>
      </w:r>
      <w:r w:rsidRPr="00633C2A">
        <w:rPr>
          <w:rFonts w:ascii="Times New Roman" w:hAnsi="Times New Roman"/>
          <w:noProof/>
          <w:sz w:val="28"/>
          <w:szCs w:val="28"/>
        </w:rPr>
        <w:t xml:space="preserve"> </w:t>
      </w:r>
      <w:r w:rsidRPr="00294BD3">
        <w:rPr>
          <w:rFonts w:ascii="Times New Roman" w:hAnsi="Times New Roman"/>
          <w:noProof/>
          <w:sz w:val="28"/>
          <w:szCs w:val="28"/>
        </w:rPr>
        <w:t xml:space="preserve">в целях </w:t>
      </w:r>
      <w:r w:rsidRPr="00692D25">
        <w:rPr>
          <w:rFonts w:ascii="Times New Roman" w:hAnsi="Times New Roman"/>
          <w:noProof/>
          <w:sz w:val="28"/>
          <w:szCs w:val="28"/>
        </w:rPr>
        <w:t xml:space="preserve">обеспечения информационной открытости деятельности </w:t>
      </w:r>
      <w:proofErr w:type="gramStart"/>
      <w:r>
        <w:rPr>
          <w:rFonts w:ascii="Times New Roman" w:hAnsi="Times New Roman"/>
          <w:noProof/>
          <w:sz w:val="28"/>
          <w:szCs w:val="28"/>
        </w:rPr>
        <w:t>администрации Краснокамского муниципального района</w:t>
      </w:r>
      <w:r w:rsidRPr="00692D25">
        <w:rPr>
          <w:rFonts w:ascii="Times New Roman" w:hAnsi="Times New Roman"/>
          <w:noProof/>
          <w:sz w:val="28"/>
          <w:szCs w:val="28"/>
        </w:rPr>
        <w:t xml:space="preserve">, повышения качества и доступности предоставляемых </w:t>
      </w:r>
      <w:r>
        <w:rPr>
          <w:rFonts w:ascii="Times New Roman" w:hAnsi="Times New Roman"/>
          <w:noProof/>
          <w:sz w:val="28"/>
          <w:szCs w:val="28"/>
        </w:rPr>
        <w:t xml:space="preserve">отраслевыми (функциональными) органами администрации Краснокамского муниципального района муниципальных услуг, повышения эффективности и качества деятельности администрации Краснокамского муниципального района по </w:t>
      </w:r>
      <w:r w:rsidRPr="00294BD3">
        <w:rPr>
          <w:rFonts w:ascii="Times New Roman" w:hAnsi="Times New Roman"/>
          <w:noProof/>
          <w:sz w:val="28"/>
          <w:szCs w:val="28"/>
        </w:rPr>
        <w:t>обеспечени</w:t>
      </w:r>
      <w:r>
        <w:rPr>
          <w:rFonts w:ascii="Times New Roman" w:hAnsi="Times New Roman"/>
          <w:noProof/>
          <w:sz w:val="28"/>
          <w:szCs w:val="28"/>
        </w:rPr>
        <w:t xml:space="preserve">ю реализации </w:t>
      </w:r>
      <w:r w:rsidRPr="00294BD3">
        <w:rPr>
          <w:rFonts w:ascii="Times New Roman" w:hAnsi="Times New Roman"/>
          <w:noProof/>
          <w:sz w:val="28"/>
          <w:szCs w:val="28"/>
        </w:rPr>
        <w:t>прав и законных интересов физических и юридических лиц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gramEnd"/>
    </w:p>
    <w:p w:rsidR="00193AE3" w:rsidRPr="00294BD3" w:rsidRDefault="00193AE3" w:rsidP="000232F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94BD3"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 w:rsidRPr="00294B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94BD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193AE3" w:rsidRDefault="00193AE3" w:rsidP="00D35C08">
      <w:pPr>
        <w:pStyle w:val="a9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35C08">
        <w:rPr>
          <w:rFonts w:ascii="Times New Roman" w:hAnsi="Times New Roman"/>
          <w:sz w:val="28"/>
          <w:szCs w:val="28"/>
        </w:rPr>
        <w:t>Утвердить прилагаемы</w:t>
      </w:r>
      <w:r>
        <w:rPr>
          <w:rFonts w:ascii="Times New Roman" w:hAnsi="Times New Roman"/>
          <w:sz w:val="28"/>
          <w:szCs w:val="28"/>
        </w:rPr>
        <w:t>е:</w:t>
      </w:r>
    </w:p>
    <w:p w:rsidR="00193AE3" w:rsidRDefault="00193AE3" w:rsidP="005C4A8C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C08">
        <w:rPr>
          <w:rFonts w:ascii="Times New Roman" w:hAnsi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 w:rsidRPr="00D35C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35C08"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193AE3" w:rsidRPr="005C4A8C" w:rsidRDefault="00193AE3" w:rsidP="00E3513D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4A8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5C4A8C">
        <w:rPr>
          <w:rFonts w:ascii="Times New Roman" w:hAnsi="Times New Roman"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предоставлении отраслевыми (функциональными) органами администрации </w:t>
      </w:r>
      <w:proofErr w:type="spellStart"/>
      <w:r w:rsidRP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C4A8C"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193AE3" w:rsidRPr="00D35C08" w:rsidRDefault="00193AE3" w:rsidP="00D35C08">
      <w:pPr>
        <w:pStyle w:val="a9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 апреля 2012</w:t>
      </w:r>
      <w:r w:rsidR="00287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30 «Об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услуг» признать утратившим силу.</w:t>
      </w:r>
    </w:p>
    <w:p w:rsidR="00193AE3" w:rsidRPr="007A065E" w:rsidRDefault="00193AE3" w:rsidP="00EB5B89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7A065E">
        <w:rPr>
          <w:rFonts w:ascii="Times New Roman" w:hAnsi="Times New Roman"/>
          <w:sz w:val="28"/>
          <w:szCs w:val="28"/>
        </w:rPr>
        <w:t xml:space="preserve">ешение Земского собрания 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в специальном выпуске «Официальные материалы органов местного самоуправления 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звезда»</w:t>
      </w:r>
      <w:r>
        <w:rPr>
          <w:rFonts w:ascii="Times New Roman" w:hAnsi="Times New Roman"/>
          <w:sz w:val="28"/>
          <w:szCs w:val="28"/>
        </w:rPr>
        <w:t>,</w:t>
      </w:r>
      <w:r w:rsidRPr="001559F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размещению </w:t>
      </w:r>
      <w:r w:rsidRPr="00A07BB5">
        <w:rPr>
          <w:rFonts w:ascii="Times New Roman" w:hAnsi="Times New Roman"/>
          <w:noProof/>
          <w:sz w:val="28"/>
          <w:szCs w:val="28"/>
        </w:rPr>
        <w:t xml:space="preserve">на официальном сайте администрации Краснокамского муцниципального района </w:t>
      </w:r>
      <w:r w:rsidRPr="00A07BB5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A07BB5">
        <w:rPr>
          <w:rFonts w:ascii="Times New Roman" w:hAnsi="Times New Roman"/>
          <w:noProof/>
          <w:sz w:val="28"/>
          <w:szCs w:val="28"/>
        </w:rPr>
        <w:t>//:</w:t>
      </w:r>
      <w:r w:rsidRPr="00A07BB5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A07BB5">
        <w:rPr>
          <w:rFonts w:ascii="Times New Roman" w:hAnsi="Times New Roman"/>
          <w:noProof/>
          <w:sz w:val="28"/>
          <w:szCs w:val="28"/>
        </w:rPr>
        <w:t>.</w:t>
      </w:r>
      <w:r w:rsidRPr="00A07BB5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>
        <w:rPr>
          <w:rFonts w:ascii="Times New Roman" w:hAnsi="Times New Roman"/>
          <w:noProof/>
          <w:sz w:val="28"/>
          <w:szCs w:val="28"/>
          <w:lang w:val="en-US"/>
        </w:rPr>
        <w:t>iy</w:t>
      </w:r>
      <w:r w:rsidRPr="005C4A8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>
        <w:rPr>
          <w:rFonts w:ascii="Times New Roman" w:hAnsi="Times New Roman"/>
          <w:noProof/>
          <w:sz w:val="28"/>
          <w:szCs w:val="28"/>
        </w:rPr>
        <w:t>, а также в информационно-телекоммуникационной сети «Интернет» на едином портале государственных и муниципальных услуг</w:t>
      </w:r>
      <w:r w:rsidRPr="007A065E">
        <w:rPr>
          <w:rFonts w:ascii="Times New Roman" w:hAnsi="Times New Roman"/>
          <w:sz w:val="28"/>
          <w:szCs w:val="28"/>
        </w:rPr>
        <w:t>.</w:t>
      </w:r>
    </w:p>
    <w:p w:rsidR="00193AE3" w:rsidRPr="00EB5B89" w:rsidRDefault="00193AE3" w:rsidP="00EB5B89">
      <w:pPr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социальной политике и социальной защите населения Земского собрания </w:t>
      </w:r>
      <w:proofErr w:type="spellStart"/>
      <w:r w:rsidRPr="00EB5B8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B5B89">
        <w:rPr>
          <w:rFonts w:ascii="Times New Roman" w:hAnsi="Times New Roman"/>
          <w:sz w:val="28"/>
          <w:szCs w:val="28"/>
        </w:rPr>
        <w:t xml:space="preserve"> муниципального района (Р.Т. Хасанов)</w:t>
      </w:r>
      <w:r>
        <w:rPr>
          <w:rFonts w:ascii="Times New Roman" w:hAnsi="Times New Roman"/>
          <w:sz w:val="28"/>
          <w:szCs w:val="28"/>
        </w:rPr>
        <w:t>.</w:t>
      </w:r>
    </w:p>
    <w:p w:rsidR="00193AE3" w:rsidRDefault="00193AE3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93AE3" w:rsidSect="00781B98">
          <w:headerReference w:type="even" r:id="rId8"/>
          <w:headerReference w:type="default" r:id="rId9"/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193AE3" w:rsidRPr="00EB5B89" w:rsidRDefault="00193AE3" w:rsidP="00A30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EB5B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B5B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B89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193AE3" w:rsidRPr="00EB5B89" w:rsidRDefault="00193AE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муниципального района -</w:t>
      </w:r>
    </w:p>
    <w:p w:rsidR="00193AE3" w:rsidRDefault="00193AE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5B8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B5B89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193AE3" w:rsidRDefault="00193AE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93AE3" w:rsidRDefault="00193AE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Ю.Ю. </w:t>
      </w:r>
      <w:proofErr w:type="spellStart"/>
      <w:r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193AE3" w:rsidRDefault="00193AE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Земского собрания </w:t>
      </w:r>
    </w:p>
    <w:p w:rsidR="00193AE3" w:rsidRDefault="00193AE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93AE3" w:rsidRDefault="00193AE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3AE3" w:rsidRDefault="00193AE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193AE3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И.Ю. Малых</w:t>
      </w: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3AE3" w:rsidRDefault="00193AE3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193AE3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193AE3" w:rsidRDefault="00193AE3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93AE3" w:rsidRDefault="00193AE3" w:rsidP="00F33B4A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Земского собрания</w:t>
      </w:r>
    </w:p>
    <w:p w:rsidR="00193AE3" w:rsidRDefault="00193AE3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93AE3" w:rsidRDefault="00193AE3" w:rsidP="00410185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30.10.2013 № 126</w:t>
      </w:r>
    </w:p>
    <w:p w:rsidR="00193AE3" w:rsidRPr="00EB5B89" w:rsidRDefault="00193AE3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93AE3" w:rsidRDefault="00193AE3" w:rsidP="008B5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2B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</w:t>
      </w:r>
    </w:p>
    <w:p w:rsidR="00193AE3" w:rsidRDefault="00193AE3" w:rsidP="008B5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2B4">
        <w:rPr>
          <w:rFonts w:ascii="Times New Roman" w:hAnsi="Times New Roman"/>
          <w:b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  <w:r w:rsidRPr="009432B4">
        <w:rPr>
          <w:rFonts w:ascii="Times New Roman" w:hAnsi="Times New Roman"/>
          <w:b/>
          <w:sz w:val="28"/>
          <w:szCs w:val="28"/>
        </w:rPr>
        <w:t xml:space="preserve">отраслевыми (функциональными) органами администрации </w:t>
      </w:r>
      <w:proofErr w:type="spellStart"/>
      <w:r w:rsidRPr="009432B4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9432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и предоставляются организациями, участвующими в предоставлении муниципальных услуг</w:t>
      </w:r>
    </w:p>
    <w:p w:rsidR="00193AE3" w:rsidRPr="009432B4" w:rsidRDefault="00193AE3" w:rsidP="008B5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AE3" w:rsidRDefault="00193AE3" w:rsidP="007A065E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3630"/>
        <w:gridCol w:w="3630"/>
        <w:gridCol w:w="3356"/>
        <w:gridCol w:w="3838"/>
      </w:tblGrid>
      <w:tr w:rsidR="00193AE3" w:rsidRPr="00D521FB" w:rsidTr="008C0B01">
        <w:trPr>
          <w:trHeight w:val="772"/>
          <w:tblHeader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0B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0B01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3630" w:type="dxa"/>
          </w:tcPr>
          <w:p w:rsidR="00193AE3" w:rsidRPr="008C0B01" w:rsidRDefault="00193AE3" w:rsidP="00DD07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0B01">
              <w:rPr>
                <w:rFonts w:ascii="Times New Roman" w:hAnsi="Times New Roman"/>
                <w:b/>
              </w:rPr>
              <w:t>Наименование организации, предоставляюще</w:t>
            </w:r>
            <w:r w:rsidR="00DD07F3">
              <w:rPr>
                <w:rFonts w:ascii="Times New Roman" w:hAnsi="Times New Roman"/>
                <w:b/>
              </w:rPr>
              <w:t>й</w:t>
            </w:r>
            <w:r w:rsidRPr="008C0B01">
              <w:rPr>
                <w:rFonts w:ascii="Times New Roman" w:hAnsi="Times New Roman"/>
                <w:b/>
              </w:rPr>
              <w:t xml:space="preserve"> услугу</w:t>
            </w:r>
          </w:p>
        </w:tc>
        <w:tc>
          <w:tcPr>
            <w:tcW w:w="3356" w:type="dxa"/>
          </w:tcPr>
          <w:p w:rsidR="00193AE3" w:rsidRPr="00410185" w:rsidRDefault="00CC2D9A" w:rsidP="00CC2D9A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71279">
              <w:rPr>
                <w:rFonts w:ascii="Times New Roman" w:hAnsi="Times New Roman"/>
                <w:b/>
              </w:rPr>
              <w:t>Результат предоставления услуги</w:t>
            </w:r>
          </w:p>
        </w:tc>
        <w:tc>
          <w:tcPr>
            <w:tcW w:w="3838" w:type="dxa"/>
          </w:tcPr>
          <w:p w:rsidR="00193AE3" w:rsidRPr="00410185" w:rsidRDefault="00193AE3" w:rsidP="00E71279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71279">
              <w:rPr>
                <w:rFonts w:ascii="Times New Roman" w:hAnsi="Times New Roman"/>
                <w:b/>
              </w:rPr>
              <w:t>Наименование муниципальной услуги, для которой необходимо п</w:t>
            </w:r>
            <w:r w:rsidR="00E71279" w:rsidRPr="00E71279">
              <w:rPr>
                <w:rFonts w:ascii="Times New Roman" w:hAnsi="Times New Roman"/>
                <w:b/>
              </w:rPr>
              <w:t xml:space="preserve">олучение результата предоставления необходимой и обязательной </w:t>
            </w:r>
            <w:r w:rsidRPr="00E71279">
              <w:rPr>
                <w:rFonts w:ascii="Times New Roman" w:hAnsi="Times New Roman"/>
                <w:b/>
              </w:rPr>
              <w:t>услуги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удостоверения многодетной матери (отца)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Управление социальной</w:t>
            </w:r>
          </w:p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защиты населения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Удостоверение многодетной матери (отца)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</w:t>
            </w:r>
          </w:p>
        </w:tc>
      </w:tr>
      <w:tr w:rsidR="00193AE3" w:rsidRPr="00D521FB" w:rsidTr="008C0B01">
        <w:trPr>
          <w:trHeight w:val="1365"/>
        </w:trPr>
        <w:tc>
          <w:tcPr>
            <w:tcW w:w="691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2.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справки о составе семьи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  <w:vMerge w:val="restart"/>
          </w:tcPr>
          <w:p w:rsidR="00193AE3" w:rsidRPr="008C0B01" w:rsidRDefault="00193AE3" w:rsidP="006237F2">
            <w:pPr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Справка о составе семьи</w:t>
            </w:r>
          </w:p>
        </w:tc>
        <w:tc>
          <w:tcPr>
            <w:tcW w:w="3838" w:type="dxa"/>
          </w:tcPr>
          <w:p w:rsidR="00193AE3" w:rsidRPr="008C0B01" w:rsidRDefault="00193AE3" w:rsidP="00DD6663">
            <w:pPr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Назначение и выплата пособия семьям, имеющим детей во возрасте от 1,5 до 5 лет, не посещающих дошкольные образовательные учреждения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Предоставление жилых помещений муниципального специализированного жилищного фонда </w:t>
            </w:r>
            <w:proofErr w:type="spellStart"/>
            <w:r w:rsidRPr="008C0B01">
              <w:rPr>
                <w:rFonts w:ascii="Times New Roman" w:hAnsi="Times New Roman"/>
              </w:rPr>
              <w:t>Краснокамского</w:t>
            </w:r>
            <w:proofErr w:type="spellEnd"/>
            <w:r w:rsidRPr="008C0B01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справки, заключения или выписки из протокола психолого-медико-педагогической комиссии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Заключение психолого-медико-педагогической экспертизы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разрешения на приме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4.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справки об обучении в образовательном учреждении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Справка об обучении в образовательном учреждении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путевок и направление в места отдыха детей в каникулярное время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5.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реквизитов банковского счета для ежемесячного перечисления различных выплат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Организация, имеющая допуск на оказание банковских услуг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Реквизиты банковского счета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Назначение и выплата пособия семьям, имеющим детей во возрасте от 1,5 до 5 лет, не посещающих дошкольные образовательные учреждения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6.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кредитными организациями справок и иных документов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Кредитные организации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Документы, подтверждающие признание молодой семьи имеющей достаточные расходы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7.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Разработка схемы расположения земельного участка, с указанием ориентировочных границ и площади земельного участка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Схема расположения земельного участка, с указанием ориентировочных границ и площади земельного участка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земельных участков в собственность, аренду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Безвозмездная передача в собственность земельных участков, находящихся в собственность муниципального образования и из состава государственных земель, собственность на которые не разграничена, для целей не связанных </w:t>
            </w:r>
            <w:r w:rsidRPr="008C0B01">
              <w:rPr>
                <w:rFonts w:ascii="Times New Roman" w:hAnsi="Times New Roman"/>
              </w:rPr>
              <w:lastRenderedPageBreak/>
              <w:t>со строительством и для целей связанных со строительством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земельных участков в собственность, аренду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  связанных со строительством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8.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Разработка проекта на рекламную конструкцию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 рекламной конструкции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разрешений на установку рекламных конструкций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9.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Разработка схемы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планировки территории применительно к линейным объектам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планировки территории применительно к линейным объектам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10.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Разработка схемы, отображающей архитектурные решения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Схема, отображающая архитектурные решения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12.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Разработка проекта строительства, реконструкции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Проект организации строительства объекта капитального строительства 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13.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Разработка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Проект организации по сносу или демонтажу объектов капитального строительства, их частей 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14.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Проведение государственной экологической экспертизы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Государственный орган, имеющий допуск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разрешений на строительство, реконструкцию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15.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Разработка схемы, отображающей расположение построенного, реконструированного, отремонтированного объекта капитального строительства, с обозначением мест подключения к сетям инженерно-технического обеспечения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Схема, отображающей расположение построенного, реконструированного, отремонтированного объекта капитального строительства, с обозначением мест подключения к сетям инженерно-технического обеспечения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16.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Выдача документов (заключений) подтверждающих соответствие построенного, реконструированного, отремонтированного объекта капитального строительства требованиям технических регламентов, проектной документации, техническим условиям, в том числе требованиям </w:t>
            </w:r>
            <w:r w:rsidRPr="008C0B01">
              <w:rPr>
                <w:rFonts w:ascii="Times New Roman" w:hAnsi="Times New Roman"/>
              </w:rPr>
              <w:lastRenderedPageBreak/>
              <w:t xml:space="preserve">энергетической эффективности и требованиям оснащенности объектов капитального </w:t>
            </w:r>
            <w:proofErr w:type="spellStart"/>
            <w:r w:rsidRPr="008C0B01">
              <w:rPr>
                <w:rFonts w:ascii="Times New Roman" w:hAnsi="Times New Roman"/>
              </w:rPr>
              <w:t>строительствыа</w:t>
            </w:r>
            <w:proofErr w:type="spellEnd"/>
            <w:r w:rsidRPr="008C0B01">
              <w:rPr>
                <w:rFonts w:ascii="Times New Roman" w:hAnsi="Times New Roman"/>
              </w:rPr>
              <w:t xml:space="preserve"> приборами учета используемых энергетических ресурсов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lastRenderedPageBreak/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Документ, подтверждающий соответствие построенного, реконструируемого объекта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3838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193AE3" w:rsidRPr="00D521FB" w:rsidTr="008C0B01">
        <w:trPr>
          <w:trHeight w:val="772"/>
        </w:trPr>
        <w:tc>
          <w:tcPr>
            <w:tcW w:w="691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Документ, подтверждающий соответствие построенного, реконструированного объекта </w:t>
            </w:r>
            <w:r w:rsidRPr="008C0B01">
              <w:rPr>
                <w:rFonts w:ascii="Times New Roman" w:hAnsi="Times New Roman"/>
              </w:rPr>
              <w:lastRenderedPageBreak/>
              <w:t>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838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Изготовление проекта переустройства и (или) перепланировки переустраиваемого и (или) </w:t>
            </w:r>
            <w:proofErr w:type="spellStart"/>
            <w:r w:rsidRPr="008C0B01">
              <w:rPr>
                <w:rFonts w:ascii="Times New Roman" w:hAnsi="Times New Roman"/>
              </w:rPr>
              <w:t>перепланируемого</w:t>
            </w:r>
            <w:proofErr w:type="spellEnd"/>
            <w:r w:rsidRPr="008C0B01">
              <w:rPr>
                <w:rFonts w:ascii="Times New Roman" w:hAnsi="Times New Roman"/>
              </w:rPr>
              <w:t xml:space="preserve"> помещения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8C0B01">
              <w:rPr>
                <w:rFonts w:ascii="Times New Roman" w:hAnsi="Times New Roman"/>
              </w:rPr>
              <w:t>перепланируемого</w:t>
            </w:r>
            <w:proofErr w:type="spellEnd"/>
            <w:r w:rsidRPr="008C0B01">
              <w:rPr>
                <w:rFonts w:ascii="Times New Roman" w:hAnsi="Times New Roman"/>
              </w:rPr>
              <w:t xml:space="preserve"> помещения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18.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Изготовление плана перевода жилого помещения в нежилое или нежилого помещения в жилое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План переводимого помещения с его техническим описанием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Перевод жилого помещения в нежилое или нежилого помещения в жилое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19.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Проведение топографической съемки территории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Топографическая основа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20.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Подготовка и выдача документа, подтверждающего соответствие объекта техническим условиям сетей инженерно-технического обеспечения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Документ, подтверждающий соответствие объекта техническим условиям сетей инженерно-технического обеспечения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21.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Получение согласия собственника недвижимого имущества на  присоединение к этому имуществу рекламной конструкции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Собственник имущества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Согласие собственника недвижимого имущества на  присоединение к этому имуществу рекламной конструкции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разрешений на установку рекламных конструкций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22.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Получение согласия всех правообладателей 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Правообладатели объекта 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Согласие всех правообладателей объекта капитального </w:t>
            </w:r>
            <w:r w:rsidRPr="008C0B01">
              <w:rPr>
                <w:rFonts w:ascii="Times New Roman" w:hAnsi="Times New Roman"/>
              </w:rPr>
              <w:lastRenderedPageBreak/>
              <w:t>строительства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lastRenderedPageBreak/>
              <w:t>Выдача разрешения на строительство, реконструкцию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Согласие всех правообладателей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23.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Заключение договора на вывоз твердых бытовых отходов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Договор на вывоз твердых бытовых отходов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мест для размещения объектов нестационарной торговли и сезонных объектов мелкорозничной торговой сети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24.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Регистрация контрольно-кассовой техники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УФНС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Документы на регистрацию контрольно-кассовой техники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мест для размещения объектов нестационарной торговли и сезонных объектов мелкорозничной торговой сети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25.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Проверка </w:t>
            </w:r>
            <w:proofErr w:type="spellStart"/>
            <w:r w:rsidRPr="008C0B01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8C0B01">
              <w:rPr>
                <w:rFonts w:ascii="Times New Roman" w:hAnsi="Times New Roman"/>
              </w:rPr>
              <w:t xml:space="preserve"> приборов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 xml:space="preserve">Документы о проверке </w:t>
            </w:r>
            <w:proofErr w:type="spellStart"/>
            <w:r w:rsidRPr="008C0B01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8C0B01">
              <w:rPr>
                <w:rFonts w:ascii="Times New Roman" w:hAnsi="Times New Roman"/>
              </w:rPr>
              <w:t xml:space="preserve"> приборов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мест для размещения объектов нестационарной торговли и сезонных объектов мелкорозничной торговой сети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26.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Санитарно-эпидемиологическая экспертиза в целях выдачи санитарно-эпидемиологического заключения на проектную и иную нормативную документацию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Санитарно-эпидемиологическое заключение с приложением ассортиментного перечня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Предоставление мест для размещения объектов нестационарной торговли и сезонных объектов мелкорозничной торговой сети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27.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оригинала платежного документа об уплате государственной пошлины</w:t>
            </w:r>
          </w:p>
        </w:tc>
        <w:tc>
          <w:tcPr>
            <w:tcW w:w="3630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Кредитные организации</w:t>
            </w:r>
          </w:p>
        </w:tc>
        <w:tc>
          <w:tcPr>
            <w:tcW w:w="3356" w:type="dxa"/>
            <w:vMerge w:val="restart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Оригинал платежного документа об уплате государственной пошлины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разрешений на установку рекламных конструкций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Выдача специальных разрешений на движение по автомобильным дорогам местного значения муниципального района (городского округа), местного значения, расположенным на территориях двух и более поселений в границах муниципального района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193AE3" w:rsidRPr="00D521FB" w:rsidTr="008C0B01">
        <w:trPr>
          <w:trHeight w:val="324"/>
        </w:trPr>
        <w:tc>
          <w:tcPr>
            <w:tcW w:w="691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DD6515">
              <w:rPr>
                <w:rFonts w:ascii="Times New Roman" w:hAnsi="Times New Roman"/>
              </w:rPr>
              <w:t xml:space="preserve">Совершение нотариальных действий, в </w:t>
            </w:r>
            <w:proofErr w:type="spellStart"/>
            <w:r w:rsidRPr="00DD6515">
              <w:rPr>
                <w:rFonts w:ascii="Times New Roman" w:hAnsi="Times New Roman"/>
              </w:rPr>
              <w:t>т.ч</w:t>
            </w:r>
            <w:proofErr w:type="spellEnd"/>
            <w:r w:rsidRPr="00DD6515">
              <w:rPr>
                <w:rFonts w:ascii="Times New Roman" w:hAnsi="Times New Roman"/>
              </w:rPr>
              <w:t>. свидетельствование верности копий документов с подлинников при подаче документов почтой</w:t>
            </w:r>
          </w:p>
        </w:tc>
        <w:tc>
          <w:tcPr>
            <w:tcW w:w="3630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Нотариус</w:t>
            </w:r>
          </w:p>
        </w:tc>
        <w:tc>
          <w:tcPr>
            <w:tcW w:w="3356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</w:rPr>
              <w:t>Нотариально заверенная копия</w:t>
            </w:r>
          </w:p>
        </w:tc>
        <w:tc>
          <w:tcPr>
            <w:tcW w:w="3838" w:type="dxa"/>
          </w:tcPr>
          <w:p w:rsidR="00193AE3" w:rsidRPr="008C0B01" w:rsidRDefault="00193AE3" w:rsidP="008C0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3AE3" w:rsidRDefault="00193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E3" w:rsidRDefault="00193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E3" w:rsidRDefault="00193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E3" w:rsidRDefault="00193AE3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193AE3" w:rsidSect="00750374">
          <w:pgSz w:w="16838" w:h="11906" w:orient="landscape"/>
          <w:pgMar w:top="1418" w:right="1134" w:bottom="567" w:left="1134" w:header="227" w:footer="227" w:gutter="0"/>
          <w:pgNumType w:start="3"/>
          <w:cols w:space="708"/>
          <w:docGrid w:linePitch="360"/>
        </w:sectPr>
      </w:pPr>
    </w:p>
    <w:p w:rsidR="00193AE3" w:rsidRDefault="00193AE3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93AE3" w:rsidRDefault="00193AE3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</w:p>
    <w:p w:rsidR="00193AE3" w:rsidRDefault="00193AE3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Земского собрания</w:t>
      </w:r>
    </w:p>
    <w:p w:rsidR="00193AE3" w:rsidRDefault="00193AE3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93AE3" w:rsidRDefault="00193AE3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30.10.2013 № 126</w:t>
      </w:r>
    </w:p>
    <w:p w:rsidR="00193AE3" w:rsidRDefault="00193AE3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AE3" w:rsidRDefault="00193AE3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93AE3" w:rsidRDefault="00193AE3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5E7">
        <w:rPr>
          <w:rFonts w:ascii="Times New Roman" w:hAnsi="Times New Roman"/>
          <w:b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8435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35E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8435E7">
        <w:rPr>
          <w:rFonts w:ascii="Times New Roman" w:hAnsi="Times New Roman"/>
          <w:b/>
          <w:sz w:val="28"/>
          <w:szCs w:val="28"/>
        </w:rPr>
        <w:t xml:space="preserve"> муниципального района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AE3" w:rsidRDefault="00193AE3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AE3" w:rsidRDefault="00193AE3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AE3" w:rsidRPr="00C74B5D" w:rsidRDefault="00193AE3" w:rsidP="005C4A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B5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93AE3" w:rsidRDefault="00193AE3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AE3" w:rsidRDefault="00193AE3" w:rsidP="00410185">
      <w:pPr>
        <w:pStyle w:val="a9"/>
        <w:numPr>
          <w:ilvl w:val="1"/>
          <w:numId w:val="2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установления экономически обоснованных размеров платы за оказание услуг, которые являются необходимыми и обязательными для предоставления </w:t>
      </w:r>
      <w:r w:rsidRPr="00886200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 (далее – необходимые и обязательные услуги), а также обеспечения единого подхода к определению размера платы за оказание необходимых и обязательных услуг.</w:t>
      </w:r>
    </w:p>
    <w:p w:rsidR="00193AE3" w:rsidRDefault="00193AE3" w:rsidP="00410185">
      <w:pPr>
        <w:pStyle w:val="a9"/>
        <w:numPr>
          <w:ilvl w:val="1"/>
          <w:numId w:val="2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используется для решения следующих задач:</w:t>
      </w:r>
    </w:p>
    <w:p w:rsidR="00193AE3" w:rsidRDefault="00193AE3" w:rsidP="00410185">
      <w:pPr>
        <w:pStyle w:val="a9"/>
        <w:numPr>
          <w:ilvl w:val="2"/>
          <w:numId w:val="2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единой системы оценки экономических и финансовых характеристик необходимых и обязательных услуг;</w:t>
      </w:r>
    </w:p>
    <w:p w:rsidR="00193AE3" w:rsidRDefault="00193AE3" w:rsidP="00410185">
      <w:pPr>
        <w:pStyle w:val="a9"/>
        <w:numPr>
          <w:ilvl w:val="2"/>
          <w:numId w:val="2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методик расчета размера платы за оказание необходимых и обязательных услуг.</w:t>
      </w:r>
    </w:p>
    <w:p w:rsidR="00193AE3" w:rsidRDefault="00193AE3" w:rsidP="00410185">
      <w:pPr>
        <w:pStyle w:val="a9"/>
        <w:numPr>
          <w:ilvl w:val="1"/>
          <w:numId w:val="2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распространяется на необходимые и обязательные услуги, оказываемые муниципальными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93AE3" w:rsidRDefault="00193AE3" w:rsidP="00410185">
      <w:pPr>
        <w:pStyle w:val="a9"/>
        <w:spacing w:after="0" w:line="240" w:lineRule="auto"/>
        <w:ind w:left="360" w:firstLine="660"/>
        <w:jc w:val="both"/>
        <w:rPr>
          <w:rFonts w:ascii="Times New Roman" w:hAnsi="Times New Roman"/>
          <w:sz w:val="28"/>
          <w:szCs w:val="28"/>
        </w:rPr>
      </w:pPr>
    </w:p>
    <w:p w:rsidR="00193AE3" w:rsidRPr="00C74B5D" w:rsidRDefault="00193AE3" w:rsidP="005C4A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B5D">
        <w:rPr>
          <w:rFonts w:ascii="Times New Roman" w:hAnsi="Times New Roman"/>
          <w:b/>
          <w:sz w:val="28"/>
          <w:szCs w:val="28"/>
        </w:rPr>
        <w:t>Порядок определения размера платы за оказание необходимых и обязательных услуг</w:t>
      </w:r>
    </w:p>
    <w:p w:rsidR="00193AE3" w:rsidRDefault="00193AE3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94BEE">
        <w:rPr>
          <w:rFonts w:ascii="Times New Roman" w:hAnsi="Times New Roman"/>
          <w:sz w:val="28"/>
          <w:szCs w:val="28"/>
        </w:rPr>
        <w:t>2.1.</w:t>
      </w:r>
      <w:r>
        <w:rPr>
          <w:rFonts w:cs="Calibri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 xml:space="preserve">Для определения размера платы за оказание необходимых и обязательных услуг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4374BD">
        <w:rPr>
          <w:rFonts w:ascii="Times New Roman" w:hAnsi="Times New Roman"/>
          <w:sz w:val="28"/>
          <w:szCs w:val="28"/>
        </w:rPr>
        <w:t xml:space="preserve">т методику расчета размера платы за оказание услуг, которые являются необходимыми и обязательными для предоставления </w:t>
      </w:r>
      <w:r w:rsidRPr="00886200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 (далее - М</w:t>
      </w:r>
      <w:r w:rsidRPr="004374BD">
        <w:rPr>
          <w:rFonts w:ascii="Times New Roman" w:hAnsi="Times New Roman"/>
          <w:sz w:val="28"/>
          <w:szCs w:val="28"/>
        </w:rPr>
        <w:t xml:space="preserve">етодика), оказываемых подведомственными </w:t>
      </w:r>
      <w:r>
        <w:rPr>
          <w:rFonts w:ascii="Times New Roman" w:hAnsi="Times New Roman"/>
          <w:sz w:val="28"/>
          <w:szCs w:val="28"/>
        </w:rPr>
        <w:t xml:space="preserve">указанному отраслевому (функциональному) органу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учреждениями.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2.2. Методика должна позволять определить все затраты, связанные с предоставлением необходимой и обязательной услуги.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lastRenderedPageBreak/>
        <w:t>2.3. Методика должна содержать: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обоснование расчетно-нормативных затрат на оказание необходимой и обязательной услуги;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пример расчета размера платы за оказание необходимой и обязательной услуги</w:t>
      </w:r>
      <w:r>
        <w:rPr>
          <w:rFonts w:ascii="Times New Roman" w:hAnsi="Times New Roman"/>
          <w:sz w:val="28"/>
          <w:szCs w:val="28"/>
        </w:rPr>
        <w:t xml:space="preserve"> на основании М</w:t>
      </w:r>
      <w:r w:rsidRPr="004374BD">
        <w:rPr>
          <w:rFonts w:ascii="Times New Roman" w:hAnsi="Times New Roman"/>
          <w:sz w:val="28"/>
          <w:szCs w:val="28"/>
        </w:rPr>
        <w:t>етодики;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предельный размер платы за оказание необходимой и обязательной услуги;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порядок и периодичность пересмотра размера платы за оказание необходимой и обязательной услуги.</w:t>
      </w:r>
    </w:p>
    <w:p w:rsidR="00193AE3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 xml:space="preserve">2.4. </w:t>
      </w:r>
      <w:r w:rsidRPr="00524B69">
        <w:rPr>
          <w:rFonts w:ascii="Times New Roman" w:hAnsi="Times New Roman"/>
          <w:sz w:val="28"/>
          <w:szCs w:val="28"/>
        </w:rPr>
        <w:t xml:space="preserve">Отраслевой (функциональный) орган администрации </w:t>
      </w:r>
      <w:proofErr w:type="spellStart"/>
      <w:r w:rsidRPr="00524B6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24B69">
        <w:rPr>
          <w:rFonts w:ascii="Times New Roman" w:hAnsi="Times New Roman"/>
          <w:sz w:val="28"/>
          <w:szCs w:val="28"/>
        </w:rPr>
        <w:t xml:space="preserve"> муниципального района в течение 5 рабочих дней со дня утверждения проекта Методики размещает данный проект (с приложением финансово-экономического обоснования) и информацию о сроке и порядке направления предложений по проекту Методики на своем официальном сайте, а также обеспечивает размещение проекта Методики на сайтах подведомственных учреждений и на официальном сайте администрации </w:t>
      </w:r>
      <w:proofErr w:type="spellStart"/>
      <w:r w:rsidRPr="00524B6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24B69">
        <w:rPr>
          <w:rFonts w:ascii="Times New Roman" w:hAnsi="Times New Roman"/>
          <w:sz w:val="28"/>
          <w:szCs w:val="28"/>
        </w:rPr>
        <w:t xml:space="preserve"> муниципального района для общественного обсуждения.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Продолжительность разме</w:t>
      </w:r>
      <w:r>
        <w:rPr>
          <w:rFonts w:ascii="Times New Roman" w:hAnsi="Times New Roman"/>
          <w:sz w:val="28"/>
          <w:szCs w:val="28"/>
        </w:rPr>
        <w:t>щения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 для общественного обсуждения не может составлять менее 10 рабочих </w:t>
      </w:r>
      <w:r>
        <w:rPr>
          <w:rFonts w:ascii="Times New Roman" w:hAnsi="Times New Roman"/>
          <w:sz w:val="28"/>
          <w:szCs w:val="28"/>
        </w:rPr>
        <w:t>дней со дня размещения проекта М</w:t>
      </w:r>
      <w:r w:rsidRPr="004374BD">
        <w:rPr>
          <w:rFonts w:ascii="Times New Roman" w:hAnsi="Times New Roman"/>
          <w:sz w:val="28"/>
          <w:szCs w:val="28"/>
        </w:rPr>
        <w:t>етодики.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 xml:space="preserve">2.5. По результатам </w:t>
      </w:r>
      <w:r w:rsidRPr="00524B69">
        <w:rPr>
          <w:rFonts w:ascii="Times New Roman" w:hAnsi="Times New Roman"/>
          <w:sz w:val="28"/>
          <w:szCs w:val="28"/>
        </w:rPr>
        <w:t>общественного обсуждения</w:t>
      </w:r>
      <w:r w:rsidR="00524B69">
        <w:rPr>
          <w:rFonts w:ascii="Times New Roman" w:hAnsi="Times New Roman"/>
          <w:sz w:val="28"/>
          <w:szCs w:val="28"/>
        </w:rPr>
        <w:t xml:space="preserve"> на сайтах 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в течение 10 рабочих дней со дня </w:t>
      </w:r>
      <w:proofErr w:type="gramStart"/>
      <w:r w:rsidRPr="004374BD">
        <w:rPr>
          <w:rFonts w:ascii="Times New Roman" w:hAnsi="Times New Roman"/>
          <w:sz w:val="28"/>
          <w:szCs w:val="28"/>
        </w:rPr>
        <w:t>исте</w:t>
      </w:r>
      <w:r>
        <w:rPr>
          <w:rFonts w:ascii="Times New Roman" w:hAnsi="Times New Roman"/>
          <w:sz w:val="28"/>
          <w:szCs w:val="28"/>
        </w:rPr>
        <w:t>чения срока размещения проекта М</w:t>
      </w:r>
      <w:r w:rsidRPr="004374BD">
        <w:rPr>
          <w:rFonts w:ascii="Times New Roman" w:hAnsi="Times New Roman"/>
          <w:sz w:val="28"/>
          <w:szCs w:val="28"/>
        </w:rPr>
        <w:t>етодики</w:t>
      </w:r>
      <w:proofErr w:type="gramEnd"/>
      <w:r w:rsidRPr="004374BD">
        <w:rPr>
          <w:rFonts w:ascii="Times New Roman" w:hAnsi="Times New Roman"/>
          <w:sz w:val="28"/>
          <w:szCs w:val="28"/>
        </w:rPr>
        <w:t xml:space="preserve"> для общественного </w:t>
      </w:r>
      <w:r>
        <w:rPr>
          <w:rFonts w:ascii="Times New Roman" w:hAnsi="Times New Roman"/>
          <w:sz w:val="28"/>
          <w:szCs w:val="28"/>
        </w:rPr>
        <w:t>обсуждения дорабатывает проект М</w:t>
      </w:r>
      <w:r w:rsidRPr="004374BD">
        <w:rPr>
          <w:rFonts w:ascii="Times New Roman" w:hAnsi="Times New Roman"/>
          <w:sz w:val="28"/>
          <w:szCs w:val="28"/>
        </w:rPr>
        <w:t xml:space="preserve">етодики. В </w:t>
      </w:r>
      <w:r>
        <w:rPr>
          <w:rFonts w:ascii="Times New Roman" w:hAnsi="Times New Roman"/>
          <w:sz w:val="28"/>
          <w:szCs w:val="28"/>
        </w:rPr>
        <w:t>ходе доработки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рассматривает все поступившие предложения и учит</w:t>
      </w:r>
      <w:r>
        <w:rPr>
          <w:rFonts w:ascii="Times New Roman" w:hAnsi="Times New Roman"/>
          <w:sz w:val="28"/>
          <w:szCs w:val="28"/>
        </w:rPr>
        <w:t>ывает их при доработке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етодики. Отклонение </w:t>
      </w:r>
      <w:r w:rsidRPr="00886200">
        <w:rPr>
          <w:rFonts w:ascii="Times New Roman" w:hAnsi="Times New Roman"/>
          <w:sz w:val="28"/>
          <w:szCs w:val="28"/>
        </w:rPr>
        <w:t>отраслевым (функциональным) орган</w:t>
      </w:r>
      <w:r>
        <w:rPr>
          <w:rFonts w:ascii="Times New Roman" w:hAnsi="Times New Roman"/>
          <w:sz w:val="28"/>
          <w:szCs w:val="28"/>
        </w:rPr>
        <w:t>о</w:t>
      </w:r>
      <w:r w:rsidRPr="008862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374BD">
        <w:rPr>
          <w:rFonts w:ascii="Times New Roman" w:hAnsi="Times New Roman"/>
          <w:sz w:val="28"/>
          <w:szCs w:val="28"/>
        </w:rPr>
        <w:t xml:space="preserve">поступивших предложений должно быть мотивированным. Информация о рассмотрении поступивших предложений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также на официальном сайте отраслевого (функционального) органа администрации в течение 5 рабочих дней со дня направления проекта Методики в Управление экономического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Управление).</w:t>
      </w:r>
    </w:p>
    <w:p w:rsidR="00193AE3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Проект методики с учетом поступивших предложений подлежит согласованию с Управлением. Срок согласования проекта Методики не должен превышать 10 рабочих дней со дня поступления проекта Методики в Управление. В случае несогласия с проектом Методики Управление направляет проект Методики с предложениями для доработки в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Срок для доработки проекта Методики составляет не более 5 рабочих дней со дня возвращения на доработку проекта Методики Управлением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ому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ому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93AE3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Повторное согласование с проектом Методики осуществляется в порядке, предусмотренным пунктом 2.6. настоящего Порядка.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8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4B69">
        <w:rPr>
          <w:rFonts w:ascii="Times New Roman" w:hAnsi="Times New Roman"/>
          <w:sz w:val="28"/>
          <w:szCs w:val="28"/>
        </w:rPr>
        <w:t xml:space="preserve">Отраслевой (функциональный) орган администрации </w:t>
      </w:r>
      <w:proofErr w:type="spellStart"/>
      <w:r w:rsidRPr="00524B6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24B69">
        <w:rPr>
          <w:rFonts w:ascii="Times New Roman" w:hAnsi="Times New Roman"/>
          <w:sz w:val="28"/>
          <w:szCs w:val="28"/>
        </w:rPr>
        <w:t xml:space="preserve"> муниципального района в течение 3 рабочих дней со дня согласования проекта Методики с Управлением утверждает Методику правовым актом и в течение 3 рабочих дней со дня ее утверждения  размещает Методику на своем официальном сайте, а также обеспечивает размещение Методики на сайте администрации  </w:t>
      </w:r>
      <w:proofErr w:type="spellStart"/>
      <w:r w:rsidRPr="00524B6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24B69">
        <w:rPr>
          <w:rFonts w:ascii="Times New Roman" w:hAnsi="Times New Roman"/>
          <w:sz w:val="28"/>
          <w:szCs w:val="28"/>
        </w:rPr>
        <w:t xml:space="preserve"> муниципального района и на сайтах подведомственных учреждений.</w:t>
      </w:r>
      <w:proofErr w:type="gramEnd"/>
    </w:p>
    <w:p w:rsidR="00193AE3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Внесение изменений в Методику осуществляется в соответствии с пунктами 2.4. – 2.8. настоящего Порядка.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4374BD">
        <w:rPr>
          <w:rFonts w:ascii="Times New Roman" w:hAnsi="Times New Roman"/>
          <w:sz w:val="28"/>
          <w:szCs w:val="28"/>
        </w:rPr>
        <w:t>. Расчет и утверждение размера платы за оказание необходимой и обязательной у</w:t>
      </w:r>
      <w:r>
        <w:rPr>
          <w:rFonts w:ascii="Times New Roman" w:hAnsi="Times New Roman"/>
          <w:sz w:val="28"/>
          <w:szCs w:val="28"/>
        </w:rPr>
        <w:t xml:space="preserve">слуги, оказываемой </w:t>
      </w:r>
      <w:r>
        <w:rPr>
          <w:rFonts w:ascii="Times New Roman" w:hAnsi="Times New Roman"/>
          <w:sz w:val="28"/>
          <w:szCs w:val="28"/>
        </w:rPr>
        <w:tab/>
        <w:t xml:space="preserve">муниципальным учреждением </w:t>
      </w:r>
      <w:r w:rsidRPr="004374BD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4374BD">
        <w:rPr>
          <w:rFonts w:ascii="Times New Roman" w:hAnsi="Times New Roman"/>
          <w:sz w:val="28"/>
          <w:szCs w:val="28"/>
        </w:rPr>
        <w:t>азмер платы), производятся</w:t>
      </w:r>
      <w:r>
        <w:rPr>
          <w:rFonts w:ascii="Times New Roman" w:hAnsi="Times New Roman"/>
          <w:sz w:val="28"/>
          <w:szCs w:val="28"/>
        </w:rPr>
        <w:t xml:space="preserve"> этим учреждением на основании М</w:t>
      </w:r>
      <w:r w:rsidRPr="004374BD">
        <w:rPr>
          <w:rFonts w:ascii="Times New Roman" w:hAnsi="Times New Roman"/>
          <w:sz w:val="28"/>
          <w:szCs w:val="28"/>
        </w:rPr>
        <w:t xml:space="preserve">етодики, утвержденной </w:t>
      </w:r>
      <w:r w:rsidRPr="00886200">
        <w:rPr>
          <w:rFonts w:ascii="Times New Roman" w:hAnsi="Times New Roman"/>
          <w:sz w:val="28"/>
          <w:szCs w:val="28"/>
        </w:rPr>
        <w:t>отраслевым (функциональным</w:t>
      </w:r>
      <w:r>
        <w:rPr>
          <w:rFonts w:ascii="Times New Roman" w:hAnsi="Times New Roman"/>
          <w:sz w:val="28"/>
          <w:szCs w:val="28"/>
        </w:rPr>
        <w:t>) органо</w:t>
      </w:r>
      <w:r w:rsidRPr="008862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, по согласованию с </w:t>
      </w:r>
      <w:r w:rsidRPr="00886200">
        <w:rPr>
          <w:rFonts w:ascii="Times New Roman" w:hAnsi="Times New Roman"/>
          <w:sz w:val="28"/>
          <w:szCs w:val="28"/>
        </w:rPr>
        <w:t>отраслевым (функциональным)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. Срок для согласования </w:t>
      </w:r>
      <w:r>
        <w:rPr>
          <w:rFonts w:ascii="Times New Roman" w:hAnsi="Times New Roman"/>
          <w:sz w:val="28"/>
          <w:szCs w:val="28"/>
        </w:rPr>
        <w:t>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составляет не более 10 рабочих дней со дня получения </w:t>
      </w:r>
      <w:r>
        <w:rPr>
          <w:rFonts w:ascii="Times New Roman" w:hAnsi="Times New Roman"/>
          <w:sz w:val="28"/>
          <w:szCs w:val="28"/>
        </w:rPr>
        <w:t>отраслевым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(функциональным)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Pr="004374BD">
        <w:rPr>
          <w:rFonts w:ascii="Times New Roman" w:hAnsi="Times New Roman"/>
          <w:sz w:val="28"/>
          <w:szCs w:val="28"/>
        </w:rPr>
        <w:t>асчета размера платы.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несогласия с расчетом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расчет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 предложениями для доработки в </w:t>
      </w:r>
      <w:r>
        <w:rPr>
          <w:rFonts w:ascii="Times New Roman" w:hAnsi="Times New Roman"/>
          <w:sz w:val="28"/>
          <w:szCs w:val="28"/>
        </w:rPr>
        <w:t xml:space="preserve">подведомственное </w:t>
      </w:r>
      <w:r w:rsidRPr="004374BD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реждение, разработавшее расчет Р</w:t>
      </w:r>
      <w:r w:rsidRPr="004374BD">
        <w:rPr>
          <w:rFonts w:ascii="Times New Roman" w:hAnsi="Times New Roman"/>
          <w:sz w:val="28"/>
          <w:szCs w:val="28"/>
        </w:rPr>
        <w:t>азмера пла</w:t>
      </w:r>
      <w:r>
        <w:rPr>
          <w:rFonts w:ascii="Times New Roman" w:hAnsi="Times New Roman"/>
          <w:sz w:val="28"/>
          <w:szCs w:val="28"/>
        </w:rPr>
        <w:t>ты. Срок для доработки расчета Р</w:t>
      </w:r>
      <w:r w:rsidRPr="004374BD">
        <w:rPr>
          <w:rFonts w:ascii="Times New Roman" w:hAnsi="Times New Roman"/>
          <w:sz w:val="28"/>
          <w:szCs w:val="28"/>
        </w:rPr>
        <w:t>азмера платы составляет не более 5 рабочих дней со дня во</w:t>
      </w:r>
      <w:r>
        <w:rPr>
          <w:rFonts w:ascii="Times New Roman" w:hAnsi="Times New Roman"/>
          <w:sz w:val="28"/>
          <w:szCs w:val="28"/>
        </w:rPr>
        <w:t>звращения на доработку расчета Р</w:t>
      </w:r>
      <w:r w:rsidRPr="004374BD">
        <w:rPr>
          <w:rFonts w:ascii="Times New Roman" w:hAnsi="Times New Roman"/>
          <w:sz w:val="28"/>
          <w:szCs w:val="28"/>
        </w:rPr>
        <w:t>азмера платы.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Повторное согласование 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осуществляется в порядке, предусмотренном </w:t>
      </w:r>
      <w:hyperlink r:id="rId10" w:history="1">
        <w:r w:rsidRPr="00C55D31">
          <w:rPr>
            <w:rFonts w:ascii="Times New Roman" w:hAnsi="Times New Roman"/>
            <w:color w:val="000000"/>
            <w:sz w:val="28"/>
            <w:szCs w:val="28"/>
          </w:rPr>
          <w:t>пунктами 2.</w:t>
        </w:r>
      </w:hyperlink>
      <w:r w:rsidRPr="00C55D31">
        <w:rPr>
          <w:rFonts w:ascii="Times New Roman" w:hAnsi="Times New Roman"/>
          <w:sz w:val="28"/>
          <w:szCs w:val="28"/>
        </w:rPr>
        <w:t>9</w:t>
      </w:r>
      <w:r w:rsidRPr="00C55D31"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11" w:history="1">
        <w:r w:rsidRPr="00C55D31">
          <w:rPr>
            <w:rFonts w:ascii="Times New Roman" w:hAnsi="Times New Roman"/>
            <w:color w:val="000000"/>
            <w:sz w:val="28"/>
            <w:szCs w:val="28"/>
          </w:rPr>
          <w:t>2.</w:t>
        </w:r>
      </w:hyperlink>
      <w:r w:rsidRPr="00C55D31">
        <w:rPr>
          <w:rFonts w:ascii="Times New Roman" w:hAnsi="Times New Roman"/>
          <w:sz w:val="28"/>
          <w:szCs w:val="28"/>
        </w:rPr>
        <w:t>10</w:t>
      </w:r>
      <w:r>
        <w:t>.</w:t>
      </w:r>
      <w:r w:rsidRPr="00CE6C16"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настоящего Порядка.</w:t>
      </w:r>
    </w:p>
    <w:p w:rsidR="00193AE3" w:rsidRPr="004374BD" w:rsidRDefault="00193AE3" w:rsidP="004101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4374BD">
        <w:rPr>
          <w:rFonts w:ascii="Times New Roman" w:hAnsi="Times New Roman"/>
          <w:sz w:val="28"/>
          <w:szCs w:val="28"/>
        </w:rPr>
        <w:t>. Учреждение в течение 5 рабочих дней со дня согласовани</w:t>
      </w:r>
      <w:r>
        <w:rPr>
          <w:rFonts w:ascii="Times New Roman" w:hAnsi="Times New Roman"/>
          <w:sz w:val="28"/>
          <w:szCs w:val="28"/>
        </w:rPr>
        <w:t>я 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ым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ым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утверждает Р</w:t>
      </w:r>
      <w:r w:rsidRPr="004374BD">
        <w:rPr>
          <w:rFonts w:ascii="Times New Roman" w:hAnsi="Times New Roman"/>
          <w:sz w:val="28"/>
          <w:szCs w:val="28"/>
        </w:rPr>
        <w:t>азмеры платы.</w:t>
      </w:r>
    </w:p>
    <w:p w:rsidR="00193AE3" w:rsidRPr="00294BD3" w:rsidRDefault="00193AE3" w:rsidP="0041018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1. Информация о Р</w:t>
      </w:r>
      <w:r w:rsidRPr="004374BD">
        <w:rPr>
          <w:rFonts w:ascii="Times New Roman" w:hAnsi="Times New Roman"/>
          <w:sz w:val="28"/>
          <w:szCs w:val="28"/>
        </w:rPr>
        <w:t>азмере платы размещается в течение 3 рабочих дней со дня ее утверждения на сайте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74BD">
        <w:rPr>
          <w:rFonts w:ascii="Times New Roman" w:hAnsi="Times New Roman"/>
          <w:sz w:val="28"/>
          <w:szCs w:val="28"/>
        </w:rPr>
        <w:t>в помещениях, занимаемых указанными учреждениями, в иных отведенных для этих целей местах</w:t>
      </w:r>
      <w:r>
        <w:rPr>
          <w:rFonts w:cs="Calibri"/>
        </w:rPr>
        <w:t>.</w:t>
      </w:r>
      <w:r w:rsidRPr="00294BD3">
        <w:rPr>
          <w:rFonts w:ascii="Times New Roman" w:hAnsi="Times New Roman"/>
          <w:sz w:val="28"/>
          <w:szCs w:val="28"/>
        </w:rPr>
        <w:t xml:space="preserve"> </w:t>
      </w:r>
    </w:p>
    <w:p w:rsidR="00193AE3" w:rsidRDefault="00193AE3" w:rsidP="00410185">
      <w:pPr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sectPr w:rsidR="00193AE3" w:rsidSect="005C4A8C">
      <w:pgSz w:w="11906" w:h="16838"/>
      <w:pgMar w:top="1134" w:right="567" w:bottom="1134" w:left="1418" w:header="227" w:footer="22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7E" w:rsidRDefault="0083107E" w:rsidP="00C22025">
      <w:pPr>
        <w:spacing w:after="0" w:line="240" w:lineRule="auto"/>
      </w:pPr>
      <w:r>
        <w:separator/>
      </w:r>
    </w:p>
  </w:endnote>
  <w:endnote w:type="continuationSeparator" w:id="0">
    <w:p w:rsidR="0083107E" w:rsidRDefault="0083107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7E" w:rsidRDefault="0083107E" w:rsidP="00C22025">
      <w:pPr>
        <w:spacing w:after="0" w:line="240" w:lineRule="auto"/>
      </w:pPr>
      <w:r>
        <w:separator/>
      </w:r>
    </w:p>
  </w:footnote>
  <w:footnote w:type="continuationSeparator" w:id="0">
    <w:p w:rsidR="0083107E" w:rsidRDefault="0083107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E3" w:rsidRDefault="00193AE3" w:rsidP="00F33B4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3AE3" w:rsidRDefault="00193A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E3" w:rsidRDefault="00193AE3" w:rsidP="007812E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2C9A">
      <w:rPr>
        <w:rStyle w:val="ac"/>
        <w:noProof/>
      </w:rPr>
      <w:t>5</w:t>
    </w:r>
    <w:r>
      <w:rPr>
        <w:rStyle w:val="ac"/>
      </w:rPr>
      <w:fldChar w:fldCharType="end"/>
    </w:r>
  </w:p>
  <w:p w:rsidR="00193AE3" w:rsidRDefault="00193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8D5"/>
    <w:multiLevelType w:val="multilevel"/>
    <w:tmpl w:val="EBE42B0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24B3723"/>
    <w:multiLevelType w:val="multilevel"/>
    <w:tmpl w:val="BAC00B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A31"/>
    <w:rsid w:val="000013CF"/>
    <w:rsid w:val="00002DF4"/>
    <w:rsid w:val="00013CAB"/>
    <w:rsid w:val="000232F0"/>
    <w:rsid w:val="00027713"/>
    <w:rsid w:val="00040043"/>
    <w:rsid w:val="00092E8A"/>
    <w:rsid w:val="00094701"/>
    <w:rsid w:val="000A43B4"/>
    <w:rsid w:val="000A5C82"/>
    <w:rsid w:val="000C0856"/>
    <w:rsid w:val="000C11A4"/>
    <w:rsid w:val="000D2135"/>
    <w:rsid w:val="000D714A"/>
    <w:rsid w:val="000E1ABE"/>
    <w:rsid w:val="000F7EBC"/>
    <w:rsid w:val="00107B14"/>
    <w:rsid w:val="00113AC2"/>
    <w:rsid w:val="00122780"/>
    <w:rsid w:val="00140A3C"/>
    <w:rsid w:val="00140B00"/>
    <w:rsid w:val="00141A53"/>
    <w:rsid w:val="001559FC"/>
    <w:rsid w:val="0017570C"/>
    <w:rsid w:val="00193AE3"/>
    <w:rsid w:val="001B27BF"/>
    <w:rsid w:val="001C08FB"/>
    <w:rsid w:val="001E38A3"/>
    <w:rsid w:val="00207082"/>
    <w:rsid w:val="002346F1"/>
    <w:rsid w:val="00247B72"/>
    <w:rsid w:val="0025006D"/>
    <w:rsid w:val="00287249"/>
    <w:rsid w:val="00294BD3"/>
    <w:rsid w:val="002A096D"/>
    <w:rsid w:val="002B59F5"/>
    <w:rsid w:val="002C5CEA"/>
    <w:rsid w:val="002D4C3E"/>
    <w:rsid w:val="002E66AF"/>
    <w:rsid w:val="00306718"/>
    <w:rsid w:val="003141E8"/>
    <w:rsid w:val="00320777"/>
    <w:rsid w:val="003246A2"/>
    <w:rsid w:val="003360D4"/>
    <w:rsid w:val="00336A2A"/>
    <w:rsid w:val="00366CA1"/>
    <w:rsid w:val="00385821"/>
    <w:rsid w:val="00393F17"/>
    <w:rsid w:val="00395FE2"/>
    <w:rsid w:val="003A0F98"/>
    <w:rsid w:val="003A2D90"/>
    <w:rsid w:val="003B0E5D"/>
    <w:rsid w:val="003E09EF"/>
    <w:rsid w:val="003F25AC"/>
    <w:rsid w:val="0040295A"/>
    <w:rsid w:val="004037B9"/>
    <w:rsid w:val="00410185"/>
    <w:rsid w:val="004374BD"/>
    <w:rsid w:val="00437BA4"/>
    <w:rsid w:val="00441982"/>
    <w:rsid w:val="0045168D"/>
    <w:rsid w:val="004544B3"/>
    <w:rsid w:val="00456B84"/>
    <w:rsid w:val="00461F16"/>
    <w:rsid w:val="00486F9E"/>
    <w:rsid w:val="004902F9"/>
    <w:rsid w:val="00496D20"/>
    <w:rsid w:val="004D23E9"/>
    <w:rsid w:val="004D45DC"/>
    <w:rsid w:val="005004B5"/>
    <w:rsid w:val="005129CE"/>
    <w:rsid w:val="00521EE7"/>
    <w:rsid w:val="00524B69"/>
    <w:rsid w:val="00525F8B"/>
    <w:rsid w:val="00527AF9"/>
    <w:rsid w:val="0054149A"/>
    <w:rsid w:val="00544C6A"/>
    <w:rsid w:val="00545A75"/>
    <w:rsid w:val="005535D6"/>
    <w:rsid w:val="00556386"/>
    <w:rsid w:val="00560D30"/>
    <w:rsid w:val="00583DD3"/>
    <w:rsid w:val="00597192"/>
    <w:rsid w:val="005A6BF4"/>
    <w:rsid w:val="005C4809"/>
    <w:rsid w:val="005C4A8C"/>
    <w:rsid w:val="005C6A7E"/>
    <w:rsid w:val="005D35AC"/>
    <w:rsid w:val="005D762E"/>
    <w:rsid w:val="005E04B8"/>
    <w:rsid w:val="005E0763"/>
    <w:rsid w:val="005F0CD4"/>
    <w:rsid w:val="005F5EA5"/>
    <w:rsid w:val="00605F8A"/>
    <w:rsid w:val="00620311"/>
    <w:rsid w:val="006237F2"/>
    <w:rsid w:val="00633C2A"/>
    <w:rsid w:val="00642171"/>
    <w:rsid w:val="00661DF3"/>
    <w:rsid w:val="00664C61"/>
    <w:rsid w:val="006756D5"/>
    <w:rsid w:val="006861B7"/>
    <w:rsid w:val="006871FC"/>
    <w:rsid w:val="00692D25"/>
    <w:rsid w:val="00702F08"/>
    <w:rsid w:val="00713C22"/>
    <w:rsid w:val="00720CB2"/>
    <w:rsid w:val="00724CBE"/>
    <w:rsid w:val="00730818"/>
    <w:rsid w:val="007316A3"/>
    <w:rsid w:val="00734842"/>
    <w:rsid w:val="00744295"/>
    <w:rsid w:val="00750374"/>
    <w:rsid w:val="007602E9"/>
    <w:rsid w:val="0077031F"/>
    <w:rsid w:val="00774836"/>
    <w:rsid w:val="007812E1"/>
    <w:rsid w:val="00781B98"/>
    <w:rsid w:val="007832CC"/>
    <w:rsid w:val="00795EAB"/>
    <w:rsid w:val="007A065E"/>
    <w:rsid w:val="007D06F3"/>
    <w:rsid w:val="007F6BCA"/>
    <w:rsid w:val="00806E0F"/>
    <w:rsid w:val="00812332"/>
    <w:rsid w:val="0083107E"/>
    <w:rsid w:val="008435E7"/>
    <w:rsid w:val="00847CF8"/>
    <w:rsid w:val="00847DA3"/>
    <w:rsid w:val="00852543"/>
    <w:rsid w:val="00865F76"/>
    <w:rsid w:val="00872C9A"/>
    <w:rsid w:val="00877F80"/>
    <w:rsid w:val="00884AF7"/>
    <w:rsid w:val="00886200"/>
    <w:rsid w:val="0089578D"/>
    <w:rsid w:val="008A443D"/>
    <w:rsid w:val="008B5D27"/>
    <w:rsid w:val="008C012B"/>
    <w:rsid w:val="008C0B01"/>
    <w:rsid w:val="008E6FD1"/>
    <w:rsid w:val="008F7A31"/>
    <w:rsid w:val="00901586"/>
    <w:rsid w:val="00915454"/>
    <w:rsid w:val="00922C5E"/>
    <w:rsid w:val="00925C58"/>
    <w:rsid w:val="00927592"/>
    <w:rsid w:val="00931B49"/>
    <w:rsid w:val="00932FE6"/>
    <w:rsid w:val="009432B4"/>
    <w:rsid w:val="00952ADE"/>
    <w:rsid w:val="00965DCA"/>
    <w:rsid w:val="00966D97"/>
    <w:rsid w:val="00977768"/>
    <w:rsid w:val="009B26C0"/>
    <w:rsid w:val="009C7401"/>
    <w:rsid w:val="009D4C17"/>
    <w:rsid w:val="009E3050"/>
    <w:rsid w:val="009E60E2"/>
    <w:rsid w:val="009F47B3"/>
    <w:rsid w:val="009F5B35"/>
    <w:rsid w:val="00A00875"/>
    <w:rsid w:val="00A07BB5"/>
    <w:rsid w:val="00A122D2"/>
    <w:rsid w:val="00A30AE8"/>
    <w:rsid w:val="00A40B7C"/>
    <w:rsid w:val="00A60106"/>
    <w:rsid w:val="00A62175"/>
    <w:rsid w:val="00A71BB0"/>
    <w:rsid w:val="00A74FA0"/>
    <w:rsid w:val="00AB217F"/>
    <w:rsid w:val="00AF1141"/>
    <w:rsid w:val="00AF416E"/>
    <w:rsid w:val="00AF588B"/>
    <w:rsid w:val="00B01F5F"/>
    <w:rsid w:val="00B10B7B"/>
    <w:rsid w:val="00B13281"/>
    <w:rsid w:val="00B20C35"/>
    <w:rsid w:val="00B27F5B"/>
    <w:rsid w:val="00B30598"/>
    <w:rsid w:val="00B31344"/>
    <w:rsid w:val="00B473CD"/>
    <w:rsid w:val="00B62BF5"/>
    <w:rsid w:val="00B64FA8"/>
    <w:rsid w:val="00B733E6"/>
    <w:rsid w:val="00B84292"/>
    <w:rsid w:val="00B84FA2"/>
    <w:rsid w:val="00BA10A9"/>
    <w:rsid w:val="00BB5599"/>
    <w:rsid w:val="00BF3189"/>
    <w:rsid w:val="00C059DE"/>
    <w:rsid w:val="00C11DE0"/>
    <w:rsid w:val="00C21D65"/>
    <w:rsid w:val="00C22025"/>
    <w:rsid w:val="00C25A69"/>
    <w:rsid w:val="00C34DF7"/>
    <w:rsid w:val="00C4524C"/>
    <w:rsid w:val="00C53D89"/>
    <w:rsid w:val="00C55D31"/>
    <w:rsid w:val="00C74B5D"/>
    <w:rsid w:val="00C75882"/>
    <w:rsid w:val="00C84F7D"/>
    <w:rsid w:val="00C870F0"/>
    <w:rsid w:val="00CA14FA"/>
    <w:rsid w:val="00CB30D5"/>
    <w:rsid w:val="00CB4D96"/>
    <w:rsid w:val="00CB639D"/>
    <w:rsid w:val="00CC2D9A"/>
    <w:rsid w:val="00CE6485"/>
    <w:rsid w:val="00CE6C16"/>
    <w:rsid w:val="00CF248D"/>
    <w:rsid w:val="00D008F3"/>
    <w:rsid w:val="00D010E6"/>
    <w:rsid w:val="00D01AFF"/>
    <w:rsid w:val="00D26B1B"/>
    <w:rsid w:val="00D3255B"/>
    <w:rsid w:val="00D35C08"/>
    <w:rsid w:val="00D431BE"/>
    <w:rsid w:val="00D51617"/>
    <w:rsid w:val="00D521FB"/>
    <w:rsid w:val="00D54728"/>
    <w:rsid w:val="00D854E4"/>
    <w:rsid w:val="00D86BAE"/>
    <w:rsid w:val="00D96FA8"/>
    <w:rsid w:val="00DB7880"/>
    <w:rsid w:val="00DD07F3"/>
    <w:rsid w:val="00DD0BFC"/>
    <w:rsid w:val="00DD6515"/>
    <w:rsid w:val="00DD6663"/>
    <w:rsid w:val="00DD6E1B"/>
    <w:rsid w:val="00DE0D2B"/>
    <w:rsid w:val="00DE2CDD"/>
    <w:rsid w:val="00E221A3"/>
    <w:rsid w:val="00E30F35"/>
    <w:rsid w:val="00E3513D"/>
    <w:rsid w:val="00E61392"/>
    <w:rsid w:val="00E64D02"/>
    <w:rsid w:val="00E708C4"/>
    <w:rsid w:val="00E71279"/>
    <w:rsid w:val="00E71F7A"/>
    <w:rsid w:val="00E7583D"/>
    <w:rsid w:val="00E82F71"/>
    <w:rsid w:val="00E86E0C"/>
    <w:rsid w:val="00E93DF6"/>
    <w:rsid w:val="00E94BEE"/>
    <w:rsid w:val="00EB06C6"/>
    <w:rsid w:val="00EB3844"/>
    <w:rsid w:val="00EB5B89"/>
    <w:rsid w:val="00EB7596"/>
    <w:rsid w:val="00EE4C40"/>
    <w:rsid w:val="00EF5808"/>
    <w:rsid w:val="00F10E59"/>
    <w:rsid w:val="00F142B5"/>
    <w:rsid w:val="00F25C99"/>
    <w:rsid w:val="00F33B4A"/>
    <w:rsid w:val="00F71A94"/>
    <w:rsid w:val="00F7605E"/>
    <w:rsid w:val="00FA6FF9"/>
    <w:rsid w:val="00FB1441"/>
    <w:rsid w:val="00FB1F22"/>
    <w:rsid w:val="00FD0931"/>
    <w:rsid w:val="00FD3EA2"/>
    <w:rsid w:val="00FD799A"/>
    <w:rsid w:val="00FE237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EB5B89"/>
    <w:pPr>
      <w:ind w:left="720"/>
      <w:contextualSpacing/>
    </w:pPr>
  </w:style>
  <w:style w:type="character" w:styleId="aa">
    <w:name w:val="Hyperlink"/>
    <w:uiPriority w:val="99"/>
    <w:rsid w:val="007A065E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750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4101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B51800413A52546D905E75A4F21E450857BD07025CE6FBE13946D5B72456ECC22F1D04C90A8C21C3BE5A12f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B51800413A52546D905E75A4F21E450857BD07025CE6FBE13946D5B72456ECC22F1D04C90A8C21C3BE5A12f4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%20&#1051;%20&#1040;%20&#1053;%20&#1050;%20&#1048;\&#1041;&#1083;&#1072;&#1085;&#1082;&#1080;%202010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1607</TotalTime>
  <Pages>1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59</cp:revision>
  <cp:lastPrinted>2013-10-31T09:43:00Z</cp:lastPrinted>
  <dcterms:created xsi:type="dcterms:W3CDTF">2011-08-24T05:57:00Z</dcterms:created>
  <dcterms:modified xsi:type="dcterms:W3CDTF">2013-11-05T07:27:00Z</dcterms:modified>
</cp:coreProperties>
</file>