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6C" w:rsidRPr="0021396C" w:rsidRDefault="0021396C" w:rsidP="0021396C">
      <w:pPr>
        <w:jc w:val="center"/>
        <w:rPr>
          <w:sz w:val="27"/>
          <w:szCs w:val="27"/>
        </w:rPr>
      </w:pPr>
      <w:r w:rsidRPr="0021396C">
        <w:rPr>
          <w:sz w:val="27"/>
          <w:szCs w:val="27"/>
        </w:rPr>
        <w:t>ПОСТАНОВЛЕНИЕ</w:t>
      </w:r>
    </w:p>
    <w:p w:rsidR="0021396C" w:rsidRPr="0021396C" w:rsidRDefault="0021396C" w:rsidP="0021396C">
      <w:pPr>
        <w:jc w:val="center"/>
        <w:rPr>
          <w:sz w:val="28"/>
          <w:szCs w:val="28"/>
        </w:rPr>
      </w:pPr>
    </w:p>
    <w:p w:rsidR="0021396C" w:rsidRPr="0021396C" w:rsidRDefault="0021396C" w:rsidP="0021396C">
      <w:pPr>
        <w:jc w:val="center"/>
        <w:rPr>
          <w:sz w:val="28"/>
          <w:szCs w:val="28"/>
        </w:rPr>
      </w:pPr>
      <w:r w:rsidRPr="0021396C">
        <w:rPr>
          <w:sz w:val="28"/>
          <w:szCs w:val="28"/>
        </w:rPr>
        <w:t>АДМИНИСТРАЦИИ МУНИЦИПАЛЬНОГО ОБРАЗОВАНИЯ</w:t>
      </w:r>
    </w:p>
    <w:p w:rsidR="0021396C" w:rsidRPr="0021396C" w:rsidRDefault="0021396C" w:rsidP="0021396C">
      <w:pPr>
        <w:jc w:val="center"/>
        <w:rPr>
          <w:sz w:val="28"/>
          <w:szCs w:val="28"/>
        </w:rPr>
      </w:pPr>
      <w:r w:rsidRPr="0021396C"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21396C" w:rsidRPr="0021396C" w:rsidRDefault="0021396C" w:rsidP="0021396C">
      <w:pPr>
        <w:jc w:val="center"/>
        <w:rPr>
          <w:sz w:val="28"/>
          <w:szCs w:val="28"/>
        </w:rPr>
      </w:pPr>
    </w:p>
    <w:p w:rsidR="0021396C" w:rsidRPr="0021396C" w:rsidRDefault="001C7BFA" w:rsidP="0021396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3E01E8">
        <w:rPr>
          <w:rFonts w:eastAsia="Calibri"/>
          <w:sz w:val="28"/>
          <w:szCs w:val="28"/>
          <w:lang w:eastAsia="en-US"/>
        </w:rPr>
        <w:t xml:space="preserve"> декабря </w:t>
      </w:r>
      <w:r w:rsidR="00D32289">
        <w:rPr>
          <w:rFonts w:eastAsia="Calibri"/>
          <w:sz w:val="28"/>
          <w:szCs w:val="28"/>
          <w:lang w:eastAsia="en-US"/>
        </w:rPr>
        <w:t xml:space="preserve"> </w:t>
      </w:r>
      <w:r w:rsidR="0021396C" w:rsidRPr="0021396C">
        <w:rPr>
          <w:rFonts w:eastAsia="Calibri"/>
          <w:sz w:val="28"/>
          <w:szCs w:val="28"/>
          <w:lang w:eastAsia="en-US"/>
        </w:rPr>
        <w:t xml:space="preserve">2019 г.                </w:t>
      </w:r>
      <w:r w:rsidR="003E01E8">
        <w:rPr>
          <w:rFonts w:eastAsia="Calibri"/>
          <w:sz w:val="28"/>
          <w:szCs w:val="28"/>
          <w:lang w:eastAsia="en-US"/>
        </w:rPr>
        <w:t xml:space="preserve">    </w:t>
      </w:r>
      <w:r w:rsidR="0021396C" w:rsidRPr="0021396C">
        <w:rPr>
          <w:rFonts w:eastAsia="Calibri"/>
          <w:sz w:val="28"/>
          <w:szCs w:val="28"/>
          <w:lang w:eastAsia="en-US"/>
        </w:rPr>
        <w:t xml:space="preserve">         с. </w:t>
      </w:r>
      <w:proofErr w:type="gramStart"/>
      <w:r w:rsidR="0021396C" w:rsidRPr="0021396C">
        <w:rPr>
          <w:rFonts w:eastAsia="Calibri"/>
          <w:sz w:val="28"/>
          <w:szCs w:val="28"/>
          <w:lang w:eastAsia="en-US"/>
        </w:rPr>
        <w:t>Ивановское</w:t>
      </w:r>
      <w:proofErr w:type="gramEnd"/>
      <w:r w:rsidR="0021396C" w:rsidRPr="0021396C">
        <w:rPr>
          <w:rFonts w:eastAsia="Calibri"/>
          <w:sz w:val="28"/>
          <w:szCs w:val="28"/>
          <w:lang w:eastAsia="en-US"/>
        </w:rPr>
        <w:t xml:space="preserve">                 </w:t>
      </w:r>
      <w:r w:rsidR="003E01E8">
        <w:rPr>
          <w:rFonts w:eastAsia="Calibri"/>
          <w:sz w:val="28"/>
          <w:szCs w:val="28"/>
          <w:lang w:eastAsia="en-US"/>
        </w:rPr>
        <w:t xml:space="preserve">     </w:t>
      </w:r>
      <w:r w:rsidR="0021396C" w:rsidRPr="0021396C">
        <w:rPr>
          <w:rFonts w:eastAsia="Calibri"/>
          <w:sz w:val="28"/>
          <w:szCs w:val="28"/>
          <w:lang w:eastAsia="en-US"/>
        </w:rPr>
        <w:t xml:space="preserve">            № </w:t>
      </w:r>
      <w:r>
        <w:rPr>
          <w:rFonts w:eastAsia="Calibri"/>
          <w:sz w:val="28"/>
          <w:szCs w:val="28"/>
          <w:lang w:eastAsia="en-US"/>
        </w:rPr>
        <w:t>260</w:t>
      </w:r>
    </w:p>
    <w:p w:rsidR="0021396C" w:rsidRPr="0021396C" w:rsidRDefault="0021396C" w:rsidP="0021396C">
      <w:pPr>
        <w:jc w:val="center"/>
        <w:rPr>
          <w:sz w:val="27"/>
          <w:szCs w:val="27"/>
        </w:rPr>
      </w:pPr>
    </w:p>
    <w:p w:rsidR="00C30C10" w:rsidRPr="00C30C10" w:rsidRDefault="00C30C10" w:rsidP="00451439">
      <w:pPr>
        <w:shd w:val="clear" w:color="auto" w:fill="FFFFFF"/>
        <w:ind w:right="-23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Об утверждении схемы размещения нестационарных торговых объектов на территории муниципального образования Ивановского сельсовета Кочубеевского района Ставропольского края на 2020 год</w:t>
      </w:r>
    </w:p>
    <w:p w:rsidR="00C30C10" w:rsidRPr="00C30C10" w:rsidRDefault="00C30C10" w:rsidP="00451439">
      <w:pPr>
        <w:shd w:val="clear" w:color="auto" w:fill="FFFFFF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 </w:t>
      </w:r>
    </w:p>
    <w:p w:rsidR="00C30C10" w:rsidRDefault="00C30C10" w:rsidP="00451439">
      <w:pPr>
        <w:shd w:val="clear" w:color="auto" w:fill="FFFFFF"/>
        <w:ind w:right="-21" w:firstLine="708"/>
        <w:jc w:val="both"/>
        <w:rPr>
          <w:rFonts w:eastAsiaTheme="minorHAnsi" w:cstheme="minorBidi"/>
          <w:spacing w:val="-2"/>
          <w:sz w:val="28"/>
          <w:szCs w:val="28"/>
          <w:lang w:eastAsia="en-US"/>
        </w:rPr>
      </w:pPr>
      <w:proofErr w:type="gramStart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 июля 2010 года № 87о/</w:t>
      </w:r>
      <w:proofErr w:type="spellStart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>д</w:t>
      </w:r>
      <w:proofErr w:type="spellEnd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 (в редакции от</w:t>
      </w:r>
      <w:proofErr w:type="gramEnd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 xml:space="preserve"> </w:t>
      </w:r>
      <w:proofErr w:type="gramStart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>06 декабря 2010 года №194/01-07 о/</w:t>
      </w:r>
      <w:proofErr w:type="spellStart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>д</w:t>
      </w:r>
      <w:proofErr w:type="spellEnd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>, от 01.06.2011 №90/01-07о/</w:t>
      </w:r>
      <w:proofErr w:type="spellStart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>д</w:t>
      </w:r>
      <w:proofErr w:type="spellEnd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>), приказом комитета Ставропольского края по пищевой и перерабатывающей промышленности, торговле и лицензированию от 28 июня 2016 года № 113/01-07 «Об утверждении нормативов минимальной обеспеченности населения Ставропольского края, а также муниципальных районов и городск</w:t>
      </w:r>
      <w:r w:rsidR="00FD2638">
        <w:rPr>
          <w:rFonts w:eastAsiaTheme="minorHAnsi" w:cstheme="minorBidi"/>
          <w:spacing w:val="-2"/>
          <w:sz w:val="28"/>
          <w:szCs w:val="28"/>
          <w:lang w:eastAsia="en-US"/>
        </w:rPr>
        <w:t>их округов, входящих в его</w:t>
      </w:r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 xml:space="preserve"> состав, площадью торговых объектов»,  и в целях упорядочения размещения нестационарных</w:t>
      </w:r>
      <w:proofErr w:type="gramEnd"/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 xml:space="preserve"> торговых объектов на территории муниципального образования</w:t>
      </w:r>
      <w:r>
        <w:rPr>
          <w:rFonts w:eastAsiaTheme="minorHAnsi" w:cstheme="minorBidi"/>
          <w:spacing w:val="-2"/>
          <w:sz w:val="28"/>
          <w:szCs w:val="28"/>
          <w:lang w:eastAsia="en-US"/>
        </w:rPr>
        <w:t>,</w:t>
      </w:r>
      <w:r w:rsidRPr="00C30C10">
        <w:rPr>
          <w:rFonts w:eastAsiaTheme="minorHAnsi" w:cstheme="minorBidi"/>
          <w:spacing w:val="-2"/>
          <w:sz w:val="28"/>
          <w:szCs w:val="28"/>
          <w:lang w:eastAsia="en-US"/>
        </w:rPr>
        <w:t xml:space="preserve"> администрация муниципального образования Ивановского сельсовета Кочубеевского района Ставропольского</w:t>
      </w:r>
      <w:r w:rsidR="00FD2638">
        <w:rPr>
          <w:rFonts w:eastAsiaTheme="minorHAnsi" w:cstheme="minorBidi"/>
          <w:spacing w:val="-2"/>
          <w:sz w:val="28"/>
          <w:szCs w:val="28"/>
          <w:lang w:eastAsia="en-US"/>
        </w:rPr>
        <w:t xml:space="preserve"> края</w:t>
      </w:r>
    </w:p>
    <w:p w:rsidR="00C30C10" w:rsidRPr="00C30C10" w:rsidRDefault="00C30C10" w:rsidP="00451439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spacing w:val="-2"/>
          <w:sz w:val="28"/>
          <w:szCs w:val="28"/>
          <w:lang w:eastAsia="en-US"/>
        </w:rPr>
      </w:pPr>
    </w:p>
    <w:p w:rsid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ПОСТАНОВЛЯЕТ:</w:t>
      </w:r>
    </w:p>
    <w:p w:rsidR="00C30C10" w:rsidRDefault="00C30C10" w:rsidP="00C30C10">
      <w:pPr>
        <w:shd w:val="clear" w:color="auto" w:fill="FFFFFF"/>
        <w:spacing w:line="322" w:lineRule="exact"/>
        <w:ind w:right="-21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</w:p>
    <w:p w:rsid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1. </w:t>
      </w: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Утвердить прилагаемую Схему размещения нестационарных торговых объектов</w:t>
      </w:r>
      <w:r w:rsidR="00E62110">
        <w:rPr>
          <w:rFonts w:eastAsiaTheme="minorHAnsi" w:cstheme="minorBidi"/>
          <w:bCs/>
          <w:spacing w:val="-2"/>
          <w:sz w:val="28"/>
          <w:szCs w:val="28"/>
          <w:lang w:eastAsia="en-US"/>
        </w:rPr>
        <w:t>,</w:t>
      </w: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 </w:t>
      </w:r>
      <w:r w:rsidR="00E62110" w:rsidRPr="00E621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предусматривающих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 </w:t>
      </w: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на территории муниципального образования Ивановского сельсовета Кочубеевского района Ставропольского края на 2020 год.</w:t>
      </w:r>
    </w:p>
    <w:p w:rsidR="00C30C10" w:rsidRP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</w:p>
    <w:p w:rsid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2. </w:t>
      </w:r>
      <w:proofErr w:type="gramStart"/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Признать утратившими силу постановления администрации муниципального образования Ивановского сельсовета Кочубеевского района Ставропольского края: </w:t>
      </w:r>
      <w:r>
        <w:rPr>
          <w:rFonts w:eastAsiaTheme="minorHAnsi" w:cstheme="minorBidi"/>
          <w:bCs/>
          <w:spacing w:val="-2"/>
          <w:sz w:val="28"/>
          <w:szCs w:val="28"/>
          <w:lang w:eastAsia="en-US"/>
        </w:rPr>
        <w:t>№ 104 от 28.05.2019г., № 237 от 14.12.2018г., №</w:t>
      </w: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Cs/>
          <w:spacing w:val="-2"/>
          <w:sz w:val="28"/>
          <w:szCs w:val="28"/>
          <w:lang w:eastAsia="en-US"/>
        </w:rPr>
        <w:t>211 от 02.11.2016г., № 3 от 11.01.2016г., № 144 от 28.07.2014г., № 118 от 20.06.2014г., № 22 от 06.03.2014г.</w:t>
      </w:r>
      <w:proofErr w:type="gramEnd"/>
    </w:p>
    <w:p w:rsidR="00C30C10" w:rsidRP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</w:p>
    <w:p w:rsid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3. </w:t>
      </w:r>
      <w:r w:rsidRPr="0021396C">
        <w:rPr>
          <w:rFonts w:eastAsiaTheme="minorHAnsi"/>
          <w:sz w:val="28"/>
          <w:szCs w:val="28"/>
          <w:lang w:eastAsia="en-US"/>
        </w:rPr>
        <w:t>Настоящее постановление</w:t>
      </w:r>
      <w:r w:rsidRPr="0021396C">
        <w:rPr>
          <w:rFonts w:eastAsiaTheme="minorHAnsi" w:cstheme="minorBidi"/>
          <w:sz w:val="28"/>
          <w:szCs w:val="28"/>
          <w:lang w:eastAsia="en-US" w:bidi="ru-RU"/>
        </w:rPr>
        <w:t xml:space="preserve"> </w:t>
      </w:r>
      <w:r w:rsidRPr="0021396C">
        <w:rPr>
          <w:rFonts w:eastAsiaTheme="minorHAnsi"/>
          <w:sz w:val="28"/>
          <w:szCs w:val="28"/>
          <w:lang w:eastAsia="en-US"/>
        </w:rPr>
        <w:t xml:space="preserve">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EF07DE">
          <w:rPr>
            <w:rFonts w:eastAsiaTheme="minorHAnsi"/>
            <w:sz w:val="28"/>
            <w:szCs w:val="28"/>
            <w:u w:val="single"/>
            <w:lang w:eastAsia="en-US"/>
          </w:rPr>
          <w:t>www.ivanovskoe26.ru</w:t>
        </w:r>
      </w:hyperlink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.</w:t>
      </w:r>
    </w:p>
    <w:p w:rsidR="00C30C10" w:rsidRP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</w:p>
    <w:p w:rsid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4. </w:t>
      </w:r>
      <w:proofErr w:type="gramStart"/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Контроль за</w:t>
      </w:r>
      <w:proofErr w:type="gramEnd"/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муниципального образования Ивановского </w:t>
      </w:r>
      <w:r w:rsidR="00FD2638">
        <w:rPr>
          <w:rFonts w:eastAsiaTheme="minorHAnsi" w:cstheme="minorBidi"/>
          <w:bCs/>
          <w:spacing w:val="-2"/>
          <w:sz w:val="28"/>
          <w:szCs w:val="28"/>
          <w:lang w:eastAsia="en-US"/>
        </w:rPr>
        <w:t>сельсовета Одинцову Н.В</w:t>
      </w:r>
      <w:r>
        <w:rPr>
          <w:rFonts w:eastAsiaTheme="minorHAnsi" w:cstheme="minorBidi"/>
          <w:bCs/>
          <w:spacing w:val="-2"/>
          <w:sz w:val="28"/>
          <w:szCs w:val="28"/>
          <w:lang w:eastAsia="en-US"/>
        </w:rPr>
        <w:t>.</w:t>
      </w:r>
    </w:p>
    <w:p w:rsidR="00C30C10" w:rsidRP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 xml:space="preserve"> </w:t>
      </w:r>
    </w:p>
    <w:p w:rsidR="00C30C10" w:rsidRDefault="00C30C10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  <w:r w:rsidRPr="00C30C10">
        <w:rPr>
          <w:rFonts w:eastAsiaTheme="minorHAnsi" w:cstheme="minorBidi"/>
          <w:bCs/>
          <w:spacing w:val="-2"/>
          <w:sz w:val="28"/>
          <w:szCs w:val="28"/>
          <w:lang w:eastAsia="en-US"/>
        </w:rPr>
        <w:t>5. Настоящее постановление вступает в законную силу со дня его подписания.</w:t>
      </w:r>
    </w:p>
    <w:p w:rsidR="00FD2638" w:rsidRDefault="00FD2638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</w:p>
    <w:p w:rsidR="00FD2638" w:rsidRPr="00C30C10" w:rsidRDefault="00FD2638" w:rsidP="00C30C10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bCs/>
          <w:spacing w:val="-2"/>
          <w:sz w:val="28"/>
          <w:szCs w:val="28"/>
          <w:lang w:eastAsia="en-US"/>
        </w:rPr>
      </w:pPr>
    </w:p>
    <w:p w:rsidR="001C7BFA" w:rsidRPr="0021396C" w:rsidRDefault="001C7BFA" w:rsidP="0021396C">
      <w:pPr>
        <w:shd w:val="clear" w:color="auto" w:fill="FFFFFF"/>
        <w:spacing w:line="322" w:lineRule="exact"/>
        <w:ind w:right="-21" w:firstLine="708"/>
        <w:jc w:val="both"/>
        <w:rPr>
          <w:rFonts w:eastAsiaTheme="minorHAnsi" w:cstheme="minorBidi"/>
          <w:spacing w:val="-2"/>
          <w:sz w:val="28"/>
          <w:szCs w:val="28"/>
          <w:lang w:eastAsia="en-US"/>
        </w:rPr>
      </w:pPr>
    </w:p>
    <w:p w:rsidR="0021396C" w:rsidRPr="0021396C" w:rsidRDefault="0021396C" w:rsidP="0021396C">
      <w:pPr>
        <w:ind w:firstLine="80"/>
        <w:jc w:val="both"/>
        <w:rPr>
          <w:rFonts w:ascii="Arial" w:hAnsi="Arial" w:cs="Arial"/>
          <w:sz w:val="11"/>
          <w:szCs w:val="11"/>
        </w:rPr>
      </w:pPr>
    </w:p>
    <w:p w:rsidR="0021396C" w:rsidRPr="0021396C" w:rsidRDefault="0021396C" w:rsidP="0021396C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21396C">
        <w:rPr>
          <w:rFonts w:eastAsiaTheme="minorHAnsi" w:cstheme="minorBidi"/>
          <w:sz w:val="28"/>
          <w:szCs w:val="28"/>
          <w:lang w:eastAsia="en-US"/>
        </w:rPr>
        <w:t>Глава муниципального образования</w:t>
      </w:r>
    </w:p>
    <w:p w:rsidR="0021396C" w:rsidRPr="0021396C" w:rsidRDefault="0021396C" w:rsidP="0021396C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21396C">
        <w:rPr>
          <w:rFonts w:eastAsiaTheme="minorHAnsi" w:cstheme="minorBidi"/>
          <w:sz w:val="28"/>
          <w:szCs w:val="28"/>
          <w:lang w:eastAsia="en-US"/>
        </w:rPr>
        <w:t>Ивановского сельсовета</w:t>
      </w:r>
    </w:p>
    <w:p w:rsidR="0021396C" w:rsidRPr="0021396C" w:rsidRDefault="0021396C" w:rsidP="0021396C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21396C">
        <w:rPr>
          <w:rFonts w:eastAsiaTheme="minorHAnsi" w:cstheme="minorBidi"/>
          <w:sz w:val="28"/>
          <w:szCs w:val="28"/>
          <w:lang w:eastAsia="en-US"/>
        </w:rPr>
        <w:t>Кочубеевского района</w:t>
      </w:r>
    </w:p>
    <w:p w:rsidR="0021396C" w:rsidRPr="0021396C" w:rsidRDefault="0021396C" w:rsidP="0021396C">
      <w:pPr>
        <w:spacing w:line="24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96C">
        <w:rPr>
          <w:rFonts w:eastAsiaTheme="minorHAnsi" w:cstheme="minorBidi"/>
          <w:sz w:val="28"/>
          <w:szCs w:val="28"/>
          <w:lang w:eastAsia="en-US"/>
        </w:rPr>
        <w:t>Ставропольского края                                                                      А.И. Солдатов</w:t>
      </w:r>
    </w:p>
    <w:p w:rsidR="0021396C" w:rsidRDefault="0021396C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638" w:rsidRDefault="00FD2638" w:rsidP="00FD2638">
      <w:pPr>
        <w:pStyle w:val="Style25"/>
        <w:widowControl/>
        <w:tabs>
          <w:tab w:val="left" w:pos="9781"/>
        </w:tabs>
        <w:spacing w:line="240" w:lineRule="exact"/>
        <w:ind w:left="5103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ПРИЛОЖЕНИЕ</w:t>
      </w:r>
    </w:p>
    <w:p w:rsidR="00FD2638" w:rsidRDefault="00FD2638" w:rsidP="00FD2638">
      <w:pPr>
        <w:pStyle w:val="Style25"/>
        <w:widowControl/>
        <w:tabs>
          <w:tab w:val="left" w:pos="9781"/>
        </w:tabs>
        <w:spacing w:line="240" w:lineRule="exact"/>
        <w:ind w:left="5103" w:right="142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к постановлению администрации муниципального образования Ивановского сельсовета </w:t>
      </w:r>
    </w:p>
    <w:p w:rsidR="00FD2638" w:rsidRDefault="00FD2638" w:rsidP="00FD2638">
      <w:pPr>
        <w:pStyle w:val="Style25"/>
        <w:widowControl/>
        <w:tabs>
          <w:tab w:val="left" w:pos="9781"/>
        </w:tabs>
        <w:spacing w:line="240" w:lineRule="exact"/>
        <w:ind w:left="5103" w:right="142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Кочубеевского района </w:t>
      </w:r>
    </w:p>
    <w:p w:rsidR="00FD2638" w:rsidRDefault="00FD2638" w:rsidP="00FD2638">
      <w:pPr>
        <w:pStyle w:val="Style25"/>
        <w:widowControl/>
        <w:tabs>
          <w:tab w:val="left" w:pos="9781"/>
        </w:tabs>
        <w:spacing w:line="240" w:lineRule="exact"/>
        <w:ind w:left="5103" w:right="142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Ставропольского края</w:t>
      </w:r>
    </w:p>
    <w:p w:rsidR="00FD2638" w:rsidRDefault="00FD2638" w:rsidP="00FD2638">
      <w:pPr>
        <w:pStyle w:val="Style25"/>
        <w:widowControl/>
        <w:tabs>
          <w:tab w:val="left" w:pos="9781"/>
        </w:tabs>
        <w:spacing w:line="240" w:lineRule="exact"/>
        <w:ind w:left="5103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от 23 декабря 2019 года № 260</w:t>
      </w:r>
    </w:p>
    <w:p w:rsidR="00FD2638" w:rsidRDefault="00FD2638" w:rsidP="00FD2638">
      <w:pPr>
        <w:pStyle w:val="Style25"/>
        <w:widowControl/>
        <w:tabs>
          <w:tab w:val="left" w:pos="9781"/>
        </w:tabs>
        <w:spacing w:line="240" w:lineRule="exact"/>
        <w:ind w:left="5103" w:firstLine="0"/>
        <w:jc w:val="center"/>
        <w:rPr>
          <w:rStyle w:val="FontStyle41"/>
          <w:rFonts w:eastAsia="Calibri"/>
          <w:sz w:val="28"/>
          <w:szCs w:val="28"/>
        </w:rPr>
      </w:pPr>
    </w:p>
    <w:p w:rsidR="00FD2638" w:rsidRDefault="00FD2638" w:rsidP="00FD2638">
      <w:pPr>
        <w:pStyle w:val="Style25"/>
        <w:widowControl/>
        <w:tabs>
          <w:tab w:val="left" w:pos="9781"/>
        </w:tabs>
        <w:spacing w:line="240" w:lineRule="exact"/>
        <w:ind w:left="5103" w:firstLine="0"/>
        <w:jc w:val="center"/>
        <w:rPr>
          <w:rFonts w:eastAsia="Calibri"/>
        </w:rPr>
      </w:pPr>
    </w:p>
    <w:p w:rsidR="00FD2638" w:rsidRPr="00FD2638" w:rsidRDefault="00FD2638" w:rsidP="00FD2638">
      <w:pPr>
        <w:tabs>
          <w:tab w:val="left" w:pos="9781"/>
        </w:tabs>
        <w:ind w:left="284"/>
        <w:jc w:val="center"/>
        <w:rPr>
          <w:rFonts w:eastAsia="Calibri"/>
          <w:sz w:val="28"/>
          <w:szCs w:val="28"/>
          <w:lang w:eastAsia="en-US"/>
        </w:rPr>
      </w:pPr>
      <w:r w:rsidRPr="00FD2638">
        <w:rPr>
          <w:rFonts w:eastAsia="Calibri"/>
          <w:sz w:val="28"/>
          <w:szCs w:val="28"/>
          <w:lang w:eastAsia="en-US"/>
        </w:rPr>
        <w:t>СХЕМА</w:t>
      </w:r>
    </w:p>
    <w:p w:rsidR="00FD2638" w:rsidRPr="00FD2638" w:rsidRDefault="00FD2638" w:rsidP="00FD2638">
      <w:pPr>
        <w:tabs>
          <w:tab w:val="left" w:pos="9781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FD2638">
        <w:rPr>
          <w:rFonts w:eastAsia="Calibri"/>
          <w:sz w:val="28"/>
          <w:szCs w:val="28"/>
          <w:lang w:eastAsia="en-US"/>
        </w:rPr>
        <w:t>размещения нестационарных торговых объектов сезонного характера на территории муниципального образования Ивановского сельсовета Кочубеевского</w:t>
      </w:r>
      <w:r w:rsidRPr="00FD2638">
        <w:rPr>
          <w:rFonts w:eastAsia="Calibri"/>
          <w:bCs/>
          <w:sz w:val="28"/>
          <w:szCs w:val="28"/>
          <w:lang w:eastAsia="en-US"/>
        </w:rPr>
        <w:t xml:space="preserve"> района Ставропольского края</w:t>
      </w:r>
      <w:r w:rsidRPr="00FD2638">
        <w:rPr>
          <w:rFonts w:eastAsia="Calibri"/>
          <w:sz w:val="28"/>
          <w:szCs w:val="28"/>
          <w:lang w:eastAsia="en-US"/>
        </w:rPr>
        <w:t xml:space="preserve"> на 2020 год </w:t>
      </w:r>
    </w:p>
    <w:p w:rsidR="00FD2638" w:rsidRDefault="00FD2638" w:rsidP="002139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"/>
        <w:tblW w:w="0" w:type="auto"/>
        <w:tblInd w:w="11" w:type="dxa"/>
        <w:tblLayout w:type="fixed"/>
        <w:tblLook w:val="04A0"/>
      </w:tblPr>
      <w:tblGrid>
        <w:gridCol w:w="528"/>
        <w:gridCol w:w="2208"/>
        <w:gridCol w:w="1052"/>
        <w:gridCol w:w="1843"/>
        <w:gridCol w:w="1984"/>
        <w:gridCol w:w="1838"/>
        <w:gridCol w:w="20"/>
      </w:tblGrid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Место расположения нестационарного торгового объекта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spacing w:line="240" w:lineRule="atLeast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Кол-во мест под торговые объекты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spacing w:line="240" w:lineRule="atLeast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Срок, на который нестационарный торговый объект размещается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Вид нестационарного торгового объекта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 xml:space="preserve">с 01.01.2020 г. по 31.12.2020 г.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D2638">
              <w:rPr>
                <w:rFonts w:eastAsia="Calibri"/>
                <w:sz w:val="24"/>
                <w:szCs w:val="24"/>
                <w:lang w:eastAsia="en-US"/>
              </w:rPr>
              <w:t>хлеб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spellEnd"/>
            <w:r w:rsidRPr="00FD263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 булочные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г. 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с. Ивановское, ориенти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р-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лотерея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, ориентир - ул. Юбилейная, 22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хвойные деревья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15.12.2020 по 31.12.2020 г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базар ёлочный</w:t>
            </w:r>
          </w:p>
        </w:tc>
      </w:tr>
      <w:tr w:rsidR="00FD2638" w:rsidRPr="00FD2638" w:rsidTr="00FD2638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, ориентир - ул. Юбилейная 15 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по 31.12.2020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FD26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ориентир - ул. Юбилейная 15 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живая рыба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 xml:space="preserve">с 01.01.2020 по </w:t>
            </w: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lastRenderedPageBreak/>
              <w:t>31.12.2020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lastRenderedPageBreak/>
              <w:t>автомагазин</w:t>
            </w:r>
            <w:proofErr w:type="spellEnd"/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с. Ивановское, ориенти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р-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 ул. Юбилейная, 15в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по 31.12.2020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rPr>
          <w:trHeight w:val="86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, ориентир – ул. Чапаева, 93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D2638">
              <w:rPr>
                <w:rFonts w:eastAsia="Calibri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</w:tr>
      <w:tr w:rsidR="00FD2638" w:rsidRPr="00FD2638" w:rsidTr="00FD263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2638" w:rsidRPr="00FD2638" w:rsidTr="00FD2638">
        <w:trPr>
          <w:trHeight w:val="11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                     с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вановское ориентир – ул.Чапаева, 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</w:p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2638" w:rsidRPr="00FD2638" w:rsidRDefault="00FD2638" w:rsidP="00FD2638">
            <w:pPr>
              <w:tabs>
                <w:tab w:val="left" w:pos="978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палатка торговая</w:t>
            </w:r>
          </w:p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2638" w:rsidRPr="00FD2638" w:rsidTr="00FD2638">
        <w:trPr>
          <w:trHeight w:val="8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вановское ориентир – ул.Чапаева, 96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</w:p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01.10.2020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rPr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вановское ориентир – ул.Чапаева, 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саженцы деревьев, кустарников, цветов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01.06.2020 г.</w:t>
            </w:r>
          </w:p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01.09.2020 г. по 01.11.2020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D2638">
              <w:rPr>
                <w:rFonts w:eastAsia="Calibri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</w:tr>
      <w:tr w:rsidR="00FD2638" w:rsidRPr="00FD2638" w:rsidTr="00FD2638">
        <w:trPr>
          <w:trHeight w:val="4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вановское ориентир – ул.Чапаева, 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г. 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, ориентир -  ул. Чапаева, 153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rPr>
          <w:trHeight w:val="10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– ул. Революционная 28</w:t>
            </w:r>
            <w:r w:rsidR="0045334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D2638">
              <w:rPr>
                <w:rFonts w:eastAsia="Calibri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rPr>
          <w:trHeight w:val="32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– ул. Революционная 28/2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rPr>
          <w:trHeight w:val="3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вановское, ориентир –ул. Революционная, 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палатка торговая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 ул. Чапаева 22а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, ориентир - ул. Чапаева, 2а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палатка торговая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, ориентир - ул. Крайняя, 27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палатка торговая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ул. Калинина, 115 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Ивановское, ориентир -  ул. Калинина, 300                   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( 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район остановки)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с. Ивановское ул. Садовая , 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Ивановское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 ул. Садовая,117</w:t>
            </w:r>
          </w:p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FD263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pacing w:val="-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Воронежское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 ул. Новая, 56 а</w:t>
            </w:r>
          </w:p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D2638">
              <w:rPr>
                <w:rFonts w:eastAsia="Calibri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</w:tr>
      <w:tr w:rsidR="00FD2638" w:rsidRPr="00FD2638" w:rsidTr="00FD2638">
        <w:trPr>
          <w:gridAfter w:val="1"/>
          <w:wAfter w:w="2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с. Воронежское, ориентир -  ул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ира, 123 а</w:t>
            </w:r>
          </w:p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1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г. по 31.12.2020 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  <w:tr w:rsidR="00FD2638" w:rsidRPr="00FD2638" w:rsidTr="004445A6">
        <w:trPr>
          <w:gridAfter w:val="1"/>
          <w:wAfter w:w="20" w:type="dxa"/>
          <w:trHeight w:val="900"/>
        </w:trPr>
        <w:tc>
          <w:tcPr>
            <w:tcW w:w="528" w:type="dxa"/>
            <w:tcBorders>
              <w:bottom w:val="single" w:sz="4" w:space="0" w:color="auto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FD2638" w:rsidRPr="00FD2638" w:rsidRDefault="00FD2638" w:rsidP="00FD2638">
            <w:pPr>
              <w:tabs>
                <w:tab w:val="left" w:pos="9781"/>
              </w:tabs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FD2638">
              <w:rPr>
                <w:rFonts w:eastAsia="Calibri"/>
                <w:sz w:val="24"/>
                <w:szCs w:val="24"/>
                <w:lang w:eastAsia="en-US"/>
              </w:rPr>
              <w:t>Весёлое</w:t>
            </w:r>
            <w:proofErr w:type="gramEnd"/>
            <w:r w:rsidRPr="00FD2638">
              <w:rPr>
                <w:rFonts w:eastAsia="Calibri"/>
                <w:sz w:val="24"/>
                <w:szCs w:val="24"/>
                <w:lang w:eastAsia="en-US"/>
              </w:rPr>
              <w:t>, ориентир -  ул. Победы 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 xml:space="preserve">1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z w:val="24"/>
                <w:szCs w:val="24"/>
                <w:lang w:eastAsia="en-US"/>
              </w:rPr>
              <w:t>печатные издания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с 01.01.2020 г</w:t>
            </w:r>
            <w:proofErr w:type="gramStart"/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.п</w:t>
            </w:r>
            <w:proofErr w:type="gramEnd"/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о 31.12.2020 г.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FD2638" w:rsidRPr="00FD2638" w:rsidRDefault="00FD2638" w:rsidP="00FD2638">
            <w:pPr>
              <w:tabs>
                <w:tab w:val="left" w:pos="9781"/>
              </w:tabs>
              <w:jc w:val="center"/>
              <w:rPr>
                <w:rFonts w:eastAsia="Calibri"/>
                <w:spacing w:val="-9"/>
                <w:sz w:val="24"/>
                <w:szCs w:val="24"/>
                <w:lang w:eastAsia="en-US"/>
              </w:rPr>
            </w:pPr>
            <w:r w:rsidRPr="00FD2638">
              <w:rPr>
                <w:rFonts w:eastAsia="Calibri"/>
                <w:spacing w:val="-9"/>
                <w:sz w:val="24"/>
                <w:szCs w:val="24"/>
                <w:lang w:eastAsia="en-US"/>
              </w:rPr>
              <w:t>киоск</w:t>
            </w:r>
          </w:p>
        </w:tc>
      </w:tr>
    </w:tbl>
    <w:p w:rsidR="00FD2638" w:rsidRPr="00FD2638" w:rsidRDefault="00FD2638" w:rsidP="0021396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sectPr w:rsidR="00FD2638" w:rsidRPr="00FD2638" w:rsidSect="00DF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961"/>
    <w:multiLevelType w:val="hybridMultilevel"/>
    <w:tmpl w:val="E706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6E4E"/>
    <w:multiLevelType w:val="hybridMultilevel"/>
    <w:tmpl w:val="882A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65B"/>
    <w:multiLevelType w:val="hybridMultilevel"/>
    <w:tmpl w:val="1A7454A6"/>
    <w:lvl w:ilvl="0" w:tplc="CF6AC1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6B7809"/>
    <w:multiLevelType w:val="hybridMultilevel"/>
    <w:tmpl w:val="00D09594"/>
    <w:lvl w:ilvl="0" w:tplc="F7AAD78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090439"/>
    <w:multiLevelType w:val="hybridMultilevel"/>
    <w:tmpl w:val="CCDA3F70"/>
    <w:lvl w:ilvl="0" w:tplc="6166FF1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6C"/>
    <w:rsid w:val="00115862"/>
    <w:rsid w:val="001C7BFA"/>
    <w:rsid w:val="0021396C"/>
    <w:rsid w:val="002F34C5"/>
    <w:rsid w:val="003E01E8"/>
    <w:rsid w:val="0043390E"/>
    <w:rsid w:val="00451439"/>
    <w:rsid w:val="00453346"/>
    <w:rsid w:val="00564837"/>
    <w:rsid w:val="00607BC6"/>
    <w:rsid w:val="006E4FD5"/>
    <w:rsid w:val="00A75FB1"/>
    <w:rsid w:val="00B22C4E"/>
    <w:rsid w:val="00B63FD3"/>
    <w:rsid w:val="00BE6C54"/>
    <w:rsid w:val="00C30C10"/>
    <w:rsid w:val="00D27E1E"/>
    <w:rsid w:val="00D32289"/>
    <w:rsid w:val="00E62110"/>
    <w:rsid w:val="00ED51D1"/>
    <w:rsid w:val="00EF07DE"/>
    <w:rsid w:val="00FA0B41"/>
    <w:rsid w:val="00FD2638"/>
    <w:rsid w:val="00F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9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51D1"/>
    <w:pPr>
      <w:ind w:left="720"/>
      <w:contextualSpacing/>
    </w:pPr>
  </w:style>
  <w:style w:type="paragraph" w:customStyle="1" w:styleId="Style25">
    <w:name w:val="Style25"/>
    <w:basedOn w:val="a"/>
    <w:uiPriority w:val="99"/>
    <w:rsid w:val="00FD2638"/>
    <w:pPr>
      <w:widowControl w:val="0"/>
      <w:autoSpaceDE w:val="0"/>
      <w:autoSpaceDN w:val="0"/>
      <w:adjustRightInd w:val="0"/>
      <w:spacing w:line="158" w:lineRule="exact"/>
      <w:ind w:firstLine="610"/>
      <w:jc w:val="both"/>
    </w:pPr>
    <w:rPr>
      <w:sz w:val="24"/>
      <w:szCs w:val="24"/>
    </w:rPr>
  </w:style>
  <w:style w:type="character" w:customStyle="1" w:styleId="FontStyle41">
    <w:name w:val="Font Style41"/>
    <w:basedOn w:val="a0"/>
    <w:rsid w:val="00FD2638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next w:val="a5"/>
    <w:rsid w:val="00FD26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D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</cp:lastModifiedBy>
  <cp:revision>12</cp:revision>
  <dcterms:created xsi:type="dcterms:W3CDTF">2019-12-20T12:09:00Z</dcterms:created>
  <dcterms:modified xsi:type="dcterms:W3CDTF">2020-06-26T06:14:00Z</dcterms:modified>
</cp:coreProperties>
</file>