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3.xml" ContentType="application/vnd.openxmlformats-officedocument.drawingml.chart+xml"/>
  <Override PartName="/word/drawings/drawing4.xml" ContentType="application/vnd.openxmlformats-officedocument.drawingml.chartshapes+xml"/>
  <Override PartName="/word/charts/chart14.xml" ContentType="application/vnd.openxmlformats-officedocument.drawingml.chart+xml"/>
  <Override PartName="/word/drawings/drawing5.xml" ContentType="application/vnd.openxmlformats-officedocument.drawingml.chartshapes+xml"/>
  <Override PartName="/word/charts/chart15.xml" ContentType="application/vnd.openxmlformats-officedocument.drawingml.chart+xml"/>
  <Override PartName="/word/theme/themeOverride12.xml" ContentType="application/vnd.openxmlformats-officedocument.themeOverride+xml"/>
  <Override PartName="/word/drawings/drawing6.xml" ContentType="application/vnd.openxmlformats-officedocument.drawingml.chartshapes+xml"/>
  <Override PartName="/word/charts/chart16.xml" ContentType="application/vnd.openxmlformats-officedocument.drawingml.chart+xml"/>
  <Override PartName="/word/theme/themeOverride13.xml" ContentType="application/vnd.openxmlformats-officedocument.themeOverride+xml"/>
  <Override PartName="/word/drawings/drawing7.xml" ContentType="application/vnd.openxmlformats-officedocument.drawingml.chartshapes+xml"/>
  <Override PartName="/word/charts/chart17.xml" ContentType="application/vnd.openxmlformats-officedocument.drawingml.chart+xml"/>
  <Override PartName="/word/theme/themeOverride14.xml" ContentType="application/vnd.openxmlformats-officedocument.themeOverride+xml"/>
  <Override PartName="/word/drawings/drawing8.xml" ContentType="application/vnd.openxmlformats-officedocument.drawingml.chartshapes+xml"/>
  <Override PartName="/word/charts/chart18.xml" ContentType="application/vnd.openxmlformats-officedocument.drawingml.chart+xml"/>
  <Override PartName="/word/drawings/drawing9.xml" ContentType="application/vnd.openxmlformats-officedocument.drawingml.chartshapes+xml"/>
  <Override PartName="/word/charts/chart19.xml" ContentType="application/vnd.openxmlformats-officedocument.drawingml.chart+xml"/>
  <Override PartName="/word/theme/themeOverride15.xml" ContentType="application/vnd.openxmlformats-officedocument.themeOverride+xml"/>
  <Override PartName="/word/drawings/drawing10.xml" ContentType="application/vnd.openxmlformats-officedocument.drawingml.chartshapes+xml"/>
  <Override PartName="/word/charts/chart20.xml" ContentType="application/vnd.openxmlformats-officedocument.drawingml.chart+xml"/>
  <Override PartName="/word/theme/themeOverride16.xml" ContentType="application/vnd.openxmlformats-officedocument.themeOverride+xml"/>
  <Override PartName="/word/drawings/drawing11.xml" ContentType="application/vnd.openxmlformats-officedocument.drawingml.chartshapes+xml"/>
  <Override PartName="/word/charts/chart21.xml" ContentType="application/vnd.openxmlformats-officedocument.drawingml.chart+xml"/>
  <Override PartName="/word/charts/chart22.xml" ContentType="application/vnd.openxmlformats-officedocument.drawingml.chart+xml"/>
  <Override PartName="/word/drawings/drawing12.xml" ContentType="application/vnd.openxmlformats-officedocument.drawingml.chartshapes+xml"/>
  <Override PartName="/word/charts/chart23.xml" ContentType="application/vnd.openxmlformats-officedocument.drawingml.chart+xml"/>
  <Override PartName="/word/theme/themeOverride17.xml" ContentType="application/vnd.openxmlformats-officedocument.themeOverride+xml"/>
  <Override PartName="/word/drawings/drawing13.xml" ContentType="application/vnd.openxmlformats-officedocument.drawingml.chartshapes+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drawings/drawing14.xml" ContentType="application/vnd.openxmlformats-officedocument.drawingml.chartshapes+xml"/>
  <Override PartName="/word/charts/chart28.xml" ContentType="application/vnd.openxmlformats-officedocument.drawingml.chart+xml"/>
  <Override PartName="/word/theme/themeOverride22.xml" ContentType="application/vnd.openxmlformats-officedocument.themeOverride+xml"/>
  <Override PartName="/word/drawings/drawing15.xml" ContentType="application/vnd.openxmlformats-officedocument.drawingml.chartshapes+xml"/>
  <Override PartName="/word/charts/chart29.xml" ContentType="application/vnd.openxmlformats-officedocument.drawingml.chart+xml"/>
  <Override PartName="/word/theme/themeOverride23.xml" ContentType="application/vnd.openxmlformats-officedocument.themeOverride+xml"/>
  <Override PartName="/word/drawings/drawing16.xml" ContentType="application/vnd.openxmlformats-officedocument.drawingml.chartshapes+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drawings/drawing17.xml" ContentType="application/vnd.openxmlformats-officedocument.drawingml.chartshapes+xml"/>
  <Override PartName="/word/charts/chart33.xml" ContentType="application/vnd.openxmlformats-officedocument.drawingml.chart+xml"/>
  <Override PartName="/word/charts/chart34.xml" ContentType="application/vnd.openxmlformats-officedocument.drawingml.chart+xml"/>
  <Override PartName="/word/theme/themeOverride27.xml" ContentType="application/vnd.openxmlformats-officedocument.themeOverride+xml"/>
  <Override PartName="/word/charts/chart35.xml" ContentType="application/vnd.openxmlformats-officedocument.drawingml.chart+xml"/>
  <Override PartName="/word/theme/themeOverride28.xml" ContentType="application/vnd.openxmlformats-officedocument.themeOverride+xml"/>
  <Override PartName="/word/charts/chart36.xml" ContentType="application/vnd.openxmlformats-officedocument.drawingml.chart+xml"/>
  <Override PartName="/word/theme/themeOverride29.xml" ContentType="application/vnd.openxmlformats-officedocument.themeOverride+xml"/>
  <Override PartName="/word/charts/chart37.xml" ContentType="application/vnd.openxmlformats-officedocument.drawingml.chart+xml"/>
  <Override PartName="/word/theme/themeOverride30.xml" ContentType="application/vnd.openxmlformats-officedocument.themeOverride+xml"/>
  <Override PartName="/word/drawings/drawing18.xml" ContentType="application/vnd.openxmlformats-officedocument.drawingml.chartshapes+xml"/>
  <Override PartName="/word/charts/chart38.xml" ContentType="application/vnd.openxmlformats-officedocument.drawingml.chart+xml"/>
  <Override PartName="/word/theme/themeOverride31.xml" ContentType="application/vnd.openxmlformats-officedocument.themeOverride+xml"/>
  <Override PartName="/word/drawings/drawing19.xml" ContentType="application/vnd.openxmlformats-officedocument.drawingml.chartshapes+xml"/>
  <Override PartName="/word/charts/chart39.xml" ContentType="application/vnd.openxmlformats-officedocument.drawingml.chart+xml"/>
  <Override PartName="/word/theme/themeOverride32.xml" ContentType="application/vnd.openxmlformats-officedocument.themeOverride+xml"/>
  <Override PartName="/word/charts/chart40.xml" ContentType="application/vnd.openxmlformats-officedocument.drawingml.chart+xml"/>
  <Override PartName="/word/theme/themeOverride33.xml" ContentType="application/vnd.openxmlformats-officedocument.themeOverride+xml"/>
  <Override PartName="/word/drawings/drawing20.xml" ContentType="application/vnd.openxmlformats-officedocument.drawingml.chartshapes+xml"/>
  <Override PartName="/word/charts/chart41.xml" ContentType="application/vnd.openxmlformats-officedocument.drawingml.chart+xml"/>
  <Override PartName="/word/theme/themeOverride34.xml" ContentType="application/vnd.openxmlformats-officedocument.themeOverride+xml"/>
  <Override PartName="/word/drawings/drawing21.xml" ContentType="application/vnd.openxmlformats-officedocument.drawingml.chartshapes+xml"/>
  <Override PartName="/word/charts/chart42.xml" ContentType="application/vnd.openxmlformats-officedocument.drawingml.chart+xml"/>
  <Override PartName="/word/theme/themeOverride35.xml" ContentType="application/vnd.openxmlformats-officedocument.themeOverride+xml"/>
  <Override PartName="/word/charts/chart43.xml" ContentType="application/vnd.openxmlformats-officedocument.drawingml.chart+xml"/>
  <Override PartName="/word/theme/themeOverride36.xml" ContentType="application/vnd.openxmlformats-officedocument.themeOverride+xml"/>
  <Override PartName="/word/charts/chart44.xml" ContentType="application/vnd.openxmlformats-officedocument.drawingml.chart+xml"/>
  <Override PartName="/word/theme/themeOverride37.xml" ContentType="application/vnd.openxmlformats-officedocument.themeOverride+xml"/>
  <Override PartName="/word/charts/chart45.xml" ContentType="application/vnd.openxmlformats-officedocument.drawingml.chart+xml"/>
  <Override PartName="/word/theme/themeOverride38.xml" ContentType="application/vnd.openxmlformats-officedocument.themeOverride+xml"/>
  <Override PartName="/word/drawings/drawing2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tblGrid>
      <w:tr w:rsidR="00A07852" w:rsidTr="00B06469">
        <w:tc>
          <w:tcPr>
            <w:tcW w:w="4218" w:type="dxa"/>
          </w:tcPr>
          <w:p w:rsidR="00B06469" w:rsidRDefault="00B06469" w:rsidP="00B06469">
            <w:pPr>
              <w:pStyle w:val="a3"/>
              <w:keepNext/>
              <w:keepLines/>
              <w:jc w:val="right"/>
              <w:rPr>
                <w:b/>
              </w:rPr>
            </w:pPr>
            <w:bookmarkStart w:id="0" w:name="bookmark0"/>
            <w:bookmarkStart w:id="1" w:name="_GoBack"/>
            <w:bookmarkEnd w:id="1"/>
            <w:r w:rsidRPr="00B06469">
              <w:rPr>
                <w:b/>
              </w:rPr>
              <w:t xml:space="preserve">Приложение </w:t>
            </w:r>
          </w:p>
          <w:p w:rsidR="00B06469" w:rsidRDefault="00B06469" w:rsidP="00B06469">
            <w:pPr>
              <w:pStyle w:val="a3"/>
              <w:keepNext/>
              <w:keepLines/>
              <w:jc w:val="right"/>
              <w:rPr>
                <w:b/>
              </w:rPr>
            </w:pPr>
            <w:r w:rsidRPr="00B06469">
              <w:rPr>
                <w:b/>
              </w:rPr>
              <w:t>к Решению Собрания представителей муниципального района</w:t>
            </w:r>
            <w:r>
              <w:rPr>
                <w:b/>
              </w:rPr>
              <w:t xml:space="preserve"> </w:t>
            </w:r>
            <w:r w:rsidRPr="00B06469">
              <w:rPr>
                <w:b/>
              </w:rPr>
              <w:t xml:space="preserve">Камышлинский </w:t>
            </w:r>
          </w:p>
          <w:p w:rsidR="00B06469" w:rsidRDefault="00B06469" w:rsidP="00B06469">
            <w:pPr>
              <w:pStyle w:val="a3"/>
              <w:keepNext/>
              <w:keepLines/>
              <w:jc w:val="right"/>
              <w:rPr>
                <w:b/>
              </w:rPr>
            </w:pPr>
            <w:r w:rsidRPr="00B06469">
              <w:rPr>
                <w:b/>
              </w:rPr>
              <w:t>Самарской области</w:t>
            </w:r>
            <w:r>
              <w:rPr>
                <w:b/>
              </w:rPr>
              <w:t xml:space="preserve"> </w:t>
            </w:r>
          </w:p>
          <w:p w:rsidR="00B06469" w:rsidRPr="00B06469" w:rsidRDefault="0084669C" w:rsidP="0084669C">
            <w:pPr>
              <w:pStyle w:val="a3"/>
              <w:keepNext/>
              <w:keepLines/>
              <w:jc w:val="right"/>
              <w:rPr>
                <w:b/>
              </w:rPr>
            </w:pPr>
            <w:r>
              <w:rPr>
                <w:b/>
              </w:rPr>
              <w:t>о</w:t>
            </w:r>
            <w:r w:rsidR="00B06469">
              <w:rPr>
                <w:b/>
              </w:rPr>
              <w:t>т</w:t>
            </w:r>
            <w:r>
              <w:rPr>
                <w:b/>
              </w:rPr>
              <w:t xml:space="preserve"> 28.11.2019</w:t>
            </w:r>
            <w:r w:rsidR="00B06469">
              <w:rPr>
                <w:b/>
              </w:rPr>
              <w:t>г. №</w:t>
            </w:r>
            <w:r>
              <w:rPr>
                <w:b/>
              </w:rPr>
              <w:t xml:space="preserve"> 63</w:t>
            </w:r>
            <w:r w:rsidR="006E2218">
              <w:rPr>
                <w:b/>
              </w:rPr>
              <w:t xml:space="preserve">        </w:t>
            </w:r>
            <w:r w:rsidR="00B06469">
              <w:rPr>
                <w:b/>
              </w:rPr>
              <w:t xml:space="preserve"> </w:t>
            </w:r>
          </w:p>
        </w:tc>
      </w:tr>
    </w:tbl>
    <w:p w:rsidR="00443650" w:rsidRPr="00B06469" w:rsidRDefault="00443650" w:rsidP="001F0139">
      <w:pPr>
        <w:pStyle w:val="a3"/>
        <w:keepNext/>
        <w:keepLines/>
        <w:spacing w:after="0" w:line="360" w:lineRule="auto"/>
        <w:rPr>
          <w:color w:val="365F91" w:themeColor="accent1" w:themeShade="BF"/>
          <w:sz w:val="24"/>
          <w:szCs w:val="24"/>
        </w:rPr>
      </w:pPr>
      <w:r w:rsidRPr="00B06469">
        <w:rPr>
          <w:noProof/>
          <w:color w:val="365F91" w:themeColor="accent1" w:themeShade="BF"/>
          <w:sz w:val="24"/>
          <w:szCs w:val="24"/>
          <w:lang w:eastAsia="ru-RU"/>
        </w:rPr>
        <w:drawing>
          <wp:anchor distT="0" distB="0" distL="114300" distR="114300" simplePos="0" relativeHeight="251684864" behindDoc="0" locked="0" layoutInCell="1" allowOverlap="1" wp14:anchorId="1AE30C65" wp14:editId="135F510A">
            <wp:simplePos x="0" y="0"/>
            <wp:positionH relativeFrom="column">
              <wp:align>left</wp:align>
            </wp:positionH>
            <wp:positionV relativeFrom="paragraph">
              <wp:align>top</wp:align>
            </wp:positionV>
            <wp:extent cx="791845" cy="1187450"/>
            <wp:effectExtent l="0" t="0" r="0" b="0"/>
            <wp:wrapSquare wrapText="bothSides"/>
            <wp:docPr id="1" name="Рисунок 1" descr="http://storage.inovaco.ru/media/project_mo_159/b0/b3/71/f3/33/bc/kamadmru.jpg"/>
            <wp:cNvGraphicFramePr/>
            <a:graphic xmlns:a="http://schemas.openxmlformats.org/drawingml/2006/main">
              <a:graphicData uri="http://schemas.openxmlformats.org/drawingml/2006/picture">
                <pic:pic xmlns:pic="http://schemas.openxmlformats.org/drawingml/2006/picture">
                  <pic:nvPicPr>
                    <pic:cNvPr id="13" name="Рисунок 12" descr="http://storage.inovaco.ru/media/project_mo_159/b0/b3/71/f3/33/bc/kamadmru.jpg"/>
                    <pic:cNvPicPr/>
                  </pic:nvPicPr>
                  <pic:blipFill>
                    <a:blip r:embed="rId9" cstate="print">
                      <a:extLst>
                        <a:ext uri="{28A0092B-C50C-407E-A947-70E740481C1C}">
                          <a14:useLocalDpi xmlns:a14="http://schemas.microsoft.com/office/drawing/2010/main" val="0"/>
                        </a:ext>
                      </a:extLst>
                    </a:blip>
                    <a:srcRect t="2414" b="4762"/>
                    <a:stretch>
                      <a:fillRect/>
                    </a:stretch>
                  </pic:blipFill>
                  <pic:spPr bwMode="auto">
                    <a:xfrm>
                      <a:off x="0" y="0"/>
                      <a:ext cx="791845" cy="1187450"/>
                    </a:xfrm>
                    <a:prstGeom prst="rect">
                      <a:avLst/>
                    </a:prstGeom>
                    <a:noFill/>
                    <a:ln w="9525">
                      <a:noFill/>
                      <a:miter lim="800000"/>
                      <a:headEnd/>
                      <a:tailEnd/>
                    </a:ln>
                  </pic:spPr>
                </pic:pic>
              </a:graphicData>
            </a:graphic>
          </wp:anchor>
        </w:drawing>
      </w:r>
      <w:r w:rsidR="00B06469">
        <w:rPr>
          <w:color w:val="365F91" w:themeColor="accent1" w:themeShade="BF"/>
          <w:sz w:val="24"/>
          <w:szCs w:val="24"/>
        </w:rPr>
        <w:br w:type="textWrapping" w:clear="all"/>
      </w:r>
    </w:p>
    <w:p w:rsidR="00443650" w:rsidRPr="00B06469" w:rsidRDefault="00443650" w:rsidP="001F0139">
      <w:pPr>
        <w:pStyle w:val="a3"/>
        <w:keepNext/>
        <w:keepLines/>
        <w:spacing w:after="0" w:line="360" w:lineRule="auto"/>
        <w:rPr>
          <w:color w:val="365F91" w:themeColor="accent1" w:themeShade="BF"/>
          <w:sz w:val="24"/>
          <w:szCs w:val="24"/>
        </w:rPr>
      </w:pPr>
    </w:p>
    <w:p w:rsidR="00443650" w:rsidRPr="00B06469" w:rsidRDefault="00443650" w:rsidP="001F0139">
      <w:pPr>
        <w:spacing w:after="0" w:line="240" w:lineRule="auto"/>
        <w:jc w:val="center"/>
        <w:rPr>
          <w:rFonts w:ascii="Times New Roman" w:hAnsi="Times New Roman" w:cs="Times New Roman"/>
          <w:b/>
          <w:color w:val="C00000"/>
          <w:sz w:val="24"/>
          <w:szCs w:val="24"/>
        </w:rPr>
      </w:pPr>
      <w:r w:rsidRPr="00B06469">
        <w:rPr>
          <w:rFonts w:ascii="Times New Roman" w:hAnsi="Times New Roman" w:cs="Times New Roman"/>
          <w:b/>
          <w:color w:val="C00000"/>
          <w:sz w:val="24"/>
          <w:szCs w:val="24"/>
        </w:rPr>
        <w:t>СТРАТЕГИ</w:t>
      </w:r>
      <w:r w:rsidR="00C32237" w:rsidRPr="00B06469">
        <w:rPr>
          <w:rFonts w:ascii="Times New Roman" w:hAnsi="Times New Roman" w:cs="Times New Roman"/>
          <w:b/>
          <w:color w:val="C00000"/>
          <w:sz w:val="24"/>
          <w:szCs w:val="24"/>
        </w:rPr>
        <w:t>Я</w:t>
      </w:r>
    </w:p>
    <w:p w:rsidR="00443650" w:rsidRPr="00B06469" w:rsidRDefault="00443650" w:rsidP="001F0139">
      <w:pPr>
        <w:spacing w:after="0" w:line="240" w:lineRule="auto"/>
        <w:jc w:val="center"/>
        <w:rPr>
          <w:rFonts w:ascii="Times New Roman" w:hAnsi="Times New Roman" w:cs="Times New Roman"/>
          <w:b/>
          <w:color w:val="C00000"/>
          <w:sz w:val="24"/>
          <w:szCs w:val="24"/>
        </w:rPr>
      </w:pPr>
      <w:r w:rsidRPr="00B06469">
        <w:rPr>
          <w:rFonts w:ascii="Times New Roman" w:hAnsi="Times New Roman" w:cs="Times New Roman"/>
          <w:b/>
          <w:color w:val="C00000"/>
          <w:sz w:val="24"/>
          <w:szCs w:val="24"/>
        </w:rPr>
        <w:t xml:space="preserve">СОЦИАЛЬНО-ЭКОНОМИЧЕСКОГО РАЗВИТИЯ </w:t>
      </w:r>
    </w:p>
    <w:p w:rsidR="00443650" w:rsidRPr="00B06469" w:rsidRDefault="00443650" w:rsidP="001F0139">
      <w:pPr>
        <w:spacing w:after="0" w:line="240" w:lineRule="auto"/>
        <w:jc w:val="center"/>
        <w:rPr>
          <w:rFonts w:ascii="Times New Roman" w:hAnsi="Times New Roman" w:cs="Times New Roman"/>
          <w:b/>
          <w:color w:val="C00000"/>
          <w:sz w:val="24"/>
          <w:szCs w:val="24"/>
        </w:rPr>
      </w:pPr>
      <w:r w:rsidRPr="00B06469">
        <w:rPr>
          <w:rFonts w:ascii="Times New Roman" w:hAnsi="Times New Roman" w:cs="Times New Roman"/>
          <w:b/>
          <w:color w:val="C00000"/>
          <w:sz w:val="24"/>
          <w:szCs w:val="24"/>
        </w:rPr>
        <w:t>МУНИЦИПАЛЬНОГО РАЙОНА КАМЫШЛИНСКИЙ</w:t>
      </w:r>
    </w:p>
    <w:p w:rsidR="00443650" w:rsidRPr="00B06469" w:rsidRDefault="00443650" w:rsidP="001F0139">
      <w:pPr>
        <w:spacing w:after="0" w:line="240" w:lineRule="auto"/>
        <w:jc w:val="center"/>
        <w:rPr>
          <w:rFonts w:ascii="Times New Roman" w:hAnsi="Times New Roman" w:cs="Times New Roman"/>
          <w:b/>
          <w:color w:val="C00000"/>
          <w:sz w:val="24"/>
          <w:szCs w:val="24"/>
        </w:rPr>
      </w:pPr>
      <w:r w:rsidRPr="00B06469">
        <w:rPr>
          <w:rFonts w:ascii="Times New Roman" w:hAnsi="Times New Roman" w:cs="Times New Roman"/>
          <w:b/>
          <w:color w:val="C00000"/>
          <w:sz w:val="24"/>
          <w:szCs w:val="24"/>
        </w:rPr>
        <w:t>САМАРСКОЙ ОБЛАСТИ</w:t>
      </w:r>
    </w:p>
    <w:p w:rsidR="00443650" w:rsidRPr="00B06469" w:rsidRDefault="00443650" w:rsidP="001F0139">
      <w:pPr>
        <w:spacing w:after="0" w:line="240" w:lineRule="auto"/>
        <w:jc w:val="center"/>
        <w:rPr>
          <w:rFonts w:ascii="Times New Roman" w:hAnsi="Times New Roman" w:cs="Times New Roman"/>
          <w:b/>
          <w:color w:val="C00000"/>
          <w:sz w:val="24"/>
          <w:szCs w:val="24"/>
        </w:rPr>
      </w:pPr>
      <w:r w:rsidRPr="00B06469">
        <w:rPr>
          <w:rFonts w:ascii="Times New Roman" w:hAnsi="Times New Roman" w:cs="Times New Roman"/>
          <w:b/>
          <w:color w:val="C00000"/>
          <w:sz w:val="24"/>
          <w:szCs w:val="24"/>
        </w:rPr>
        <w:t>ДО 2030 ГОДА</w:t>
      </w:r>
    </w:p>
    <w:p w:rsidR="00443650" w:rsidRPr="00B06469" w:rsidRDefault="00443650" w:rsidP="001F0139">
      <w:pPr>
        <w:spacing w:after="0" w:line="240" w:lineRule="auto"/>
        <w:jc w:val="center"/>
        <w:rPr>
          <w:rFonts w:ascii="Times New Roman" w:hAnsi="Times New Roman" w:cs="Times New Roman"/>
          <w:b/>
          <w:color w:val="C00000"/>
          <w:sz w:val="24"/>
          <w:szCs w:val="24"/>
        </w:rPr>
      </w:pPr>
    </w:p>
    <w:p w:rsidR="00443650" w:rsidRPr="00B06469" w:rsidRDefault="00443650" w:rsidP="001F0139">
      <w:pPr>
        <w:spacing w:after="0" w:line="240" w:lineRule="auto"/>
        <w:jc w:val="center"/>
        <w:rPr>
          <w:rFonts w:ascii="Times New Roman" w:hAnsi="Times New Roman" w:cs="Times New Roman"/>
          <w:sz w:val="24"/>
          <w:szCs w:val="24"/>
        </w:rPr>
      </w:pPr>
    </w:p>
    <w:p w:rsidR="00443650" w:rsidRPr="00B06469" w:rsidRDefault="00443650" w:rsidP="001F0139">
      <w:pPr>
        <w:pStyle w:val="a3"/>
        <w:keepNext/>
        <w:keepLines/>
        <w:spacing w:after="0" w:line="360" w:lineRule="auto"/>
        <w:rPr>
          <w:color w:val="365F91" w:themeColor="accent1" w:themeShade="BF"/>
          <w:sz w:val="24"/>
          <w:szCs w:val="24"/>
        </w:rPr>
      </w:pPr>
    </w:p>
    <w:p w:rsidR="00443650" w:rsidRPr="00B06469" w:rsidRDefault="00443650" w:rsidP="001F0139">
      <w:pPr>
        <w:pStyle w:val="a3"/>
        <w:keepNext/>
        <w:keepLines/>
        <w:spacing w:after="0" w:line="360" w:lineRule="auto"/>
        <w:jc w:val="center"/>
        <w:rPr>
          <w:color w:val="365F91" w:themeColor="accent1" w:themeShade="BF"/>
          <w:sz w:val="24"/>
          <w:szCs w:val="24"/>
        </w:rPr>
      </w:pPr>
      <w:r w:rsidRPr="00B06469">
        <w:rPr>
          <w:noProof/>
          <w:color w:val="365F91" w:themeColor="accent1" w:themeShade="BF"/>
          <w:sz w:val="24"/>
          <w:szCs w:val="24"/>
          <w:lang w:eastAsia="ru-RU"/>
        </w:rPr>
        <w:drawing>
          <wp:inline distT="0" distB="0" distL="0" distR="0" wp14:anchorId="4AB4B803" wp14:editId="12041A98">
            <wp:extent cx="2808312" cy="1638569"/>
            <wp:effectExtent l="19050" t="19050" r="11088" b="18781"/>
            <wp:docPr id="2" name="Рисунок 2" descr="ÐÐ°ÑÑÐ¸Ð½ÐºÐ¸ Ð¿Ð¾ Ð·Ð°Ð¿ÑÐ¾ÑÑ ÐÐ°Ð¼ÑÑÐ»Ð¸Ð½ÑÐºÐ¸Ð¹ ÑÐ°Ð¹Ð¾Ð½"/>
            <wp:cNvGraphicFramePr/>
            <a:graphic xmlns:a="http://schemas.openxmlformats.org/drawingml/2006/main">
              <a:graphicData uri="http://schemas.openxmlformats.org/drawingml/2006/picture">
                <pic:pic xmlns:pic="http://schemas.openxmlformats.org/drawingml/2006/picture">
                  <pic:nvPicPr>
                    <pic:cNvPr id="7172" name="Picture 4" descr="ÐÐ°ÑÑÐ¸Ð½ÐºÐ¸ Ð¿Ð¾ Ð·Ð°Ð¿ÑÐ¾ÑÑ ÐÐ°Ð¼ÑÑÐ»Ð¸Ð½ÑÐºÐ¸Ð¹ ÑÐ°Ð¹Ð¾Ð½"/>
                    <pic:cNvPicPr>
                      <a:picLocks noChangeAspect="1" noChangeArrowheads="1"/>
                    </pic:cNvPicPr>
                  </pic:nvPicPr>
                  <pic:blipFill>
                    <a:blip r:embed="rId10" cstate="print"/>
                    <a:srcRect r="12402"/>
                    <a:stretch>
                      <a:fillRect/>
                    </a:stretch>
                  </pic:blipFill>
                  <pic:spPr bwMode="auto">
                    <a:xfrm>
                      <a:off x="0" y="0"/>
                      <a:ext cx="2808312" cy="1638569"/>
                    </a:xfrm>
                    <a:prstGeom prst="rect">
                      <a:avLst/>
                    </a:prstGeom>
                    <a:noFill/>
                    <a:ln>
                      <a:solidFill>
                        <a:srgbClr val="008A3E"/>
                      </a:solidFill>
                    </a:ln>
                  </pic:spPr>
                </pic:pic>
              </a:graphicData>
            </a:graphic>
          </wp:inline>
        </w:drawing>
      </w:r>
      <w:r w:rsidRPr="00B06469">
        <w:rPr>
          <w:noProof/>
          <w:color w:val="365F91" w:themeColor="accent1" w:themeShade="BF"/>
          <w:sz w:val="24"/>
          <w:szCs w:val="24"/>
          <w:lang w:eastAsia="ru-RU"/>
        </w:rPr>
        <w:drawing>
          <wp:inline distT="0" distB="0" distL="0" distR="0" wp14:anchorId="427CE1FB" wp14:editId="4BF62CD4">
            <wp:extent cx="2343150" cy="1650207"/>
            <wp:effectExtent l="19050" t="0" r="0" b="0"/>
            <wp:docPr id="3" name="Рисунок 3" descr="ÐÐ°ÑÑÐ¸Ð½ÐºÐ¸ Ð¿Ð¾ Ð·Ð°Ð¿ÑÐ¾ÑÑ ÐºÐ°Ð¼ÑÑÐ»Ð¸Ð½ÑÐºÐ¸Ð¹ ÑÐ°Ð¹Ð¾Ð½ ÐºÐ¾Ð½Ð½ÑÐ¹ ÑÐ¿Ð¾ÑÑ"/>
            <wp:cNvGraphicFramePr/>
            <a:graphic xmlns:a="http://schemas.openxmlformats.org/drawingml/2006/main">
              <a:graphicData uri="http://schemas.openxmlformats.org/drawingml/2006/picture">
                <pic:pic xmlns:pic="http://schemas.openxmlformats.org/drawingml/2006/picture">
                  <pic:nvPicPr>
                    <pic:cNvPr id="43010" name="Picture 2" descr="ÐÐ°ÑÑÐ¸Ð½ÐºÐ¸ Ð¿Ð¾ Ð·Ð°Ð¿ÑÐ¾ÑÑ ÐºÐ°Ð¼ÑÑÐ»Ð¸Ð½ÑÐºÐ¸Ð¹ ÑÐ°Ð¹Ð¾Ð½ ÐºÐ¾Ð½Ð½ÑÐ¹ ÑÐ¿Ð¾ÑÑ"/>
                    <pic:cNvPicPr>
                      <a:picLocks noChangeAspect="1" noChangeArrowheads="1"/>
                    </pic:cNvPicPr>
                  </pic:nvPicPr>
                  <pic:blipFill>
                    <a:blip r:embed="rId11" cstate="print"/>
                    <a:srcRect/>
                    <a:stretch>
                      <a:fillRect/>
                    </a:stretch>
                  </pic:blipFill>
                  <pic:spPr bwMode="auto">
                    <a:xfrm>
                      <a:off x="0" y="0"/>
                      <a:ext cx="2348050" cy="1653658"/>
                    </a:xfrm>
                    <a:prstGeom prst="rect">
                      <a:avLst/>
                    </a:prstGeom>
                    <a:noFill/>
                  </pic:spPr>
                </pic:pic>
              </a:graphicData>
            </a:graphic>
          </wp:inline>
        </w:drawing>
      </w:r>
    </w:p>
    <w:p w:rsidR="00443650" w:rsidRPr="00B06469" w:rsidRDefault="00443650" w:rsidP="001F0139">
      <w:pPr>
        <w:pStyle w:val="a3"/>
        <w:keepNext/>
        <w:keepLines/>
        <w:spacing w:after="0" w:line="360" w:lineRule="auto"/>
        <w:rPr>
          <w:color w:val="365F91" w:themeColor="accent1" w:themeShade="BF"/>
          <w:sz w:val="24"/>
          <w:szCs w:val="24"/>
        </w:rPr>
      </w:pPr>
    </w:p>
    <w:p w:rsidR="00443650" w:rsidRPr="00B06469" w:rsidRDefault="00443650" w:rsidP="001F0139">
      <w:pPr>
        <w:pStyle w:val="a3"/>
        <w:keepNext/>
        <w:keepLines/>
        <w:spacing w:after="0" w:line="360" w:lineRule="auto"/>
        <w:rPr>
          <w:color w:val="365F91" w:themeColor="accent1" w:themeShade="BF"/>
          <w:sz w:val="24"/>
          <w:szCs w:val="24"/>
        </w:rPr>
      </w:pPr>
    </w:p>
    <w:p w:rsidR="00443650" w:rsidRPr="00B06469" w:rsidRDefault="00443650" w:rsidP="001F0139">
      <w:pPr>
        <w:pStyle w:val="a3"/>
        <w:keepNext/>
        <w:keepLines/>
        <w:spacing w:after="0" w:line="360" w:lineRule="auto"/>
        <w:rPr>
          <w:color w:val="365F91" w:themeColor="accent1" w:themeShade="BF"/>
          <w:sz w:val="24"/>
          <w:szCs w:val="24"/>
        </w:rPr>
      </w:pPr>
    </w:p>
    <w:p w:rsidR="00443650" w:rsidRPr="00B06469" w:rsidRDefault="00443650" w:rsidP="001F0139">
      <w:pPr>
        <w:spacing w:after="0"/>
        <w:rPr>
          <w:rFonts w:ascii="Times New Roman" w:eastAsia="Times New Roman" w:hAnsi="Times New Roman" w:cs="Times New Roman"/>
          <w:b/>
          <w:bCs/>
          <w:color w:val="365F91" w:themeColor="accent1" w:themeShade="BF"/>
          <w:sz w:val="24"/>
          <w:szCs w:val="24"/>
        </w:rPr>
      </w:pPr>
      <w:r w:rsidRPr="00B06469">
        <w:rPr>
          <w:rFonts w:ascii="Times New Roman" w:hAnsi="Times New Roman" w:cs="Times New Roman"/>
          <w:color w:val="365F91" w:themeColor="accent1" w:themeShade="BF"/>
          <w:sz w:val="24"/>
          <w:szCs w:val="24"/>
        </w:rPr>
        <w:br w:type="page"/>
      </w:r>
    </w:p>
    <w:p w:rsidR="008A6327" w:rsidRPr="00B06469" w:rsidRDefault="008A6327" w:rsidP="001F0139">
      <w:pPr>
        <w:pStyle w:val="a3"/>
        <w:keepNext/>
        <w:keepLines/>
        <w:spacing w:after="0" w:line="240" w:lineRule="auto"/>
        <w:rPr>
          <w:color w:val="365F91" w:themeColor="accent1" w:themeShade="BF"/>
          <w:sz w:val="24"/>
          <w:szCs w:val="24"/>
        </w:rPr>
      </w:pPr>
      <w:r w:rsidRPr="00B06469">
        <w:rPr>
          <w:color w:val="365F91" w:themeColor="accent1" w:themeShade="BF"/>
          <w:sz w:val="24"/>
          <w:szCs w:val="24"/>
        </w:rPr>
        <w:lastRenderedPageBreak/>
        <w:t>ОГЛАВЛЕНИЕ</w:t>
      </w:r>
    </w:p>
    <w:p w:rsidR="001F0139" w:rsidRPr="00B06469" w:rsidRDefault="001F0139" w:rsidP="001F0139">
      <w:pPr>
        <w:pStyle w:val="a3"/>
        <w:keepNext/>
        <w:keepLines/>
        <w:spacing w:after="0" w:line="240" w:lineRule="auto"/>
        <w:rPr>
          <w:color w:val="365F91" w:themeColor="accent1" w:themeShade="BF"/>
          <w:sz w:val="24"/>
          <w:szCs w:val="24"/>
        </w:rPr>
      </w:pPr>
    </w:p>
    <w:p w:rsidR="008A6327" w:rsidRDefault="008A6327" w:rsidP="00367D87">
      <w:pPr>
        <w:keepNext/>
        <w:keepLines/>
        <w:spacing w:after="0" w:line="240" w:lineRule="auto"/>
        <w:rPr>
          <w:rFonts w:ascii="Times New Roman" w:hAnsi="Times New Roman" w:cs="Times New Roman"/>
          <w:b/>
          <w:sz w:val="24"/>
          <w:szCs w:val="24"/>
        </w:rPr>
      </w:pPr>
      <w:r w:rsidRPr="00367D87">
        <w:rPr>
          <w:rFonts w:ascii="Times New Roman" w:hAnsi="Times New Roman" w:cs="Times New Roman"/>
          <w:b/>
          <w:sz w:val="24"/>
          <w:szCs w:val="24"/>
        </w:rPr>
        <w:t>1.</w:t>
      </w:r>
      <w:r w:rsidR="001F0139" w:rsidRPr="00367D87">
        <w:rPr>
          <w:rFonts w:ascii="Times New Roman" w:hAnsi="Times New Roman" w:cs="Times New Roman"/>
          <w:b/>
          <w:sz w:val="24"/>
          <w:szCs w:val="24"/>
        </w:rPr>
        <w:t xml:space="preserve"> </w:t>
      </w:r>
      <w:r w:rsidRPr="00367D87">
        <w:rPr>
          <w:rFonts w:ascii="Times New Roman" w:hAnsi="Times New Roman" w:cs="Times New Roman"/>
          <w:b/>
          <w:sz w:val="24"/>
          <w:szCs w:val="24"/>
        </w:rPr>
        <w:t>ОБЩИЕ ПОЛОЖЕНИЯ</w:t>
      </w:r>
      <w:r w:rsidR="001202C5">
        <w:rPr>
          <w:rFonts w:ascii="Times New Roman" w:hAnsi="Times New Roman" w:cs="Times New Roman"/>
          <w:b/>
          <w:sz w:val="24"/>
          <w:szCs w:val="24"/>
        </w:rPr>
        <w:t xml:space="preserve">                                                                                                       4</w:t>
      </w:r>
    </w:p>
    <w:p w:rsidR="008A6327" w:rsidRPr="00367D87" w:rsidRDefault="008A6327" w:rsidP="00367D87">
      <w:pPr>
        <w:keepNext/>
        <w:keepLines/>
        <w:spacing w:after="0" w:line="240" w:lineRule="auto"/>
        <w:rPr>
          <w:rFonts w:ascii="Times New Roman" w:hAnsi="Times New Roman" w:cs="Times New Roman"/>
          <w:b/>
          <w:sz w:val="24"/>
          <w:szCs w:val="24"/>
        </w:rPr>
      </w:pPr>
      <w:r w:rsidRPr="00367D87">
        <w:rPr>
          <w:rFonts w:ascii="Times New Roman" w:hAnsi="Times New Roman" w:cs="Times New Roman"/>
          <w:b/>
          <w:sz w:val="24"/>
          <w:szCs w:val="24"/>
        </w:rPr>
        <w:t>2.</w:t>
      </w:r>
      <w:r w:rsidR="001F0139" w:rsidRPr="00367D87">
        <w:rPr>
          <w:rFonts w:ascii="Times New Roman" w:hAnsi="Times New Roman" w:cs="Times New Roman"/>
          <w:b/>
          <w:sz w:val="24"/>
          <w:szCs w:val="24"/>
        </w:rPr>
        <w:t xml:space="preserve"> </w:t>
      </w:r>
      <w:r w:rsidRPr="00367D87">
        <w:rPr>
          <w:rFonts w:ascii="Times New Roman" w:hAnsi="Times New Roman" w:cs="Times New Roman"/>
          <w:b/>
          <w:sz w:val="24"/>
          <w:szCs w:val="24"/>
        </w:rPr>
        <w:t xml:space="preserve">МИССИЯ И </w:t>
      </w:r>
      <w:r w:rsidR="00633F69" w:rsidRPr="00367D87">
        <w:rPr>
          <w:rFonts w:ascii="Times New Roman" w:hAnsi="Times New Roman" w:cs="Times New Roman"/>
          <w:b/>
          <w:sz w:val="24"/>
          <w:szCs w:val="24"/>
        </w:rPr>
        <w:t xml:space="preserve">НАПРАВЛЕНИЯ </w:t>
      </w:r>
      <w:r w:rsidRPr="00367D87">
        <w:rPr>
          <w:rFonts w:ascii="Times New Roman" w:hAnsi="Times New Roman" w:cs="Times New Roman"/>
          <w:b/>
          <w:sz w:val="24"/>
          <w:szCs w:val="24"/>
        </w:rPr>
        <w:t>СОЦИАЛЬНО-ЭКОНОМИЧЕСКОГО РАЗВИТИЯ МУНИЦИПАЛЬНОГО РАЙОНА КАМЫШЛИНСКИЙ ДО 2030 ГОДА</w:t>
      </w:r>
      <w:r w:rsidR="001202C5">
        <w:rPr>
          <w:rFonts w:ascii="Times New Roman" w:hAnsi="Times New Roman" w:cs="Times New Roman"/>
          <w:b/>
          <w:sz w:val="24"/>
          <w:szCs w:val="24"/>
        </w:rPr>
        <w:t xml:space="preserve">                       4</w:t>
      </w:r>
    </w:p>
    <w:p w:rsidR="008A6327" w:rsidRPr="00367D87" w:rsidRDefault="008A6327" w:rsidP="00367D87">
      <w:pPr>
        <w:keepNext/>
        <w:keepLines/>
        <w:spacing w:after="0" w:line="240" w:lineRule="auto"/>
        <w:rPr>
          <w:rFonts w:ascii="Times New Roman" w:hAnsi="Times New Roman" w:cs="Times New Roman"/>
          <w:b/>
          <w:sz w:val="24"/>
          <w:szCs w:val="24"/>
        </w:rPr>
      </w:pPr>
      <w:r w:rsidRPr="00367D87">
        <w:rPr>
          <w:rFonts w:ascii="Times New Roman" w:hAnsi="Times New Roman" w:cs="Times New Roman"/>
          <w:b/>
          <w:sz w:val="24"/>
          <w:szCs w:val="24"/>
        </w:rPr>
        <w:t>3. ОСНОВНЫЕ СВЕДЕНИЯ И ОСОБЕННОСТИ ЭКОНОМИКО-ГЕОГРАФИЧЕСКОГО ПОЛОЖЕНИЯ</w:t>
      </w:r>
      <w:r w:rsidR="001202C5">
        <w:rPr>
          <w:rFonts w:ascii="Times New Roman" w:hAnsi="Times New Roman" w:cs="Times New Roman"/>
          <w:b/>
          <w:sz w:val="24"/>
          <w:szCs w:val="24"/>
        </w:rPr>
        <w:t xml:space="preserve">                                                                                 5</w:t>
      </w:r>
    </w:p>
    <w:p w:rsidR="008A6327" w:rsidRPr="00B06469" w:rsidRDefault="008A6327" w:rsidP="001F0139">
      <w:pPr>
        <w:spacing w:after="0" w:line="240" w:lineRule="auto"/>
        <w:jc w:val="both"/>
        <w:outlineLvl w:val="1"/>
        <w:rPr>
          <w:rFonts w:ascii="Times New Roman" w:hAnsi="Times New Roman" w:cs="Times New Roman"/>
          <w:b/>
          <w:sz w:val="24"/>
          <w:szCs w:val="24"/>
        </w:rPr>
      </w:pPr>
      <w:r w:rsidRPr="00B06469">
        <w:rPr>
          <w:rFonts w:ascii="Times New Roman" w:hAnsi="Times New Roman" w:cs="Times New Roman"/>
          <w:b/>
          <w:sz w:val="24"/>
          <w:szCs w:val="24"/>
        </w:rPr>
        <w:t>4.</w:t>
      </w:r>
      <w:r w:rsidR="001F0139"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АНАЛИЗ СИЛЬНЫХ И СЛАБЫХ СТОРОН, ВОЗМОЖНОСТЕЙ И УГРОЗ КАМЫШЛИНСКОГО МУНИЦИПАЛЬНОГО РАЙОНА</w:t>
      </w:r>
      <w:r w:rsidR="001202C5">
        <w:rPr>
          <w:rFonts w:ascii="Times New Roman" w:hAnsi="Times New Roman" w:cs="Times New Roman"/>
          <w:b/>
          <w:sz w:val="24"/>
          <w:szCs w:val="24"/>
        </w:rPr>
        <w:t xml:space="preserve">                                                19</w:t>
      </w:r>
    </w:p>
    <w:p w:rsidR="008A6327" w:rsidRPr="00B06469" w:rsidRDefault="008A6327" w:rsidP="001F0139">
      <w:pPr>
        <w:tabs>
          <w:tab w:val="left" w:pos="851"/>
          <w:tab w:val="decimal" w:pos="1418"/>
        </w:tabs>
        <w:spacing w:after="0" w:line="240" w:lineRule="auto"/>
        <w:jc w:val="both"/>
        <w:outlineLvl w:val="1"/>
        <w:rPr>
          <w:rFonts w:ascii="Times New Roman" w:hAnsi="Times New Roman" w:cs="Times New Roman"/>
          <w:sz w:val="24"/>
          <w:szCs w:val="24"/>
        </w:rPr>
      </w:pPr>
      <w:r w:rsidRPr="00B06469">
        <w:rPr>
          <w:rFonts w:ascii="Times New Roman" w:hAnsi="Times New Roman" w:cs="Times New Roman"/>
          <w:sz w:val="24"/>
          <w:szCs w:val="24"/>
        </w:rPr>
        <w:t>4.1.</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SWOT-анализ развития экономико-географического положения и природно-ресурсного потенциала</w:t>
      </w:r>
      <w:r w:rsidR="001202C5">
        <w:rPr>
          <w:rFonts w:ascii="Times New Roman" w:hAnsi="Times New Roman" w:cs="Times New Roman"/>
          <w:sz w:val="24"/>
          <w:szCs w:val="24"/>
        </w:rPr>
        <w:t xml:space="preserve">                                                                                                               19</w:t>
      </w:r>
    </w:p>
    <w:p w:rsidR="008A6327" w:rsidRPr="00B06469" w:rsidRDefault="008A6327" w:rsidP="001F0139">
      <w:pPr>
        <w:tabs>
          <w:tab w:val="left" w:pos="851"/>
          <w:tab w:val="decimal" w:pos="1418"/>
        </w:tabs>
        <w:spacing w:after="0" w:line="240" w:lineRule="auto"/>
        <w:jc w:val="both"/>
        <w:outlineLvl w:val="1"/>
        <w:rPr>
          <w:rFonts w:ascii="Times New Roman" w:hAnsi="Times New Roman" w:cs="Times New Roman"/>
          <w:sz w:val="24"/>
          <w:szCs w:val="24"/>
        </w:rPr>
      </w:pPr>
      <w:r w:rsidRPr="00B06469">
        <w:rPr>
          <w:rFonts w:ascii="Times New Roman" w:hAnsi="Times New Roman" w:cs="Times New Roman"/>
          <w:sz w:val="24"/>
          <w:szCs w:val="24"/>
        </w:rPr>
        <w:t>4.2.</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SWOT-анализ развития человеческого капитала</w:t>
      </w:r>
      <w:r w:rsidR="001202C5">
        <w:rPr>
          <w:rFonts w:ascii="Times New Roman" w:hAnsi="Times New Roman" w:cs="Times New Roman"/>
          <w:sz w:val="24"/>
          <w:szCs w:val="24"/>
        </w:rPr>
        <w:t xml:space="preserve">                                                              20</w:t>
      </w:r>
    </w:p>
    <w:p w:rsidR="008A6327" w:rsidRPr="00B06469" w:rsidRDefault="008A6327" w:rsidP="001F0139">
      <w:pPr>
        <w:tabs>
          <w:tab w:val="left" w:pos="851"/>
          <w:tab w:val="decimal" w:pos="1418"/>
        </w:tabs>
        <w:spacing w:after="0" w:line="240" w:lineRule="auto"/>
        <w:jc w:val="both"/>
        <w:outlineLvl w:val="1"/>
        <w:rPr>
          <w:rFonts w:ascii="Times New Roman" w:hAnsi="Times New Roman" w:cs="Times New Roman"/>
          <w:sz w:val="24"/>
          <w:szCs w:val="24"/>
        </w:rPr>
      </w:pPr>
      <w:r w:rsidRPr="00B06469">
        <w:rPr>
          <w:rFonts w:ascii="Times New Roman" w:hAnsi="Times New Roman" w:cs="Times New Roman"/>
          <w:sz w:val="24"/>
          <w:szCs w:val="24"/>
        </w:rPr>
        <w:t>4.3.</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SWOT-анализ экономического развития и управления</w:t>
      </w:r>
      <w:r w:rsidR="001202C5">
        <w:rPr>
          <w:rFonts w:ascii="Times New Roman" w:hAnsi="Times New Roman" w:cs="Times New Roman"/>
          <w:sz w:val="24"/>
          <w:szCs w:val="24"/>
        </w:rPr>
        <w:t xml:space="preserve">                                                   23</w:t>
      </w:r>
    </w:p>
    <w:p w:rsidR="008A6327" w:rsidRDefault="008A6327" w:rsidP="001F0139">
      <w:pPr>
        <w:tabs>
          <w:tab w:val="left" w:pos="851"/>
          <w:tab w:val="decimal" w:pos="1418"/>
        </w:tabs>
        <w:spacing w:after="0" w:line="240" w:lineRule="auto"/>
        <w:jc w:val="both"/>
        <w:outlineLvl w:val="1"/>
        <w:rPr>
          <w:rFonts w:ascii="Times New Roman" w:hAnsi="Times New Roman" w:cs="Times New Roman"/>
          <w:sz w:val="24"/>
          <w:szCs w:val="24"/>
        </w:rPr>
      </w:pPr>
      <w:r w:rsidRPr="00B06469">
        <w:rPr>
          <w:rFonts w:ascii="Times New Roman" w:hAnsi="Times New Roman" w:cs="Times New Roman"/>
          <w:sz w:val="24"/>
          <w:szCs w:val="24"/>
        </w:rPr>
        <w:t>4.4.</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SWOT-анализ ЖКХ и комфортной среды</w:t>
      </w:r>
      <w:r w:rsidR="001202C5">
        <w:rPr>
          <w:rFonts w:ascii="Times New Roman" w:hAnsi="Times New Roman" w:cs="Times New Roman"/>
          <w:sz w:val="24"/>
          <w:szCs w:val="24"/>
        </w:rPr>
        <w:t xml:space="preserve">                                                                      </w:t>
      </w:r>
      <w:r w:rsidR="00253286">
        <w:rPr>
          <w:rFonts w:ascii="Times New Roman" w:hAnsi="Times New Roman" w:cs="Times New Roman"/>
          <w:sz w:val="24"/>
          <w:szCs w:val="24"/>
        </w:rPr>
        <w:t xml:space="preserve">  </w:t>
      </w:r>
      <w:r w:rsidR="001202C5">
        <w:rPr>
          <w:rFonts w:ascii="Times New Roman" w:hAnsi="Times New Roman" w:cs="Times New Roman"/>
          <w:sz w:val="24"/>
          <w:szCs w:val="24"/>
        </w:rPr>
        <w:t xml:space="preserve"> 27</w:t>
      </w:r>
    </w:p>
    <w:p w:rsidR="008A6327" w:rsidRDefault="008A6327" w:rsidP="00367D87">
      <w:pPr>
        <w:keepNext/>
        <w:keepLines/>
        <w:tabs>
          <w:tab w:val="left" w:pos="922"/>
        </w:tabs>
        <w:spacing w:after="0" w:line="240" w:lineRule="auto"/>
        <w:rPr>
          <w:rFonts w:ascii="Times New Roman" w:hAnsi="Times New Roman" w:cs="Times New Roman"/>
          <w:bCs/>
          <w:sz w:val="24"/>
          <w:szCs w:val="24"/>
        </w:rPr>
      </w:pPr>
      <w:r w:rsidRPr="00367D87">
        <w:rPr>
          <w:b/>
          <w:bCs/>
          <w:sz w:val="28"/>
          <w:szCs w:val="28"/>
        </w:rPr>
        <w:t>5</w:t>
      </w:r>
      <w:r w:rsidRPr="00367D87">
        <w:rPr>
          <w:rFonts w:ascii="Times New Roman" w:hAnsi="Times New Roman" w:cs="Times New Roman"/>
          <w:b/>
          <w:bCs/>
          <w:sz w:val="24"/>
          <w:szCs w:val="24"/>
        </w:rPr>
        <w:t>.</w:t>
      </w:r>
      <w:r w:rsidR="001F0139" w:rsidRPr="00367D87">
        <w:rPr>
          <w:rFonts w:ascii="Times New Roman" w:hAnsi="Times New Roman" w:cs="Times New Roman"/>
          <w:b/>
          <w:bCs/>
          <w:sz w:val="24"/>
          <w:szCs w:val="24"/>
        </w:rPr>
        <w:t xml:space="preserve"> </w:t>
      </w:r>
      <w:r w:rsidRPr="00367D87">
        <w:rPr>
          <w:rFonts w:ascii="Times New Roman" w:hAnsi="Times New Roman" w:cs="Times New Roman"/>
          <w:b/>
          <w:bCs/>
          <w:sz w:val="24"/>
          <w:szCs w:val="24"/>
        </w:rPr>
        <w:t>ПРИОРИТЕТЫ СОЦИАЛЬНО-ЭКОНОМИЧЕСКОГО РАЗВИТИЯ И СИСТЕМА ЦЕЛЕЙ КАМЫШЛИНСКОГО МУНИЦИПАЛЬНОГО РАЙОНА</w:t>
      </w:r>
      <w:r w:rsidRPr="00367D87">
        <w:rPr>
          <w:rFonts w:ascii="Times New Roman" w:hAnsi="Times New Roman" w:cs="Times New Roman"/>
          <w:bCs/>
          <w:sz w:val="24"/>
          <w:szCs w:val="24"/>
        </w:rPr>
        <w:t xml:space="preserve"> </w:t>
      </w:r>
      <w:r w:rsidR="001202C5">
        <w:rPr>
          <w:rFonts w:ascii="Times New Roman" w:hAnsi="Times New Roman" w:cs="Times New Roman"/>
          <w:bCs/>
          <w:sz w:val="24"/>
          <w:szCs w:val="24"/>
        </w:rPr>
        <w:t xml:space="preserve">                              </w:t>
      </w:r>
      <w:r w:rsidR="00253286">
        <w:rPr>
          <w:rFonts w:ascii="Times New Roman" w:hAnsi="Times New Roman" w:cs="Times New Roman"/>
          <w:bCs/>
          <w:sz w:val="24"/>
          <w:szCs w:val="24"/>
        </w:rPr>
        <w:t xml:space="preserve"> </w:t>
      </w:r>
      <w:r w:rsidR="001202C5">
        <w:rPr>
          <w:rFonts w:ascii="Times New Roman" w:hAnsi="Times New Roman" w:cs="Times New Roman"/>
          <w:bCs/>
          <w:sz w:val="24"/>
          <w:szCs w:val="24"/>
        </w:rPr>
        <w:t>30</w:t>
      </w:r>
    </w:p>
    <w:p w:rsidR="008A6327" w:rsidRPr="00B06469" w:rsidRDefault="008A6327" w:rsidP="001F0139">
      <w:pPr>
        <w:spacing w:after="0" w:line="240" w:lineRule="auto"/>
        <w:jc w:val="both"/>
        <w:rPr>
          <w:rFonts w:ascii="Times New Roman" w:hAnsi="Times New Roman" w:cs="Times New Roman"/>
          <w:b/>
          <w:sz w:val="24"/>
          <w:szCs w:val="24"/>
        </w:rPr>
      </w:pPr>
      <w:r w:rsidRPr="00B06469">
        <w:rPr>
          <w:rFonts w:ascii="Times New Roman" w:hAnsi="Times New Roman" w:cs="Times New Roman"/>
          <w:b/>
          <w:sz w:val="24"/>
          <w:szCs w:val="24"/>
        </w:rPr>
        <w:t>6.</w:t>
      </w:r>
      <w:r w:rsidR="001F0139"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ФОРМИРОВАНИЕ, СОВЕРШЕНСТВОВАНИЕ И НАКОПЛЕНИЕ ЧЕЛОВЕЧЕСКОГО КАПИТАЛА</w:t>
      </w:r>
      <w:r w:rsidR="001202C5">
        <w:rPr>
          <w:rFonts w:ascii="Times New Roman" w:hAnsi="Times New Roman" w:cs="Times New Roman"/>
          <w:b/>
          <w:sz w:val="24"/>
          <w:szCs w:val="24"/>
        </w:rPr>
        <w:t xml:space="preserve">                                                                                          33</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6.1. Стратегическая диагностика</w:t>
      </w:r>
      <w:r w:rsidR="001202C5">
        <w:rPr>
          <w:rFonts w:ascii="Times New Roman" w:hAnsi="Times New Roman" w:cs="Times New Roman"/>
          <w:sz w:val="24"/>
          <w:szCs w:val="24"/>
        </w:rPr>
        <w:t xml:space="preserve">                                                                                                33</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6.2. Стратегические цели, задачи и ожидаемые результаты</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направления «Формирование, совершенствование и накопление человеческого капитала». </w:t>
      </w:r>
      <w:r w:rsidR="001202C5">
        <w:rPr>
          <w:rFonts w:ascii="Times New Roman" w:hAnsi="Times New Roman" w:cs="Times New Roman"/>
          <w:sz w:val="24"/>
          <w:szCs w:val="24"/>
        </w:rPr>
        <w:t xml:space="preserve">                                                59</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6.2.1.</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Достижение современного, качественного образования в Камышлинском районе</w:t>
      </w:r>
      <w:r w:rsidR="00253286">
        <w:rPr>
          <w:rFonts w:ascii="Times New Roman" w:hAnsi="Times New Roman" w:cs="Times New Roman"/>
          <w:sz w:val="24"/>
          <w:szCs w:val="24"/>
        </w:rPr>
        <w:t xml:space="preserve">  59</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6.2.2. Обеспечение социализациии высоких образовательны</w:t>
      </w:r>
      <w:r w:rsidR="00253286">
        <w:rPr>
          <w:rFonts w:ascii="Times New Roman" w:hAnsi="Times New Roman" w:cs="Times New Roman"/>
          <w:sz w:val="24"/>
          <w:szCs w:val="24"/>
        </w:rPr>
        <w:t>х</w:t>
      </w:r>
      <w:r w:rsidRPr="00B06469">
        <w:rPr>
          <w:rFonts w:ascii="Times New Roman" w:hAnsi="Times New Roman" w:cs="Times New Roman"/>
          <w:sz w:val="24"/>
          <w:szCs w:val="24"/>
        </w:rPr>
        <w:t xml:space="preserve"> достижений каждого школьника с учетом индивидуальных особенностей, развитие навыков в сфере цифровых технологий.</w:t>
      </w:r>
      <w:r w:rsidR="00253286">
        <w:rPr>
          <w:rFonts w:ascii="Times New Roman" w:hAnsi="Times New Roman" w:cs="Times New Roman"/>
          <w:sz w:val="24"/>
          <w:szCs w:val="24"/>
        </w:rPr>
        <w:t xml:space="preserve">                                                                                                                                   60</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6.2.3</w:t>
      </w:r>
      <w:r w:rsidR="001F0139" w:rsidRPr="00B06469">
        <w:rPr>
          <w:rFonts w:ascii="Times New Roman" w:hAnsi="Times New Roman" w:cs="Times New Roman"/>
          <w:sz w:val="24"/>
          <w:szCs w:val="24"/>
        </w:rPr>
        <w:t>.</w:t>
      </w:r>
      <w:r w:rsidRPr="00B06469">
        <w:rPr>
          <w:rFonts w:ascii="Times New Roman" w:hAnsi="Times New Roman" w:cs="Times New Roman"/>
          <w:sz w:val="24"/>
          <w:szCs w:val="24"/>
        </w:rPr>
        <w:t xml:space="preserve"> Развитие кадрового потенциала и инфраструктуры</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системы образования, здравоохранения культуры и спорта в районе</w:t>
      </w:r>
      <w:r w:rsidR="00253286">
        <w:rPr>
          <w:rFonts w:ascii="Times New Roman" w:hAnsi="Times New Roman" w:cs="Times New Roman"/>
          <w:sz w:val="24"/>
          <w:szCs w:val="24"/>
        </w:rPr>
        <w:t xml:space="preserve">.                                                                         61  </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6.2.4.</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Сохранение здоровья и продление долголетия</w:t>
      </w:r>
      <w:r w:rsidR="00253286">
        <w:rPr>
          <w:rFonts w:ascii="Times New Roman" w:hAnsi="Times New Roman" w:cs="Times New Roman"/>
          <w:sz w:val="24"/>
          <w:szCs w:val="24"/>
        </w:rPr>
        <w:t xml:space="preserve">.                                                             62                                 </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6.2.5.</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Качество и разнообразие культурной жизни, сохранение, развитие семейных, духовно-нравственных ценностей и здорового образа жизни</w:t>
      </w:r>
      <w:r w:rsidR="00253286">
        <w:rPr>
          <w:rFonts w:ascii="Times New Roman" w:hAnsi="Times New Roman" w:cs="Times New Roman"/>
          <w:sz w:val="24"/>
          <w:szCs w:val="24"/>
        </w:rPr>
        <w:t>.                                               63</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6.2.6. Вовлечение населения в спортивные мероприятия</w:t>
      </w:r>
      <w:r w:rsidR="00253286">
        <w:rPr>
          <w:rFonts w:ascii="Times New Roman" w:hAnsi="Times New Roman" w:cs="Times New Roman"/>
          <w:sz w:val="24"/>
          <w:szCs w:val="24"/>
        </w:rPr>
        <w:t>.                                                      63</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6.2.7. Создание и развитие информационно-коммуникационной среды района</w:t>
      </w:r>
      <w:r w:rsidR="00253286">
        <w:rPr>
          <w:rFonts w:ascii="Times New Roman" w:hAnsi="Times New Roman" w:cs="Times New Roman"/>
          <w:sz w:val="24"/>
          <w:szCs w:val="24"/>
        </w:rPr>
        <w:t>.                64</w:t>
      </w:r>
    </w:p>
    <w:p w:rsidR="008A6327" w:rsidRPr="00B06469" w:rsidRDefault="008A6327" w:rsidP="001F0139">
      <w:pPr>
        <w:widowControl w:val="0"/>
        <w:spacing w:after="0" w:line="240" w:lineRule="auto"/>
        <w:jc w:val="both"/>
        <w:rPr>
          <w:rFonts w:ascii="Times New Roman" w:hAnsi="Times New Roman" w:cs="Times New Roman"/>
          <w:b/>
          <w:sz w:val="24"/>
          <w:szCs w:val="24"/>
        </w:rPr>
      </w:pPr>
      <w:r w:rsidRPr="00B06469">
        <w:rPr>
          <w:rFonts w:ascii="Times New Roman" w:hAnsi="Times New Roman" w:cs="Times New Roman"/>
          <w:b/>
          <w:sz w:val="24"/>
          <w:szCs w:val="24"/>
        </w:rPr>
        <w:t>7. СОЗДАНИЕ КОМФОРТНОГО ПРОСТРАНСТВА РАЙОНА</w:t>
      </w:r>
      <w:r w:rsidR="002760F1"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ДЛЯ ГАРМОНИЧНОГО РАЗВИТИЯ ЧЕЛОВЕЧЕСКОГО КАПИТАЛА</w:t>
      </w:r>
      <w:r w:rsidR="00253286">
        <w:rPr>
          <w:rFonts w:ascii="Times New Roman" w:hAnsi="Times New Roman" w:cs="Times New Roman"/>
          <w:b/>
          <w:sz w:val="24"/>
          <w:szCs w:val="24"/>
        </w:rPr>
        <w:t xml:space="preserve">                             66</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7.1. Стратегическая диагностика</w:t>
      </w:r>
      <w:r w:rsidR="00253286">
        <w:rPr>
          <w:rFonts w:ascii="Times New Roman" w:hAnsi="Times New Roman" w:cs="Times New Roman"/>
          <w:sz w:val="24"/>
          <w:szCs w:val="24"/>
        </w:rPr>
        <w:t>.                                                                                              66</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7.2 Стратегические цели, задачи и ожидаемые результаты</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направления «Создание комфортного пространства района</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для гармоничного развития человеческого капитала</w:t>
      </w:r>
      <w:r w:rsidR="00253286">
        <w:rPr>
          <w:rFonts w:ascii="Times New Roman" w:hAnsi="Times New Roman" w:cs="Times New Roman"/>
          <w:sz w:val="24"/>
          <w:szCs w:val="24"/>
        </w:rPr>
        <w:t>. 74</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7.2.1. Повышение комфортности жилой среды, модернизация объектов социальной инфраструктуры</w:t>
      </w:r>
      <w:r w:rsidR="00253286">
        <w:rPr>
          <w:rFonts w:ascii="Times New Roman" w:hAnsi="Times New Roman" w:cs="Times New Roman"/>
          <w:sz w:val="24"/>
          <w:szCs w:val="24"/>
        </w:rPr>
        <w:t>.                                                                                                                          74</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7.2.2. Поддержка и развитие экосреды района, повышение экологической грамотности населения</w:t>
      </w:r>
      <w:r w:rsidR="00253286">
        <w:rPr>
          <w:rFonts w:ascii="Times New Roman" w:hAnsi="Times New Roman" w:cs="Times New Roman"/>
          <w:sz w:val="24"/>
          <w:szCs w:val="24"/>
        </w:rPr>
        <w:t>.                                                                                                                                     75</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7.2.3. Развитие культурного пространства и национальных традиций</w:t>
      </w:r>
      <w:r w:rsidR="00253286">
        <w:rPr>
          <w:rFonts w:ascii="Times New Roman" w:hAnsi="Times New Roman" w:cs="Times New Roman"/>
          <w:sz w:val="24"/>
          <w:szCs w:val="24"/>
        </w:rPr>
        <w:t xml:space="preserve">.                              </w:t>
      </w:r>
      <w:r w:rsidR="00722D11">
        <w:rPr>
          <w:rFonts w:ascii="Times New Roman" w:hAnsi="Times New Roman" w:cs="Times New Roman"/>
          <w:sz w:val="24"/>
          <w:szCs w:val="24"/>
        </w:rPr>
        <w:t xml:space="preserve"> </w:t>
      </w:r>
      <w:r w:rsidR="00253286">
        <w:rPr>
          <w:rFonts w:ascii="Times New Roman" w:hAnsi="Times New Roman" w:cs="Times New Roman"/>
          <w:sz w:val="24"/>
          <w:szCs w:val="24"/>
        </w:rPr>
        <w:t xml:space="preserve"> 76</w:t>
      </w:r>
    </w:p>
    <w:p w:rsidR="008A6327" w:rsidRPr="00B06469" w:rsidRDefault="008A6327" w:rsidP="001F0139">
      <w:pPr>
        <w:spacing w:after="0" w:line="240" w:lineRule="auto"/>
        <w:jc w:val="both"/>
        <w:rPr>
          <w:rFonts w:ascii="Times New Roman" w:hAnsi="Times New Roman" w:cs="Times New Roman"/>
          <w:b/>
          <w:sz w:val="24"/>
          <w:szCs w:val="24"/>
        </w:rPr>
      </w:pPr>
      <w:r w:rsidRPr="00B06469">
        <w:rPr>
          <w:rFonts w:ascii="Times New Roman" w:hAnsi="Times New Roman" w:cs="Times New Roman"/>
          <w:b/>
          <w:sz w:val="24"/>
          <w:szCs w:val="24"/>
        </w:rPr>
        <w:t>8.</w:t>
      </w:r>
      <w:r w:rsidR="002760F1"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СОЗДАНИЕ ИННОВАЦИОННОЙ ЭКОНОМИКИ, В КОТОРОЙ ЧЕЛОВЕЧЕСКИЙ КАПИТАЛ ВОСТРЕБОВАН, УСПЕШНО ФУНКЦИОНИРУЕТ И РАЗВИВАЕТСЯ</w:t>
      </w:r>
      <w:r w:rsidR="00253286">
        <w:rPr>
          <w:rFonts w:ascii="Times New Roman" w:hAnsi="Times New Roman" w:cs="Times New Roman"/>
          <w:b/>
          <w:sz w:val="24"/>
          <w:szCs w:val="24"/>
        </w:rPr>
        <w:t xml:space="preserve">                                                                                                                     78</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8.1. Стратегическая диагностика</w:t>
      </w:r>
      <w:r w:rsidR="00253286">
        <w:rPr>
          <w:rFonts w:ascii="Times New Roman" w:hAnsi="Times New Roman" w:cs="Times New Roman"/>
          <w:sz w:val="24"/>
          <w:szCs w:val="24"/>
        </w:rPr>
        <w:t xml:space="preserve">.                                                                                              </w:t>
      </w:r>
      <w:r w:rsidR="00A777E7">
        <w:rPr>
          <w:rFonts w:ascii="Times New Roman" w:hAnsi="Times New Roman" w:cs="Times New Roman"/>
          <w:sz w:val="24"/>
          <w:szCs w:val="24"/>
        </w:rPr>
        <w:t>78</w:t>
      </w:r>
    </w:p>
    <w:p w:rsidR="008A6327"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8.2.Стратегические цели, задачи и проектно-программный комплекс</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направления «Формирование, совершенствование и нак</w:t>
      </w:r>
      <w:r w:rsidR="00A777E7">
        <w:rPr>
          <w:rFonts w:ascii="Times New Roman" w:hAnsi="Times New Roman" w:cs="Times New Roman"/>
          <w:sz w:val="24"/>
          <w:szCs w:val="24"/>
        </w:rPr>
        <w:t>опление человеческого капитала»                  103</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8.2.1.Развитие и модернизация производства</w:t>
      </w:r>
      <w:r w:rsidR="00A777E7">
        <w:rPr>
          <w:rFonts w:ascii="Times New Roman" w:hAnsi="Times New Roman" w:cs="Times New Roman"/>
          <w:sz w:val="24"/>
          <w:szCs w:val="24"/>
        </w:rPr>
        <w:t xml:space="preserve"> сельскохозяйственной продукции.             103</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8.2.2. Развитие перерабатывающих производств</w:t>
      </w:r>
      <w:r w:rsidR="00A777E7">
        <w:rPr>
          <w:rFonts w:ascii="Times New Roman" w:hAnsi="Times New Roman" w:cs="Times New Roman"/>
          <w:sz w:val="24"/>
          <w:szCs w:val="24"/>
        </w:rPr>
        <w:t>.                                                                  104</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8.2.3. Развитие сферы услуг</w:t>
      </w:r>
      <w:r w:rsidR="00A777E7">
        <w:rPr>
          <w:rFonts w:ascii="Times New Roman" w:hAnsi="Times New Roman" w:cs="Times New Roman"/>
          <w:sz w:val="24"/>
          <w:szCs w:val="24"/>
        </w:rPr>
        <w:t>.                                                                                                     104</w:t>
      </w:r>
    </w:p>
    <w:p w:rsidR="008A6327" w:rsidRPr="00B06469" w:rsidRDefault="008A6327" w:rsidP="001F0139">
      <w:pPr>
        <w:widowControl w:val="0"/>
        <w:autoSpaceDE w:val="0"/>
        <w:autoSpaceDN w:val="0"/>
        <w:adjustRightInd w:val="0"/>
        <w:spacing w:after="0" w:line="240" w:lineRule="auto"/>
        <w:jc w:val="both"/>
        <w:rPr>
          <w:rFonts w:ascii="Times New Roman" w:hAnsi="Times New Roman" w:cs="Times New Roman"/>
          <w:sz w:val="24"/>
          <w:szCs w:val="24"/>
        </w:rPr>
      </w:pPr>
      <w:r w:rsidRPr="00B06469">
        <w:rPr>
          <w:rFonts w:ascii="Times New Roman" w:hAnsi="Times New Roman" w:cs="Times New Roman"/>
          <w:b/>
          <w:sz w:val="24"/>
          <w:szCs w:val="24"/>
        </w:rPr>
        <w:lastRenderedPageBreak/>
        <w:t>9.</w:t>
      </w:r>
      <w:r w:rsidR="001F0139"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ИНСТИТУЦИОНАЛЬНОЕ И РЕСУРСНОЕ ОБЕСПЕЧЕНИЕ РЕАЛИЗАЦИИ СТРАТЕГИИ</w:t>
      </w:r>
      <w:r w:rsidR="00A777E7">
        <w:rPr>
          <w:rFonts w:ascii="Times New Roman" w:hAnsi="Times New Roman" w:cs="Times New Roman"/>
          <w:b/>
          <w:sz w:val="24"/>
          <w:szCs w:val="24"/>
        </w:rPr>
        <w:t xml:space="preserve">                                                                                                                            108</w:t>
      </w:r>
    </w:p>
    <w:p w:rsidR="008A6327" w:rsidRPr="00B06469" w:rsidRDefault="008A6327" w:rsidP="001F0139">
      <w:pPr>
        <w:widowControl w:val="0"/>
        <w:autoSpaceDE w:val="0"/>
        <w:autoSpaceDN w:val="0"/>
        <w:adjustRightInd w:val="0"/>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 xml:space="preserve">9.1 Этапы и сценарии развития </w:t>
      </w:r>
      <w:r w:rsidR="001F0139" w:rsidRPr="00B06469">
        <w:rPr>
          <w:rFonts w:ascii="Times New Roman" w:hAnsi="Times New Roman" w:cs="Times New Roman"/>
          <w:sz w:val="24"/>
          <w:szCs w:val="24"/>
        </w:rPr>
        <w:t>муниципального района Камышлинский</w:t>
      </w:r>
      <w:r w:rsidR="00A777E7">
        <w:rPr>
          <w:rFonts w:ascii="Times New Roman" w:hAnsi="Times New Roman" w:cs="Times New Roman"/>
          <w:sz w:val="24"/>
          <w:szCs w:val="24"/>
        </w:rPr>
        <w:t xml:space="preserve">.                    </w:t>
      </w:r>
      <w:r w:rsidR="00722D11">
        <w:rPr>
          <w:rFonts w:ascii="Times New Roman" w:hAnsi="Times New Roman" w:cs="Times New Roman"/>
          <w:sz w:val="24"/>
          <w:szCs w:val="24"/>
        </w:rPr>
        <w:t xml:space="preserve"> </w:t>
      </w:r>
      <w:r w:rsidR="00A777E7">
        <w:rPr>
          <w:rFonts w:ascii="Times New Roman" w:hAnsi="Times New Roman" w:cs="Times New Roman"/>
          <w:sz w:val="24"/>
          <w:szCs w:val="24"/>
        </w:rPr>
        <w:t xml:space="preserve">  108</w:t>
      </w:r>
    </w:p>
    <w:p w:rsidR="008A6327"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9.2. Оценка финансовых ресурсов</w:t>
      </w:r>
      <w:r w:rsidR="00A777E7">
        <w:rPr>
          <w:rFonts w:ascii="Times New Roman" w:hAnsi="Times New Roman" w:cs="Times New Roman"/>
          <w:sz w:val="24"/>
          <w:szCs w:val="24"/>
        </w:rPr>
        <w:t>.                                                                                         111</w:t>
      </w:r>
    </w:p>
    <w:p w:rsidR="00A722E5" w:rsidRPr="00B06469" w:rsidRDefault="008A6327"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9.3</w:t>
      </w:r>
      <w:r w:rsidR="001F0139" w:rsidRPr="00B06469">
        <w:rPr>
          <w:rFonts w:ascii="Times New Roman" w:hAnsi="Times New Roman" w:cs="Times New Roman"/>
          <w:sz w:val="24"/>
          <w:szCs w:val="24"/>
        </w:rPr>
        <w:t xml:space="preserve"> </w:t>
      </w:r>
      <w:r w:rsidRPr="00B06469">
        <w:rPr>
          <w:rFonts w:ascii="Times New Roman" w:hAnsi="Times New Roman" w:cs="Times New Roman"/>
          <w:sz w:val="24"/>
          <w:szCs w:val="24"/>
        </w:rPr>
        <w:t>Механизм реализации стратегии и мониторинг</w:t>
      </w:r>
      <w:r w:rsidR="00A777E7">
        <w:rPr>
          <w:rFonts w:ascii="Times New Roman" w:hAnsi="Times New Roman" w:cs="Times New Roman"/>
          <w:sz w:val="24"/>
          <w:szCs w:val="24"/>
        </w:rPr>
        <w:t>.                                                            112</w:t>
      </w:r>
    </w:p>
    <w:p w:rsidR="00633F69" w:rsidRPr="00B06469" w:rsidRDefault="00633F69" w:rsidP="001F0139">
      <w:pPr>
        <w:spacing w:after="0"/>
        <w:rPr>
          <w:rFonts w:ascii="Times New Roman" w:eastAsia="Times New Roman" w:hAnsi="Times New Roman" w:cs="Times New Roman"/>
          <w:b/>
          <w:bCs/>
          <w:color w:val="365F91" w:themeColor="accent1" w:themeShade="BF"/>
          <w:sz w:val="24"/>
          <w:szCs w:val="24"/>
        </w:rPr>
      </w:pPr>
      <w:r w:rsidRPr="00B06469">
        <w:rPr>
          <w:rFonts w:ascii="Times New Roman" w:hAnsi="Times New Roman" w:cs="Times New Roman"/>
          <w:color w:val="365F91" w:themeColor="accent1" w:themeShade="BF"/>
          <w:sz w:val="24"/>
          <w:szCs w:val="24"/>
        </w:rPr>
        <w:br w:type="page"/>
      </w:r>
    </w:p>
    <w:p w:rsidR="008B6E71" w:rsidRPr="00B06469" w:rsidRDefault="008B6E71" w:rsidP="001F0139">
      <w:pPr>
        <w:pStyle w:val="a3"/>
        <w:keepNext/>
        <w:keepLines/>
        <w:spacing w:after="0" w:line="360" w:lineRule="auto"/>
        <w:rPr>
          <w:color w:val="365F91" w:themeColor="accent1" w:themeShade="BF"/>
          <w:sz w:val="24"/>
          <w:szCs w:val="24"/>
        </w:rPr>
      </w:pPr>
      <w:r w:rsidRPr="00B06469">
        <w:rPr>
          <w:color w:val="365F91" w:themeColor="accent1" w:themeShade="BF"/>
          <w:sz w:val="24"/>
          <w:szCs w:val="24"/>
        </w:rPr>
        <w:lastRenderedPageBreak/>
        <w:t>1.ОБЩИЕ ПОЛОЖЕНИЯ</w:t>
      </w:r>
      <w:bookmarkEnd w:id="0"/>
    </w:p>
    <w:p w:rsidR="008B6E71" w:rsidRPr="00B06469" w:rsidRDefault="008B6E71" w:rsidP="001F0139">
      <w:pPr>
        <w:shd w:val="clear" w:color="auto" w:fill="FFFFFF"/>
        <w:spacing w:after="0" w:line="360" w:lineRule="auto"/>
        <w:ind w:firstLine="709"/>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 xml:space="preserve">Правовая основа Стратегии социально-экономического развития района – Федеральный закон от 28 июня 2014г. № 172-ФЗ «О стратегическом планировании в Российской Федерации», Законом Самарской области от 12.03.2018 №19-ГД «О стратегическом планировании в Самарской области», а также Постановление Правительства Самарской области от 12 июля 2017г. № 441 «О стратегии социально-экономического развития Самарской </w:t>
      </w:r>
      <w:r w:rsidRPr="007223A6">
        <w:rPr>
          <w:rFonts w:ascii="Times New Roman" w:eastAsia="Times New Roman" w:hAnsi="Times New Roman" w:cs="Times New Roman"/>
          <w:sz w:val="24"/>
          <w:szCs w:val="24"/>
        </w:rPr>
        <w:t>области</w:t>
      </w:r>
      <w:r w:rsidR="00273761" w:rsidRPr="007223A6">
        <w:rPr>
          <w:rFonts w:ascii="Times New Roman" w:eastAsia="Times New Roman" w:hAnsi="Times New Roman" w:cs="Times New Roman"/>
          <w:sz w:val="24"/>
          <w:szCs w:val="24"/>
        </w:rPr>
        <w:t xml:space="preserve"> на период</w:t>
      </w:r>
      <w:r w:rsidRPr="007223A6">
        <w:rPr>
          <w:rFonts w:ascii="Times New Roman" w:eastAsia="Times New Roman" w:hAnsi="Times New Roman" w:cs="Times New Roman"/>
          <w:sz w:val="24"/>
          <w:szCs w:val="24"/>
        </w:rPr>
        <w:t xml:space="preserve"> до 2030г</w:t>
      </w:r>
      <w:r w:rsidR="00273761" w:rsidRPr="007223A6">
        <w:rPr>
          <w:rFonts w:ascii="Times New Roman" w:eastAsia="Times New Roman" w:hAnsi="Times New Roman" w:cs="Times New Roman"/>
          <w:sz w:val="24"/>
          <w:szCs w:val="24"/>
        </w:rPr>
        <w:t>ода</w:t>
      </w:r>
      <w:r w:rsidRPr="007223A6">
        <w:rPr>
          <w:rFonts w:ascii="Times New Roman" w:eastAsia="Times New Roman" w:hAnsi="Times New Roman" w:cs="Times New Roman"/>
          <w:sz w:val="24"/>
          <w:szCs w:val="24"/>
        </w:rPr>
        <w:t>» и Указ Президента Российской Федерации от 7 мая 2018 г. № 204 «</w:t>
      </w:r>
      <w:r w:rsidR="00273761" w:rsidRPr="007223A6">
        <w:rPr>
          <w:rFonts w:ascii="Times New Roman" w:eastAsia="Times New Roman" w:hAnsi="Times New Roman" w:cs="Times New Roman"/>
          <w:sz w:val="24"/>
          <w:szCs w:val="24"/>
        </w:rPr>
        <w:t>О н</w:t>
      </w:r>
      <w:r w:rsidRPr="007223A6">
        <w:rPr>
          <w:rFonts w:ascii="Times New Roman" w:eastAsia="Times New Roman" w:hAnsi="Times New Roman" w:cs="Times New Roman"/>
          <w:sz w:val="24"/>
          <w:szCs w:val="24"/>
        </w:rPr>
        <w:t>ациональны</w:t>
      </w:r>
      <w:r w:rsidR="00273761" w:rsidRPr="007223A6">
        <w:rPr>
          <w:rFonts w:ascii="Times New Roman" w:eastAsia="Times New Roman" w:hAnsi="Times New Roman" w:cs="Times New Roman"/>
          <w:sz w:val="24"/>
          <w:szCs w:val="24"/>
        </w:rPr>
        <w:t>х целях</w:t>
      </w:r>
      <w:r w:rsidRPr="007223A6">
        <w:rPr>
          <w:rFonts w:ascii="Times New Roman" w:eastAsia="Times New Roman" w:hAnsi="Times New Roman" w:cs="Times New Roman"/>
          <w:sz w:val="24"/>
          <w:szCs w:val="24"/>
        </w:rPr>
        <w:t xml:space="preserve"> и стратегически</w:t>
      </w:r>
      <w:r w:rsidR="00273761" w:rsidRPr="007223A6">
        <w:rPr>
          <w:rFonts w:ascii="Times New Roman" w:eastAsia="Times New Roman" w:hAnsi="Times New Roman" w:cs="Times New Roman"/>
          <w:sz w:val="24"/>
          <w:szCs w:val="24"/>
        </w:rPr>
        <w:t>х</w:t>
      </w:r>
      <w:r w:rsidRPr="007223A6">
        <w:rPr>
          <w:rFonts w:ascii="Times New Roman" w:eastAsia="Times New Roman" w:hAnsi="Times New Roman" w:cs="Times New Roman"/>
          <w:sz w:val="24"/>
          <w:szCs w:val="24"/>
        </w:rPr>
        <w:t xml:space="preserve"> задач</w:t>
      </w:r>
      <w:r w:rsidR="00273761" w:rsidRPr="007223A6">
        <w:rPr>
          <w:rFonts w:ascii="Times New Roman" w:eastAsia="Times New Roman" w:hAnsi="Times New Roman" w:cs="Times New Roman"/>
          <w:sz w:val="24"/>
          <w:szCs w:val="24"/>
        </w:rPr>
        <w:t>ах</w:t>
      </w:r>
      <w:r w:rsidRPr="007223A6">
        <w:rPr>
          <w:rFonts w:ascii="Times New Roman" w:eastAsia="Times New Roman" w:hAnsi="Times New Roman" w:cs="Times New Roman"/>
          <w:sz w:val="24"/>
          <w:szCs w:val="24"/>
        </w:rPr>
        <w:t xml:space="preserve"> развития Российской Федерации на период до 2024 года».</w:t>
      </w:r>
    </w:p>
    <w:p w:rsidR="008B6E71" w:rsidRPr="00B06469" w:rsidRDefault="008B6E71" w:rsidP="001F0139">
      <w:pPr>
        <w:shd w:val="clear" w:color="auto" w:fill="FFFFFF"/>
        <w:spacing w:after="0" w:line="360" w:lineRule="auto"/>
        <w:ind w:firstLine="709"/>
        <w:jc w:val="both"/>
        <w:textAlignment w:val="baseline"/>
        <w:rPr>
          <w:rFonts w:ascii="Times New Roman" w:eastAsia="Times New Roman" w:hAnsi="Times New Roman" w:cs="Times New Roman"/>
          <w:color w:val="365F91" w:themeColor="accent1" w:themeShade="BF"/>
          <w:sz w:val="24"/>
          <w:szCs w:val="24"/>
        </w:rPr>
      </w:pPr>
    </w:p>
    <w:p w:rsidR="008B6E71" w:rsidRPr="00B06469" w:rsidRDefault="008B6E71" w:rsidP="001F0139">
      <w:pPr>
        <w:pStyle w:val="a3"/>
        <w:keepNext/>
        <w:keepLines/>
        <w:spacing w:after="0" w:line="360" w:lineRule="auto"/>
        <w:rPr>
          <w:color w:val="365F91" w:themeColor="accent1" w:themeShade="BF"/>
          <w:sz w:val="24"/>
          <w:szCs w:val="24"/>
        </w:rPr>
      </w:pPr>
      <w:r w:rsidRPr="00B06469">
        <w:rPr>
          <w:color w:val="365F91" w:themeColor="accent1" w:themeShade="BF"/>
          <w:sz w:val="24"/>
          <w:szCs w:val="24"/>
        </w:rPr>
        <w:t xml:space="preserve">2.МИССИЯ И </w:t>
      </w:r>
      <w:r w:rsidR="00633F69" w:rsidRPr="00B06469">
        <w:rPr>
          <w:color w:val="365F91" w:themeColor="accent1" w:themeShade="BF"/>
          <w:sz w:val="24"/>
          <w:szCs w:val="24"/>
        </w:rPr>
        <w:t>НАПРАВЛЕНИЯ</w:t>
      </w:r>
      <w:r w:rsidRPr="00B06469">
        <w:rPr>
          <w:color w:val="365F91" w:themeColor="accent1" w:themeShade="BF"/>
          <w:sz w:val="24"/>
          <w:szCs w:val="24"/>
        </w:rPr>
        <w:t xml:space="preserve"> СОЦИАЛЬНО-ЭКОНОМИЧЕСКОГО РАЗВИТИЯ МУНИЦИПАЛЬНОГО РАЙОНА КАМЫШЛИНСКИЙ ДО 2030 ГОДА</w:t>
      </w:r>
    </w:p>
    <w:p w:rsidR="004643AF" w:rsidRPr="00B06469" w:rsidRDefault="004643AF"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Миссия муниципального района Камышлинский, характеризующая его роль во внешней среде и участие в реализации приоритетов развития Российской Федерации и Самарской области, обуславливается его специализацией и определяется следующим образом:</w:t>
      </w:r>
    </w:p>
    <w:p w:rsidR="00E7129E" w:rsidRPr="00B06469" w:rsidRDefault="00E7129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sz w:val="24"/>
          <w:szCs w:val="24"/>
        </w:rPr>
        <w:t>Камышлинский район для Камышлинцев</w:t>
      </w:r>
      <w:r w:rsidRPr="00B06469">
        <w:rPr>
          <w:rFonts w:ascii="Times New Roman" w:hAnsi="Times New Roman" w:cs="Times New Roman"/>
          <w:sz w:val="24"/>
          <w:szCs w:val="24"/>
        </w:rPr>
        <w:t>: «Территория высокой нравственности, здорового образа жизни, развитой экономики, малая Родина больших возможностей»</w:t>
      </w:r>
    </w:p>
    <w:p w:rsidR="00E7129E" w:rsidRPr="00B06469" w:rsidRDefault="00E7129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sz w:val="24"/>
          <w:szCs w:val="24"/>
        </w:rPr>
        <w:t>Камышлинский район для России</w:t>
      </w:r>
      <w:r w:rsidRPr="00B06469">
        <w:rPr>
          <w:rFonts w:ascii="Times New Roman" w:hAnsi="Times New Roman" w:cs="Times New Roman"/>
          <w:sz w:val="24"/>
          <w:szCs w:val="24"/>
        </w:rPr>
        <w:t>: «Малая Родина Камышла» – этнотуристический центр с богатыми национальными традициями и историко-культурным наследием»</w:t>
      </w:r>
    </w:p>
    <w:p w:rsidR="00E7129E" w:rsidRPr="00B06469" w:rsidRDefault="00E7129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sz w:val="24"/>
          <w:szCs w:val="24"/>
        </w:rPr>
        <w:t>Камышлинский район для Самарской области</w:t>
      </w:r>
      <w:r w:rsidRPr="00B06469">
        <w:rPr>
          <w:rFonts w:ascii="Times New Roman" w:hAnsi="Times New Roman" w:cs="Times New Roman"/>
          <w:sz w:val="24"/>
          <w:szCs w:val="24"/>
        </w:rPr>
        <w:t>: «Уникальная территория компактного проживания татар с крепкими национальными и духовными традициями»</w:t>
      </w:r>
    </w:p>
    <w:p w:rsidR="00E7129E" w:rsidRPr="00B06469" w:rsidRDefault="00E7129E"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 xml:space="preserve">Главная цель: </w:t>
      </w:r>
    </w:p>
    <w:p w:rsidR="00E7129E" w:rsidRPr="00B06469" w:rsidRDefault="00E7129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«Создание условий для социально – ориентированного бизнеса, комфортного проживания и гармоничного развития личности» </w:t>
      </w:r>
    </w:p>
    <w:p w:rsidR="004643AF" w:rsidRPr="00B06469" w:rsidRDefault="004643AF"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sz w:val="24"/>
          <w:szCs w:val="24"/>
        </w:rPr>
        <w:t>Ключевые задачи</w:t>
      </w:r>
      <w:r w:rsidRPr="00B06469">
        <w:rPr>
          <w:rFonts w:ascii="Times New Roman" w:hAnsi="Times New Roman" w:cs="Times New Roman"/>
          <w:sz w:val="24"/>
          <w:szCs w:val="24"/>
        </w:rPr>
        <w:t xml:space="preserve">: </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Создание благоприятных условий для развития социально-ориентированного бизнеса на основе частных инвестиций и муниципально-частного партнерства; </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Формирование новых производств сельского хозяйства, перерабатывающей промышленности, сферы услуг и туризма;</w:t>
      </w:r>
      <w:r w:rsidRPr="00B06469">
        <w:rPr>
          <w:rFonts w:ascii="Times New Roman" w:hAnsi="Times New Roman" w:cs="Times New Roman"/>
          <w:b/>
          <w:bCs/>
          <w:sz w:val="24"/>
          <w:szCs w:val="24"/>
        </w:rPr>
        <w:t xml:space="preserve"> </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Повышение комфортности жилой среды, поддержка и развитие экосреды района, развитие культурного пространства и национальных традиций; </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lastRenderedPageBreak/>
        <w:t> Развитие кадрового потенциала и инфраструктуры</w:t>
      </w:r>
      <w:r w:rsidR="002760F1" w:rsidRPr="00B06469">
        <w:rPr>
          <w:rFonts w:ascii="Times New Roman" w:hAnsi="Times New Roman" w:cs="Times New Roman"/>
          <w:bCs/>
          <w:sz w:val="24"/>
          <w:szCs w:val="24"/>
        </w:rPr>
        <w:t xml:space="preserve"> </w:t>
      </w:r>
      <w:r w:rsidRPr="00B06469">
        <w:rPr>
          <w:rFonts w:ascii="Times New Roman" w:hAnsi="Times New Roman" w:cs="Times New Roman"/>
          <w:bCs/>
          <w:sz w:val="24"/>
          <w:szCs w:val="24"/>
        </w:rPr>
        <w:t xml:space="preserve">системы образования, здравоохранения, культуры и спорта; </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Сохранение</w:t>
      </w:r>
      <w:r w:rsidR="002760F1" w:rsidRPr="00B06469">
        <w:rPr>
          <w:rFonts w:ascii="Times New Roman" w:hAnsi="Times New Roman" w:cs="Times New Roman"/>
          <w:bCs/>
          <w:sz w:val="24"/>
          <w:szCs w:val="24"/>
        </w:rPr>
        <w:t xml:space="preserve"> </w:t>
      </w:r>
      <w:r w:rsidRPr="00B06469">
        <w:rPr>
          <w:rFonts w:ascii="Times New Roman" w:hAnsi="Times New Roman" w:cs="Times New Roman"/>
          <w:bCs/>
          <w:sz w:val="24"/>
          <w:szCs w:val="24"/>
        </w:rPr>
        <w:t>и развитие семейных, духовно-нравственных ценностей и здорового образа жизни;</w:t>
      </w:r>
    </w:p>
    <w:p w:rsidR="004643AF" w:rsidRPr="00B06469" w:rsidRDefault="004643AF" w:rsidP="001F0139">
      <w:pPr>
        <w:numPr>
          <w:ilvl w:val="0"/>
          <w:numId w:val="3"/>
        </w:numPr>
        <w:tabs>
          <w:tab w:val="left" w:pos="993"/>
        </w:tabs>
        <w:spacing w:after="0" w:line="360" w:lineRule="auto"/>
        <w:ind w:left="0"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Создание и развитие информационно-коммуникационной среды района </w:t>
      </w:r>
    </w:p>
    <w:p w:rsidR="00E7129E" w:rsidRPr="00B06469" w:rsidRDefault="004643AF"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Стержень стратегии - человек, и три приоритета Стратегии группируются вокруг этого стержня: </w:t>
      </w:r>
    </w:p>
    <w:p w:rsidR="00E7129E" w:rsidRPr="00B06469" w:rsidRDefault="00DE1D1C" w:rsidP="001F0139">
      <w:pPr>
        <w:spacing w:after="0" w:line="360" w:lineRule="auto"/>
        <w:ind w:firstLine="709"/>
        <w:jc w:val="both"/>
        <w:rPr>
          <w:rFonts w:ascii="Times New Roman" w:hAnsi="Times New Roman" w:cs="Times New Roman"/>
          <w:i/>
          <w:sz w:val="24"/>
          <w:szCs w:val="24"/>
        </w:rPr>
      </w:pPr>
      <w:r w:rsidRPr="00B06469">
        <w:rPr>
          <w:rFonts w:ascii="Times New Roman" w:hAnsi="Times New Roman" w:cs="Times New Roman"/>
          <w:i/>
          <w:sz w:val="24"/>
          <w:szCs w:val="24"/>
        </w:rPr>
        <w:t>Ф</w:t>
      </w:r>
      <w:r w:rsidR="004643AF" w:rsidRPr="00B06469">
        <w:rPr>
          <w:rFonts w:ascii="Times New Roman" w:hAnsi="Times New Roman" w:cs="Times New Roman"/>
          <w:i/>
          <w:sz w:val="24"/>
          <w:szCs w:val="24"/>
        </w:rPr>
        <w:t>ормирование</w:t>
      </w:r>
      <w:r w:rsidRPr="00B06469">
        <w:rPr>
          <w:rFonts w:ascii="Times New Roman" w:hAnsi="Times New Roman" w:cs="Times New Roman"/>
          <w:i/>
          <w:sz w:val="24"/>
          <w:szCs w:val="24"/>
        </w:rPr>
        <w:t>, совершенствование</w:t>
      </w:r>
      <w:r w:rsidR="004643AF" w:rsidRPr="00B06469">
        <w:rPr>
          <w:rFonts w:ascii="Times New Roman" w:hAnsi="Times New Roman" w:cs="Times New Roman"/>
          <w:i/>
          <w:sz w:val="24"/>
          <w:szCs w:val="24"/>
        </w:rPr>
        <w:t xml:space="preserve"> и накопление человеческого капитала; </w:t>
      </w:r>
    </w:p>
    <w:p w:rsidR="00E7129E" w:rsidRPr="00B06469" w:rsidRDefault="00DE1D1C" w:rsidP="001F0139">
      <w:pPr>
        <w:spacing w:after="0" w:line="360" w:lineRule="auto"/>
        <w:ind w:firstLine="709"/>
        <w:jc w:val="both"/>
        <w:rPr>
          <w:rFonts w:ascii="Times New Roman" w:hAnsi="Times New Roman" w:cs="Times New Roman"/>
          <w:i/>
          <w:sz w:val="24"/>
          <w:szCs w:val="24"/>
        </w:rPr>
      </w:pPr>
      <w:r w:rsidRPr="00B06469">
        <w:rPr>
          <w:rFonts w:ascii="Times New Roman" w:hAnsi="Times New Roman" w:cs="Times New Roman"/>
          <w:i/>
          <w:sz w:val="24"/>
          <w:szCs w:val="24"/>
        </w:rPr>
        <w:t>С</w:t>
      </w:r>
      <w:r w:rsidR="004643AF" w:rsidRPr="00B06469">
        <w:rPr>
          <w:rFonts w:ascii="Times New Roman" w:hAnsi="Times New Roman" w:cs="Times New Roman"/>
          <w:i/>
          <w:sz w:val="24"/>
          <w:szCs w:val="24"/>
        </w:rPr>
        <w:t>оздание комфортного пространства</w:t>
      </w:r>
      <w:r w:rsidRPr="00B06469">
        <w:rPr>
          <w:rFonts w:ascii="Times New Roman" w:hAnsi="Times New Roman" w:cs="Times New Roman"/>
          <w:i/>
          <w:sz w:val="24"/>
          <w:szCs w:val="24"/>
        </w:rPr>
        <w:t xml:space="preserve"> района</w:t>
      </w:r>
      <w:r w:rsidR="002760F1" w:rsidRPr="00B06469">
        <w:rPr>
          <w:rFonts w:ascii="Times New Roman" w:hAnsi="Times New Roman" w:cs="Times New Roman"/>
          <w:i/>
          <w:sz w:val="24"/>
          <w:szCs w:val="24"/>
        </w:rPr>
        <w:t xml:space="preserve"> </w:t>
      </w:r>
      <w:r w:rsidR="004643AF" w:rsidRPr="00B06469">
        <w:rPr>
          <w:rFonts w:ascii="Times New Roman" w:hAnsi="Times New Roman" w:cs="Times New Roman"/>
          <w:i/>
          <w:sz w:val="24"/>
          <w:szCs w:val="24"/>
        </w:rPr>
        <w:t xml:space="preserve">для </w:t>
      </w:r>
      <w:r w:rsidRPr="00B06469">
        <w:rPr>
          <w:rFonts w:ascii="Times New Roman" w:hAnsi="Times New Roman" w:cs="Times New Roman"/>
          <w:i/>
          <w:sz w:val="24"/>
          <w:szCs w:val="24"/>
        </w:rPr>
        <w:t xml:space="preserve">гармоничного </w:t>
      </w:r>
      <w:r w:rsidR="004643AF" w:rsidRPr="00B06469">
        <w:rPr>
          <w:rFonts w:ascii="Times New Roman" w:hAnsi="Times New Roman" w:cs="Times New Roman"/>
          <w:i/>
          <w:sz w:val="24"/>
          <w:szCs w:val="24"/>
        </w:rPr>
        <w:t xml:space="preserve">развития человеческого капитала; </w:t>
      </w:r>
    </w:p>
    <w:p w:rsidR="004643AF" w:rsidRPr="00B06469" w:rsidRDefault="00DE1D1C" w:rsidP="001F0139">
      <w:pPr>
        <w:spacing w:after="0" w:line="360" w:lineRule="auto"/>
        <w:ind w:firstLine="709"/>
        <w:jc w:val="both"/>
        <w:rPr>
          <w:rFonts w:ascii="Times New Roman" w:hAnsi="Times New Roman" w:cs="Times New Roman"/>
          <w:i/>
          <w:sz w:val="24"/>
          <w:szCs w:val="24"/>
        </w:rPr>
      </w:pPr>
      <w:r w:rsidRPr="00B06469">
        <w:rPr>
          <w:rFonts w:ascii="Times New Roman" w:hAnsi="Times New Roman" w:cs="Times New Roman"/>
          <w:i/>
          <w:sz w:val="24"/>
          <w:szCs w:val="24"/>
        </w:rPr>
        <w:t>С</w:t>
      </w:r>
      <w:r w:rsidR="004643AF" w:rsidRPr="00B06469">
        <w:rPr>
          <w:rFonts w:ascii="Times New Roman" w:hAnsi="Times New Roman" w:cs="Times New Roman"/>
          <w:i/>
          <w:sz w:val="24"/>
          <w:szCs w:val="24"/>
        </w:rPr>
        <w:t xml:space="preserve">оздание </w:t>
      </w:r>
      <w:r w:rsidR="00E7129E" w:rsidRPr="00B06469">
        <w:rPr>
          <w:rFonts w:ascii="Times New Roman" w:hAnsi="Times New Roman" w:cs="Times New Roman"/>
          <w:i/>
          <w:sz w:val="24"/>
          <w:szCs w:val="24"/>
        </w:rPr>
        <w:t>инновационной экономики</w:t>
      </w:r>
      <w:r w:rsidR="004643AF" w:rsidRPr="00B06469">
        <w:rPr>
          <w:rFonts w:ascii="Times New Roman" w:hAnsi="Times New Roman" w:cs="Times New Roman"/>
          <w:i/>
          <w:sz w:val="24"/>
          <w:szCs w:val="24"/>
        </w:rPr>
        <w:t xml:space="preserve">, </w:t>
      </w:r>
      <w:r w:rsidRPr="00B06469">
        <w:rPr>
          <w:rFonts w:ascii="Times New Roman" w:hAnsi="Times New Roman" w:cs="Times New Roman"/>
          <w:i/>
          <w:sz w:val="24"/>
          <w:szCs w:val="24"/>
        </w:rPr>
        <w:t xml:space="preserve">в которой </w:t>
      </w:r>
      <w:r w:rsidR="004643AF" w:rsidRPr="00B06469">
        <w:rPr>
          <w:rFonts w:ascii="Times New Roman" w:hAnsi="Times New Roman" w:cs="Times New Roman"/>
          <w:i/>
          <w:sz w:val="24"/>
          <w:szCs w:val="24"/>
        </w:rPr>
        <w:t>человеческий капитал востребован</w:t>
      </w:r>
      <w:r w:rsidR="00E7129E" w:rsidRPr="00B06469">
        <w:rPr>
          <w:rFonts w:ascii="Times New Roman" w:hAnsi="Times New Roman" w:cs="Times New Roman"/>
          <w:i/>
          <w:sz w:val="24"/>
          <w:szCs w:val="24"/>
        </w:rPr>
        <w:t xml:space="preserve">, </w:t>
      </w:r>
      <w:r w:rsidR="004643AF" w:rsidRPr="00B06469">
        <w:rPr>
          <w:rFonts w:ascii="Times New Roman" w:hAnsi="Times New Roman" w:cs="Times New Roman"/>
          <w:i/>
          <w:sz w:val="24"/>
          <w:szCs w:val="24"/>
        </w:rPr>
        <w:t>успешно функционир</w:t>
      </w:r>
      <w:r w:rsidR="00E7129E" w:rsidRPr="00B06469">
        <w:rPr>
          <w:rFonts w:ascii="Times New Roman" w:hAnsi="Times New Roman" w:cs="Times New Roman"/>
          <w:i/>
          <w:sz w:val="24"/>
          <w:szCs w:val="24"/>
        </w:rPr>
        <w:t>ует и развивается</w:t>
      </w:r>
      <w:r w:rsidR="004643AF" w:rsidRPr="00B06469">
        <w:rPr>
          <w:rFonts w:ascii="Times New Roman" w:hAnsi="Times New Roman" w:cs="Times New Roman"/>
          <w:i/>
          <w:sz w:val="24"/>
          <w:szCs w:val="24"/>
        </w:rPr>
        <w:t>.</w:t>
      </w:r>
    </w:p>
    <w:p w:rsidR="00814189" w:rsidRPr="00B06469" w:rsidRDefault="00814189" w:rsidP="001F0139">
      <w:pPr>
        <w:spacing w:after="0" w:line="360" w:lineRule="auto"/>
        <w:ind w:firstLine="709"/>
        <w:jc w:val="both"/>
        <w:rPr>
          <w:rFonts w:ascii="Times New Roman" w:hAnsi="Times New Roman" w:cs="Times New Roman"/>
          <w:sz w:val="24"/>
          <w:szCs w:val="24"/>
        </w:rPr>
      </w:pPr>
    </w:p>
    <w:p w:rsidR="00814189" w:rsidRPr="00B06469" w:rsidRDefault="00814189" w:rsidP="001F0139">
      <w:pPr>
        <w:pStyle w:val="a3"/>
        <w:keepNext/>
        <w:keepLines/>
        <w:spacing w:after="0" w:line="360" w:lineRule="auto"/>
        <w:rPr>
          <w:color w:val="365F91" w:themeColor="accent1" w:themeShade="BF"/>
          <w:sz w:val="24"/>
          <w:szCs w:val="24"/>
        </w:rPr>
      </w:pPr>
      <w:bookmarkStart w:id="2" w:name="bookmark2"/>
      <w:r w:rsidRPr="00B06469">
        <w:rPr>
          <w:color w:val="365F91" w:themeColor="accent1" w:themeShade="BF"/>
          <w:sz w:val="24"/>
          <w:szCs w:val="24"/>
        </w:rPr>
        <w:t xml:space="preserve">3. </w:t>
      </w:r>
      <w:bookmarkEnd w:id="2"/>
      <w:r w:rsidRPr="00B06469">
        <w:rPr>
          <w:color w:val="365F91" w:themeColor="accent1" w:themeShade="BF"/>
          <w:sz w:val="24"/>
          <w:szCs w:val="24"/>
        </w:rPr>
        <w:t xml:space="preserve">ОСНОВНЫЕ СВЕДЕНИЯ И ОСОБЕННОСТИ ЭКОНОМИКО-ГЕОГРАФИЧЕСКОГО </w:t>
      </w:r>
      <w:bookmarkStart w:id="3" w:name="bookmark5"/>
      <w:r w:rsidRPr="00B06469">
        <w:rPr>
          <w:color w:val="365F91" w:themeColor="accent1" w:themeShade="BF"/>
          <w:sz w:val="24"/>
          <w:szCs w:val="24"/>
        </w:rPr>
        <w:t>ПОЛОЖЕНИЯ</w:t>
      </w:r>
      <w:bookmarkEnd w:id="3"/>
    </w:p>
    <w:p w:rsidR="00D14EDE" w:rsidRPr="00B06469" w:rsidRDefault="00D14EDE" w:rsidP="001F0139">
      <w:pPr>
        <w:pStyle w:val="a3"/>
        <w:keepNext/>
        <w:keepLines/>
        <w:spacing w:after="0" w:line="360" w:lineRule="auto"/>
        <w:rPr>
          <w:color w:val="365F91" w:themeColor="accent1" w:themeShade="BF"/>
          <w:sz w:val="24"/>
          <w:szCs w:val="24"/>
        </w:rPr>
      </w:pPr>
      <w:r w:rsidRPr="00B06469">
        <w:rPr>
          <w:color w:val="365F91" w:themeColor="accent1" w:themeShade="BF"/>
          <w:sz w:val="24"/>
          <w:szCs w:val="24"/>
        </w:rPr>
        <w:t>3.1</w:t>
      </w:r>
      <w:bookmarkStart w:id="4" w:name="bookmark4"/>
      <w:r w:rsidR="00814189" w:rsidRPr="00B06469">
        <w:rPr>
          <w:color w:val="365F91" w:themeColor="accent1" w:themeShade="BF"/>
          <w:sz w:val="24"/>
          <w:szCs w:val="24"/>
        </w:rPr>
        <w:t>.</w:t>
      </w:r>
      <w:r w:rsidRPr="00B06469">
        <w:rPr>
          <w:color w:val="365F91" w:themeColor="accent1" w:themeShade="BF"/>
          <w:sz w:val="24"/>
          <w:szCs w:val="24"/>
        </w:rPr>
        <w:t xml:space="preserve"> </w:t>
      </w:r>
      <w:bookmarkStart w:id="5" w:name="_Toc520894826"/>
      <w:bookmarkEnd w:id="4"/>
      <w:r w:rsidRPr="00B06469">
        <w:rPr>
          <w:color w:val="365F91" w:themeColor="accent1" w:themeShade="BF"/>
          <w:sz w:val="24"/>
          <w:szCs w:val="24"/>
        </w:rPr>
        <w:t>Исторические сведения</w:t>
      </w:r>
      <w:bookmarkEnd w:id="5"/>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Первое русское поселение на берегу реки Камышлинки появилось в 1580 году, практически положив начало основанию ныне существующего села Камышла. В 1581 году к первым переселенцам прибыли 10 семей из Башкирии. С начала 17 века здесь стали селиться Казанские татары. В то время деревню окружали болота, заросшие кустарником и камышом. Обилие камышей дало повод назвать речку Камышлинкой, а село Камышлой.</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Население увеличивалось, как за счет естественного прироста, так и за счет прибывающих переселенцев из других регионов. Переселенцы занимались земледелием, скотоводством и различными ремеслами. В 1768 году окрестности села Камышла обследовал оренбургский отряд экспедиции Российской Академии наук, возглавляемый доктором медицины и натуральной философии Лепехиным И.И.</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Сохранились предания о том, что в 1774 году Камышлу заняли отряды Емельяна Пугачева.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1802 году Камышла вошла в состав Бугурусланского уезда. В селе было 55 дворов и проживало 280 человек. С 1 января 1851 года Бугурусланский уезд вошел в состав только что образованной Самарской губернии.</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Во время гражданской войны в окрестностях села Камышла проходили ожесточенные бои между Красной Армией и белочехами, затем и армией Колчака.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В 1928 году был образован Байтуганский район с центром в селе Русский Байтуган. С 7 апреля 1929 года районный центр был переведен в село Камышла.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Указом Президиума Верховного Совета РСФСР от 7 августа 1939 года Байтуганский район был переименован в Камышлинский район.</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соответствии с Указом Президиума Верховного Совета РСФСР от 12 февраля 1963 года «Об укрупнении сельских районов и изменении подчиненности районов и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ов Куйбышевской области» Камышлинский район прекратил свое существование. Он был присоединен сначала к Похвистневскому, а затем к Клявлинскому району.</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Как административная единица муниципальный район Камышлинский образован в 1991 году в соответствии с указом Президиума Верховного Совета РФ от 04.03.1991 № 280. Административный центр - село Камышла.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Исторической особенностью освоения территории поселения было то, что оно осуществлялось как русскими, так и коренным населением Поволжья: татарами, чувашами, мордвой. В данном поселении преобладают татары. Этим обусловлен и мусульманский образ жизни населения: наличие мечетей (их в поселении две), соблюдение некоторых религиозных обрядов, отсутствие свиноводства в сельском хозяйстве (за редким исключением). На территории поселения сохраняются национальные традиции и татарский язык. Для этого в образовательных учреждениях ведется преподавание родного языка, созданы национальные творческие коллективы, проводятся национальные праздники.</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Относительно состава сельского поселения Камышла можно отметить следующее: с. Камышла, д. Давлеткулово, п. Бузбаш, п. Юлдуз были объединены с 1928 г. по 1992 г. в Камышлинский сельский Совет; с 1992 г. по 1997 г. в Камышлинскую волость.</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Согласно Закону Самарской области от 25.02.2007 г. «Об образовании сельских поселений в пределах муниципального района Камышлинский Самарской области, наделении их соответствующим статусом и установлении их границ» образовано сельское поселение Камышла, с прежде входящими в него населенными пунктами.</w:t>
      </w:r>
    </w:p>
    <w:p w:rsidR="00D14EDE" w:rsidRPr="00B06469" w:rsidRDefault="00D14EDE" w:rsidP="001F0139">
      <w:pPr>
        <w:spacing w:after="0" w:line="360" w:lineRule="auto"/>
        <w:ind w:firstLine="709"/>
        <w:jc w:val="both"/>
        <w:rPr>
          <w:rFonts w:ascii="Times New Roman" w:hAnsi="Times New Roman" w:cs="Times New Roman"/>
          <w:sz w:val="24"/>
          <w:szCs w:val="24"/>
        </w:rPr>
      </w:pPr>
    </w:p>
    <w:p w:rsidR="00D14EDE" w:rsidRPr="00B06469" w:rsidRDefault="00814189" w:rsidP="001F0139">
      <w:pPr>
        <w:spacing w:after="0" w:line="360" w:lineRule="auto"/>
        <w:contextualSpacing/>
        <w:jc w:val="both"/>
        <w:outlineLvl w:val="1"/>
        <w:rPr>
          <w:rFonts w:ascii="Times New Roman" w:hAnsi="Times New Roman" w:cs="Times New Roman"/>
          <w:b/>
          <w:color w:val="365F91"/>
          <w:sz w:val="24"/>
          <w:szCs w:val="24"/>
        </w:rPr>
      </w:pPr>
      <w:bookmarkStart w:id="6" w:name="_Toc520894827"/>
      <w:r w:rsidRPr="00B06469">
        <w:rPr>
          <w:rFonts w:ascii="Times New Roman" w:hAnsi="Times New Roman" w:cs="Times New Roman"/>
          <w:b/>
          <w:color w:val="365F91"/>
          <w:sz w:val="24"/>
          <w:szCs w:val="24"/>
        </w:rPr>
        <w:t>3.2.</w:t>
      </w:r>
      <w:r w:rsidR="00D14EDE" w:rsidRPr="00B06469">
        <w:rPr>
          <w:rFonts w:ascii="Times New Roman" w:hAnsi="Times New Roman" w:cs="Times New Roman"/>
          <w:b/>
          <w:color w:val="365F91"/>
          <w:sz w:val="24"/>
          <w:szCs w:val="24"/>
        </w:rPr>
        <w:t>Экономико-географическое положение и природно-ресурсный потенциал</w:t>
      </w:r>
      <w:bookmarkEnd w:id="6"/>
      <w:r w:rsidR="00D14EDE" w:rsidRPr="00B06469">
        <w:rPr>
          <w:rFonts w:ascii="Times New Roman" w:hAnsi="Times New Roman" w:cs="Times New Roman"/>
          <w:b/>
          <w:color w:val="365F91"/>
          <w:sz w:val="24"/>
          <w:szCs w:val="24"/>
        </w:rPr>
        <w:t xml:space="preserve"> </w:t>
      </w:r>
    </w:p>
    <w:p w:rsidR="00D14EDE" w:rsidRPr="00B06469" w:rsidRDefault="00D14EDE" w:rsidP="001F0139">
      <w:pPr>
        <w:spacing w:after="0" w:line="360" w:lineRule="auto"/>
        <w:jc w:val="both"/>
        <w:rPr>
          <w:rFonts w:ascii="Times New Roman" w:hAnsi="Times New Roman" w:cs="Times New Roman"/>
          <w:sz w:val="24"/>
          <w:szCs w:val="24"/>
        </w:rPr>
      </w:pP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Согласно </w:t>
      </w:r>
      <w:r w:rsidRPr="00B06469">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3E22A844" wp14:editId="529E1E15">
            <wp:simplePos x="0" y="0"/>
            <wp:positionH relativeFrom="column">
              <wp:posOffset>-305435</wp:posOffset>
            </wp:positionH>
            <wp:positionV relativeFrom="paragraph">
              <wp:posOffset>3192145</wp:posOffset>
            </wp:positionV>
            <wp:extent cx="3042285" cy="2332990"/>
            <wp:effectExtent l="19050" t="0" r="5715" b="0"/>
            <wp:wrapSquare wrapText="bothSides"/>
            <wp:docPr id="24" name="Рисунок 58" descr="Описание: Описание: Описание: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Описание: Описание: карта"/>
                    <pic:cNvPicPr>
                      <a:picLocks noChangeAspect="1" noChangeArrowheads="1"/>
                    </pic:cNvPicPr>
                  </pic:nvPicPr>
                  <pic:blipFill>
                    <a:blip r:embed="rId12" cstate="print"/>
                    <a:srcRect/>
                    <a:stretch>
                      <a:fillRect/>
                    </a:stretch>
                  </pic:blipFill>
                  <pic:spPr bwMode="auto">
                    <a:xfrm>
                      <a:off x="0" y="0"/>
                      <a:ext cx="3042285" cy="2332990"/>
                    </a:xfrm>
                    <a:prstGeom prst="rect">
                      <a:avLst/>
                    </a:prstGeom>
                    <a:noFill/>
                    <a:ln w="9525">
                      <a:noFill/>
                      <a:miter lim="800000"/>
                      <a:headEnd/>
                      <a:tailEnd/>
                    </a:ln>
                  </pic:spPr>
                </pic:pic>
              </a:graphicData>
            </a:graphic>
          </wp:anchor>
        </w:drawing>
      </w:r>
      <w:r w:rsidRPr="00B06469">
        <w:rPr>
          <w:rFonts w:ascii="Times New Roman" w:hAnsi="Times New Roman" w:cs="Times New Roman"/>
          <w:sz w:val="24"/>
          <w:szCs w:val="24"/>
        </w:rPr>
        <w:t xml:space="preserve">закону Самарской области «Об установлении границ муниципального района Камышлинский Самарской области» в </w:t>
      </w:r>
      <w:r w:rsidRPr="00B06469">
        <w:rPr>
          <w:rFonts w:ascii="Times New Roman" w:hAnsi="Times New Roman" w:cs="Times New Roman"/>
          <w:sz w:val="24"/>
          <w:szCs w:val="24"/>
        </w:rPr>
        <w:lastRenderedPageBreak/>
        <w:t>состав муниципального района Камышлинский входят 6 сельских поселений, в которые объединены 22 населённых пункта: Камышла, Ермаково, Балыкла, Байтуган, Новое Усманово, Старое Усманово.</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Камышлинский район расположен на северо-востоке Самарской области, в верхнем течении реки Сок (на правом берегу реки Сок в устье реки Камышлинка), в зоне лесостепи. На северо-западе район граничит с Клявлинским, на юге – Похвистневским, на западе – Исаклинским районами нашей области, на востоке – с Оренбургской областью. Расстояние до областного центра г.о. Самары - 185 км, до аэропорта Курумоч – 186 км, до ж/д станции Клявлино – 25 км., до ж/д станции Похвистнево – 55 км.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Муниципальный район Камышлинский расположен на расстоянии 178 км от областного центра и 25 км до ближайшей железнодорожной станции «Клявлино».</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Административный центр района – село Камышла находится на расстоянии 185 км от областного центра.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Территория района составляет 125,5 тыс. гектар (823,5 кв. км) – 2,3% от территории Самарской области.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структуре земельного фонда 76% составляют земли сельскохозяйственного назначения, пашня – 42%, сенокосы и пастбища – 21%, 21% – земли лесного фонда, 1% – земли населенных пунктов (табл. 1.2.1).</w:t>
      </w:r>
    </w:p>
    <w:p w:rsidR="00D14EDE" w:rsidRPr="00B06469" w:rsidRDefault="00D14EDE" w:rsidP="001F0139">
      <w:pPr>
        <w:widowControl w:val="0"/>
        <w:spacing w:after="0" w:line="240" w:lineRule="auto"/>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 xml:space="preserve">Таблица 1.2.1 - Структура земель муниципального района </w:t>
      </w:r>
    </w:p>
    <w:p w:rsidR="00D14EDE" w:rsidRPr="00B06469" w:rsidRDefault="00D14EDE" w:rsidP="001F0139">
      <w:pPr>
        <w:widowControl w:val="0"/>
        <w:spacing w:after="0" w:line="240" w:lineRule="auto"/>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Камышлинский на 01.01.2017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7097"/>
        <w:gridCol w:w="1674"/>
      </w:tblGrid>
      <w:tr w:rsidR="00D14EDE" w:rsidRPr="00B06469" w:rsidTr="00077D58">
        <w:trPr>
          <w:jc w:val="center"/>
        </w:trPr>
        <w:tc>
          <w:tcPr>
            <w:tcW w:w="0" w:type="auto"/>
            <w:shd w:val="clear" w:color="auto" w:fill="365F91"/>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color w:val="FFFFFF"/>
                <w:sz w:val="24"/>
                <w:szCs w:val="24"/>
                <w:lang w:eastAsia="ru-RU"/>
              </w:rPr>
            </w:pPr>
            <w:r w:rsidRPr="00B06469">
              <w:rPr>
                <w:rFonts w:ascii="Times New Roman" w:eastAsia="Times New Roman" w:hAnsi="Times New Roman" w:cs="Times New Roman"/>
                <w:color w:val="FFFFFF"/>
                <w:sz w:val="24"/>
                <w:szCs w:val="24"/>
                <w:lang w:eastAsia="ru-RU"/>
              </w:rPr>
              <w:t>№ п/п</w:t>
            </w:r>
          </w:p>
        </w:tc>
        <w:tc>
          <w:tcPr>
            <w:tcW w:w="0" w:type="auto"/>
            <w:shd w:val="clear" w:color="auto" w:fill="376092"/>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color w:val="FFFFFF"/>
                <w:sz w:val="24"/>
                <w:szCs w:val="24"/>
                <w:lang w:eastAsia="ru-RU"/>
              </w:rPr>
            </w:pPr>
            <w:r w:rsidRPr="00B06469">
              <w:rPr>
                <w:rFonts w:ascii="Times New Roman" w:eastAsia="Times New Roman" w:hAnsi="Times New Roman" w:cs="Times New Roman"/>
                <w:color w:val="FFFFFF"/>
                <w:sz w:val="24"/>
                <w:szCs w:val="24"/>
                <w:lang w:eastAsia="ru-RU"/>
              </w:rPr>
              <w:t>Показатели</w:t>
            </w:r>
          </w:p>
        </w:tc>
        <w:tc>
          <w:tcPr>
            <w:tcW w:w="1674" w:type="dxa"/>
            <w:shd w:val="clear" w:color="auto" w:fill="365F91"/>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color w:val="FFFFFF"/>
                <w:sz w:val="24"/>
                <w:szCs w:val="24"/>
                <w:lang w:eastAsia="ru-RU"/>
              </w:rPr>
            </w:pPr>
            <w:r w:rsidRPr="00B06469">
              <w:rPr>
                <w:rFonts w:ascii="Times New Roman" w:eastAsia="Times New Roman" w:hAnsi="Times New Roman" w:cs="Times New Roman"/>
                <w:color w:val="FFFFFF"/>
                <w:sz w:val="24"/>
                <w:szCs w:val="24"/>
                <w:lang w:eastAsia="ru-RU"/>
              </w:rPr>
              <w:t>Общая площадь, га</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Земли сельскохозяйственного назначения</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62478</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Сельскохозяйственные угодья, из них:</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60672</w:t>
            </w:r>
          </w:p>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1.1.1</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Пашня</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34862</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1.1.2</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сенокосы и пастбища</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17379</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1.1.3</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многолетние насаждения (сады, ягодники, виноградники и другие насаждения)</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48</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Лесные земли</w:t>
            </w:r>
          </w:p>
        </w:tc>
        <w:tc>
          <w:tcPr>
            <w:tcW w:w="1674" w:type="dxa"/>
          </w:tcPr>
          <w:p w:rsidR="00D14EDE" w:rsidRPr="00B06469" w:rsidRDefault="00D14EDE"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17286</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Кустарники</w:t>
            </w:r>
          </w:p>
        </w:tc>
        <w:tc>
          <w:tcPr>
            <w:tcW w:w="1674" w:type="dxa"/>
          </w:tcPr>
          <w:p w:rsidR="00D14EDE" w:rsidRPr="00B06469" w:rsidRDefault="00D14EDE"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1143</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Земли застройки</w:t>
            </w:r>
          </w:p>
        </w:tc>
        <w:tc>
          <w:tcPr>
            <w:tcW w:w="1674" w:type="dxa"/>
          </w:tcPr>
          <w:p w:rsidR="00D14EDE" w:rsidRPr="00B06469" w:rsidRDefault="00D14EDE"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587</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w:t>
            </w: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Прочие земли</w:t>
            </w:r>
          </w:p>
        </w:tc>
        <w:tc>
          <w:tcPr>
            <w:tcW w:w="1674" w:type="dxa"/>
          </w:tcPr>
          <w:p w:rsidR="00D14EDE" w:rsidRPr="00B06469" w:rsidRDefault="00D14EDE"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854</w:t>
            </w:r>
          </w:p>
        </w:tc>
      </w:tr>
      <w:tr w:rsidR="00D14EDE" w:rsidRPr="00B06469" w:rsidTr="00077D58">
        <w:trPr>
          <w:jc w:val="center"/>
        </w:trPr>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p>
        </w:tc>
        <w:tc>
          <w:tcPr>
            <w:tcW w:w="0" w:type="auto"/>
          </w:tcPr>
          <w:p w:rsidR="00D14EDE" w:rsidRPr="00B06469" w:rsidRDefault="00D14EDE" w:rsidP="001F0139">
            <w:pPr>
              <w:tabs>
                <w:tab w:val="left" w:pos="1080"/>
              </w:tabs>
              <w:spacing w:after="0" w:line="240" w:lineRule="auto"/>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Итого земель в административных границах:</w:t>
            </w:r>
          </w:p>
        </w:tc>
        <w:tc>
          <w:tcPr>
            <w:tcW w:w="1674" w:type="dxa"/>
            <w:vAlign w:val="center"/>
          </w:tcPr>
          <w:p w:rsidR="00D14EDE" w:rsidRPr="00B06469" w:rsidRDefault="00D14EDE" w:rsidP="001F0139">
            <w:pPr>
              <w:tabs>
                <w:tab w:val="left" w:pos="1080"/>
              </w:tabs>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82348</w:t>
            </w:r>
          </w:p>
        </w:tc>
      </w:tr>
    </w:tbl>
    <w:p w:rsidR="00D14EDE" w:rsidRPr="00B06469" w:rsidRDefault="00D14EDE"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Источник: Паспорт Камышлинского муниципального района 2016 год. Форма № 2. Здесь и далее аналитика ФГБОУ ВО «СГЭУ»</w:t>
      </w:r>
    </w:p>
    <w:p w:rsidR="00D14EDE" w:rsidRPr="00B06469" w:rsidRDefault="00D14EDE" w:rsidP="001F0139">
      <w:pPr>
        <w:spacing w:after="0" w:line="240" w:lineRule="auto"/>
        <w:jc w:val="both"/>
        <w:rPr>
          <w:rFonts w:ascii="Times New Roman" w:hAnsi="Times New Roman" w:cs="Times New Roman"/>
          <w:sz w:val="24"/>
          <w:szCs w:val="24"/>
        </w:rPr>
      </w:pP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Численность постоянного населения на начало 2017 года по данным Самарастат – 10,8 тыс. человек, плотность населения – 13,2 чел. на 1 кв. км. площади.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Район соединён асфальтовыми дорогами с соседними районами области, другими регионами страны. Через район проходит железная дорога. Сообщение с областным </w:t>
      </w:r>
      <w:r w:rsidRPr="00B06469">
        <w:rPr>
          <w:rFonts w:ascii="Times New Roman" w:hAnsi="Times New Roman" w:cs="Times New Roman"/>
          <w:sz w:val="24"/>
          <w:szCs w:val="24"/>
        </w:rPr>
        <w:lastRenderedPageBreak/>
        <w:t>центром осуществляется по автомобильной дороге федерального значения «Урал» (М-5) и автодороге территориального значения «Похвистнево - Камышла-Клявлино». Расстояние до федеральной автомобильной дороги «Урал» (М-5) – 5км. Транспортная связь с соседними населенными пунктами происходит по автомобильным дорогам общего пользования с твердым покрытием «Камышла – Давлеткулово», «Камышла – Бузбаш».</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Географическое положение муниципального района обусловливает действие двух противоречивых факторов развития территории: с одной стороны, расположение муниципального района на стратегической автомобильной магистрали является долгосрочным фактором, способствующим развитию территории, а также ее дальнейшей интеграции в хозяйственный комплекс России; с другой стороны, расположение муниципального образования на периферии Самарской области, его относительная удаленность от промышленных и культурных центров (178 км от Самары, 420 км от Оренбурга) в определенной степени препятствуют развитию территории, снижают её инвестиционную привлекательность.</w:t>
      </w:r>
    </w:p>
    <w:p w:rsidR="00D14EDE" w:rsidRPr="00B06469" w:rsidRDefault="00D14EDE" w:rsidP="001F0139">
      <w:pPr>
        <w:spacing w:after="0" w:line="360" w:lineRule="auto"/>
        <w:ind w:firstLine="709"/>
        <w:jc w:val="both"/>
        <w:rPr>
          <w:rFonts w:ascii="Times New Roman" w:hAnsi="Times New Roman" w:cs="Times New Roman"/>
          <w:sz w:val="24"/>
          <w:szCs w:val="24"/>
        </w:rPr>
      </w:pPr>
    </w:p>
    <w:p w:rsidR="00D14EDE" w:rsidRPr="00B06469" w:rsidRDefault="00D14EDE" w:rsidP="001F0139">
      <w:pPr>
        <w:spacing w:after="0" w:line="360" w:lineRule="auto"/>
        <w:contextualSpacing/>
        <w:jc w:val="both"/>
        <w:outlineLvl w:val="1"/>
        <w:rPr>
          <w:rFonts w:ascii="Times New Roman" w:hAnsi="Times New Roman" w:cs="Times New Roman"/>
          <w:b/>
          <w:color w:val="365F91"/>
          <w:sz w:val="24"/>
          <w:szCs w:val="24"/>
        </w:rPr>
      </w:pPr>
      <w:bookmarkStart w:id="7" w:name="_Toc520894828"/>
      <w:r w:rsidRPr="00B06469">
        <w:rPr>
          <w:rFonts w:ascii="Times New Roman" w:hAnsi="Times New Roman" w:cs="Times New Roman"/>
          <w:b/>
          <w:color w:val="365F91"/>
          <w:sz w:val="24"/>
          <w:szCs w:val="24"/>
        </w:rPr>
        <w:t>Природные ресурсы и экология</w:t>
      </w:r>
      <w:bookmarkEnd w:id="7"/>
    </w:p>
    <w:p w:rsidR="00D14EDE" w:rsidRPr="00B06469" w:rsidRDefault="00D14EDE" w:rsidP="001F0139">
      <w:pPr>
        <w:spacing w:after="0" w:line="360" w:lineRule="auto"/>
        <w:ind w:firstLine="709"/>
        <w:jc w:val="both"/>
        <w:rPr>
          <w:rFonts w:ascii="Times New Roman" w:hAnsi="Times New Roman" w:cs="Times New Roman"/>
          <w:sz w:val="24"/>
          <w:szCs w:val="24"/>
        </w:rPr>
      </w:pP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Климат.</w:t>
      </w:r>
      <w:r w:rsidRPr="00B06469">
        <w:rPr>
          <w:rFonts w:ascii="Times New Roman" w:hAnsi="Times New Roman" w:cs="Times New Roman"/>
          <w:sz w:val="24"/>
          <w:szCs w:val="24"/>
        </w:rPr>
        <w:t xml:space="preserve"> На территории муниципального района Камышлинский Самарской области преобладает континентальный климат умеренных широт с холодной продолжительной зимой и теплым летом с довольно устойчивым жарким периодом в июне и июле.</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Возвышенное положение района и лесостепной ландшафт несколько умеряют летние температуры, вследствие чего они не достигают тех высоких температур, которые характерны для степной зоны Заволжья. Наиболее холодным месяцем является январь (ср. месячная температура ряда лет равна -14,6 градусов), но нередки случаи, когда наименьшая температура перемещается на февраль. Температура воздуха наиболее холодных суток обеспеченностью 98% -41ºС.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Абсолютная минимальная температура воздуха холодного периода года достигает - 46ºС. Максимальная глубина промерзания почвы повторяемостью 1 раз в 10 лет составляет 75 см, 1 раз в 50 лет почва может промерзать на глубину 165 см.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холодный период года в основном преобладают ветра южные, юго-восточные и юго-западные, ветры восточные и юго-восточные играют подчиненную роль. Однако, их следует принимать во внимание ввиду суховейного характера. Максимальная из средних скоростей ветра за январь 4,4м/с. Средняя скорость ветра за три наиболее холодных </w:t>
      </w:r>
      <w:r w:rsidRPr="00B06469">
        <w:rPr>
          <w:rFonts w:ascii="Times New Roman" w:hAnsi="Times New Roman" w:cs="Times New Roman"/>
          <w:sz w:val="24"/>
          <w:szCs w:val="24"/>
        </w:rPr>
        <w:lastRenderedPageBreak/>
        <w:t>месяца 3,7 м/с. В теплый период преобладают ветра северо-западные, юго-западные и западные. Минимальная из средних скоростей ветра за июль составляет 2,6 м/с.</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теплый период года температура воздуха обеспеченностью 99% составляет +28,2ºС. Средняя температура наружного воздуха наиболее теплого месяца (июль) +19,2ºС. Абсолютная максимальная температура достигает +37ºС.</w:t>
      </w:r>
    </w:p>
    <w:p w:rsidR="00D14EDE" w:rsidRPr="00B06469" w:rsidRDefault="00D14EDE" w:rsidP="001F0139">
      <w:pPr>
        <w:spacing w:after="0" w:line="360" w:lineRule="auto"/>
        <w:ind w:firstLine="709"/>
        <w:jc w:val="both"/>
        <w:rPr>
          <w:rFonts w:ascii="Times New Roman" w:hAnsi="Times New Roman" w:cs="Times New Roman"/>
          <w:color w:val="000000"/>
          <w:sz w:val="24"/>
          <w:szCs w:val="24"/>
        </w:rPr>
      </w:pPr>
      <w:r w:rsidRPr="00B06469">
        <w:rPr>
          <w:rFonts w:ascii="Times New Roman" w:hAnsi="Times New Roman" w:cs="Times New Roman"/>
          <w:sz w:val="24"/>
          <w:szCs w:val="24"/>
        </w:rPr>
        <w:t>Переход среднесуточной температуры воздуха через 0ºС в сторону понижения осуществляется в середине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163 дня. Разрушения снежного покрова в среднем отмечаются во второй декаде апреля. Окончательно снег сходит в середине апреля.</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Среднегодовое количество осадков составляет до 400 мм. Многолетние данные показывают, что распределение осадков в течение года весьма неравномерно. Наибольшее количество осадков (около 300мм) приходится на летние и осенние месяцы и только небольшая часть (114мм) их приходится на холодный период. В соответствии с небольшим количеством зимних осадков снеговой покров не достигает значительной высоты - от 36-45 см. Характерным является медленное накопление снега в начале зимы и быстрое таяние весной.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Рельеф.</w:t>
      </w:r>
      <w:r w:rsidRPr="00B06469">
        <w:rPr>
          <w:rFonts w:ascii="Times New Roman" w:hAnsi="Times New Roman" w:cs="Times New Roman"/>
          <w:sz w:val="24"/>
          <w:szCs w:val="24"/>
        </w:rPr>
        <w:t xml:space="preserve"> Сельское поселение Камышла расположено в долине между двумя холмами (с восточной и западной стороны). Территория поселения представляет собой холмистую равнину, с повышением в северо-восточном и восточном направлениях, прорезанную многочисленными тальвегами. Абсолютные отметки колеблются от 104,9 до 197,5 м.</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Для Камышлинского района характерна сильная расчлененность рельефа (0,86 км/км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xml:space="preserve">) с глубоко врезанными речными долинами, плоскими формами водоразделов и ступенчатыми водораздельными склонами.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Особенностью рельефа района проектирования является асимметричное строение водоразделов, резкая крутизна склонов к долине основной реки Сок, а также рек: Байтуган, Сухая Окана, Телегас, Уксада.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Территория района делится долиной реки Сок на южную (левобережную) и северную (правобережную) части, резко отличающиеся друг от друга по формам рельефа.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Возвышенности, идущие вдоль правого берега р. Сок, являются отрогами Бугульминско-Белебеевской возвышенности и в границах Камышлинского района имеют </w:t>
      </w:r>
      <w:r w:rsidRPr="00B06469">
        <w:rPr>
          <w:rFonts w:ascii="Times New Roman" w:hAnsi="Times New Roman" w:cs="Times New Roman"/>
          <w:sz w:val="24"/>
          <w:szCs w:val="24"/>
        </w:rPr>
        <w:lastRenderedPageBreak/>
        <w:t>высоту от 150 до 213 метров над уровнем моря. Севернее села Ерилкино располагается самая высокая точка района с отметкой 330 м над уровнем моря.</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Глубокие долины правых притоков реки Сок образуют водоразделы второго порядка в виде ряда волнистых перевалов, простирающихся с севера на юг на 18-20 км. Вершины перевалов обычно имеют вид неровных сыртов и возвышенностей в виде отдельных холмов или гряд, разделенных седлообразными впадинами, и редко выравниваются в плато.</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Рельеф левобережья р. Сок представляет собой узкое, постепенно понижающееся к юго-западу, плато водораздела рек Сок и Большой Кинель. Остальная часть территории района представлена водораздельными склонами, рассеченными речками и оврагами в меридиональном направлении.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Вниз по течению р. Сок отметки рельефа постепенно понижаются, наиболее низкую отметку (95 м над уровнем моря) имеет долина р. Сок у села Камышла.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Почвы.</w:t>
      </w:r>
      <w:r w:rsidRPr="00B06469">
        <w:rPr>
          <w:rFonts w:ascii="Times New Roman" w:hAnsi="Times New Roman" w:cs="Times New Roman"/>
          <w:sz w:val="24"/>
          <w:szCs w:val="24"/>
        </w:rPr>
        <w:t xml:space="preserve"> Главным природным богатством района являются черноземные почвы (43,3 тыс. га, среднее положение по доле земель с.-х. назначения среди муниципальных районов Самарской области – более 70%).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Почвы поселения относятся к средне- и малогумусным. Преобладающие типы почв: сочетание черноземов выщелоченных типичных, в том числе типичных остаточно-карбонатных, часто смытых с участием серых лесных и черноземовыщелоченных остаточнолуговых. В силу развития процессов водной эрозии на пологих и слабопокатых склонах водоразделов сформировались слабосмытые черноземы. Среднесмытые черноземы, выделены на покатых склонах, сильно смытые черноземы – на сильнопокатых склонах. Широко распространены в низменных местах пойменные и наносные почвы. Имеются болотно-глинистые, иловато-глинистые, карбонатные, торфяно-болотные, щебневые и много других разновидностей, которых в районе насчитывается более 40. В долине р. Сок в виде небольших островков встречаются солонцы и солончаки.</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Лесные ресурсы.</w:t>
      </w:r>
      <w:r w:rsidRPr="00B06469">
        <w:rPr>
          <w:rFonts w:ascii="Times New Roman" w:hAnsi="Times New Roman" w:cs="Times New Roman"/>
          <w:sz w:val="24"/>
          <w:szCs w:val="24"/>
        </w:rPr>
        <w:t xml:space="preserve"> Пейзажи Камышлинского района представляют собой удивительное сочетание бесконечного приволья и уюта, дикости и гармонии. Природа Камышлинского района богата уникальными уголками: живописные возвышенности, речная долина, поросшая камышом, трехсотлетние сосны. В 10 км от райцентра расположен чудом сохранившийся в практически первозданном виде со времен последнего межледникового периода участок древней тайги, называемый «Камышлинское чернолесье». Он представляет собой реликтовый смешанный лес, в котором соседствуют рядом друг с другом дубравы, осинники, березняки, сосновые боры. Не менее интересна и </w:t>
      </w:r>
      <w:r w:rsidRPr="00B06469">
        <w:rPr>
          <w:rFonts w:ascii="Times New Roman" w:hAnsi="Times New Roman" w:cs="Times New Roman"/>
          <w:sz w:val="24"/>
          <w:szCs w:val="24"/>
        </w:rPr>
        <w:lastRenderedPageBreak/>
        <w:t xml:space="preserve">Камышлинская кленово-ясменниковая дубрава, особенностью которой является крайне редкое для мест лесостепной зоны смешение разнообразных древесных, кустарниковых и травянистых растений. Учеными здесь был обнаружен ряд исчезающих видов растений, занесенных в Красную книгу России, например, ясменник пахучий и майник двулистный из семейства орхидей.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Лесопокрытая площадь района равна 20% и занимает 18000 га. Лесные ресурсы с подавляющим преобладанием лиственных пород деревьев в экономике территории в настоящее время используются крайне недостаточно. Для повышения экономической устойчивости муниципального района необходимо взаимодействие с соседними муниципальными образованиями по реализации совместных проектов.</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Животный мир.</w:t>
      </w:r>
      <w:r w:rsidRPr="00B06469">
        <w:rPr>
          <w:rFonts w:ascii="Times New Roman" w:hAnsi="Times New Roman" w:cs="Times New Roman"/>
          <w:sz w:val="24"/>
          <w:szCs w:val="24"/>
        </w:rPr>
        <w:t xml:space="preserve"> Камышлинского района насчитывает 78 видов млекопитающих, 285 видов птиц, 11 видов земноводных, столько же беспозвоночных. В целом фауна района довольно бедна, что объясняется сокращением площади лесов и целинных земель в степной части.</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Водные ресурсы.</w:t>
      </w:r>
      <w:r w:rsidRPr="00B06469">
        <w:rPr>
          <w:rFonts w:ascii="Times New Roman" w:hAnsi="Times New Roman" w:cs="Times New Roman"/>
          <w:b/>
          <w:i/>
          <w:sz w:val="24"/>
          <w:szCs w:val="24"/>
        </w:rPr>
        <w:t xml:space="preserve"> </w:t>
      </w:r>
      <w:r w:rsidRPr="00B06469">
        <w:rPr>
          <w:rFonts w:ascii="Times New Roman" w:hAnsi="Times New Roman" w:cs="Times New Roman"/>
          <w:sz w:val="24"/>
          <w:szCs w:val="24"/>
        </w:rPr>
        <w:t>Территория муниципального района Камышлинский относится к Средневолжскому гидрологическому району. Наиболее характерной фазой водного режима рек области является весеннее половодье, в период которого на реках правобережья Волги проходит 55-75% годового стока, в бассейнах южного левобережья – 85-100%.</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Все реки района питаются в основном за счет атмосферных осадков. Грунтовое питание невелико и не превышает 20% годового стока. Сток рек формируется за счет зимних осадков, осадки теплого периода в питании рек принимают незначительное участие.</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 востока на запад на протяжении 80 км район пересекает река Сок, являющаяся левым притоком Волги и самой большой рекой района. Река Сок в пределах района принимает ряд притоков, из них крупнейшие – Уксуда (25км), Байтуган (21км), Камышлинка (18 км), Телегаз (19км), а также более мелкие – Сухая Окана, Мустай, Елга-Буй. На юге района протекают реки Ална (13 км) и Медведка. Общая длина всех рек района около 200 км. Сила падающей воды рек используется в хозяйстве района. На территории района имеется 9 озер, зеркальная площадь которых составляет 540 кв.м. В долинах р. Сок и его притоков имеется много пойменных болот, а на возвышенных местах – верховые болота, самое большое из них – Моховое. Общая площадь всех болот района составляет 245 га.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lastRenderedPageBreak/>
        <w:t>Подземные воды.</w:t>
      </w:r>
      <w:r w:rsidRPr="00B06469">
        <w:rPr>
          <w:rFonts w:ascii="Times New Roman" w:hAnsi="Times New Roman" w:cs="Times New Roman"/>
          <w:b/>
          <w:i/>
          <w:color w:val="365F91"/>
          <w:sz w:val="24"/>
          <w:szCs w:val="24"/>
        </w:rPr>
        <w:t xml:space="preserve"> </w:t>
      </w:r>
      <w:r w:rsidRPr="00B06469">
        <w:rPr>
          <w:rFonts w:ascii="Times New Roman" w:hAnsi="Times New Roman" w:cs="Times New Roman"/>
          <w:sz w:val="24"/>
          <w:szCs w:val="24"/>
        </w:rPr>
        <w:t>Водную систему Камышлинского района, помимо крупных и мелких рек, озер, болот, ручьев, образуют многочисленные пресноводные родники, которые испокон веков поили население чистейшей водой. Камышлинцы чтут источники и оберегают их. Самый крупный родник – Озын-Тау (в переводе с татарского – «длинная гора») располагается на левом берегу реки Камышла, вблизи села Давлеткулово, и дает 600 литров воды в час. У подножия горы Умар-Тау в 112-м квартале Камышлинского лесничества бьет родник Шарлак, в долине реки Буз-Баш находится родник Медвежий колодец, оба они снабжают население питьевой водой (до 400 литров в час).</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Среди родников Камышлинского района есть и такие, воды которых содержат примесь чистой серы или ее солей и обладают лечебными свойствами. В долине реки Сок на 10 квадратных метрах из пластов глины на поверхность земли выбиваются сразу несколько минеральных источников, образующих систему, получившую название «Камышлинская Мацеста». Наиболее мощный из них расположен на левом берегу реки Якшыгул. Рядом с селом Новое Усманово расположен еще один серный источник, пользующийся особой популярностью у бальнеологов.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Возможно выведение и использование в лечебных целях подземных минеральных вод, содержащих: сероводород, бром, йод и другие микроэлементы. Глубина их залегания определяется геологическим строением территории и требует дополнительного изучения. Однако обоснование и разработки этих проектов тормозятся, так как требуют вложения больших финансовых ресурсов.</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eastAsia="Times New Roman" w:hAnsi="Times New Roman" w:cs="Times New Roman"/>
          <w:b/>
          <w:i/>
          <w:color w:val="365F91"/>
          <w:sz w:val="24"/>
          <w:szCs w:val="24"/>
          <w:lang w:eastAsia="ru-RU"/>
        </w:rPr>
        <w:t xml:space="preserve">Полезные ископаемые. </w:t>
      </w:r>
      <w:r w:rsidRPr="00B06469">
        <w:rPr>
          <w:rFonts w:ascii="Times New Roman" w:hAnsi="Times New Roman" w:cs="Times New Roman"/>
          <w:sz w:val="24"/>
          <w:szCs w:val="24"/>
        </w:rPr>
        <w:t>Территория характеризуется преимущественно слабым природно-ресурсным потенциалом. Недра района содержат углеводородное сырье – нефть (1,07 % от запасов по области). Выявлено 10 месторождений нефти. Нефть залегает на сравнительно небольшой глубине. Богатые нефтяные пласты приурочены в основном к толщам карбонатных осадков и песчаников коренных пермских пород каменноугольного периода, составляющих основу геологического строения района. Разрабатываемые нефтяные месторождения расположены в восточной части территории Камышлинского района. На существующее положение степень их освоенности не превышает 1%.</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запасам нефти район занимает 22 место среди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 xml:space="preserve">ов и районов области. В 2014 году на территории района добычу нефти осуществляло ООО «Байтекс» на Байтуганском месторождении. В последние годы на территории района открыты Ямское и Улпанское (на границе с Исаклинским районом) месторождения нефти, имеющие небольшие запасы, и расположены две структуры, подготовленные к глубокому бурению – Ермаковская и Турнаевская.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Кроме нефти к разряду энергетического сырья, имеющегося в недрах рассматриваемой территории, относится торф. </w:t>
      </w:r>
      <w:r w:rsidRPr="007223A6">
        <w:rPr>
          <w:rFonts w:ascii="Times New Roman" w:hAnsi="Times New Roman" w:cs="Times New Roman"/>
          <w:sz w:val="24"/>
          <w:szCs w:val="24"/>
        </w:rPr>
        <w:t>Его запасы разведаны в 1941 году на территории с. Старое Ермаково. Месторождение не разрабатывается</w:t>
      </w:r>
      <w:r w:rsidR="000037AD" w:rsidRPr="007223A6">
        <w:rPr>
          <w:rFonts w:ascii="Times New Roman" w:hAnsi="Times New Roman" w:cs="Times New Roman"/>
          <w:sz w:val="24"/>
          <w:szCs w:val="24"/>
        </w:rPr>
        <w:t>, балансом не учтено</w:t>
      </w:r>
      <w:r w:rsidRPr="007223A6">
        <w:rPr>
          <w:rFonts w:ascii="Times New Roman" w:hAnsi="Times New Roman" w:cs="Times New Roman"/>
          <w:sz w:val="24"/>
          <w:szCs w:val="24"/>
        </w:rPr>
        <w:t>.</w:t>
      </w:r>
    </w:p>
    <w:p w:rsidR="0026379C" w:rsidRPr="007223A6"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На территории муниципального образования имеются также месторождения некоторых видов неметаллических полезных ископаемых (глинистого сырья, гипса, карбонатных и битумсодержащих пород, бутового камня, галечника, горного песка; добывается горная масса для выработки алебастра, гипса, извести, щебня). При отделении </w:t>
      </w:r>
      <w:r w:rsidRPr="007223A6">
        <w:rPr>
          <w:rFonts w:ascii="Times New Roman" w:hAnsi="Times New Roman" w:cs="Times New Roman"/>
          <w:sz w:val="24"/>
          <w:szCs w:val="24"/>
        </w:rPr>
        <w:t>Камышлинского района от Клявлинского, на его территории остались три месторождения, стоящие на государственном балансе: Бузбашское глинистого сырья, Буз</w:t>
      </w:r>
      <w:r w:rsidR="000037AD" w:rsidRPr="007223A6">
        <w:rPr>
          <w:rFonts w:ascii="Times New Roman" w:hAnsi="Times New Roman" w:cs="Times New Roman"/>
          <w:sz w:val="24"/>
          <w:szCs w:val="24"/>
        </w:rPr>
        <w:t>-</w:t>
      </w:r>
      <w:r w:rsidRPr="007223A6">
        <w:rPr>
          <w:rFonts w:ascii="Times New Roman" w:hAnsi="Times New Roman" w:cs="Times New Roman"/>
          <w:sz w:val="24"/>
          <w:szCs w:val="24"/>
        </w:rPr>
        <w:t>баш гипса и</w:t>
      </w:r>
      <w:r w:rsidR="000037AD" w:rsidRPr="007223A6">
        <w:rPr>
          <w:rFonts w:ascii="Times New Roman" w:hAnsi="Times New Roman" w:cs="Times New Roman"/>
          <w:sz w:val="24"/>
          <w:szCs w:val="24"/>
        </w:rPr>
        <w:t xml:space="preserve"> разрабатываемое месторождение</w:t>
      </w:r>
      <w:r w:rsidRPr="007223A6">
        <w:rPr>
          <w:rFonts w:ascii="Times New Roman" w:hAnsi="Times New Roman" w:cs="Times New Roman"/>
          <w:sz w:val="24"/>
          <w:szCs w:val="24"/>
        </w:rPr>
        <w:t xml:space="preserve"> строительного камня</w:t>
      </w:r>
      <w:r w:rsidR="000037AD" w:rsidRPr="007223A6">
        <w:rPr>
          <w:rFonts w:ascii="Times New Roman" w:hAnsi="Times New Roman" w:cs="Times New Roman"/>
          <w:sz w:val="24"/>
          <w:szCs w:val="24"/>
        </w:rPr>
        <w:t xml:space="preserve"> Буз-баш</w:t>
      </w:r>
      <w:r w:rsidRPr="007223A6">
        <w:rPr>
          <w:rFonts w:ascii="Times New Roman" w:hAnsi="Times New Roman" w:cs="Times New Roman"/>
          <w:sz w:val="24"/>
          <w:szCs w:val="24"/>
        </w:rPr>
        <w:t>. Добыча полезных ископаемых на них ведется с привлечением местных трудовых ресурсов. В районе имеется еще одно</w:t>
      </w:r>
      <w:r w:rsidR="0026379C" w:rsidRPr="007223A6">
        <w:rPr>
          <w:rFonts w:ascii="Times New Roman" w:hAnsi="Times New Roman" w:cs="Times New Roman"/>
          <w:sz w:val="24"/>
          <w:szCs w:val="24"/>
        </w:rPr>
        <w:t xml:space="preserve"> предварительно оцененное,  учтенное бал</w:t>
      </w:r>
      <w:r w:rsidRPr="007223A6">
        <w:rPr>
          <w:rFonts w:ascii="Times New Roman" w:hAnsi="Times New Roman" w:cs="Times New Roman"/>
          <w:sz w:val="24"/>
          <w:szCs w:val="24"/>
        </w:rPr>
        <w:t>анс</w:t>
      </w:r>
      <w:r w:rsidR="0026379C" w:rsidRPr="007223A6">
        <w:rPr>
          <w:rFonts w:ascii="Times New Roman" w:hAnsi="Times New Roman" w:cs="Times New Roman"/>
          <w:sz w:val="24"/>
          <w:szCs w:val="24"/>
        </w:rPr>
        <w:t xml:space="preserve">ом, </w:t>
      </w:r>
      <w:r w:rsidRPr="007223A6">
        <w:rPr>
          <w:rFonts w:ascii="Times New Roman" w:hAnsi="Times New Roman" w:cs="Times New Roman"/>
          <w:sz w:val="24"/>
          <w:szCs w:val="24"/>
        </w:rPr>
        <w:t>Б</w:t>
      </w:r>
      <w:r w:rsidR="0026379C" w:rsidRPr="007223A6">
        <w:rPr>
          <w:rFonts w:ascii="Times New Roman" w:hAnsi="Times New Roman" w:cs="Times New Roman"/>
          <w:sz w:val="24"/>
          <w:szCs w:val="24"/>
        </w:rPr>
        <w:t>айтуганское месторождение</w:t>
      </w:r>
      <w:r w:rsidRPr="007223A6">
        <w:rPr>
          <w:rFonts w:ascii="Times New Roman" w:hAnsi="Times New Roman" w:cs="Times New Roman"/>
          <w:sz w:val="24"/>
          <w:szCs w:val="24"/>
        </w:rPr>
        <w:t xml:space="preserve"> битум</w:t>
      </w:r>
      <w:r w:rsidR="0026379C" w:rsidRPr="007223A6">
        <w:rPr>
          <w:rFonts w:ascii="Times New Roman" w:hAnsi="Times New Roman" w:cs="Times New Roman"/>
          <w:sz w:val="24"/>
          <w:szCs w:val="24"/>
        </w:rPr>
        <w:t>о</w:t>
      </w:r>
      <w:r w:rsidRPr="007223A6">
        <w:rPr>
          <w:rFonts w:ascii="Times New Roman" w:hAnsi="Times New Roman" w:cs="Times New Roman"/>
          <w:sz w:val="24"/>
          <w:szCs w:val="24"/>
        </w:rPr>
        <w:t xml:space="preserve">содержащих пород, пригодных для использования в строительстве автомобильных дорог. В настоящее время не разрабатывается. </w:t>
      </w:r>
    </w:p>
    <w:p w:rsidR="00D14EDE" w:rsidRPr="007223A6" w:rsidRDefault="00D14EDE" w:rsidP="001F0139">
      <w:pPr>
        <w:spacing w:after="0" w:line="360" w:lineRule="auto"/>
        <w:ind w:firstLine="709"/>
        <w:jc w:val="both"/>
        <w:rPr>
          <w:rFonts w:ascii="Times New Roman" w:hAnsi="Times New Roman" w:cs="Times New Roman"/>
          <w:sz w:val="24"/>
          <w:szCs w:val="24"/>
        </w:rPr>
      </w:pPr>
      <w:r w:rsidRPr="007223A6">
        <w:rPr>
          <w:rFonts w:ascii="Times New Roman" w:hAnsi="Times New Roman" w:cs="Times New Roman"/>
          <w:sz w:val="24"/>
          <w:szCs w:val="24"/>
        </w:rPr>
        <w:t>В районе есть перспективы нахождения месторождений: глины кирпичной, глины керамзитовой, песков строительных</w:t>
      </w:r>
      <w:r w:rsidR="0026379C" w:rsidRPr="007223A6">
        <w:rPr>
          <w:rFonts w:ascii="Times New Roman" w:hAnsi="Times New Roman" w:cs="Times New Roman"/>
          <w:sz w:val="24"/>
          <w:szCs w:val="24"/>
        </w:rPr>
        <w:t>, гипса</w:t>
      </w:r>
      <w:r w:rsidRPr="007223A6">
        <w:rPr>
          <w:rFonts w:ascii="Times New Roman" w:hAnsi="Times New Roman" w:cs="Times New Roman"/>
          <w:sz w:val="24"/>
          <w:szCs w:val="24"/>
        </w:rPr>
        <w:t xml:space="preserve">. </w:t>
      </w:r>
    </w:p>
    <w:p w:rsidR="00D14EDE" w:rsidRPr="007223A6" w:rsidRDefault="00D14EDE" w:rsidP="001F0139">
      <w:pPr>
        <w:spacing w:after="0" w:line="360" w:lineRule="auto"/>
        <w:ind w:firstLine="709"/>
        <w:jc w:val="both"/>
        <w:rPr>
          <w:rFonts w:ascii="Times New Roman" w:hAnsi="Times New Roman" w:cs="Times New Roman"/>
          <w:sz w:val="24"/>
          <w:szCs w:val="24"/>
        </w:rPr>
      </w:pPr>
      <w:r w:rsidRPr="007223A6">
        <w:rPr>
          <w:rFonts w:ascii="Times New Roman" w:hAnsi="Times New Roman" w:cs="Times New Roman"/>
          <w:sz w:val="24"/>
          <w:szCs w:val="24"/>
        </w:rPr>
        <w:t>Известняки и доломиты здесь представлены в основном слабыми и средней крепости разностями, с прослоями глин и интереса в качестве строительного камня не представляют.</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7223A6">
        <w:rPr>
          <w:rFonts w:ascii="Times New Roman" w:hAnsi="Times New Roman" w:cs="Times New Roman"/>
          <w:sz w:val="24"/>
          <w:szCs w:val="24"/>
        </w:rPr>
        <w:t>Таким образом, в настоящее время в районе используются лишь углеводородные, строительные и сельскохозяйственные ресурсы. От использования углеводородных ресурсов район большой выгоды не получает, поскольку эксплуатация нефтяных</w:t>
      </w:r>
      <w:r w:rsidRPr="00B06469">
        <w:rPr>
          <w:rFonts w:ascii="Times New Roman" w:hAnsi="Times New Roman" w:cs="Times New Roman"/>
          <w:sz w:val="24"/>
          <w:szCs w:val="24"/>
        </w:rPr>
        <w:t xml:space="preserve"> месторождений ведется предприятиями, зарегистрированными в соседних районах. Использование строительного сырья и других видов минеральных ресурсов ведется не в полной мере из-за отсутствия финансовых ресурсов.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районе расположены два геологических памятника природы - гора Куратас-Чагы и заброшенный карьер у села Новое Усманово.</w:t>
      </w:r>
    </w:p>
    <w:p w:rsidR="00D14EDE" w:rsidRPr="00B06469" w:rsidRDefault="00D14EDE" w:rsidP="001F0139">
      <w:pPr>
        <w:spacing w:after="0" w:line="360" w:lineRule="auto"/>
        <w:ind w:firstLine="709"/>
        <w:jc w:val="both"/>
        <w:rPr>
          <w:rFonts w:ascii="Times New Roman" w:hAnsi="Times New Roman" w:cs="Times New Roman"/>
          <w:bCs/>
          <w:sz w:val="24"/>
          <w:szCs w:val="24"/>
        </w:rPr>
      </w:pPr>
      <w:r w:rsidRPr="00B06469">
        <w:rPr>
          <w:rFonts w:ascii="Times New Roman" w:eastAsia="Times New Roman" w:hAnsi="Times New Roman" w:cs="Times New Roman"/>
          <w:b/>
          <w:i/>
          <w:color w:val="365F91"/>
          <w:sz w:val="24"/>
          <w:szCs w:val="24"/>
          <w:lang w:eastAsia="ru-RU"/>
        </w:rPr>
        <w:t>Экология.</w:t>
      </w:r>
      <w:r w:rsidRPr="00B06469">
        <w:rPr>
          <w:rFonts w:ascii="Times New Roman" w:hAnsi="Times New Roman" w:cs="Times New Roman"/>
          <w:b/>
          <w:i/>
          <w:color w:val="365F91"/>
          <w:sz w:val="24"/>
          <w:szCs w:val="24"/>
        </w:rPr>
        <w:t xml:space="preserve"> </w:t>
      </w:r>
      <w:r w:rsidRPr="00B06469">
        <w:rPr>
          <w:rFonts w:ascii="Times New Roman" w:eastAsia="Times New Roman" w:hAnsi="Times New Roman" w:cs="Times New Roman"/>
          <w:sz w:val="24"/>
          <w:szCs w:val="24"/>
        </w:rPr>
        <w:t xml:space="preserve">Экологическую обстановку в муниципальном районе можно охарактеризовать как хорошую, сопровождаемую средним уровнем загрязнения атмосферного воздуха. Однако, снижаются текущие затраты на охрану окружающей среды, 17251 тыс. руб. </w:t>
      </w:r>
      <w:r w:rsidRPr="00B06469">
        <w:rPr>
          <w:rFonts w:ascii="Times New Roman" w:hAnsi="Times New Roman" w:cs="Times New Roman"/>
          <w:bCs/>
          <w:sz w:val="24"/>
          <w:szCs w:val="24"/>
        </w:rPr>
        <w:t>в 2015 году, 12169 тыс. руб. в 2016 году, 11989 тыс. руб. в 2018 году, что составляет 69% от уровня 2015 года.</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Основными источниками загрязнения атмосферы на территории муниципального района Камышлинский являются стационарные источники выбросов от технологических </w:t>
      </w:r>
      <w:r w:rsidRPr="00B06469">
        <w:rPr>
          <w:rFonts w:ascii="Times New Roman" w:hAnsi="Times New Roman" w:cs="Times New Roman"/>
          <w:sz w:val="24"/>
          <w:szCs w:val="24"/>
        </w:rPr>
        <w:lastRenderedPageBreak/>
        <w:t>участков производственных объектов, дымовые трубы котельных и автомобиль</w:t>
      </w:r>
      <w:bookmarkStart w:id="8" w:name="OCRUncertain207"/>
      <w:bookmarkEnd w:id="8"/>
      <w:r w:rsidRPr="00B06469">
        <w:rPr>
          <w:rFonts w:ascii="Times New Roman" w:hAnsi="Times New Roman" w:cs="Times New Roman"/>
          <w:sz w:val="24"/>
          <w:szCs w:val="24"/>
        </w:rPr>
        <w:t>ный транспорт.</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Камышлинском районе на 2016 год выделяют 7 стационарных источников, имеющих выбросы загрязняющих веществ в атмосферу, 10 и более тонн в год, а также с объемом разрешенного выброса от 5 до 10 тонн в год включительно при наличии в составе выбросов загрязняющих веществ 1 и (или) 2 класса опасности (рис. 1.3.1). </w:t>
      </w:r>
    </w:p>
    <w:p w:rsidR="00D14EDE" w:rsidRPr="00B06469" w:rsidRDefault="00204F22" w:rsidP="001F01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Rectangle 48" o:spid="_x0000_s1026" style="position:absolute;left:0;text-align:left;margin-left:78.5pt;margin-top:-.35pt;width:338.1pt;height:42.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" fillcolor="#365f91" strokecolor="#365f91">
            <v:textbox style="mso-next-textbox:#Rectangle 48">
              <w:txbxContent>
                <w:p w:rsidR="001202C5" w:rsidRPr="008B54AA" w:rsidRDefault="001202C5" w:rsidP="00D14EDE">
                  <w:pPr>
                    <w:spacing w:after="0" w:line="240" w:lineRule="auto"/>
                    <w:jc w:val="center"/>
                  </w:pPr>
                  <w:r>
                    <w:rPr>
                      <w:rFonts w:ascii="Times New Roman" w:hAnsi="Times New Roman"/>
                      <w:b/>
                      <w:bCs/>
                      <w:color w:val="FFFFFF"/>
                      <w:sz w:val="20"/>
                      <w:szCs w:val="20"/>
                    </w:rPr>
                    <w:t>В Камышлинском районе число объектов, имеющих выбросы загрязняющих веществ в атмосферу от стационарных источников, с 2014 года имеет тенденцию к росту</w:t>
                  </w:r>
                </w:p>
              </w:txbxContent>
            </v:textbox>
          </v:rect>
        </w:pict>
      </w:r>
      <w:r w:rsidR="00D14EDE" w:rsidRPr="00B06469">
        <w:rPr>
          <w:rFonts w:ascii="Times New Roman" w:hAnsi="Times New Roman" w:cs="Times New Roman"/>
          <w:noProof/>
          <w:sz w:val="24"/>
          <w:szCs w:val="24"/>
          <w:lang w:eastAsia="ru-RU"/>
        </w:rPr>
        <w:drawing>
          <wp:inline distT="0" distB="0" distL="0" distR="0" wp14:anchorId="16F4DC41" wp14:editId="4AB26E2C">
            <wp:extent cx="4293491" cy="2335530"/>
            <wp:effectExtent l="6095" t="6096" r="4444" b="5334"/>
            <wp:docPr id="172"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14EDE" w:rsidRPr="00B06469" w:rsidRDefault="00D14EDE"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2017. Статистический сборник. Здесь и далее аналитика ФГБОУ ВО «СГЭУ»</w:t>
      </w:r>
    </w:p>
    <w:p w:rsidR="00D14EDE" w:rsidRPr="00B06469" w:rsidRDefault="00D14EDE"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1.3.1 – Число объектов Камышлинского района, имеющих выбросы загрязняющих веществ в атмосферу от стационарных источников, единиц</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Химический состав выбросов от промобъектов района Камышлинский представлен преимущественно следующими веществами: углеводороды, сероводород, диоксид серы, диоксид азота, оксид углерода, бенз(а)пирен, бензин нефтяной, сажа, пыль древесная.</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 данным 2016 года количество загрязняющих веществ, отходящих от всех источников составляет 2,2 тыс. тонн (по экологическому паспорту территории 2013 года - без очистки). При этом до 2015 года наблюдалась динамика снижения выбросов по сравнению с 2009-2010 годами (рис. 1.3.2).</w:t>
      </w:r>
    </w:p>
    <w:p w:rsidR="00D14EDE" w:rsidRPr="00B06469" w:rsidRDefault="00204F22" w:rsidP="001F0139">
      <w:pPr>
        <w:spacing w:after="0" w:line="360" w:lineRule="auto"/>
        <w:ind w:firstLine="567"/>
        <w:jc w:val="center"/>
        <w:rPr>
          <w:rFonts w:ascii="Times New Roman" w:hAnsi="Times New Roman" w:cs="Times New Roman"/>
          <w:sz w:val="24"/>
          <w:szCs w:val="24"/>
          <w:lang w:val="en-US"/>
        </w:rPr>
      </w:pPr>
      <w:r>
        <w:rPr>
          <w:rFonts w:ascii="Times New Roman" w:hAnsi="Times New Roman" w:cs="Times New Roman"/>
          <w:noProof/>
          <w:sz w:val="24"/>
          <w:szCs w:val="24"/>
        </w:rPr>
        <w:pict>
          <v:rect id="_x0000_s1027" style="position:absolute;left:0;text-align:left;margin-left:78.5pt;margin-top:.15pt;width:338.1pt;height:3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" fillcolor="#365f91" strokecolor="#365f91">
            <v:textbox style="mso-next-textbox:#_x0000_s1027">
              <w:txbxContent>
                <w:p w:rsidR="001202C5" w:rsidRPr="00053AE0" w:rsidRDefault="001202C5" w:rsidP="00D14EDE">
                  <w:pPr>
                    <w:spacing w:after="0" w:line="240" w:lineRule="auto"/>
                    <w:jc w:val="center"/>
                    <w:rPr>
                      <w:rFonts w:ascii="Times New Roman Полужирный" w:hAnsi="Times New Roman Полужирный"/>
                      <w:b/>
                      <w:bCs/>
                      <w:color w:val="FFFFFF"/>
                      <w:sz w:val="20"/>
                      <w:szCs w:val="20"/>
                    </w:rPr>
                  </w:pPr>
                  <w:r w:rsidRPr="00425A32">
                    <w:rPr>
                      <w:rFonts w:ascii="Times New Roman Полужирный" w:hAnsi="Times New Roman Полужирный"/>
                      <w:b/>
                      <w:bCs/>
                      <w:color w:val="FFFFFF"/>
                      <w:sz w:val="20"/>
                      <w:szCs w:val="20"/>
                    </w:rPr>
                    <w:t xml:space="preserve">В Камышлинском районе выбросы загрязняющих веществ в атмосферу </w:t>
                  </w:r>
                  <w:r w:rsidRPr="00053AE0">
                    <w:rPr>
                      <w:rFonts w:ascii="Times New Roman Полужирный" w:hAnsi="Times New Roman Полужирный"/>
                      <w:b/>
                      <w:bCs/>
                      <w:color w:val="FFFFFF"/>
                      <w:sz w:val="20"/>
                      <w:szCs w:val="20"/>
                    </w:rPr>
                    <w:t>в последние годы нестабильны</w:t>
                  </w:r>
                </w:p>
              </w:txbxContent>
            </v:textbox>
          </v:rect>
        </w:pict>
      </w:r>
      <w:r w:rsidR="00D14EDE" w:rsidRPr="00B06469">
        <w:rPr>
          <w:rFonts w:ascii="Times New Roman" w:hAnsi="Times New Roman" w:cs="Times New Roman"/>
          <w:noProof/>
          <w:sz w:val="24"/>
          <w:szCs w:val="24"/>
          <w:lang w:eastAsia="ru-RU"/>
        </w:rPr>
        <w:drawing>
          <wp:inline distT="0" distB="0" distL="0" distR="0" wp14:anchorId="3A396F8B" wp14:editId="4878EE01">
            <wp:extent cx="4297680" cy="2334895"/>
            <wp:effectExtent l="0" t="0" r="0" b="0"/>
            <wp:docPr id="176" name="Диаграмма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4EDE" w:rsidRPr="00B06469" w:rsidRDefault="00D14EDE" w:rsidP="001F0139">
      <w:pPr>
        <w:spacing w:after="0" w:line="240" w:lineRule="auto"/>
        <w:jc w:val="center"/>
        <w:rPr>
          <w:rFonts w:ascii="Times New Roman" w:hAnsi="Times New Roman" w:cs="Times New Roman"/>
          <w:noProof/>
          <w:sz w:val="24"/>
          <w:szCs w:val="24"/>
          <w:lang w:eastAsia="ru-RU"/>
        </w:rPr>
      </w:pPr>
      <w:r w:rsidRPr="00B06469">
        <w:rPr>
          <w:rFonts w:ascii="Times New Roman" w:eastAsia="Times New Roman" w:hAnsi="Times New Roman" w:cs="Times New Roman"/>
          <w:b/>
          <w:sz w:val="24"/>
          <w:szCs w:val="24"/>
        </w:rPr>
        <w:lastRenderedPageBreak/>
        <w:t>Рисунок 1.3.2 – Выбросы загрязняющих веществ в атмосферу в Камышлинском муниципальном районе 2006-2016 гг., тыс. тонн</w:t>
      </w:r>
    </w:p>
    <w:p w:rsidR="00D14EDE" w:rsidRPr="00B06469" w:rsidRDefault="00D14EDE" w:rsidP="001F0139">
      <w:pPr>
        <w:spacing w:after="0" w:line="360" w:lineRule="auto"/>
        <w:ind w:firstLine="709"/>
        <w:jc w:val="both"/>
        <w:rPr>
          <w:rFonts w:ascii="Times New Roman" w:hAnsi="Times New Roman" w:cs="Times New Roman"/>
          <w:sz w:val="24"/>
          <w:szCs w:val="24"/>
        </w:rPr>
      </w:pP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Анализ данных статистической отчетности прошлых лет по производственным объектам муниципального района Камышлинский показал, что наибольший вклад в загрязнение атмосферного воздуха вносят предприятия нефтедобычи: ОАО «Самараинвестнефть» и ООО «Байтекс» (основные загрязняющие вещества - диоксид серы и углеводороды (летучие органические соединения).</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Теплоснабжение существующей жилой застройки в населенных пунктах Камышлинского района решается от автономных (встроенных, пристроенных модулей) котельных на газовом топливе. Основными загрязняющими веществами, поступающими в атмосферу от источников теплоснабжения, являются диоксид азота и окись углерода. Наиболее токсичным из названных ингредиентов является диоксид азота, который относится к третьему классу опасности (см. ГН 2.1.6.1983-05 «Предельно допустимые концентрации (ПДК) загрязняющих веществ в атмосферном воздухе населенных мест»). </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Загрязнение атмосферного воздуха от автотранспорта в наибольшей степени проявляется в зоне влияния федеральной автодороги «Москва-Челябинск-Урал» (М5)». В выхлопных газах автомобилей содержится более 200 различных соединений - продуктов полного и неполного сгорания топлива, основные из них: окислы азота, сернистый ангидрид, окись углерода, взвешенные вещества, сажа, соединения свинца, углеводороды различных групп (в основном альдегиды, полициклические ароматические углеводороды), наиболее токсичным среди которых является бенз(а)пирен и др.</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Кроме загрязнения окружающей среды токсичными выхлопными газами, автомобиль добавляет не менее опасные для здоровья человека резиновую пыль и летучие вещества - продукты износа шин. Мелкая резиновая пыль может очень долгое время сохраняться на поверхности дорожного покрытия и на почве, поднимаясь в сухую погоду в воздух и попадая в органы дыхания, где она может оседать и вызвать аллергическую реакцию.</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виду того, что не все внутриквартальные улицы в населенных пунктах имеют асфальтовое покрытие, может отмечаться повышенный уровень запыленности и загрязненности атмосферного воздуха. Для снижения негативного воздействия автотранспорта на окружающую среду необходимо предусмотреть придорожное защитное озеленение.</w:t>
      </w:r>
    </w:p>
    <w:p w:rsidR="00D14EDE" w:rsidRPr="00B06469" w:rsidRDefault="00D14EDE"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Промышленные предприятия и транспорт, загрязняя атмосферный воздух, одновременно оказывают негативное воздействие на почвы, поверхностные и подземные воды, растительность и животный мир и, как следствие – на здоровье человека.</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Основными видами водопользования в Камышлинском районе являются: рекреация, рыболовство, полив о</w:t>
      </w:r>
      <w:r w:rsidR="001F0139" w:rsidRPr="00B06469">
        <w:rPr>
          <w:rFonts w:ascii="Times New Roman" w:eastAsia="Times New Roman" w:hAnsi="Times New Roman" w:cs="Times New Roman"/>
          <w:sz w:val="24"/>
          <w:szCs w:val="24"/>
          <w:lang w:eastAsia="ru-RU"/>
        </w:rPr>
        <w:t>район</w:t>
      </w:r>
      <w:r w:rsidRPr="00B06469">
        <w:rPr>
          <w:rFonts w:ascii="Times New Roman" w:eastAsia="Times New Roman" w:hAnsi="Times New Roman" w:cs="Times New Roman"/>
          <w:sz w:val="24"/>
          <w:szCs w:val="24"/>
          <w:lang w:eastAsia="ru-RU"/>
        </w:rPr>
        <w:t xml:space="preserve">ов и отведение различных категорий сточных вод. Главными причинами загрязнения поверхностных водных объектов в границах территории района является отсутствие системы централизованной канализации хозяйственно-бытовых сточных вод и отсутствие централизованной системы отвода ливневых и талых вод. Смыв загрязняющих веществ с территорий жилых и промышленных зон происходит в пруды, овраги, копани, - имеющие гидравлическую связь с реками.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В границах Камышлинского района КОС имеются только в села Камышла.</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Состояние действующих КОС неудовлетворительное, степень очистки низкая, загруженность – 100 %, необходимо строительство новых очистных сооружений.</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Смыв загрязняющих веществ с территорий жилых зон и производственных площадок промышленных предприятий происходит в основном в систему водосбора рек Сок, Камышла и Байтуган.</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Согласно экологическому паспорту 2013 года, характерными загрязняющими веществами являлись сульфаты, ХПК, легкоокисляемые органические вещества, соединения меди и фенолы. Наблюдался рост среднегодовой концентрации соединений меди, уменьшение загрязнение загрязнения воды соединениями марганца, среднегодовое содержание трудноокисляемых органических веществ (по ХПК) варьировало в пределах 16-29 мг/л. Среднегодовое содержание хлорорганических пестицидов в обоих створах не превышало условно установленную норму. Максимальное содержание гамма – ГХЦГ превышало норму в 2 раза (2 створ). Минимальное содержание кислорода было 9 мг/л.</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Река Сок относится к водоему рыбохозяйственного значения, вода которого должна быть не ниже II-го класса качества. Существующий уровень загрязнения воды р. Сок (</w:t>
      </w:r>
      <w:r w:rsidRPr="00B06469">
        <w:rPr>
          <w:rFonts w:ascii="Times New Roman" w:eastAsia="Times New Roman" w:hAnsi="Times New Roman" w:cs="Times New Roman"/>
          <w:sz w:val="24"/>
          <w:szCs w:val="24"/>
          <w:lang w:val="en-US" w:eastAsia="ru-RU"/>
        </w:rPr>
        <w:t>IV</w:t>
      </w:r>
      <w:r w:rsidRPr="00B06469">
        <w:rPr>
          <w:rFonts w:ascii="Times New Roman" w:eastAsia="Times New Roman" w:hAnsi="Times New Roman" w:cs="Times New Roman"/>
          <w:sz w:val="24"/>
          <w:szCs w:val="24"/>
          <w:lang w:eastAsia="ru-RU"/>
        </w:rPr>
        <w:t>а) представляет опасность для состояния ее экосистем, которые в таких условиях неизбежно подвергаются негативным изменениям с тенденцией к истощению рыбных запасов.</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Основными причинами, оказывающими влияние на загрязнение почв и подземных вод населенных территорий, являются: отсутствие организации вывоза бытовых отходов с территорий частных домовладений; возникновение стихийных свалок вокруг дачных поселков и садовых товариществ; отсутствие организованных мест выгула домашних </w:t>
      </w:r>
      <w:r w:rsidRPr="00B06469">
        <w:rPr>
          <w:rFonts w:ascii="Times New Roman" w:eastAsia="Times New Roman" w:hAnsi="Times New Roman" w:cs="Times New Roman"/>
          <w:color w:val="000000"/>
          <w:sz w:val="24"/>
          <w:szCs w:val="24"/>
          <w:lang w:eastAsia="ru-RU"/>
        </w:rPr>
        <w:lastRenderedPageBreak/>
        <w:t>животных; несоблюдение утвержденного порядка захоронения трупов домашних животных; увеличение числа не канализованных объектов мелкой розничной торговли; недостаточное количество общественных туалетов; недостаточное количество оборудованных сливных станций для приема жидких бытовых отходов; отставание развития канализационных сетей от строительства в целом; отсутствие утвержденных суточных нормативов образования жидких и твердых бытовых отходов от частного сектора; недостаточное количество свободных площадей для размещения объектов по переработке (утилизации) отходов.</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Значимыми источниками негативного воздействия на экологическое состояние межселенных территорий в границах района являются разрабатываемые нефтяные месторождения со всей сопутствующей инфраструктурой: скважины, сеть технологических, межпромысловых, промысловых и транзитных трубопроводов и коллекторов, водоводов и продуктопроводов, нефтеочистительные и нефтеперекачивающие станции и прочее.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Нефть, нефтяной и буровые шламы, сточные воды, содержащие различные химические соединения негативно воздействуют на воздух, воду, почву, растительный и животный мир, на человека. Радиус воздействия на природную среду, как правило, значительно превышает границы месторождений, а глубина техногенного воздействия от нефтедобычи может достигать 3,5 км.</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Прохождение газо - и нефтепроводов сопровождается загрязнением территории в результате утечки газа и нефти через негерметичные соединения трубопроводов, при выполнении сливно-наливных операций или развитии аварийных ситуаций.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На загрязнённых нефтью участках ухудшаются водно-физические свойства почв, изменяется рН, отмечается хлоридно-натриевое засоление, следовательно, наносится вред растительности и почвенным микроорганизмам. Проникая в нижележащие слои почво-грунтов, нефтяное загрязнение может достигать подземных водоносных горизонтов.</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Мощное воздействие на среду оказывают сельскохозяйственные объекты. В частности, серьезным источником загрязнения почв, подземных и поверхностных вод являются стоки и навоз животноводческих предприятий и ферм, а также земледелие, сопровождаемое внесением удобрений и ядохимикатов.</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Выпас скота в водоохранных зонах рек и водоёмов неизбежно приводит к уничтожению пойменной растительности, загрязнению воды рек, озер, прудов и водохранилищ навозосодержащими стоками, что представляет опасность для сохранения нормативных показателей качества поверхностных вод, почв и равновесного состояния </w:t>
      </w:r>
      <w:r w:rsidRPr="00B06469">
        <w:rPr>
          <w:rFonts w:ascii="Times New Roman" w:eastAsia="Times New Roman" w:hAnsi="Times New Roman" w:cs="Times New Roman"/>
          <w:color w:val="000000"/>
          <w:sz w:val="24"/>
          <w:szCs w:val="24"/>
          <w:lang w:eastAsia="ru-RU"/>
        </w:rPr>
        <w:lastRenderedPageBreak/>
        <w:t>прибрежных и водных экосистем в целом, а значит, может отразиться на здоровье населения.</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Почвы в зоне прохождения автомобильных дорог подвергаются загрязнению соединениями тяжелых металлов, дорожной и резиновой пылью. Потери ГСМ от ходовой части автотранспортных средств и поступление бытового мусора на придорожную полосу оказывает негативное влияние на состояние окружающей среды в целом.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Неудовлетворительное состояние канализационных сетей м.р. Камышлинский обуславливает возможность загрязнения подземных вод, загрязнение и переувлажнение почв, вследствие утечек из водонесущих коммуникаций.</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Значительную опасность для экологического состояния территорий представляют скотомогильники и стихийные свалки бытовых отходов: на территории муниципального района Камышлинский насчитывается 10 скотомогильников (из них 3 действующих и 7 – недействующих), которые все не соответствуют ветеринарно-санитарным правилам; несанкционированные свалки в с. Камышла, с. Старое Ермаково, с. Старая Балыкла, с. Новое Усманово, с. Старое Усманово, с. Татарский Байтуган, с. Никиткино. Полигон ТБО р.ц. Камышла запроектирован, но строительство еще не начато.</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Источники негативного влияния на геологическую среду могут размещаться в пределах распространения подземных вод незащищенных (I категория защищенности), слабо защищенных (II категория защищенности) или средне защищенных (III-IV категория защищенности) от загрязнения с поверхности.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I категория защищенности подземных вод, как правило, приурочена к речным долинам, II - к надпойменным террасам, III-IV - к склонам речных долин. На территориях распространения подземных вод I-IV категорий защищенности нельзя допускать устройства скотомогильников, хранилищ промотходов, ядохимикатов, удобрений, сброса промышленных и хозяйственно-бытовых сточных вод. На сегодняшний день многие объекты промышленной и сельскохозяйственной инфраструктуры размещены с нарушением выше перечисленных требований, что создает потенциальную опасность загрязнения подземных вод, а, следовательно, загрязнение поверхностных водных объектов в местах разгрузки подземных водоносных горизонтов. Таким образом, затрудняется обеспечение населения водой питьевого качества, так как для проектируемой территории хозяйственно-питьевое водоснабжение населения муниципального района Камышлинский осуществляется только из подземных водозаборов. Положение усугубляется изношенностью оборудования и сетей централизованного водоснабжения.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lastRenderedPageBreak/>
        <w:t>Санитарное состояние большинства родников удовлетворительное. 20 родников в санитарно-гигиеническом отношении неблагополучны, так как находятся около жилых или хозяйственных построек, около о</w:t>
      </w:r>
      <w:r w:rsidR="001F0139" w:rsidRPr="00B06469">
        <w:rPr>
          <w:rFonts w:ascii="Times New Roman" w:eastAsia="Times New Roman" w:hAnsi="Times New Roman" w:cs="Times New Roman"/>
          <w:color w:val="000000"/>
          <w:sz w:val="24"/>
          <w:szCs w:val="24"/>
          <w:lang w:eastAsia="ru-RU"/>
        </w:rPr>
        <w:t>район</w:t>
      </w:r>
      <w:r w:rsidRPr="00B06469">
        <w:rPr>
          <w:rFonts w:ascii="Times New Roman" w:eastAsia="Times New Roman" w:hAnsi="Times New Roman" w:cs="Times New Roman"/>
          <w:color w:val="000000"/>
          <w:sz w:val="24"/>
          <w:szCs w:val="24"/>
          <w:lang w:eastAsia="ru-RU"/>
        </w:rPr>
        <w:t>ов или проезжей части дорог. Вблизи нескольких родников производится выпас скота, несколько родников замусорены, 6 родников заболочены, один родник расположен в пойме и затапливается в паводок.</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 xml:space="preserve">Причинами ухудшения качества воды являются: загрязнение воды в распределительной сети в связи с изношенностью и отсутствием проведения капитальных ремонтов трубопроводов, несвоевременное проведение очистки и дезинфекции водонапорных башен, накопительных резервуаров и водопроводной сети. </w:t>
      </w:r>
    </w:p>
    <w:p w:rsidR="00D14EDE" w:rsidRPr="00B06469" w:rsidRDefault="00D14EDE" w:rsidP="001F0139">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p>
    <w:p w:rsidR="004D4A30" w:rsidRPr="00B06469" w:rsidRDefault="004D4A30" w:rsidP="001F0139">
      <w:pPr>
        <w:spacing w:after="0" w:line="360" w:lineRule="auto"/>
        <w:contextualSpacing/>
        <w:jc w:val="both"/>
        <w:outlineLvl w:val="1"/>
        <w:rPr>
          <w:rFonts w:ascii="Times New Roman" w:hAnsi="Times New Roman" w:cs="Times New Roman"/>
          <w:b/>
          <w:color w:val="365F91"/>
          <w:sz w:val="24"/>
          <w:szCs w:val="24"/>
        </w:rPr>
      </w:pPr>
      <w:bookmarkStart w:id="9" w:name="bookmark7"/>
      <w:r w:rsidRPr="00B06469">
        <w:rPr>
          <w:rFonts w:ascii="Times New Roman" w:hAnsi="Times New Roman" w:cs="Times New Roman"/>
          <w:b/>
          <w:color w:val="365F91"/>
          <w:sz w:val="24"/>
          <w:szCs w:val="24"/>
        </w:rPr>
        <w:t>4.</w:t>
      </w:r>
      <w:r w:rsidR="002760F1" w:rsidRPr="00B06469">
        <w:rPr>
          <w:rFonts w:ascii="Times New Roman" w:hAnsi="Times New Roman" w:cs="Times New Roman"/>
          <w:b/>
          <w:color w:val="365F91"/>
          <w:sz w:val="24"/>
          <w:szCs w:val="24"/>
        </w:rPr>
        <w:t xml:space="preserve"> </w:t>
      </w:r>
      <w:r w:rsidRPr="00B06469">
        <w:rPr>
          <w:rFonts w:ascii="Times New Roman" w:hAnsi="Times New Roman" w:cs="Times New Roman"/>
          <w:b/>
          <w:color w:val="365F91"/>
          <w:sz w:val="24"/>
          <w:szCs w:val="24"/>
        </w:rPr>
        <w:t xml:space="preserve">Анализ сильных и слабых сторон, возможностей и угроз </w:t>
      </w:r>
      <w:bookmarkEnd w:id="9"/>
      <w:r w:rsidRPr="00B06469">
        <w:rPr>
          <w:rFonts w:ascii="Times New Roman" w:hAnsi="Times New Roman" w:cs="Times New Roman"/>
          <w:b/>
          <w:color w:val="365F91"/>
          <w:sz w:val="24"/>
          <w:szCs w:val="24"/>
        </w:rPr>
        <w:t xml:space="preserve">Камышлинского </w:t>
      </w:r>
      <w:bookmarkStart w:id="10" w:name="bookmark8"/>
      <w:r w:rsidRPr="00B06469">
        <w:rPr>
          <w:rFonts w:ascii="Times New Roman" w:hAnsi="Times New Roman" w:cs="Times New Roman"/>
          <w:b/>
          <w:color w:val="365F91"/>
          <w:sz w:val="24"/>
          <w:szCs w:val="24"/>
        </w:rPr>
        <w:t>муниципального района</w:t>
      </w:r>
      <w:bookmarkEnd w:id="10"/>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Анализ пространственного и социально-экономического развития, человеческого и инфраструктурного потенциала, с учетом опросов населения и выявления желаемого образа будущего, в том числе по различным направлениям позволяет выделить сильные и слабые стороны, возможности и ограничения, риски и угрозы в развитии муниципального района Камышлинский на современном этапе.</w:t>
      </w:r>
    </w:p>
    <w:p w:rsidR="004D4A30" w:rsidRPr="00B06469" w:rsidRDefault="004D4A30" w:rsidP="001F0139">
      <w:pPr>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Сильные стороны – факторы, которые в перспективе могут стать конкурентными преимуществами района. </w:t>
      </w:r>
    </w:p>
    <w:p w:rsidR="004D4A30" w:rsidRPr="00B06469" w:rsidRDefault="004D4A30" w:rsidP="001F0139">
      <w:pPr>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Слабые стороны – слаборазвитые конкурентные факторы социально-экономического развития района. </w:t>
      </w:r>
    </w:p>
    <w:p w:rsidR="004D4A30" w:rsidRPr="00B06469" w:rsidRDefault="004D4A30" w:rsidP="001F0139">
      <w:pPr>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Возможности – благоприятные тенденции и внешние потенциалы развития территории.</w:t>
      </w:r>
    </w:p>
    <w:p w:rsidR="004D4A30" w:rsidRPr="00B06469" w:rsidRDefault="004D4A30" w:rsidP="001F0139">
      <w:pPr>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Угрозы (риски) – неблагоприятные тенденции и внешние риски для развития района, вероятность возникновения которых необходимо минимизировать.</w:t>
      </w:r>
    </w:p>
    <w:p w:rsidR="004D4A30" w:rsidRPr="00B06469" w:rsidRDefault="004D4A30" w:rsidP="001F0139">
      <w:pPr>
        <w:spacing w:after="0" w:line="360" w:lineRule="auto"/>
        <w:ind w:firstLine="709"/>
        <w:jc w:val="both"/>
        <w:rPr>
          <w:rFonts w:ascii="Times New Roman" w:hAnsi="Times New Roman" w:cs="Times New Roman"/>
          <w:color w:val="000000"/>
          <w:sz w:val="24"/>
          <w:szCs w:val="24"/>
          <w:shd w:val="clear" w:color="auto" w:fill="FFFFFF"/>
        </w:rPr>
      </w:pPr>
      <w:r w:rsidRPr="00B06469">
        <w:rPr>
          <w:rFonts w:ascii="Times New Roman" w:hAnsi="Times New Roman" w:cs="Times New Roman"/>
          <w:color w:val="000000"/>
          <w:sz w:val="24"/>
          <w:szCs w:val="24"/>
          <w:shd w:val="clear" w:color="auto" w:fill="FFFFFF"/>
        </w:rPr>
        <w:t xml:space="preserve">Суть стратегического анализа состояла не столько в фиксации проблем на основе официальной статистики, сколько в детальной и глубокой диагностике их местной специфики, выявлении факторов критичности данных проблем экспертами рабочих групп, предпринимательским сообществом, жителями района. </w:t>
      </w:r>
    </w:p>
    <w:p w:rsidR="004D4A30" w:rsidRPr="00B0646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4"/>
          <w:szCs w:val="24"/>
        </w:rPr>
      </w:pPr>
      <w:bookmarkStart w:id="11" w:name="_Toc520894852"/>
      <w:r w:rsidRPr="00B06469">
        <w:rPr>
          <w:rFonts w:ascii="Times New Roman" w:hAnsi="Times New Roman" w:cs="Times New Roman"/>
          <w:b/>
          <w:color w:val="365F91"/>
          <w:sz w:val="24"/>
          <w:szCs w:val="24"/>
        </w:rPr>
        <w:t>4.1.SWOT-анализ развития экономико-географического положения и природно-ресурсного потенциала</w:t>
      </w:r>
      <w:bookmarkEnd w:id="11"/>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SWOT-анализ экономико-географического положения и природно-ресурсного потенциала Камышлинского района проведен с учетом уровня развития, состояния и </w:t>
      </w:r>
      <w:r w:rsidRPr="00B06469">
        <w:rPr>
          <w:rFonts w:ascii="Times New Roman" w:hAnsi="Times New Roman" w:cs="Times New Roman"/>
          <w:sz w:val="24"/>
          <w:szCs w:val="24"/>
        </w:rPr>
        <w:lastRenderedPageBreak/>
        <w:t>потенциала различных сторон, включая природно-климатические, водные ресурсы, полезные ископаемые и экологию.</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Сильные стороны</w:t>
      </w:r>
      <w:r w:rsidRPr="00B06469">
        <w:rPr>
          <w:rFonts w:ascii="Times New Roman" w:hAnsi="Times New Roman" w:cs="Times New Roman"/>
          <w:sz w:val="24"/>
          <w:szCs w:val="24"/>
        </w:rPr>
        <w:t xml:space="preserve"> обусловлены тем, что муниципальный район имеет экономико-географическое преимущество в виде стратегической автомобильной магистрали М-5, которое является долгосрочным фактором, способствующим развитию территории. В качестве положительных факторов развития региона можно выделить благоприятную экологическую ситуацию в силу относительной удаленности от крупных промышленных комплексов; черноземные почвы; уникальные природно-рекреационные ресурсы и хороший климат; характер рельефа и ландшафта, благоприятные для организации лыжных трасс, развития пешего и конного туризма и других видов активного отдыха; уникальные лесные ресурсы, в частности реликтовый смешанный лес, крайне редкий для мест лесостепной зоны, смешение разнообразных древесных, кустарниковых и травянистых растений; достаточное количество водных объектов (крупные и мелкие реки), запас пресной воды (многочисленные пресноводные родники), минеральные источники, обладающие лечебными качествами.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Слабые стороны</w:t>
      </w:r>
      <w:r w:rsidRPr="00B06469">
        <w:rPr>
          <w:rFonts w:ascii="Times New Roman" w:hAnsi="Times New Roman" w:cs="Times New Roman"/>
          <w:sz w:val="24"/>
          <w:szCs w:val="24"/>
        </w:rPr>
        <w:t xml:space="preserve"> обусловлены такими причинами как удаленность от областного центра; слабый природно-ресурсный потенциал; загрязнение рек; большинство почвенного покрова относится к средне- и малогумусному; сложный рельеф местности и погодные условия для с.-х. деятельности; бедная фауна.</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 xml:space="preserve">Возможности </w:t>
      </w:r>
      <w:r w:rsidRPr="00B06469">
        <w:rPr>
          <w:rFonts w:ascii="Times New Roman" w:hAnsi="Times New Roman" w:cs="Times New Roman"/>
          <w:sz w:val="24"/>
          <w:szCs w:val="24"/>
        </w:rPr>
        <w:t>развития Камышлинского района, исходя из природно-ресурсного потенциала, следующие: добыча углеводородов, строительного сырья и других минеральных ресурсов; использование водных ресурсов; использование лесных ресурсов.</w:t>
      </w:r>
    </w:p>
    <w:p w:rsidR="004D4A30" w:rsidRPr="00B06469" w:rsidRDefault="004D4A30" w:rsidP="001F0139">
      <w:pPr>
        <w:spacing w:after="0" w:line="360" w:lineRule="auto"/>
        <w:ind w:firstLine="709"/>
        <w:jc w:val="both"/>
        <w:rPr>
          <w:rFonts w:ascii="Times New Roman" w:hAnsi="Times New Roman" w:cs="Times New Roman"/>
          <w:i/>
          <w:sz w:val="24"/>
          <w:szCs w:val="24"/>
        </w:rPr>
      </w:pPr>
      <w:r w:rsidRPr="00B06469">
        <w:rPr>
          <w:rFonts w:ascii="Times New Roman" w:hAnsi="Times New Roman" w:cs="Times New Roman"/>
          <w:sz w:val="24"/>
          <w:szCs w:val="24"/>
        </w:rPr>
        <w:t>К природно-климатическим</w:t>
      </w:r>
      <w:r w:rsidRPr="00B06469">
        <w:rPr>
          <w:rFonts w:ascii="Times New Roman" w:hAnsi="Times New Roman" w:cs="Times New Roman"/>
          <w:i/>
          <w:sz w:val="24"/>
          <w:szCs w:val="24"/>
        </w:rPr>
        <w:t xml:space="preserve"> угрозам района </w:t>
      </w:r>
      <w:r w:rsidRPr="00B06469">
        <w:rPr>
          <w:rFonts w:ascii="Times New Roman" w:hAnsi="Times New Roman" w:cs="Times New Roman"/>
          <w:sz w:val="24"/>
          <w:szCs w:val="24"/>
        </w:rPr>
        <w:t>можно отнести</w:t>
      </w:r>
      <w:r w:rsidRPr="00B06469">
        <w:rPr>
          <w:rFonts w:ascii="Times New Roman" w:hAnsi="Times New Roman" w:cs="Times New Roman"/>
          <w:i/>
          <w:sz w:val="24"/>
          <w:szCs w:val="24"/>
        </w:rPr>
        <w:t xml:space="preserve"> </w:t>
      </w:r>
      <w:r w:rsidRPr="00B06469">
        <w:rPr>
          <w:rFonts w:ascii="Times New Roman" w:hAnsi="Times New Roman" w:cs="Times New Roman"/>
          <w:sz w:val="24"/>
          <w:szCs w:val="24"/>
        </w:rPr>
        <w:t>повышение уровня загрязнённости воздуха, почвы, воды в крупных, малых реках, подземных источниках; эрозия почв; паводки; лесные пожары.</w:t>
      </w:r>
    </w:p>
    <w:p w:rsidR="004D4A30" w:rsidRPr="00B06469" w:rsidRDefault="004D4A30" w:rsidP="001F0139">
      <w:pPr>
        <w:spacing w:after="0" w:line="360" w:lineRule="auto"/>
        <w:ind w:firstLine="709"/>
        <w:contextualSpacing/>
        <w:jc w:val="both"/>
        <w:rPr>
          <w:rFonts w:ascii="Times New Roman" w:hAnsi="Times New Roman" w:cs="Times New Roman"/>
          <w:b/>
          <w:color w:val="0070C0"/>
          <w:sz w:val="24"/>
          <w:szCs w:val="24"/>
        </w:rPr>
      </w:pPr>
    </w:p>
    <w:p w:rsidR="004D4A30" w:rsidRPr="00B0646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4"/>
          <w:szCs w:val="24"/>
        </w:rPr>
      </w:pPr>
      <w:bookmarkStart w:id="12" w:name="_Toc520894853"/>
      <w:r w:rsidRPr="00B06469">
        <w:rPr>
          <w:rFonts w:ascii="Times New Roman" w:hAnsi="Times New Roman" w:cs="Times New Roman"/>
          <w:b/>
          <w:color w:val="365F91"/>
          <w:sz w:val="24"/>
          <w:szCs w:val="24"/>
        </w:rPr>
        <w:t>4.2.SWOT-анализ развития человеческого капитала</w:t>
      </w:r>
      <w:bookmarkEnd w:id="12"/>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SWOT-анализ развития человеческого капитала Камышлинского района проведен с учетом уровня развития и потенциала различных сфер, включая демографическое развитие, миграцию, занятость, уровень жизни населения, систему социальной защиты населения, образование, здравоохранение, экологию, физическую культуру и спорт, культуру, досуг, молодежную политику.</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Сильные стороны</w:t>
      </w:r>
      <w:r w:rsidRPr="00B06469">
        <w:rPr>
          <w:rFonts w:ascii="Times New Roman" w:hAnsi="Times New Roman" w:cs="Times New Roman"/>
          <w:sz w:val="24"/>
          <w:szCs w:val="24"/>
        </w:rPr>
        <w:t xml:space="preserve"> обусловлены стабильной работой учреждений здравоохранения, образования, социальной защиты населения.</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К достоинствам системы здравоохранения Камышлинского муниципального района можно отнести: хорошая укомплектованность Камышлинской ЦРБ медицинским оборудованием; капитальный ремонт поликлиники и ФАПов; достаточно высокий уровень обеспеченности койко-местами по сравнению с другими муниципальными районами Самарской области; прием врачей узких специальностей: терапевт, хирург, онколог, гинеколог, оториноларинголог, педиатр, невролог, врач клинической лабораторной диагностики, нарколог; прием ведется без предварительной записи, по принципу «всех – в день обращения».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Также район занимает 1 место по удельному весу населения младше трудоспособного возраста, при этом характеризуется высокой доступностью услуг дошкольного образования, систем дополнительного и общего образования детей, продуктивной работой творческих коллективов и объединений; обеспечением высокого качества образования (высокие баллы ЕГЭ, медали).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Сильной стороной, является наличие некоммерческих, общественных, профсоюзных, религиозных, молодежных организаций, а также поддержка гражданских инициатив, участие в приоритетном федеральном проекте «Формирование комфортной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ской среды».</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Кроме того район отличается сложившейся системой предоставления минимальных социальных гарантий населению, и, главное, в муниципальном районе проживают трудолюбивые люди с крепкими семейными и национальными традициями.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Проведенный анализ выявил такие </w:t>
      </w:r>
      <w:r w:rsidRPr="00B06469">
        <w:rPr>
          <w:rFonts w:ascii="Times New Roman" w:hAnsi="Times New Roman" w:cs="Times New Roman"/>
          <w:i/>
          <w:sz w:val="24"/>
          <w:szCs w:val="24"/>
        </w:rPr>
        <w:t>слабые стороны</w:t>
      </w:r>
      <w:r w:rsidRPr="00B06469">
        <w:rPr>
          <w:rFonts w:ascii="Times New Roman" w:hAnsi="Times New Roman" w:cs="Times New Roman"/>
          <w:sz w:val="24"/>
          <w:szCs w:val="24"/>
        </w:rPr>
        <w:t xml:space="preserve">, как расположение муниципального образования на периферии Самарской области, его относительная удаленность от промышленных и культурных центров; слабое участие молодежи в развитии района, высокий уровень официально зарегистрированной безработицы; дефицит привлекательных рабочих мест и низкий уровень заработной платы в районе; несбалансированная структура распределения организаций по видам деятельности (ИП: 50% – торговля и сфера услуг, 15% – с.-х., охота, лесное хоз-во; большинство организация связано с бюджетной сферой); слабое развитие институтов поддержки некоммерческого сектора; слабая кадровая обеспеченность, старение квалифицированных кадров медицинских учреждений района; регион является одним из аутсайдеров по ситуации по обеспеченности медицинским персоналом; низкая удовлетворенность жителей района услугами в сферах здравоохранения, культуры и проведения досуга, физкультуры и спорта.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Также необходимо отметить негативную демографическую ситуацию (низкая рождаемость, высокая смертность, уровень рождаемости пока не обеспечивает простого воспроизводства населения); возрастная структура населения относится к регрессивному типу (старение населения); устойчивое отрицательное сальдо миграции (преимущественно внутрирегиональная миграция)</w:t>
      </w:r>
      <w:r w:rsidRPr="00B06469">
        <w:rPr>
          <w:rFonts w:ascii="Times New Roman" w:eastAsia="TimesNewRomanPSMT" w:hAnsi="Times New Roman" w:cs="Times New Roman"/>
          <w:sz w:val="24"/>
          <w:szCs w:val="24"/>
        </w:rPr>
        <w:t>;</w:t>
      </w:r>
      <w:r w:rsidRPr="00B06469">
        <w:rPr>
          <w:rFonts w:ascii="Times New Roman" w:hAnsi="Times New Roman" w:cs="Times New Roman"/>
          <w:sz w:val="24"/>
          <w:szCs w:val="24"/>
        </w:rPr>
        <w:t xml:space="preserve"> и низкую вовлеченность населения в занятия спортом; недостаточное количество специалистов в системе дополнительного образования; отсутствие организаций ступени высшего образования в районе; малое число местной прессы (Камышлинские известия) и СМИ (телеканал НУР, 3 часа в неделю).</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Потенциальными возможностями</w:t>
      </w:r>
      <w:r w:rsidRPr="00B06469">
        <w:rPr>
          <w:rFonts w:ascii="Times New Roman" w:hAnsi="Times New Roman" w:cs="Times New Roman"/>
          <w:sz w:val="24"/>
          <w:szCs w:val="24"/>
        </w:rPr>
        <w:t xml:space="preserve"> для развития человеческого капитала в Камышлинском районе являются такие факторы, как сохранение и развитие уникального природного комплекса условий, динамичное развитие технологий связи и информационно-коммуникационных технологий, растущая потребность населения России в санаторно-курортных услугах, а также сложившиеся макроэкономические и внешнеполитические предпосылки для развития внутреннего туризма и отечественного АПК. Возможно создание рабочих мест за счет развития с/х производства, добычи углеводородов, строительного сырья и других минеральных ресурсов, создание районообразующих предприятий (хлебозавод, молокозавод и др.), </w:t>
      </w:r>
    </w:p>
    <w:p w:rsidR="004D4A30" w:rsidRPr="00B06469" w:rsidRDefault="004D4A30" w:rsidP="001F0139">
      <w:pPr>
        <w:spacing w:after="0" w:line="360" w:lineRule="auto"/>
        <w:jc w:val="both"/>
        <w:rPr>
          <w:rFonts w:ascii="Times New Roman" w:hAnsi="Times New Roman" w:cs="Times New Roman"/>
          <w:sz w:val="24"/>
          <w:szCs w:val="24"/>
        </w:rPr>
      </w:pPr>
      <w:r w:rsidRPr="00B06469">
        <w:rPr>
          <w:rFonts w:ascii="Times New Roman" w:hAnsi="Times New Roman" w:cs="Times New Roman"/>
          <w:sz w:val="24"/>
          <w:szCs w:val="24"/>
        </w:rPr>
        <w:t xml:space="preserve">развитие семейного бизнеса.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В социально-культурном плане в качестве возможностей можно выделить следующие направления: открытие школы искусств, развлекательно-досугового центра для населения; строительство доступного жилья; создание комфортной среды для семейного отдыха; участие в федеральных и региональных программах по поддержке семейного бизнеса и молодых семей (материальное стимулирование и общественное признание социальной значимости многодетных семей), защита детей, модернизация образования, воспитание молодежи, формирование доступной среды для людей с ограниченными возможностями; развитие, сохранение и укрепление национальных традиций.</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Кроме того положительный эффект могут оказать складывающиеся в регионе предпосылки для устойчивого развития таких отраслей как туризм, транспорт и логистика, образование, торговля; переориентация государственной политики в направлении привлечения молодежи в регион и на развитие мер поддержки молодых специалистов и меры, принимаемые на федеральном и региональном уровне по вовлечению СО НКО в процессы оказания социальных и общественно полезных услуг.</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lastRenderedPageBreak/>
        <w:t>К внешним угрозам</w:t>
      </w:r>
      <w:r w:rsidRPr="00B06469">
        <w:rPr>
          <w:rFonts w:ascii="Times New Roman" w:hAnsi="Times New Roman" w:cs="Times New Roman"/>
          <w:b/>
          <w:sz w:val="24"/>
          <w:szCs w:val="24"/>
        </w:rPr>
        <w:t>,</w:t>
      </w:r>
      <w:r w:rsidRPr="00B06469">
        <w:rPr>
          <w:rFonts w:ascii="Times New Roman" w:hAnsi="Times New Roman" w:cs="Times New Roman"/>
          <w:sz w:val="24"/>
          <w:szCs w:val="24"/>
        </w:rPr>
        <w:t xml:space="preserve"> прежде всего, относится отток квалифицированных специалистов в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а области и других регионов страны; отсутствие значимого роста доходов бюджета района в среднесрочной перспективе; возможные отрицательные последствия проводимых на федеральном и региональном уровнях преобразований в социальной сфере; низкая эффективность действующих в области форм поддержки малоимущих граждан.</w:t>
      </w:r>
    </w:p>
    <w:p w:rsidR="004D4A30" w:rsidRPr="00B0646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4"/>
          <w:szCs w:val="24"/>
        </w:rPr>
      </w:pPr>
      <w:bookmarkStart w:id="13" w:name="_Toc520894854"/>
      <w:r w:rsidRPr="00B06469">
        <w:rPr>
          <w:rFonts w:ascii="Times New Roman" w:hAnsi="Times New Roman" w:cs="Times New Roman"/>
          <w:b/>
          <w:color w:val="365F91"/>
          <w:sz w:val="24"/>
          <w:szCs w:val="24"/>
        </w:rPr>
        <w:t>4.3.SWOT-анализ экономического развития и управлени</w:t>
      </w:r>
      <w:bookmarkEnd w:id="13"/>
      <w:r w:rsidRPr="00B06469">
        <w:rPr>
          <w:rFonts w:ascii="Times New Roman" w:hAnsi="Times New Roman" w:cs="Times New Roman"/>
          <w:b/>
          <w:color w:val="365F91"/>
          <w:sz w:val="24"/>
          <w:szCs w:val="24"/>
        </w:rPr>
        <w:t>я</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SWOT-анализ экономического развития и инвестиционного потенциала Камышлинского района проведен с учетом уровня развития и потенциала различных сфер, включая промышленность, сельское хозяйство, развитие малого и среднего бизнеса, потребительского рынка и сферы услуг, инвестиций, финансового обеспечения развития и межбюджетных отношений, муниципального управления.</w:t>
      </w:r>
    </w:p>
    <w:p w:rsidR="004D4A30" w:rsidRPr="00B06469" w:rsidRDefault="004D4A30" w:rsidP="001F0139">
      <w:pPr>
        <w:widowControl w:val="0"/>
        <w:shd w:val="clear" w:color="auto" w:fill="FFFFFF"/>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Промышленность и сельское хозяйство</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shd w:val="clear" w:color="auto" w:fill="FFFFFF"/>
        </w:rPr>
        <w:t>Сильные стороны</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sz w:val="24"/>
          <w:szCs w:val="24"/>
        </w:rPr>
        <w:t>обусловлены наличием в Камышлинском собственной ресурсной базы для деятельности предприятий по производству строительных материалов, использованием при производстве пшеницы и ячменя только элитных семян и семян первой репродукции, наличием у ООО «Байком-Сервис» лицензии для распространения своих собственных семян, качество которых сопоставимо с элитными. К сильным сторонам можно отнести начало работы ООО СХП «Раздольное», которое специализируется на выращивании сельскохозяйственных культур, а также увеличение урожайности зерновых при постоянной площади обрабатываемой пашни и уменьшении размера посевных площадей.</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Анализ </w:t>
      </w:r>
      <w:r w:rsidRPr="00B06469">
        <w:rPr>
          <w:rFonts w:ascii="Times New Roman" w:hAnsi="Times New Roman" w:cs="Times New Roman"/>
          <w:i/>
          <w:sz w:val="24"/>
          <w:szCs w:val="24"/>
          <w:shd w:val="clear" w:color="auto" w:fill="FFFFFF"/>
        </w:rPr>
        <w:t>слабых сторон</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sz w:val="24"/>
          <w:szCs w:val="24"/>
        </w:rPr>
        <w:t>выявил, что ограничениями в развитии Камышлинского района согласно экспертной оценке являются следующие обстоятельства: нестабильная отрицательная динамика сальдированного финансового результата промышленных предприятий, изношенность основных фондов крупных и средних промышленных предприятий, небольшой ассортимент производимой продукции, рост числа убыточных предприятий, сложный рельеф территории, существенная зависимости от погодных условий, сокращение объемов производства по большинству видов животноводческой продукции, недостаточно диверсифицированная и динамично развивающаяся структура экономики.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shd w:val="clear" w:color="auto" w:fill="FFFFFF"/>
        </w:rPr>
        <w:t>Потенциальными возможностями</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sz w:val="24"/>
          <w:szCs w:val="24"/>
        </w:rPr>
        <w:t xml:space="preserve">развития промышленности и сельского хозяйства Камышлинского района являются: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сохранения нефтедобычи, добычи неметаллических полезных ископаемых как отрасли экономики района на максимально возможный срок; повышения эффективности использования природных ресурсов территории;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модернизация технологий существующих предприятий и организация новых высокотехнологичных производств в сфере добывающей промышленности;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внедрение энергосберегающих экологически безвредных технологий и производств;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повышение степени диверсификации экономики и ускорение экономического развития;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ввод в сельскохозяйственный оборот неиспользуемых земель;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стимулирование развития малых форм хозяйствования и личных подсобных хозяйств; </w:t>
      </w:r>
    </w:p>
    <w:p w:rsidR="004D4A30" w:rsidRPr="00B06469" w:rsidRDefault="004D4A30" w:rsidP="001F0139">
      <w:pPr>
        <w:numPr>
          <w:ilvl w:val="0"/>
          <w:numId w:val="5"/>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увеличение объемов производства и расширение рынков сбыта сельскохозяйственной продукции.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Современная экономическая ситуация, когда хозяйствующие субъекты вынуждены приспосабливаться к новым условиям нестабильности, негативно сказывается на динамике и характере экономического развития района.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shd w:val="clear" w:color="auto" w:fill="FFFFFF"/>
        </w:rPr>
        <w:t>К</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i/>
          <w:sz w:val="24"/>
          <w:szCs w:val="24"/>
          <w:shd w:val="clear" w:color="auto" w:fill="FFFFFF"/>
        </w:rPr>
        <w:t>внешним угрозам</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sz w:val="24"/>
          <w:szCs w:val="24"/>
        </w:rPr>
        <w:t>развития можно отнести: недостаток высококвалифицированной рабочей силы; продолжительную экономическую рецессию; снижение внутреннего платежеспособного спроса; сужение рынков сбыта продукции традиционных промышленных отраслей, составляющих основу специализации района.</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Малый и средний бизнес</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shd w:val="clear" w:color="auto" w:fill="FFFFFF"/>
        </w:rPr>
        <w:t>К сильным сторонам</w:t>
      </w:r>
      <w:r w:rsidRPr="00B06469">
        <w:rPr>
          <w:rFonts w:ascii="Times New Roman" w:hAnsi="Times New Roman" w:cs="Times New Roman"/>
          <w:sz w:val="24"/>
          <w:szCs w:val="24"/>
          <w:shd w:val="clear" w:color="auto" w:fill="FFFFFF"/>
        </w:rPr>
        <w:t xml:space="preserve"> развития малого бизнеса в районе относятся: финансовая поддержка районного фонда микрофинансирования субъектов малого и среднего предпринимательства и содействие населению в организации собственного дела по программе самозанятости.</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shd w:val="clear" w:color="auto" w:fill="FFFFFF"/>
        </w:rPr>
        <w:t>К слабым сторонам</w:t>
      </w:r>
      <w:r w:rsidRPr="00B06469">
        <w:rPr>
          <w:rFonts w:ascii="Times New Roman" w:hAnsi="Times New Roman" w:cs="Times New Roman"/>
          <w:sz w:val="24"/>
          <w:szCs w:val="24"/>
          <w:shd w:val="clear" w:color="auto" w:fill="FFFFFF"/>
        </w:rPr>
        <w:t xml:space="preserve"> развития предпринимательского сектора можно отнести: преобладание оптово-розничной торговли над сельскохозяйственным производством, отсутствие финансирования программы поддержки и развития малого предпринимательства со стороны местного бюджета с 2014 г., отрицательную динамику по большинству показателей развития субъектов малого и среднего предпринимательства с 2012 г.</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sz w:val="24"/>
          <w:szCs w:val="24"/>
          <w:shd w:val="clear" w:color="auto" w:fill="FFFFFF"/>
        </w:rPr>
        <w:t xml:space="preserve">Развитие предпринимательской активности будет во многом определяться макроэкономической ситуацией в стране и регионе, а также последовательностью и </w:t>
      </w:r>
      <w:r w:rsidRPr="00B06469">
        <w:rPr>
          <w:rFonts w:ascii="Times New Roman" w:hAnsi="Times New Roman" w:cs="Times New Roman"/>
          <w:sz w:val="24"/>
          <w:szCs w:val="24"/>
          <w:shd w:val="clear" w:color="auto" w:fill="FFFFFF"/>
        </w:rPr>
        <w:lastRenderedPageBreak/>
        <w:t>эффективностью действий органов местного самоуправления по улучшению бизнес-климата на территории Камышлинского района.</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shd w:val="clear" w:color="auto" w:fill="FFFFFF"/>
        </w:rPr>
        <w:t xml:space="preserve">Успешное развитие малого и среднего бизнеса связаны с реализацией следующих </w:t>
      </w:r>
      <w:r w:rsidRPr="00B06469">
        <w:rPr>
          <w:rFonts w:ascii="Times New Roman" w:hAnsi="Times New Roman" w:cs="Times New Roman"/>
          <w:i/>
          <w:sz w:val="24"/>
          <w:szCs w:val="24"/>
          <w:shd w:val="clear" w:color="auto" w:fill="FFFFFF"/>
        </w:rPr>
        <w:t>потенциальных возможностей</w:t>
      </w:r>
      <w:r w:rsidRPr="00B06469">
        <w:rPr>
          <w:rFonts w:ascii="Times New Roman" w:hAnsi="Times New Roman" w:cs="Times New Roman"/>
          <w:sz w:val="24"/>
          <w:szCs w:val="24"/>
          <w:shd w:val="clear" w:color="auto" w:fill="FFFFFF"/>
        </w:rPr>
        <w:t>: п</w:t>
      </w:r>
      <w:r w:rsidRPr="00B06469">
        <w:rPr>
          <w:rFonts w:ascii="Times New Roman" w:hAnsi="Times New Roman" w:cs="Times New Roman"/>
          <w:sz w:val="24"/>
          <w:szCs w:val="24"/>
        </w:rPr>
        <w:t>овышение комфортности бизнес-среды, снижение административных барьеров для выхода на новые рынки, участие в государственных программах по поддержке малого и среднего бизнеса, развитие производственной кооперации между крупным бизнесом и предприятиями МСП в рамках реализации муниципальной программы, расширение рыночных сегментов присутствия малого бизнеса в экономике района.</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shd w:val="clear" w:color="auto" w:fill="FFFFFF"/>
        </w:rPr>
        <w:t>Внешние угрозы</w:t>
      </w:r>
      <w:r w:rsidRPr="00B06469">
        <w:rPr>
          <w:rFonts w:ascii="Times New Roman" w:hAnsi="Times New Roman" w:cs="Times New Roman"/>
          <w:sz w:val="24"/>
          <w:szCs w:val="24"/>
          <w:shd w:val="clear" w:color="auto" w:fill="FFFFFF"/>
        </w:rPr>
        <w:t xml:space="preserve"> для развития малого бизнеса связаны с ростом фискальной нагрузки на бизнес; с</w:t>
      </w:r>
      <w:r w:rsidRPr="00B06469">
        <w:rPr>
          <w:rFonts w:ascii="Times New Roman" w:hAnsi="Times New Roman" w:cs="Times New Roman"/>
          <w:sz w:val="24"/>
          <w:szCs w:val="24"/>
        </w:rPr>
        <w:t>нижением платежеспособного спроса, удорожанием кредитных ресурсов, отсутствием действенных механизмов господдержки.</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Потребительский рынок и сфера услуг</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i/>
          <w:sz w:val="24"/>
          <w:szCs w:val="24"/>
          <w:shd w:val="clear" w:color="auto" w:fill="FFFFFF"/>
        </w:rPr>
        <w:t>К сильным сторонам</w:t>
      </w:r>
      <w:r w:rsidRPr="00B06469">
        <w:rPr>
          <w:rFonts w:ascii="Times New Roman" w:hAnsi="Times New Roman" w:cs="Times New Roman"/>
          <w:sz w:val="24"/>
          <w:szCs w:val="24"/>
          <w:shd w:val="clear" w:color="auto" w:fill="FFFFFF"/>
        </w:rPr>
        <w:t xml:space="preserve"> развития потребительского рынка и сферы услуг следует отнести: </w:t>
      </w:r>
      <w:r w:rsidRPr="00B06469">
        <w:rPr>
          <w:rFonts w:ascii="Times New Roman" w:hAnsi="Times New Roman" w:cs="Times New Roman"/>
          <w:sz w:val="24"/>
          <w:szCs w:val="24"/>
        </w:rPr>
        <w:t>лидирующие позиции среди муниципальных районов Самарской области по обороту общественного питания и рост оборота розничной торговли.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shd w:val="clear" w:color="auto" w:fill="FFFFFF"/>
        </w:rPr>
        <w:t xml:space="preserve">Наряду с положительными характеристиками, на потребительском рынке района существует и ряд проблем, определяющих его </w:t>
      </w:r>
      <w:r w:rsidRPr="00B06469">
        <w:rPr>
          <w:rFonts w:ascii="Times New Roman" w:hAnsi="Times New Roman" w:cs="Times New Roman"/>
          <w:i/>
          <w:sz w:val="24"/>
          <w:szCs w:val="24"/>
          <w:shd w:val="clear" w:color="auto" w:fill="FFFFFF"/>
        </w:rPr>
        <w:t>слабые стороны</w:t>
      </w:r>
      <w:r w:rsidRPr="00B06469">
        <w:rPr>
          <w:rFonts w:ascii="Times New Roman" w:hAnsi="Times New Roman" w:cs="Times New Roman"/>
          <w:b/>
          <w:sz w:val="24"/>
          <w:szCs w:val="24"/>
          <w:shd w:val="clear" w:color="auto" w:fill="FFFFFF"/>
        </w:rPr>
        <w:t xml:space="preserve">: </w:t>
      </w:r>
      <w:r w:rsidRPr="00B06469">
        <w:rPr>
          <w:rFonts w:ascii="Times New Roman" w:hAnsi="Times New Roman" w:cs="Times New Roman"/>
          <w:sz w:val="24"/>
          <w:szCs w:val="24"/>
        </w:rPr>
        <w:t>не развита потребительская кооперация по розничной торговле, а в сфере услуг ее объемы сокращаются; не развита система бытового обслуживания. Многие виды бытовых услуг отсутствуют.</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shd w:val="clear" w:color="auto" w:fill="FFFFFF"/>
        </w:rPr>
        <w:t>Угрозы</w:t>
      </w:r>
      <w:r w:rsidRPr="00B06469">
        <w:rPr>
          <w:rFonts w:ascii="Times New Roman" w:hAnsi="Times New Roman" w:cs="Times New Roman"/>
          <w:sz w:val="24"/>
          <w:szCs w:val="24"/>
          <w:shd w:val="clear" w:color="auto" w:fill="FFFFFF"/>
        </w:rPr>
        <w:t xml:space="preserve"> развития сферы услуг и потребительского рынка обусловлены внешними негативными обстоятельствами, вызванными общеэкономической нестабильностью, </w:t>
      </w:r>
      <w:r w:rsidRPr="00B06469">
        <w:rPr>
          <w:rFonts w:ascii="Times New Roman" w:hAnsi="Times New Roman" w:cs="Times New Roman"/>
          <w:sz w:val="24"/>
          <w:szCs w:val="24"/>
        </w:rPr>
        <w:t>сокращением расходов местного бюджета на поддержку организаций, работающих в сфере розничной торговли и закрытием ряда торговых сетей в связи с падением прибыли.</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i/>
          <w:sz w:val="24"/>
          <w:szCs w:val="24"/>
          <w:shd w:val="clear" w:color="auto" w:fill="FFFFFF"/>
        </w:rPr>
        <w:t>Возможности</w:t>
      </w:r>
      <w:r w:rsidRPr="00B06469">
        <w:rPr>
          <w:rFonts w:ascii="Times New Roman" w:hAnsi="Times New Roman" w:cs="Times New Roman"/>
          <w:sz w:val="24"/>
          <w:szCs w:val="24"/>
          <w:shd w:val="clear" w:color="auto" w:fill="FFFFFF"/>
        </w:rPr>
        <w:t xml:space="preserve"> развития потребительского рынка и сферы услуг связаны, прежде всего, с повышением качества и расширением видов платных услуг, предоставляемых населению; повышением уровня добротности и дизайна торговых объектов; </w:t>
      </w:r>
      <w:r w:rsidRPr="00B06469">
        <w:rPr>
          <w:rFonts w:ascii="Times New Roman" w:hAnsi="Times New Roman" w:cs="Times New Roman"/>
          <w:sz w:val="24"/>
          <w:szCs w:val="24"/>
        </w:rPr>
        <w:t>повышением качества обслуживания на предприятиях общественного питания.</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Инвестиции</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sz w:val="24"/>
          <w:szCs w:val="24"/>
        </w:rPr>
        <w:t xml:space="preserve"> </w:t>
      </w:r>
      <w:r w:rsidRPr="00B06469">
        <w:rPr>
          <w:rFonts w:ascii="Times New Roman" w:hAnsi="Times New Roman" w:cs="Times New Roman"/>
          <w:i/>
          <w:iCs/>
          <w:sz w:val="24"/>
          <w:szCs w:val="24"/>
        </w:rPr>
        <w:t>К сильным сторонам</w:t>
      </w:r>
      <w:r w:rsidRPr="00B06469">
        <w:rPr>
          <w:rFonts w:ascii="Times New Roman" w:hAnsi="Times New Roman" w:cs="Times New Roman"/>
          <w:iCs/>
          <w:sz w:val="24"/>
          <w:szCs w:val="24"/>
        </w:rPr>
        <w:t xml:space="preserve"> можно отнести </w:t>
      </w:r>
      <w:r w:rsidRPr="00B06469">
        <w:rPr>
          <w:rFonts w:ascii="Times New Roman" w:hAnsi="Times New Roman" w:cs="Times New Roman"/>
          <w:sz w:val="24"/>
          <w:szCs w:val="24"/>
        </w:rPr>
        <w:t xml:space="preserve">наличие свободных инвестиционно-привлекательных земельных участков, предназначенных под застройку населением и бизнесом, наличие документов, регламентирующих инвестиционное развитие </w:t>
      </w:r>
      <w:r w:rsidRPr="00B06469">
        <w:rPr>
          <w:rFonts w:ascii="Times New Roman" w:hAnsi="Times New Roman" w:cs="Times New Roman"/>
          <w:sz w:val="24"/>
          <w:szCs w:val="24"/>
        </w:rPr>
        <w:lastRenderedPageBreak/>
        <w:t>муниципального района, положительную динамику темпов роста инвестиционных вложений.</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Cs/>
          <w:sz w:val="24"/>
          <w:szCs w:val="24"/>
        </w:rPr>
        <w:t xml:space="preserve">Одновременно с этими обстоятельствами, отмечены </w:t>
      </w:r>
      <w:r w:rsidRPr="00B06469">
        <w:rPr>
          <w:rFonts w:ascii="Times New Roman" w:hAnsi="Times New Roman" w:cs="Times New Roman"/>
          <w:b/>
          <w:i/>
          <w:iCs/>
          <w:sz w:val="24"/>
          <w:szCs w:val="24"/>
        </w:rPr>
        <w:t>слабые стороны</w:t>
      </w:r>
      <w:r w:rsidRPr="00B06469">
        <w:rPr>
          <w:rFonts w:ascii="Times New Roman" w:hAnsi="Times New Roman" w:cs="Times New Roman"/>
          <w:iCs/>
          <w:sz w:val="24"/>
          <w:szCs w:val="24"/>
        </w:rPr>
        <w:t xml:space="preserve"> в развитии инвестиционной деятельности на территории района: </w:t>
      </w:r>
      <w:r w:rsidRPr="00B06469">
        <w:rPr>
          <w:rFonts w:ascii="Times New Roman" w:hAnsi="Times New Roman" w:cs="Times New Roman"/>
          <w:sz w:val="24"/>
          <w:szCs w:val="24"/>
        </w:rPr>
        <w:t xml:space="preserve">дотационный бюджет района; отсутствие привлеченных зарубежных инвестиций; дефицит собственных финансовых средств. </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iCs/>
          <w:sz w:val="24"/>
          <w:szCs w:val="24"/>
        </w:rPr>
        <w:t xml:space="preserve">Благоприятные перспективы, </w:t>
      </w:r>
      <w:r w:rsidRPr="00B06469">
        <w:rPr>
          <w:rFonts w:ascii="Times New Roman" w:hAnsi="Times New Roman" w:cs="Times New Roman"/>
          <w:i/>
          <w:iCs/>
          <w:sz w:val="24"/>
          <w:szCs w:val="24"/>
        </w:rPr>
        <w:t>потенциальные возможности</w:t>
      </w:r>
      <w:r w:rsidRPr="00B06469">
        <w:rPr>
          <w:rFonts w:ascii="Times New Roman" w:hAnsi="Times New Roman" w:cs="Times New Roman"/>
          <w:iCs/>
          <w:sz w:val="24"/>
          <w:szCs w:val="24"/>
        </w:rPr>
        <w:t xml:space="preserve"> развития инвестиционной деятельности на территории Камышлинского района связаны со следующими мероприятиями:</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реализация федеральных и региональных инвестиционных проектов и программ, создающих новые импульсы для развития муниципального района;</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участие в программах и конкурсах привлечения инвестиций;</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развитие механизма муниципально-частного партнерства;</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повышение инвестиционной активности местных инвесторов и привлечение зарубежных партнеров;</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увеличение доли собственных доходов бюджета в общих доходах местного бюджета;</w:t>
      </w:r>
    </w:p>
    <w:p w:rsidR="004D4A30" w:rsidRPr="00B06469" w:rsidRDefault="004D4A30" w:rsidP="001F0139">
      <w:pPr>
        <w:numPr>
          <w:ilvl w:val="0"/>
          <w:numId w:val="9"/>
        </w:numPr>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наращивание налогового потенциала.</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iCs/>
          <w:sz w:val="24"/>
          <w:szCs w:val="24"/>
        </w:rPr>
        <w:t xml:space="preserve">Инвестиционную активность в районе сдерживают следующие обстоятельства, формирующие </w:t>
      </w:r>
      <w:r w:rsidRPr="00B06469">
        <w:rPr>
          <w:rFonts w:ascii="Times New Roman" w:hAnsi="Times New Roman" w:cs="Times New Roman"/>
          <w:i/>
          <w:iCs/>
          <w:sz w:val="24"/>
          <w:szCs w:val="24"/>
        </w:rPr>
        <w:t>внешние угрозы</w:t>
      </w:r>
      <w:r w:rsidRPr="00B06469">
        <w:rPr>
          <w:rFonts w:ascii="Times New Roman" w:hAnsi="Times New Roman" w:cs="Times New Roman"/>
          <w:iCs/>
          <w:sz w:val="24"/>
          <w:szCs w:val="24"/>
        </w:rPr>
        <w:t xml:space="preserve">: рост инфляции; снижение надежности </w:t>
      </w:r>
      <w:r w:rsidRPr="00B06469">
        <w:rPr>
          <w:rFonts w:ascii="Times New Roman" w:hAnsi="Times New Roman" w:cs="Times New Roman"/>
          <w:sz w:val="24"/>
          <w:szCs w:val="24"/>
        </w:rPr>
        <w:t>финансовой системы страны; сокращение предложения и удорожание финансовых и инвестиционных ресурсов; сокращение налоговой базы в связи с рецессией в экономике; замедление темпов экономического развития и, как следствие, снижение темпов роста инвестиций; рост конкуренции за инвестиционные ресурсы, в том числе бюджетные.</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Финансовое обеспечение развития МО</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 xml:space="preserve"> </w:t>
      </w:r>
      <w:r w:rsidRPr="00B06469">
        <w:rPr>
          <w:rFonts w:ascii="Times New Roman" w:hAnsi="Times New Roman" w:cs="Times New Roman"/>
          <w:i/>
          <w:sz w:val="24"/>
          <w:szCs w:val="24"/>
          <w:shd w:val="clear" w:color="auto" w:fill="FFFFFF"/>
        </w:rPr>
        <w:t>К сильным сторонам</w:t>
      </w:r>
      <w:r w:rsidRPr="00B06469">
        <w:rPr>
          <w:rFonts w:ascii="Times New Roman" w:hAnsi="Times New Roman" w:cs="Times New Roman"/>
          <w:sz w:val="24"/>
          <w:szCs w:val="24"/>
          <w:shd w:val="clear" w:color="auto" w:fill="FFFFFF"/>
        </w:rPr>
        <w:t xml:space="preserve"> относятся: </w:t>
      </w:r>
      <w:r w:rsidRPr="00B06469">
        <w:rPr>
          <w:rFonts w:ascii="Times New Roman" w:hAnsi="Times New Roman" w:cs="Times New Roman"/>
          <w:sz w:val="24"/>
          <w:szCs w:val="24"/>
        </w:rPr>
        <w:t>положительная динамика наполняемости бюджета за счет налоговых поступлений, положительная динамика расходов бюджета на национальную экономику и культуру, возобновление финансирования местным бюджетом физической культуры и спорта (с 2015 г.).</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shd w:val="clear" w:color="auto" w:fill="FFFFFF"/>
        </w:rPr>
        <w:t xml:space="preserve">Наряду с положительными характеристиками финансового обеспечения Камышлинского района, существует и ряд проблем, определяющих его </w:t>
      </w:r>
      <w:r w:rsidRPr="00B06469">
        <w:rPr>
          <w:rFonts w:ascii="Times New Roman" w:hAnsi="Times New Roman" w:cs="Times New Roman"/>
          <w:i/>
          <w:sz w:val="24"/>
          <w:szCs w:val="24"/>
          <w:shd w:val="clear" w:color="auto" w:fill="FFFFFF"/>
        </w:rPr>
        <w:t>слабые стороны</w:t>
      </w:r>
      <w:r w:rsidRPr="00B06469">
        <w:rPr>
          <w:rFonts w:ascii="Times New Roman" w:hAnsi="Times New Roman" w:cs="Times New Roman"/>
          <w:sz w:val="24"/>
          <w:szCs w:val="24"/>
          <w:shd w:val="clear" w:color="auto" w:fill="FFFFFF"/>
        </w:rPr>
        <w:t xml:space="preserve">: </w:t>
      </w:r>
      <w:r w:rsidRPr="00B06469">
        <w:rPr>
          <w:rFonts w:ascii="Times New Roman" w:hAnsi="Times New Roman" w:cs="Times New Roman"/>
          <w:sz w:val="24"/>
          <w:szCs w:val="24"/>
        </w:rPr>
        <w:t>отрицательная динамика наполняемости бюджета за счет неналоговых поступлений; высокий уровень дотационности местного бюджета; отрицательная динамика расходов бюджета на ЖКХ, образование и социальную политику.</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iCs/>
          <w:sz w:val="24"/>
          <w:szCs w:val="24"/>
        </w:rPr>
        <w:lastRenderedPageBreak/>
        <w:t xml:space="preserve">Благоприятные перспективы, </w:t>
      </w:r>
      <w:r w:rsidRPr="00B06469">
        <w:rPr>
          <w:rFonts w:ascii="Times New Roman" w:hAnsi="Times New Roman" w:cs="Times New Roman"/>
          <w:i/>
          <w:iCs/>
          <w:sz w:val="24"/>
          <w:szCs w:val="24"/>
        </w:rPr>
        <w:t>потенциальные возможности</w:t>
      </w:r>
      <w:r w:rsidRPr="00B06469">
        <w:rPr>
          <w:rFonts w:ascii="Times New Roman" w:hAnsi="Times New Roman" w:cs="Times New Roman"/>
          <w:iCs/>
          <w:sz w:val="24"/>
          <w:szCs w:val="24"/>
        </w:rPr>
        <w:t xml:space="preserve"> </w:t>
      </w:r>
      <w:r w:rsidRPr="00B06469">
        <w:rPr>
          <w:rFonts w:ascii="Times New Roman" w:hAnsi="Times New Roman" w:cs="Times New Roman"/>
          <w:sz w:val="24"/>
          <w:szCs w:val="24"/>
          <w:shd w:val="clear" w:color="auto" w:fill="FFFFFF"/>
        </w:rPr>
        <w:t>финансового обеспечения</w:t>
      </w:r>
      <w:r w:rsidRPr="00B06469">
        <w:rPr>
          <w:rFonts w:ascii="Times New Roman" w:hAnsi="Times New Roman" w:cs="Times New Roman"/>
          <w:iCs/>
          <w:sz w:val="24"/>
          <w:szCs w:val="24"/>
        </w:rPr>
        <w:t xml:space="preserve"> Камышлинского района связаны со следующими мероприятиями:</w:t>
      </w:r>
    </w:p>
    <w:p w:rsidR="004D4A30" w:rsidRPr="00B06469" w:rsidRDefault="004D4A30" w:rsidP="001F0139">
      <w:pPr>
        <w:numPr>
          <w:ilvl w:val="0"/>
          <w:numId w:val="6"/>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улучшение качества администрирования местных налогов, повышение качества прогнозирования и планирования доходов бюджета района;</w:t>
      </w:r>
    </w:p>
    <w:p w:rsidR="004D4A30" w:rsidRPr="00B06469" w:rsidRDefault="004D4A30" w:rsidP="001F0139">
      <w:pPr>
        <w:numPr>
          <w:ilvl w:val="0"/>
          <w:numId w:val="6"/>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увеличение доходной части бюджета;</w:t>
      </w:r>
    </w:p>
    <w:p w:rsidR="004D4A30" w:rsidRPr="00B06469" w:rsidRDefault="004D4A30" w:rsidP="001F0139">
      <w:pPr>
        <w:numPr>
          <w:ilvl w:val="0"/>
          <w:numId w:val="6"/>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оптимизация действующих расходных обязательств и повышение эффективности использования финансовых ресурсов.</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iCs/>
          <w:sz w:val="24"/>
          <w:szCs w:val="24"/>
        </w:rPr>
        <w:t xml:space="preserve">Среди </w:t>
      </w:r>
      <w:r w:rsidRPr="00B06469">
        <w:rPr>
          <w:rFonts w:ascii="Times New Roman" w:hAnsi="Times New Roman" w:cs="Times New Roman"/>
          <w:i/>
          <w:iCs/>
          <w:sz w:val="24"/>
          <w:szCs w:val="24"/>
        </w:rPr>
        <w:t>возможных угроз:</w:t>
      </w:r>
      <w:r w:rsidRPr="00B06469">
        <w:rPr>
          <w:rFonts w:ascii="Times New Roman" w:hAnsi="Times New Roman" w:cs="Times New Roman"/>
          <w:iCs/>
          <w:sz w:val="24"/>
          <w:szCs w:val="24"/>
        </w:rPr>
        <w:t xml:space="preserve"> </w:t>
      </w:r>
    </w:p>
    <w:p w:rsidR="004D4A30" w:rsidRPr="00B06469" w:rsidRDefault="004D4A30" w:rsidP="001F0139">
      <w:pPr>
        <w:numPr>
          <w:ilvl w:val="0"/>
          <w:numId w:val="10"/>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угроза повышения зависимости от дотаций, субсидий и субвенций регионального бюджета;</w:t>
      </w:r>
    </w:p>
    <w:p w:rsidR="004D4A30" w:rsidRPr="00B06469" w:rsidRDefault="004D4A30" w:rsidP="001F0139">
      <w:pPr>
        <w:numPr>
          <w:ilvl w:val="0"/>
          <w:numId w:val="10"/>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угроза финансового кризиса и ухода с территории бюджетообразующих предприятий.</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Муниципальное управление</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sz w:val="24"/>
          <w:szCs w:val="24"/>
        </w:rPr>
        <w:t xml:space="preserve"> </w:t>
      </w:r>
      <w:r w:rsidRPr="00B06469">
        <w:rPr>
          <w:rFonts w:ascii="Times New Roman" w:hAnsi="Times New Roman" w:cs="Times New Roman"/>
          <w:sz w:val="24"/>
          <w:szCs w:val="24"/>
          <w:shd w:val="clear" w:color="auto" w:fill="FFFFFF"/>
        </w:rPr>
        <w:t xml:space="preserve">К </w:t>
      </w:r>
      <w:r w:rsidRPr="00B06469">
        <w:rPr>
          <w:rFonts w:ascii="Times New Roman" w:hAnsi="Times New Roman" w:cs="Times New Roman"/>
          <w:i/>
          <w:sz w:val="24"/>
          <w:szCs w:val="24"/>
          <w:shd w:val="clear" w:color="auto" w:fill="FFFFFF"/>
        </w:rPr>
        <w:t>сильным сторонам</w:t>
      </w:r>
      <w:r w:rsidRPr="00B06469">
        <w:rPr>
          <w:rFonts w:ascii="Times New Roman" w:hAnsi="Times New Roman" w:cs="Times New Roman"/>
          <w:sz w:val="24"/>
          <w:szCs w:val="24"/>
          <w:shd w:val="clear" w:color="auto" w:fill="FFFFFF"/>
        </w:rPr>
        <w:t xml:space="preserve"> относятся:</w:t>
      </w:r>
    </w:p>
    <w:p w:rsidR="004D4A30" w:rsidRPr="00B0646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сформирован реестр муниципальных услуг, предоставляемых на территории района;</w:t>
      </w:r>
    </w:p>
    <w:p w:rsidR="004D4A30" w:rsidRPr="00B0646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наличие многофункционального центра предоставления государственных и муниципальных услуг;</w:t>
      </w:r>
    </w:p>
    <w:p w:rsidR="004D4A30" w:rsidRPr="00B0646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уровень удовлетворенности граждан качеством предоставления государственных и муниципальных за 2016 года составляет 100%;</w:t>
      </w:r>
    </w:p>
    <w:p w:rsidR="004D4A30" w:rsidRPr="00B06469" w:rsidRDefault="004D4A30" w:rsidP="001F0139">
      <w:pPr>
        <w:numPr>
          <w:ilvl w:val="0"/>
          <w:numId w:val="7"/>
        </w:numPr>
        <w:tabs>
          <w:tab w:val="left" w:pos="1134"/>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наличие Проекта поддержки местных инициатив. </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shd w:val="clear" w:color="auto" w:fill="FFFFFF"/>
        </w:rPr>
        <w:t>К слабым сторонам</w:t>
      </w:r>
      <w:r w:rsidRPr="00B06469">
        <w:rPr>
          <w:rFonts w:ascii="Times New Roman" w:hAnsi="Times New Roman" w:cs="Times New Roman"/>
          <w:sz w:val="24"/>
          <w:szCs w:val="24"/>
          <w:shd w:val="clear" w:color="auto" w:fill="FFFFFF"/>
        </w:rPr>
        <w:t xml:space="preserve"> можно отнести </w:t>
      </w:r>
      <w:r w:rsidRPr="00B06469">
        <w:rPr>
          <w:rFonts w:ascii="Times New Roman" w:hAnsi="Times New Roman" w:cs="Times New Roman"/>
          <w:sz w:val="24"/>
          <w:szCs w:val="24"/>
        </w:rPr>
        <w:t>низкий уровень удовлетворенности населения деятельностью органов местного самоуправления, равный 76%, что ниже среднего значения по муниципальным районам (77,5%).</w:t>
      </w:r>
      <w:r w:rsidRPr="00B06469">
        <w:rPr>
          <w:rFonts w:ascii="Times New Roman" w:hAnsi="Times New Roman" w:cs="Times New Roman"/>
          <w:sz w:val="24"/>
          <w:szCs w:val="24"/>
          <w:shd w:val="clear" w:color="auto" w:fill="FFFFFF"/>
        </w:rPr>
        <w:t xml:space="preserve"> </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shd w:val="clear" w:color="auto" w:fill="FFFFFF"/>
        </w:rPr>
        <w:t>Потенциальные возможности</w:t>
      </w:r>
      <w:r w:rsidRPr="00B06469">
        <w:rPr>
          <w:rFonts w:ascii="Times New Roman" w:hAnsi="Times New Roman" w:cs="Times New Roman"/>
          <w:sz w:val="24"/>
          <w:szCs w:val="24"/>
          <w:shd w:val="clear" w:color="auto" w:fill="FFFFFF"/>
        </w:rPr>
        <w:t>: демократизация государственного управления и рост созидательной активности селян.</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shd w:val="clear" w:color="auto" w:fill="FFFFFF"/>
        </w:rPr>
        <w:t>К угрозам</w:t>
      </w:r>
      <w:r w:rsidRPr="00B06469">
        <w:rPr>
          <w:rFonts w:ascii="Times New Roman" w:hAnsi="Times New Roman" w:cs="Times New Roman"/>
          <w:b/>
          <w:i/>
          <w:sz w:val="24"/>
          <w:szCs w:val="24"/>
          <w:shd w:val="clear" w:color="auto" w:fill="FFFFFF"/>
        </w:rPr>
        <w:t xml:space="preserve"> </w:t>
      </w:r>
      <w:r w:rsidRPr="00B06469">
        <w:rPr>
          <w:rFonts w:ascii="Times New Roman" w:hAnsi="Times New Roman" w:cs="Times New Roman"/>
          <w:sz w:val="24"/>
          <w:szCs w:val="24"/>
          <w:shd w:val="clear" w:color="auto" w:fill="FFFFFF"/>
        </w:rPr>
        <w:t>относится: коррупция в деятельности органов государственной власти, конфликты на этнической и религиозной почве, криминогенная обстановка, невыполнение обязательств органами власти в различных сферах жизни района.</w:t>
      </w:r>
    </w:p>
    <w:p w:rsidR="004D4A30" w:rsidRPr="00B06469" w:rsidRDefault="004D4A30" w:rsidP="001F0139">
      <w:pPr>
        <w:tabs>
          <w:tab w:val="left" w:pos="851"/>
          <w:tab w:val="decimal" w:pos="1418"/>
        </w:tabs>
        <w:spacing w:after="0" w:line="360" w:lineRule="auto"/>
        <w:contextualSpacing/>
        <w:jc w:val="both"/>
        <w:outlineLvl w:val="1"/>
        <w:rPr>
          <w:rFonts w:ascii="Times New Roman" w:hAnsi="Times New Roman" w:cs="Times New Roman"/>
          <w:b/>
          <w:color w:val="365F91"/>
          <w:sz w:val="24"/>
          <w:szCs w:val="24"/>
        </w:rPr>
      </w:pPr>
      <w:bookmarkStart w:id="14" w:name="_Toc520894855"/>
      <w:r w:rsidRPr="00B06469">
        <w:rPr>
          <w:rFonts w:ascii="Times New Roman" w:hAnsi="Times New Roman" w:cs="Times New Roman"/>
          <w:b/>
          <w:color w:val="365F91"/>
          <w:sz w:val="24"/>
          <w:szCs w:val="24"/>
        </w:rPr>
        <w:t>4.4.SWOT-анализ ЖКХ и комфортной сред</w:t>
      </w:r>
      <w:bookmarkEnd w:id="14"/>
      <w:r w:rsidRPr="00B06469">
        <w:rPr>
          <w:rFonts w:ascii="Times New Roman" w:hAnsi="Times New Roman" w:cs="Times New Roman"/>
          <w:b/>
          <w:color w:val="365F91"/>
          <w:sz w:val="24"/>
          <w:szCs w:val="24"/>
        </w:rPr>
        <w:t>ы</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sz w:val="24"/>
          <w:szCs w:val="24"/>
        </w:rPr>
        <w:t>SWOT-анализ среды проживания включал экологическую ситуацию; жилищную сферу, градостроительство и благоустройство; жилищно-коммунальное хозяйство; дорожно-транспортный комплекс; информационно-коммуникационную инфраструктуру.</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Жилье, градостроительство и комфортная среда</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sz w:val="24"/>
          <w:szCs w:val="24"/>
        </w:rPr>
        <w:lastRenderedPageBreak/>
        <w:t xml:space="preserve"> </w:t>
      </w:r>
      <w:r w:rsidRPr="00B06469">
        <w:rPr>
          <w:rFonts w:ascii="Times New Roman" w:hAnsi="Times New Roman" w:cs="Times New Roman"/>
          <w:iCs/>
          <w:sz w:val="24"/>
          <w:szCs w:val="24"/>
        </w:rPr>
        <w:t xml:space="preserve">В ходе проведенного SWOT-анализа эксперты отнесли </w:t>
      </w:r>
      <w:r w:rsidRPr="00B06469">
        <w:rPr>
          <w:rFonts w:ascii="Times New Roman" w:hAnsi="Times New Roman" w:cs="Times New Roman"/>
          <w:b/>
          <w:iCs/>
          <w:sz w:val="24"/>
          <w:szCs w:val="24"/>
        </w:rPr>
        <w:t xml:space="preserve">к </w:t>
      </w:r>
      <w:r w:rsidRPr="00B06469">
        <w:rPr>
          <w:rFonts w:ascii="Times New Roman" w:hAnsi="Times New Roman" w:cs="Times New Roman"/>
          <w:b/>
          <w:i/>
          <w:iCs/>
          <w:sz w:val="24"/>
          <w:szCs w:val="24"/>
        </w:rPr>
        <w:t>сильным сторонам</w:t>
      </w:r>
      <w:r w:rsidRPr="00B06469">
        <w:rPr>
          <w:rFonts w:ascii="Times New Roman" w:hAnsi="Times New Roman" w:cs="Times New Roman"/>
          <w:iCs/>
          <w:sz w:val="24"/>
          <w:szCs w:val="24"/>
        </w:rPr>
        <w:t xml:space="preserve"> района </w:t>
      </w:r>
      <w:r w:rsidRPr="00B06469">
        <w:rPr>
          <w:rFonts w:ascii="Times New Roman" w:hAnsi="Times New Roman" w:cs="Times New Roman"/>
          <w:sz w:val="24"/>
          <w:szCs w:val="24"/>
        </w:rPr>
        <w:t>наличие основных систем жизнеобеспечения (электроснабжение, водоснабжение, отопление, газоснабжение, связи и т.п.), устойчивый рост обеспеченности жильем и общей площади вводимого в эксплуатацию жилья, увеличение количества индивидуальных застройщиков, уменьшение общей площади ветхих и аварийных жилых помещений, наличие чистой родниковой воды; отсутствие очередей в детские сады; высокий уровень газификации; реализация проекта «Поддержка инициатив населения муниципальных образований на 2017-2025 гг.»; модернизация материально-технической базы ЖКХ; Южный обводной мостовой переход через реку Сок; толерантность, доброжелательность, сохранение традиций, гостеприимство населения.</w:t>
      </w:r>
    </w:p>
    <w:p w:rsidR="004D4A30" w:rsidRPr="00B06469" w:rsidRDefault="004D4A30"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i/>
          <w:sz w:val="24"/>
          <w:szCs w:val="24"/>
        </w:rPr>
        <w:t>Слабые стороны</w:t>
      </w:r>
      <w:r w:rsidRPr="00B06469">
        <w:rPr>
          <w:rFonts w:ascii="Times New Roman" w:hAnsi="Times New Roman" w:cs="Times New Roman"/>
          <w:sz w:val="24"/>
          <w:szCs w:val="24"/>
        </w:rPr>
        <w:t xml:space="preserve"> данной сферы жизни Камышлинского района: </w:t>
      </w:r>
      <w:r w:rsidRPr="00B06469">
        <w:rPr>
          <w:rFonts w:ascii="Times New Roman" w:hAnsi="Times New Roman" w:cs="Times New Roman"/>
          <w:color w:val="000000"/>
          <w:sz w:val="24"/>
          <w:szCs w:val="24"/>
        </w:rPr>
        <w:t>отрицательная динамика по вводу в действие общей площади жилых помещений в расчете на 1000 жителей и у</w:t>
      </w:r>
      <w:r w:rsidRPr="00B06469">
        <w:rPr>
          <w:rFonts w:ascii="Times New Roman" w:hAnsi="Times New Roman" w:cs="Times New Roman"/>
          <w:sz w:val="24"/>
          <w:szCs w:val="24"/>
        </w:rPr>
        <w:t>величение числа семей и граждан, состоящих на учете по улучшению жилищных условий; недостаточное финансирование для улучшения жилищных условий населения; износ инженерной инфраструктуры; отсутствие спорткомлекса с бассейном; отсутствие оборудованного благоустроенного пляжа; недостаточная протяженность дорог с твердым покрытием; отсутствие банкоматов; повсеместное отсутствие очистных сооружений; низкое качество мобильной и Интернет-связи; отсутствие полигона твёрдых бытовых отходов.</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i/>
          <w:iCs/>
          <w:sz w:val="24"/>
          <w:szCs w:val="24"/>
        </w:rPr>
        <w:t>Потенциальными возможностями</w:t>
      </w:r>
      <w:r w:rsidRPr="00B06469">
        <w:rPr>
          <w:rFonts w:ascii="Times New Roman" w:hAnsi="Times New Roman" w:cs="Times New Roman"/>
          <w:iCs/>
          <w:sz w:val="24"/>
          <w:szCs w:val="24"/>
        </w:rPr>
        <w:t xml:space="preserve"> являются: р</w:t>
      </w:r>
      <w:r w:rsidRPr="00B06469">
        <w:rPr>
          <w:rFonts w:ascii="Times New Roman" w:hAnsi="Times New Roman" w:cs="Times New Roman"/>
          <w:sz w:val="24"/>
          <w:szCs w:val="24"/>
        </w:rPr>
        <w:t xml:space="preserve">еализация федерального проекта «Формирование комфортной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 xml:space="preserve">ской среды»; формирование чёткой градостроительной политики; увеличение общей площади жилых помещений, приходящихся в среднем на одного жителя за счет ввода нового жилья и реконструкции существующего жилья; развитие социальной инфраструктуры; увеличение протяженности и качества дорог с твердым покрытием; повышение эффективности муниципального управления; создание механизма прямого участия граждан в формировании комфортной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ской среды; улучшение экологии за счет уменьшения количества вредных выбросов в атмосферу, строительства очистных сооружений, улучшения состояния рек района, строительство полигона ТБО.</w:t>
      </w:r>
    </w:p>
    <w:p w:rsidR="004D4A30" w:rsidRPr="00B06469" w:rsidRDefault="004D4A30" w:rsidP="001F0139">
      <w:pPr>
        <w:spacing w:after="0" w:line="360" w:lineRule="auto"/>
        <w:ind w:firstLine="709"/>
        <w:jc w:val="both"/>
        <w:rPr>
          <w:rFonts w:ascii="Times New Roman" w:hAnsi="Times New Roman" w:cs="Times New Roman"/>
          <w:b/>
          <w:iCs/>
          <w:sz w:val="24"/>
          <w:szCs w:val="24"/>
        </w:rPr>
      </w:pPr>
      <w:r w:rsidRPr="00B06469">
        <w:rPr>
          <w:rFonts w:ascii="Times New Roman" w:hAnsi="Times New Roman" w:cs="Times New Roman"/>
          <w:i/>
          <w:iCs/>
          <w:sz w:val="24"/>
          <w:szCs w:val="24"/>
        </w:rPr>
        <w:t>К внешним угрозам</w:t>
      </w:r>
      <w:r w:rsidRPr="00B06469">
        <w:rPr>
          <w:rFonts w:ascii="Times New Roman" w:hAnsi="Times New Roman" w:cs="Times New Roman"/>
          <w:iCs/>
          <w:sz w:val="24"/>
          <w:szCs w:val="24"/>
        </w:rPr>
        <w:t xml:space="preserve"> можно отнести </w:t>
      </w:r>
      <w:r w:rsidRPr="00B06469">
        <w:rPr>
          <w:rFonts w:ascii="Times New Roman" w:hAnsi="Times New Roman" w:cs="Times New Roman"/>
          <w:sz w:val="24"/>
          <w:szCs w:val="24"/>
        </w:rPr>
        <w:t>финансовые ограничения в связи с экономической ситуацией в стране и падением доходов населения и бизнеса.</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ЖКХ</w:t>
      </w:r>
    </w:p>
    <w:p w:rsidR="004D4A30" w:rsidRPr="00B06469" w:rsidRDefault="004D4A30" w:rsidP="001F0139">
      <w:pPr>
        <w:spacing w:after="0" w:line="360" w:lineRule="auto"/>
        <w:ind w:firstLine="709"/>
        <w:jc w:val="both"/>
        <w:rPr>
          <w:rFonts w:ascii="Times New Roman" w:hAnsi="Times New Roman" w:cs="Times New Roman"/>
          <w:iCs/>
          <w:sz w:val="24"/>
          <w:szCs w:val="24"/>
        </w:rPr>
      </w:pPr>
      <w:r w:rsidRPr="00B06469">
        <w:rPr>
          <w:rFonts w:ascii="Times New Roman" w:hAnsi="Times New Roman" w:cs="Times New Roman"/>
          <w:i/>
          <w:sz w:val="24"/>
          <w:szCs w:val="24"/>
        </w:rPr>
        <w:t>Сильные стороны</w:t>
      </w:r>
      <w:r w:rsidRPr="00B06469">
        <w:rPr>
          <w:rFonts w:ascii="Times New Roman" w:hAnsi="Times New Roman" w:cs="Times New Roman"/>
          <w:sz w:val="24"/>
          <w:szCs w:val="24"/>
        </w:rPr>
        <w:t xml:space="preserve"> функционирования ЖКХ Камышлинского района:</w:t>
      </w:r>
    </w:p>
    <w:p w:rsidR="004D4A30" w:rsidRPr="00B0646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lastRenderedPageBreak/>
        <w:t>выполнение мероприятий по модернизации и укреплению материально-технической базы предприятий ЖКХ;</w:t>
      </w:r>
    </w:p>
    <w:p w:rsidR="004D4A30" w:rsidRPr="00B0646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приобретение коммунальной техники путем участия в федеральных и областных программах;</w:t>
      </w:r>
    </w:p>
    <w:p w:rsidR="004D4A30" w:rsidRPr="00B0646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строительство и реконструкция водоводов и водопроводных сетей;</w:t>
      </w:r>
    </w:p>
    <w:p w:rsidR="004D4A30" w:rsidRPr="00B06469" w:rsidRDefault="004D4A30" w:rsidP="001F0139">
      <w:pPr>
        <w:numPr>
          <w:ilvl w:val="0"/>
          <w:numId w:val="8"/>
        </w:numPr>
        <w:tabs>
          <w:tab w:val="left" w:pos="993"/>
        </w:tabs>
        <w:spacing w:after="0" w:line="360" w:lineRule="auto"/>
        <w:ind w:left="0" w:firstLine="709"/>
        <w:contextualSpacing/>
        <w:jc w:val="both"/>
        <w:rPr>
          <w:rFonts w:ascii="Times New Roman" w:hAnsi="Times New Roman" w:cs="Times New Roman"/>
          <w:iCs/>
          <w:sz w:val="24"/>
          <w:szCs w:val="24"/>
        </w:rPr>
      </w:pPr>
      <w:r w:rsidRPr="00B06469">
        <w:rPr>
          <w:rFonts w:ascii="Times New Roman" w:hAnsi="Times New Roman" w:cs="Times New Roman"/>
          <w:sz w:val="24"/>
          <w:szCs w:val="24"/>
        </w:rPr>
        <w:t>высокий уровень газификация жилого фонда сетевым газом.</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Слабые стороны</w:t>
      </w:r>
      <w:r w:rsidRPr="00B06469">
        <w:rPr>
          <w:rFonts w:ascii="Times New Roman" w:hAnsi="Times New Roman" w:cs="Times New Roman"/>
          <w:iCs/>
          <w:sz w:val="24"/>
          <w:szCs w:val="24"/>
        </w:rPr>
        <w:t>: н</w:t>
      </w:r>
      <w:r w:rsidRPr="00B06469">
        <w:rPr>
          <w:rFonts w:ascii="Times New Roman" w:hAnsi="Times New Roman" w:cs="Times New Roman"/>
          <w:sz w:val="24"/>
          <w:szCs w:val="24"/>
        </w:rPr>
        <w:t>аличие задолженности населения за коммунальные услуги, высокая степень износа систем водоотведения, низкий уровень обеспеченности водопроводом.</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Потенциальными возможностями</w:t>
      </w:r>
      <w:r w:rsidRPr="00B06469">
        <w:rPr>
          <w:rFonts w:ascii="Times New Roman" w:hAnsi="Times New Roman" w:cs="Times New Roman"/>
          <w:iCs/>
          <w:sz w:val="24"/>
          <w:szCs w:val="24"/>
        </w:rPr>
        <w:t xml:space="preserve"> могут быть: п</w:t>
      </w:r>
      <w:r w:rsidRPr="00B06469">
        <w:rPr>
          <w:rFonts w:ascii="Times New Roman" w:hAnsi="Times New Roman" w:cs="Times New Roman"/>
          <w:sz w:val="24"/>
          <w:szCs w:val="24"/>
        </w:rPr>
        <w:t>овышение уровня и качества жилищно-коммунальных услуг, создание предприятий на основе государственно - частного партнёрства (ГЧП) или муниципально-частного партнёрства (МЧП) в сфере ЖКХ: эксплуатация коммунальных сетей, уборка улиц, вывоз и утилизация мусора, применения в муниципальных организациях энергосберегающих технологий.</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Угрозы</w:t>
      </w:r>
      <w:r w:rsidRPr="00B06469">
        <w:rPr>
          <w:rFonts w:ascii="Times New Roman" w:hAnsi="Times New Roman" w:cs="Times New Roman"/>
          <w:sz w:val="24"/>
          <w:szCs w:val="24"/>
        </w:rPr>
        <w:t>: значительное увеличение тарифов на газ, электро- и теплоэнергию, рост вероятности и частоты возникновения аварий на объектах жилищно-коммунального хозяйства, замедление темпов реформирования ЖКХ.</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Дорожно-транспортный комплекс</w:t>
      </w:r>
    </w:p>
    <w:p w:rsidR="004D4A30" w:rsidRPr="00B06469" w:rsidRDefault="004D4A30"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i/>
          <w:sz w:val="24"/>
          <w:szCs w:val="24"/>
          <w:shd w:val="clear" w:color="auto" w:fill="FFFFFF"/>
        </w:rPr>
        <w:t>К сильным сторонам</w:t>
      </w:r>
      <w:r w:rsidRPr="00B06469">
        <w:rPr>
          <w:rFonts w:ascii="Times New Roman" w:hAnsi="Times New Roman" w:cs="Times New Roman"/>
          <w:sz w:val="24"/>
          <w:szCs w:val="24"/>
          <w:shd w:val="clear" w:color="auto" w:fill="FFFFFF"/>
        </w:rPr>
        <w:t xml:space="preserve"> развития дорожно-транспортного комплекса можно отнести: </w:t>
      </w:r>
      <w:r w:rsidRPr="00B06469">
        <w:rPr>
          <w:rFonts w:ascii="Times New Roman" w:hAnsi="Times New Roman" w:cs="Times New Roman"/>
          <w:sz w:val="24"/>
          <w:szCs w:val="24"/>
        </w:rPr>
        <w:t>сдачу в эксплуатацию южного обводного мостового перехода через реку Сок, все населенные пункты района соединены с районным центром дорогами с твердым покрытием, производен капитальный ремонт автодороги местного значения с устройством твердого покрытия в сельских поселениях Байтуган, Балыкла, Ермаково и Камышла.</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Негативные моменты или </w:t>
      </w:r>
      <w:r w:rsidRPr="00B06469">
        <w:rPr>
          <w:rFonts w:ascii="Times New Roman" w:hAnsi="Times New Roman" w:cs="Times New Roman"/>
          <w:i/>
          <w:sz w:val="24"/>
          <w:szCs w:val="24"/>
        </w:rPr>
        <w:t>слабые стороны</w:t>
      </w:r>
      <w:r w:rsidRPr="00B06469">
        <w:rPr>
          <w:rFonts w:ascii="Times New Roman" w:hAnsi="Times New Roman" w:cs="Times New Roman"/>
          <w:sz w:val="24"/>
          <w:szCs w:val="24"/>
        </w:rPr>
        <w:t>: уменьшение удельного веса автодорог общего пользования с твердым покрытием в общей протяженности автодорог общего пользования.</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Потенциальные возможности</w:t>
      </w:r>
      <w:r w:rsidRPr="00B06469">
        <w:rPr>
          <w:rFonts w:ascii="Times New Roman" w:hAnsi="Times New Roman" w:cs="Times New Roman"/>
          <w:iCs/>
          <w:sz w:val="24"/>
          <w:szCs w:val="24"/>
        </w:rPr>
        <w:t xml:space="preserve"> развития дорожно-транспортного комплекса следующие: </w:t>
      </w:r>
      <w:r w:rsidRPr="00B06469">
        <w:rPr>
          <w:rFonts w:ascii="Times New Roman" w:hAnsi="Times New Roman" w:cs="Times New Roman"/>
          <w:sz w:val="24"/>
          <w:szCs w:val="24"/>
        </w:rPr>
        <w:t>ежегодное обследование автомобильных дорог местного значения, определение приоритетных участков дорог, подлежащих ремонту, участие в профильных государственных программах, эффективное использование средств муниципального дорожного фонда, эффективные контрактные взаимоотношения с подрядчиками, в том числе активное использование гарантийных механизмов.</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К внешним угрозам</w:t>
      </w:r>
      <w:r w:rsidRPr="00B06469">
        <w:rPr>
          <w:rFonts w:ascii="Times New Roman" w:hAnsi="Times New Roman" w:cs="Times New Roman"/>
          <w:iCs/>
          <w:sz w:val="24"/>
          <w:szCs w:val="24"/>
        </w:rPr>
        <w:t xml:space="preserve"> можно отнести </w:t>
      </w:r>
      <w:r w:rsidRPr="00B06469">
        <w:rPr>
          <w:rFonts w:ascii="Times New Roman" w:hAnsi="Times New Roman" w:cs="Times New Roman"/>
          <w:sz w:val="24"/>
          <w:szCs w:val="24"/>
        </w:rPr>
        <w:t>рост тарифов на транспортные перевозки.</w:t>
      </w:r>
    </w:p>
    <w:p w:rsidR="004D4A30" w:rsidRPr="00B06469" w:rsidRDefault="004D4A30" w:rsidP="001F0139">
      <w:pPr>
        <w:spacing w:after="0" w:line="360" w:lineRule="auto"/>
        <w:ind w:firstLine="709"/>
        <w:jc w:val="both"/>
        <w:rPr>
          <w:rFonts w:ascii="Times New Roman" w:eastAsia="Times New Roman" w:hAnsi="Times New Roman" w:cs="Times New Roman"/>
          <w:b/>
          <w:i/>
          <w:color w:val="365F91"/>
          <w:sz w:val="24"/>
          <w:szCs w:val="24"/>
          <w:lang w:eastAsia="ru-RU"/>
        </w:rPr>
      </w:pPr>
      <w:r w:rsidRPr="00B06469">
        <w:rPr>
          <w:rFonts w:ascii="Times New Roman" w:eastAsia="Times New Roman" w:hAnsi="Times New Roman" w:cs="Times New Roman"/>
          <w:b/>
          <w:i/>
          <w:color w:val="365F91"/>
          <w:sz w:val="24"/>
          <w:szCs w:val="24"/>
          <w:lang w:eastAsia="ru-RU"/>
        </w:rPr>
        <w:t xml:space="preserve">Информационно-коммуникационная инфраструктура </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lastRenderedPageBreak/>
        <w:t>Сильными сторонами</w:t>
      </w:r>
      <w:r w:rsidRPr="00B06469">
        <w:rPr>
          <w:rFonts w:ascii="Times New Roman" w:hAnsi="Times New Roman" w:cs="Times New Roman"/>
          <w:sz w:val="24"/>
          <w:szCs w:val="24"/>
        </w:rPr>
        <w:t xml:space="preserve"> являются: охват населения телевизионным вещанием составляет на 100 %, все АТС района являются цифровыми.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sz w:val="24"/>
          <w:szCs w:val="24"/>
        </w:rPr>
        <w:t>Слабые стороны</w:t>
      </w:r>
      <w:r w:rsidRPr="00B06469">
        <w:rPr>
          <w:rFonts w:ascii="Times New Roman" w:hAnsi="Times New Roman" w:cs="Times New Roman"/>
          <w:sz w:val="24"/>
          <w:szCs w:val="24"/>
        </w:rPr>
        <w:t>: недостаточное количество пунктов коллективного доступа к сети Интернет; отсутствие банкоматов; низкое качество мобильной и Интернет-связи.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Потенциальные возможности</w:t>
      </w:r>
      <w:r w:rsidRPr="00B06469">
        <w:rPr>
          <w:rFonts w:ascii="Times New Roman" w:hAnsi="Times New Roman" w:cs="Times New Roman"/>
          <w:iCs/>
          <w:sz w:val="24"/>
          <w:szCs w:val="24"/>
        </w:rPr>
        <w:t xml:space="preserve">: </w:t>
      </w:r>
      <w:r w:rsidRPr="00B06469">
        <w:rPr>
          <w:rFonts w:ascii="Times New Roman" w:hAnsi="Times New Roman" w:cs="Times New Roman"/>
          <w:sz w:val="24"/>
          <w:szCs w:val="24"/>
        </w:rPr>
        <w:t>динамичное развитие технологий связи и информационно-коммуникационных технологий, внедрение цифровой экономики.</w:t>
      </w:r>
    </w:p>
    <w:p w:rsidR="004D4A30" w:rsidRPr="00B06469" w:rsidRDefault="004D4A3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
          <w:iCs/>
          <w:sz w:val="24"/>
          <w:szCs w:val="24"/>
        </w:rPr>
        <w:t>К внешним угрозам</w:t>
      </w:r>
      <w:r w:rsidRPr="00B06469">
        <w:rPr>
          <w:rFonts w:ascii="Times New Roman" w:hAnsi="Times New Roman" w:cs="Times New Roman"/>
          <w:iCs/>
          <w:sz w:val="24"/>
          <w:szCs w:val="24"/>
        </w:rPr>
        <w:t xml:space="preserve"> можно отнести: </w:t>
      </w:r>
      <w:r w:rsidRPr="00B06469">
        <w:rPr>
          <w:rFonts w:ascii="Times New Roman" w:hAnsi="Times New Roman" w:cs="Times New Roman"/>
          <w:sz w:val="24"/>
          <w:szCs w:val="24"/>
        </w:rPr>
        <w:t>рост тарифов на услуги связи, возможные хакерские атаки, слабая организация и технология защиты информации.</w:t>
      </w:r>
    </w:p>
    <w:p w:rsidR="002760F1" w:rsidRPr="00B06469" w:rsidRDefault="002760F1" w:rsidP="001F0139">
      <w:pPr>
        <w:pStyle w:val="a3"/>
        <w:keepNext/>
        <w:keepLines/>
        <w:tabs>
          <w:tab w:val="left" w:pos="922"/>
        </w:tabs>
        <w:spacing w:after="0" w:line="326" w:lineRule="exact"/>
        <w:rPr>
          <w:bCs/>
          <w:color w:val="365F91"/>
          <w:sz w:val="24"/>
          <w:szCs w:val="24"/>
        </w:rPr>
      </w:pPr>
      <w:bookmarkStart w:id="15" w:name="bookmark23"/>
    </w:p>
    <w:p w:rsidR="00DE1D1C" w:rsidRPr="00367D87" w:rsidRDefault="00DE1D1C" w:rsidP="001F0139">
      <w:pPr>
        <w:pStyle w:val="a3"/>
        <w:keepNext/>
        <w:keepLines/>
        <w:tabs>
          <w:tab w:val="left" w:pos="922"/>
        </w:tabs>
        <w:spacing w:after="0" w:line="326" w:lineRule="exact"/>
        <w:rPr>
          <w:b/>
          <w:bCs/>
          <w:color w:val="365F91"/>
          <w:sz w:val="24"/>
          <w:szCs w:val="24"/>
        </w:rPr>
      </w:pPr>
      <w:r w:rsidRPr="00367D87">
        <w:rPr>
          <w:b/>
          <w:bCs/>
          <w:color w:val="365F91"/>
          <w:sz w:val="24"/>
          <w:szCs w:val="24"/>
        </w:rPr>
        <w:t xml:space="preserve">5.Приоритеты социально-экономического развития </w:t>
      </w:r>
      <w:r w:rsidR="005B62B2" w:rsidRPr="00367D87">
        <w:rPr>
          <w:b/>
          <w:bCs/>
          <w:color w:val="365F91"/>
          <w:sz w:val="24"/>
          <w:szCs w:val="24"/>
        </w:rPr>
        <w:t xml:space="preserve">и система целей </w:t>
      </w:r>
      <w:r w:rsidR="002760F1" w:rsidRPr="00367D87">
        <w:rPr>
          <w:b/>
          <w:bCs/>
          <w:color w:val="365F91"/>
          <w:sz w:val="24"/>
          <w:szCs w:val="24"/>
        </w:rPr>
        <w:t xml:space="preserve">муниципального района </w:t>
      </w:r>
      <w:r w:rsidRPr="00367D87">
        <w:rPr>
          <w:b/>
          <w:bCs/>
          <w:color w:val="365F91"/>
          <w:sz w:val="24"/>
          <w:szCs w:val="24"/>
        </w:rPr>
        <w:t>Камышлинск</w:t>
      </w:r>
      <w:r w:rsidR="002760F1" w:rsidRPr="00367D87">
        <w:rPr>
          <w:b/>
          <w:bCs/>
          <w:color w:val="365F91"/>
          <w:sz w:val="24"/>
          <w:szCs w:val="24"/>
        </w:rPr>
        <w:t>ий</w:t>
      </w:r>
      <w:r w:rsidRPr="00367D87">
        <w:rPr>
          <w:b/>
          <w:bCs/>
          <w:color w:val="365F91"/>
          <w:sz w:val="24"/>
          <w:szCs w:val="24"/>
        </w:rPr>
        <w:t xml:space="preserve"> </w:t>
      </w:r>
      <w:bookmarkEnd w:id="15"/>
    </w:p>
    <w:p w:rsidR="002760F1" w:rsidRPr="00B06469" w:rsidRDefault="002760F1" w:rsidP="001F0139">
      <w:pPr>
        <w:pStyle w:val="a3"/>
        <w:keepNext/>
        <w:keepLines/>
        <w:tabs>
          <w:tab w:val="left" w:pos="922"/>
        </w:tabs>
        <w:spacing w:after="0" w:line="326" w:lineRule="exact"/>
        <w:rPr>
          <w:bCs/>
          <w:color w:val="365F91"/>
          <w:sz w:val="24"/>
          <w:szCs w:val="24"/>
        </w:rPr>
      </w:pP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Главной ценностью Стратегии Камышлинского муниципального района является Человек - неповторимая свободная личность. Высшей целью стратегии является создание благоприятных условий для его развития и совершенствования. Мерой успешности развития Камышлинского муниципального района является качество жизни населения, количество и качество накопленного и успешно функционирующего человеческого капитала.</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Стратегия развития Камышлинского муниципального района включает три приоритетных направления:</w:t>
      </w:r>
    </w:p>
    <w:p w:rsidR="00DE1D1C" w:rsidRPr="00B06469" w:rsidRDefault="00DE1D1C" w:rsidP="001F0139">
      <w:pPr>
        <w:numPr>
          <w:ilvl w:val="0"/>
          <w:numId w:val="15"/>
        </w:numPr>
        <w:spacing w:after="0" w:line="360" w:lineRule="auto"/>
        <w:ind w:left="0"/>
        <w:jc w:val="both"/>
        <w:rPr>
          <w:rFonts w:ascii="Times New Roman" w:hAnsi="Times New Roman" w:cs="Times New Roman"/>
          <w:b/>
          <w:sz w:val="24"/>
          <w:szCs w:val="24"/>
        </w:rPr>
      </w:pPr>
      <w:r w:rsidRPr="00B06469">
        <w:rPr>
          <w:rFonts w:ascii="Times New Roman" w:hAnsi="Times New Roman" w:cs="Times New Roman"/>
          <w:b/>
          <w:sz w:val="24"/>
          <w:szCs w:val="24"/>
        </w:rPr>
        <w:t xml:space="preserve">Формирование, совершенствование и накопление человеческого капитала; </w:t>
      </w:r>
    </w:p>
    <w:p w:rsidR="00DE1D1C" w:rsidRPr="00B06469" w:rsidRDefault="00DE1D1C" w:rsidP="001F0139">
      <w:pPr>
        <w:numPr>
          <w:ilvl w:val="0"/>
          <w:numId w:val="15"/>
        </w:numPr>
        <w:spacing w:after="0" w:line="360" w:lineRule="auto"/>
        <w:ind w:left="0"/>
        <w:jc w:val="both"/>
        <w:rPr>
          <w:rFonts w:ascii="Times New Roman" w:hAnsi="Times New Roman" w:cs="Times New Roman"/>
          <w:b/>
          <w:sz w:val="24"/>
          <w:szCs w:val="24"/>
        </w:rPr>
      </w:pPr>
      <w:r w:rsidRPr="00B06469">
        <w:rPr>
          <w:rFonts w:ascii="Times New Roman" w:hAnsi="Times New Roman" w:cs="Times New Roman"/>
          <w:b/>
          <w:sz w:val="24"/>
          <w:szCs w:val="24"/>
        </w:rPr>
        <w:t>Создание комфортного пространства района</w:t>
      </w:r>
      <w:r w:rsidR="002760F1" w:rsidRPr="00B06469">
        <w:rPr>
          <w:rFonts w:ascii="Times New Roman" w:hAnsi="Times New Roman" w:cs="Times New Roman"/>
          <w:b/>
          <w:sz w:val="24"/>
          <w:szCs w:val="24"/>
        </w:rPr>
        <w:t xml:space="preserve"> </w:t>
      </w:r>
      <w:r w:rsidRPr="00B06469">
        <w:rPr>
          <w:rFonts w:ascii="Times New Roman" w:hAnsi="Times New Roman" w:cs="Times New Roman"/>
          <w:b/>
          <w:sz w:val="24"/>
          <w:szCs w:val="24"/>
        </w:rPr>
        <w:t xml:space="preserve">для гармоничного развития человеческого капитала; </w:t>
      </w:r>
    </w:p>
    <w:p w:rsidR="00DE1D1C" w:rsidRPr="00B06469" w:rsidRDefault="00DE1D1C" w:rsidP="001F0139">
      <w:pPr>
        <w:numPr>
          <w:ilvl w:val="0"/>
          <w:numId w:val="15"/>
        </w:numPr>
        <w:spacing w:after="0" w:line="360" w:lineRule="auto"/>
        <w:ind w:left="0"/>
        <w:jc w:val="both"/>
        <w:rPr>
          <w:rFonts w:ascii="Times New Roman" w:hAnsi="Times New Roman" w:cs="Times New Roman"/>
          <w:b/>
          <w:sz w:val="24"/>
          <w:szCs w:val="24"/>
        </w:rPr>
      </w:pPr>
      <w:r w:rsidRPr="00B06469">
        <w:rPr>
          <w:rFonts w:ascii="Times New Roman" w:hAnsi="Times New Roman" w:cs="Times New Roman"/>
          <w:b/>
          <w:sz w:val="24"/>
          <w:szCs w:val="24"/>
        </w:rPr>
        <w:t>Создание инновационной экономики, в которой человеческий капитал востребован, успешно функционирует и развивается.</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Человеческий капитал представляет собой способности, знания, навыки и умения, воплощенные в людях, которые позволяют им создавать социальное и экономическое благосостояние. Стратегия накопления человеческого капитала в Камышлинском муниципальном районе включает стратегию формирования человеческого капитала (демографическое развитие), образование, молодежную политику, систему здравоохранения, культуру, рынок труда, поддержку занятости и социальную защиту.</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Накопленный человеческий капитал обеспечивает конкурентоспособность Камышлинского муниципального района, что достигается выполнением следующих задач:</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Ускорение темпов роста индивидуальных возможностей. Человек становится субъектом глобального мира, является саморазвивающимся мобильным активом, что способствует росту компаний, функционирующих вокруг таланта конкретного человека.</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Повышение качества образования, обусловленное изменением условий труда и возможностями широкого использования информационно-коммуникационных технологий.</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Возрастание роли религиозных ценностей и институтов.</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Рост производительности труда за счет увеличения его технологической вооруженности и развития методов и технологий повышения эффективности.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Все рассматриваемые направления наделены локальными целями развития, но находятся во взаимосвязи и совместно работают на основную цель Стратегии.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Набор характеристик, наличие которых способствует успеху:</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образованное, предприимчивое, активное, талантливое, креативное население;</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система образования мирового уровня;</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система управления миграционными потоками, привлечение и удержание талантов;</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низкие барьеры для карьерного роста, предпринимательства, инвестиций;</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диверсификация экономики (высокая доля малого бизнеса, наличие отраслей - драйверов роста);</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комфортные условия для жизни, здоровая окружающая среда, безопасность;</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открытость (активные международные и межрегиональные связи);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идентичность, узнаваемость, известность;</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эффективная система управления будущим.</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Для того чтобы укреплять свои позиции Камышлинскому муниципальному району стратегически важно совершенствоваться в следующих направлениях:</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части накопления человеческого капитала и общественных институтов</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массовое качественное образование, включая иностранные языки;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управление талантами;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поддержка вертикальной и горизонтальной мобильности по способностям и компетентности;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рост уровня доверия в обществе;</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ценности здорового образа жизни и эффективное здравоохранение;</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поликультурность;</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равенство конфессий;</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части пространства - устойчивое природосообразное развитие;</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резервирование ресурсов для будущего;</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транспортная доступность всех типов поселений внутри района и надежные связи с соседними муниципальными районами;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удобная безопасная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ская среда с общественными пространствами, способствующими коммуникации и доверию;</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сохранение сельской местности;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части экономических отношений и управления</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рост уровня доверия как фактор экономического развития: развитие кластерных отношений, коллективного управления, обучение сотруенции (сотрудничеству конкурентов);</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открытая экономика, глобализация как стимул конкурентоспособности;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расширение и выравнивание доступа к ресурсам;</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полноценная экосистема инноваций;</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взаимовыгодное сотрудничество с федеральным центром;</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эффективное участие государства в инфраструктурных проектах;</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системное решение вопросов, связанных с коррупцией, значительное сокращение теневой экономики;</w:t>
      </w:r>
    </w:p>
    <w:p w:rsidR="00DE1D1C" w:rsidRPr="00B06469" w:rsidRDefault="00DE1D1C"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снижение централизации государственного управления, делегирование полномочий в интересах повышения скорости принятия решений при внедрении принципов проектного управления, управления "на результат" и государственно-частного партнерства.</w:t>
      </w:r>
    </w:p>
    <w:p w:rsidR="002760F1" w:rsidRPr="00B06469" w:rsidRDefault="002760F1">
      <w:pPr>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br w:type="page"/>
      </w:r>
    </w:p>
    <w:p w:rsidR="005B62B2" w:rsidRPr="00B06469" w:rsidRDefault="005B62B2"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6.Формирование, совершенствование и накопление человеческого капитала</w:t>
      </w:r>
    </w:p>
    <w:p w:rsidR="00E74438"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6.1. Стратегическая диагностика</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contextualSpacing/>
        <w:jc w:val="both"/>
        <w:outlineLvl w:val="2"/>
        <w:rPr>
          <w:rFonts w:ascii="Times New Roman" w:hAnsi="Times New Roman" w:cs="Times New Roman"/>
          <w:b/>
          <w:color w:val="365F91"/>
          <w:sz w:val="24"/>
          <w:szCs w:val="24"/>
        </w:rPr>
      </w:pPr>
      <w:bookmarkStart w:id="16" w:name="_Toc520894830"/>
      <w:r w:rsidRPr="00B06469">
        <w:rPr>
          <w:rFonts w:ascii="Times New Roman" w:hAnsi="Times New Roman" w:cs="Times New Roman"/>
          <w:b/>
          <w:color w:val="365F91"/>
          <w:sz w:val="24"/>
          <w:szCs w:val="24"/>
        </w:rPr>
        <w:t>Демографическое развитие, занятость и уровень жизни населения</w:t>
      </w:r>
      <w:bookmarkEnd w:id="16"/>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i/>
          <w:color w:val="365F91"/>
          <w:sz w:val="24"/>
          <w:szCs w:val="24"/>
        </w:rPr>
        <w:t xml:space="preserve">Демография. </w:t>
      </w:r>
      <w:r w:rsidRPr="00B06469">
        <w:rPr>
          <w:rFonts w:ascii="Times New Roman" w:hAnsi="Times New Roman" w:cs="Times New Roman"/>
          <w:sz w:val="24"/>
          <w:szCs w:val="24"/>
        </w:rPr>
        <w:t>Общая численность населения Камышлинского района по состоянию на начало 2017 года составляла 10,8 тыс. человек (26 место среди 27 районов Самарской области). Всё население района является сельским.</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Камышлинском районе наблюдается сложная демографическая ситуация. Район стабильно характеризуется как естественной, так и миграционной убылью населения. За последние 5 лет общая числ</w:t>
      </w:r>
      <w:r w:rsidR="009D64B8">
        <w:rPr>
          <w:rFonts w:ascii="Times New Roman" w:hAnsi="Times New Roman" w:cs="Times New Roman"/>
          <w:sz w:val="24"/>
          <w:szCs w:val="24"/>
        </w:rPr>
        <w:t>енность населения снизилась на 2</w:t>
      </w:r>
      <w:r w:rsidRPr="00B06469">
        <w:rPr>
          <w:rFonts w:ascii="Times New Roman" w:hAnsi="Times New Roman" w:cs="Times New Roman"/>
          <w:sz w:val="24"/>
          <w:szCs w:val="24"/>
        </w:rPr>
        <w:t xml:space="preserve">27 человек.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уровню рождаемости </w:t>
      </w:r>
      <w:r w:rsidRPr="007223A6">
        <w:rPr>
          <w:rFonts w:ascii="Times New Roman" w:hAnsi="Times New Roman" w:cs="Times New Roman"/>
          <w:sz w:val="24"/>
          <w:szCs w:val="24"/>
        </w:rPr>
        <w:t>в 2016 году (</w:t>
      </w:r>
      <w:r w:rsidR="00C473A7" w:rsidRPr="007223A6">
        <w:rPr>
          <w:rFonts w:ascii="Times New Roman" w:hAnsi="Times New Roman" w:cs="Times New Roman"/>
          <w:sz w:val="24"/>
          <w:szCs w:val="24"/>
        </w:rPr>
        <w:t xml:space="preserve">10,2 </w:t>
      </w:r>
      <w:r w:rsidRPr="007223A6">
        <w:rPr>
          <w:rFonts w:ascii="Times New Roman" w:hAnsi="Times New Roman" w:cs="Times New Roman"/>
          <w:sz w:val="24"/>
          <w:szCs w:val="24"/>
        </w:rPr>
        <w:t>родившихся на 1000 человек населения)</w:t>
      </w:r>
      <w:r w:rsidRPr="00B06469">
        <w:rPr>
          <w:rFonts w:ascii="Times New Roman" w:hAnsi="Times New Roman" w:cs="Times New Roman"/>
          <w:sz w:val="24"/>
          <w:szCs w:val="24"/>
        </w:rPr>
        <w:t xml:space="preserve"> район занял 22 место среди муниципальных районов Самарской области. При этом за три последних года средний темп снижения рождаемости составлял около 10,7% ежегодно. </w:t>
      </w:r>
    </w:p>
    <w:p w:rsidR="00FA0047" w:rsidRPr="00B06469" w:rsidRDefault="00204F22" w:rsidP="001F013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7" style="position:absolute;left:0;text-align:left;margin-left:217.8pt;margin-top:1.3pt;width:241.95pt;height:42.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" fillcolor="#365f91" strokecolor="#365f91">
            <v:textbox style="mso-next-textbox:#_x0000_s1047">
              <w:txbxContent>
                <w:p w:rsidR="001202C5" w:rsidRPr="00047D4E" w:rsidRDefault="001202C5" w:rsidP="00FA0047">
                  <w:pPr>
                    <w:spacing w:after="0" w:line="240" w:lineRule="auto"/>
                    <w:jc w:val="center"/>
                    <w:rPr>
                      <w:sz w:val="20"/>
                      <w:szCs w:val="20"/>
                    </w:rPr>
                  </w:pPr>
                  <w:r w:rsidRPr="00047D4E">
                    <w:rPr>
                      <w:rFonts w:ascii="Times New Roman" w:hAnsi="Times New Roman"/>
                      <w:b/>
                      <w:bCs/>
                      <w:color w:val="FFFFFF"/>
                      <w:sz w:val="20"/>
                      <w:szCs w:val="20"/>
                    </w:rPr>
                    <w:t>Камышлинский район занимает среднюю позицию по числу умерших среди сельских районов Самарской области</w:t>
                  </w:r>
                </w:p>
              </w:txbxContent>
            </v:textbox>
          </v:rect>
        </w:pict>
      </w:r>
      <w:r>
        <w:rPr>
          <w:rFonts w:ascii="Times New Roman" w:hAnsi="Times New Roman" w:cs="Times New Roman"/>
          <w:noProof/>
          <w:sz w:val="24"/>
          <w:szCs w:val="24"/>
        </w:rPr>
        <w:pict>
          <v:rect id="_x0000_s1034" style="position:absolute;left:0;text-align:left;margin-left:1.1pt;margin-top:1.4pt;width:205.7pt;height:4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" fillcolor="#365f91" strokecolor="#365f91">
            <v:textbox style="mso-next-textbox:#_x0000_s1034">
              <w:txbxContent>
                <w:p w:rsidR="001202C5" w:rsidRPr="00BC1922" w:rsidRDefault="001202C5" w:rsidP="00FA0047">
                  <w:pPr>
                    <w:spacing w:after="0" w:line="240" w:lineRule="auto"/>
                    <w:jc w:val="center"/>
                  </w:pPr>
                  <w:r>
                    <w:rPr>
                      <w:rFonts w:ascii="Times New Roman" w:hAnsi="Times New Roman"/>
                      <w:b/>
                      <w:bCs/>
                      <w:color w:val="FFFFFF"/>
                      <w:sz w:val="20"/>
                      <w:szCs w:val="20"/>
                    </w:rPr>
                    <w:t>Камышлинский район занимает 22 место по числу родившихся в 2016 году</w:t>
                  </w:r>
                </w:p>
              </w:txbxContent>
            </v:textbox>
          </v:rect>
        </w:pict>
      </w:r>
      <w:r>
        <w:rPr>
          <w:rFonts w:ascii="Times New Roman" w:hAnsi="Times New Roman" w:cs="Times New Roman"/>
          <w:noProof/>
          <w:sz w:val="24"/>
          <w:szCs w:val="24"/>
        </w:rPr>
        <w:pict>
          <v:line id="Прямая соединительная линия 7" o:spid="_x0000_s1033" style="position:absolute;left:0;text-align:left;z-index:251669504;visibility:visible;mso-width-relative:margin" from="44.05pt,193.15pt" to="206.8pt,1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">
            <v:stroke dashstyle="3 1"/>
          </v:line>
        </w:pict>
      </w:r>
      <w:r>
        <w:rPr>
          <w:rFonts w:ascii="Times New Roman" w:hAnsi="Times New Roman" w:cs="Times New Roman"/>
          <w:noProof/>
          <w:sz w:val="24"/>
          <w:szCs w:val="24"/>
        </w:rPr>
        <w:pict>
          <v:line id="_x0000_s1046" style="position:absolute;left:0;text-align:left;z-index:251682816;visibility:visible;mso-width-relative:margin;mso-height-relative:margin" from="246.8pt,142.75pt" to="413.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">
            <v:stroke dashstyle="3 1"/>
          </v:line>
        </w:pict>
      </w:r>
      <w:r>
        <w:rPr>
          <w:rFonts w:ascii="Times New Roman" w:hAnsi="Times New Roman" w:cs="Times New Roman"/>
          <w:noProof/>
          <w:sz w:val="24"/>
          <w:szCs w:val="24"/>
        </w:rPr>
        <w:pict>
          <v:line id="Прямая соединительная линия 3" o:spid="_x0000_s1032" style="position:absolute;left:0;text-align:left;flip:y;z-index:251668480;visibility:visible;mso-width-relative:margin;mso-height-relative:margin" from="58.95pt,51.4pt" to="58.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">
            <v:stroke dashstyle="3 1"/>
          </v:line>
        </w:pict>
      </w:r>
      <w:r w:rsidR="00FA0047" w:rsidRPr="00B06469">
        <w:rPr>
          <w:rFonts w:ascii="Times New Roman" w:hAnsi="Times New Roman" w:cs="Times New Roman"/>
          <w:b/>
          <w:noProof/>
          <w:sz w:val="24"/>
          <w:szCs w:val="24"/>
          <w:lang w:eastAsia="ru-RU"/>
        </w:rPr>
        <w:drawing>
          <wp:inline distT="0" distB="0" distL="0" distR="0" wp14:anchorId="624F7347" wp14:editId="1D065F9C">
            <wp:extent cx="2629561" cy="3477583"/>
            <wp:effectExtent l="6663" t="6665" r="3471" b="8887"/>
            <wp:docPr id="198"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A0047" w:rsidRPr="00B06469">
        <w:rPr>
          <w:rFonts w:ascii="Times New Roman" w:hAnsi="Times New Roman" w:cs="Times New Roman"/>
          <w:noProof/>
          <w:sz w:val="24"/>
          <w:szCs w:val="24"/>
          <w:lang w:eastAsia="ru-RU"/>
        </w:rPr>
        <w:t xml:space="preserve"> </w:t>
      </w:r>
      <w:r w:rsidR="00FA0047" w:rsidRPr="00B06469">
        <w:rPr>
          <w:rFonts w:ascii="Times New Roman" w:hAnsi="Times New Roman" w:cs="Times New Roman"/>
          <w:noProof/>
          <w:sz w:val="24"/>
          <w:szCs w:val="24"/>
          <w:lang w:eastAsia="ru-RU"/>
        </w:rPr>
        <w:drawing>
          <wp:inline distT="0" distB="0" distL="0" distR="0" wp14:anchorId="188E9DF8" wp14:editId="324EF2B6">
            <wp:extent cx="3060869" cy="3477756"/>
            <wp:effectExtent l="7112" t="6835" r="4149" b="8544"/>
            <wp:docPr id="5"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w:t>
      </w:r>
    </w:p>
    <w:p w:rsidR="00FA0047" w:rsidRPr="00B06469" w:rsidRDefault="00FA0047" w:rsidP="001F0139">
      <w:pPr>
        <w:spacing w:after="0" w:line="240" w:lineRule="auto"/>
        <w:jc w:val="center"/>
        <w:rPr>
          <w:rFonts w:ascii="Times New Roman" w:hAnsi="Times New Roman" w:cs="Times New Roman"/>
          <w:noProof/>
          <w:sz w:val="24"/>
          <w:szCs w:val="24"/>
          <w:lang w:eastAsia="ru-RU"/>
        </w:rPr>
      </w:pPr>
      <w:r w:rsidRPr="00B06469">
        <w:rPr>
          <w:rFonts w:ascii="Times New Roman" w:eastAsia="Times New Roman" w:hAnsi="Times New Roman" w:cs="Times New Roman"/>
          <w:b/>
          <w:sz w:val="24"/>
          <w:szCs w:val="24"/>
        </w:rPr>
        <w:t>Рисунок 1.4.1 – Число родившихся и умерших (на 1000 чел. населения) в 2016 году и среднегодовой темп прироста показателя в 2014-2016 годах по муниципальным районам Самарской области</w:t>
      </w:r>
    </w:p>
    <w:p w:rsidR="00FA0047" w:rsidRPr="00B06469" w:rsidRDefault="00FA0047" w:rsidP="001F0139">
      <w:pPr>
        <w:spacing w:after="0" w:line="240" w:lineRule="auto"/>
        <w:jc w:val="both"/>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Коэффициент </w:t>
      </w:r>
      <w:r w:rsidRPr="007223A6">
        <w:rPr>
          <w:rFonts w:ascii="Times New Roman" w:hAnsi="Times New Roman" w:cs="Times New Roman"/>
          <w:sz w:val="24"/>
          <w:szCs w:val="24"/>
        </w:rPr>
        <w:t>смертности в 2016 году составил 15,6 умерших на 1000 человек</w:t>
      </w:r>
      <w:r w:rsidRPr="00B06469">
        <w:rPr>
          <w:rFonts w:ascii="Times New Roman" w:hAnsi="Times New Roman" w:cs="Times New Roman"/>
          <w:sz w:val="24"/>
          <w:szCs w:val="24"/>
        </w:rPr>
        <w:t xml:space="preserve"> населения, что значительно выше уровня рождаемости. Вместе с тем за последние три года уровень смертности несколько уменьшился – в среднем на 2% ежегодно.</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коэффициенту смертности район занимает среднюю позицию среди сельских районов области, что в значительной мере может объясняться сравнительно небольшой </w:t>
      </w:r>
      <w:r w:rsidRPr="00B06469">
        <w:rPr>
          <w:rFonts w:ascii="Times New Roman" w:hAnsi="Times New Roman" w:cs="Times New Roman"/>
          <w:sz w:val="24"/>
          <w:szCs w:val="24"/>
        </w:rPr>
        <w:lastRenderedPageBreak/>
        <w:t>долей населения старше трудоспособного возраста (24,4%, 3 место, начиная с наименьшего значения). По удельному весу населения младше трудоспособного возраста район занимает 1 место среди 27 районов области, в трудоспособном возрасте – 15 место (начиная с наибольшего значения, рис. 1.4.2).</w:t>
      </w:r>
    </w:p>
    <w:p w:rsidR="00FA0047" w:rsidRPr="00B06469" w:rsidRDefault="00204F22" w:rsidP="001F0139">
      <w:pPr>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2" o:spid="_x0000_s1035" style="position:absolute;left:0;text-align:left;margin-left:94.15pt;margin-top:27.6pt;width:310.65pt;height:11.55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" filled="f" strokecolor="red" strokeweight="2pt">
            <v:stroke dashstyle="3 1"/>
          </v:rect>
        </w:pict>
      </w:r>
      <w:r>
        <w:rPr>
          <w:rFonts w:ascii="Times New Roman" w:hAnsi="Times New Roman" w:cs="Times New Roman"/>
          <w:noProof/>
          <w:sz w:val="24"/>
          <w:szCs w:val="24"/>
        </w:rPr>
        <w:pict>
          <v:rect id="_x0000_s1036" style="position:absolute;left:0;text-align:left;margin-left:94.15pt;margin-top:-6.6pt;width:316.15pt;height:29.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" fillcolor="#365f91" strokecolor="#365f91">
            <v:textbox style="mso-next-textbox:#_x0000_s1036">
              <w:txbxContent>
                <w:p w:rsidR="001202C5" w:rsidRPr="009755B7" w:rsidRDefault="001202C5" w:rsidP="00FA0047">
                  <w:pPr>
                    <w:spacing w:after="0" w:line="240" w:lineRule="auto"/>
                    <w:jc w:val="center"/>
                    <w:rPr>
                      <w:sz w:val="20"/>
                      <w:szCs w:val="20"/>
                    </w:rPr>
                  </w:pPr>
                  <w:r w:rsidRPr="009755B7">
                    <w:rPr>
                      <w:rFonts w:ascii="Times New Roman" w:hAnsi="Times New Roman"/>
                      <w:b/>
                      <w:bCs/>
                      <w:color w:val="FFFFFF"/>
                      <w:sz w:val="20"/>
                      <w:szCs w:val="20"/>
                    </w:rPr>
                    <w:t>Камышлинский район занимает 1 место по удельному весу населения младше трудоспособного возраста</w:t>
                  </w:r>
                </w:p>
              </w:txbxContent>
            </v:textbox>
          </v:rect>
        </w:pict>
      </w:r>
      <w:r w:rsidR="00FA0047" w:rsidRPr="00B06469">
        <w:rPr>
          <w:rFonts w:ascii="Times New Roman" w:hAnsi="Times New Roman" w:cs="Times New Roman"/>
          <w:noProof/>
          <w:sz w:val="24"/>
          <w:szCs w:val="24"/>
          <w:lang w:eastAsia="ru-RU"/>
        </w:rPr>
        <w:drawing>
          <wp:inline distT="0" distB="0" distL="0" distR="0" wp14:anchorId="19C1EBC3" wp14:editId="3F7E61CB">
            <wp:extent cx="3985516" cy="3498471"/>
            <wp:effectExtent l="6095" t="6095" r="7619" b="6984"/>
            <wp:docPr id="6"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A0047" w:rsidRPr="00B06469" w:rsidRDefault="00FA0047" w:rsidP="001F0139">
      <w:pPr>
        <w:spacing w:after="0" w:line="240" w:lineRule="auto"/>
        <w:ind w:firstLine="426"/>
        <w:jc w:val="both"/>
        <w:rPr>
          <w:rFonts w:ascii="Times New Roman" w:hAnsi="Times New Roman" w:cs="Times New Roman"/>
          <w:noProof/>
          <w:sz w:val="24"/>
          <w:szCs w:val="24"/>
          <w:lang w:eastAsia="ru-RU"/>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1.4.2 – Демографическая структура населения в 2016 году по муниципальным районам Самарской области</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Сравнивая удельный вес по возрастным группам населения (моложе трудоспособного, трудоспособное и старше трудоспособного), можно сделать вывод о стационарной возрастной структуре населения Камышлинского района (старение населения), близкой к структуре Самарской области и Российской Федерации в целом (рис.1.4.3). </w:t>
      </w:r>
    </w:p>
    <w:p w:rsidR="00FA0047" w:rsidRPr="00B06469" w:rsidRDefault="00204F22" w:rsidP="001F0139">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_x0000_s1037" style="position:absolute;left:0;text-align:left;margin-left:50.65pt;margin-top:2.25pt;width:399.15pt;height:47.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" fillcolor="#365f91" strokecolor="#365f91">
            <v:textbox style="mso-next-textbox:#_x0000_s1037">
              <w:txbxContent>
                <w:p w:rsidR="001202C5" w:rsidRPr="00BC1922" w:rsidRDefault="001202C5" w:rsidP="00FA0047">
                  <w:pPr>
                    <w:spacing w:after="0" w:line="240" w:lineRule="auto"/>
                    <w:jc w:val="center"/>
                  </w:pPr>
                  <w:r>
                    <w:rPr>
                      <w:rFonts w:ascii="Times New Roman" w:hAnsi="Times New Roman"/>
                      <w:b/>
                      <w:bCs/>
                      <w:color w:val="FFFFFF"/>
                      <w:sz w:val="20"/>
                      <w:szCs w:val="20"/>
                    </w:rPr>
                    <w:t>Демографическая структура населения Камышлинского района в 2016 году занимает среднюю позицию по сравнению с демографической структурой Самарской области и Российской Федерации</w:t>
                  </w:r>
                </w:p>
              </w:txbxContent>
            </v:textbox>
          </v:rect>
        </w:pict>
      </w:r>
    </w:p>
    <w:p w:rsidR="00FA0047" w:rsidRPr="00B06469" w:rsidRDefault="00FA0047" w:rsidP="001F0139">
      <w:pPr>
        <w:spacing w:after="0" w:line="360" w:lineRule="auto"/>
        <w:ind w:firstLine="709"/>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6E7A8D4C" wp14:editId="6E8B93AB">
            <wp:extent cx="5035296" cy="1889760"/>
            <wp:effectExtent l="19050" t="0" r="12954" b="0"/>
            <wp:docPr id="7" name="Диаграмма 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lastRenderedPageBreak/>
        <w:t>Источники: Муниципальные районы Самарской области, 2017. Статистический сборник. – Самара, 2017; Самарский статистический ежегодник. Статистический сборник. – Самара, 2017;</w:t>
      </w:r>
    </w:p>
    <w:p w:rsidR="00FA0047" w:rsidRPr="00B06469" w:rsidRDefault="00FA0047" w:rsidP="001F0139">
      <w:pPr>
        <w:spacing w:after="0" w:line="240" w:lineRule="auto"/>
        <w:jc w:val="center"/>
        <w:rPr>
          <w:rFonts w:ascii="Times New Roman" w:hAnsi="Times New Roman" w:cs="Times New Roman"/>
          <w:noProof/>
          <w:sz w:val="24"/>
          <w:szCs w:val="24"/>
          <w:lang w:eastAsia="ru-RU"/>
        </w:rPr>
      </w:pPr>
      <w:r w:rsidRPr="00B06469">
        <w:rPr>
          <w:rFonts w:ascii="Times New Roman" w:hAnsi="Times New Roman" w:cs="Times New Roman"/>
          <w:sz w:val="24"/>
          <w:szCs w:val="24"/>
        </w:rPr>
        <w:t>Российский статистический ежегодник. Статистический сборник. – Москва,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1.4.3 – Сравнение распределения населения Камышлинского района, Самарской области и Российской Федерации по возрастным группам в 2016 году</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При существующей возрастной структуре населения в муниципальном районе в будущем сохранится тенденция снижения доли трудоспособного населения и демографического старения населения, что представляет собой риски демографического развития, негативно влияющие на рынок труда.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Кроме естественной убыли населения на его численность также влияет миграционный отток. Не смотря на то, что максимальные цифры миграционной убыли значительно не снижаются, нельзя говорить о четкой тенденции к миграционной убыли населения: значения </w:t>
      </w:r>
      <w:r w:rsidRPr="007223A6">
        <w:rPr>
          <w:rFonts w:ascii="Times New Roman" w:hAnsi="Times New Roman" w:cs="Times New Roman"/>
          <w:sz w:val="24"/>
          <w:szCs w:val="24"/>
        </w:rPr>
        <w:t>колеблются от 79 выехавших с территории человек в 2012 году до 6 прибывших человек в 2013 году. В 2012, 2014, 2015 гг., миграционная убыль в районе преобладала, в 2016 году наметилась тенденция к ее уменьшению (5 человек выбывших).</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2012-2015 гг. устойчивой тенденцией в районе является выбытие жителей в другие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а и районы Самарской области, регионы России и прибытие жителей других государств (по большей части – жителей стран СНГ). Однако, в 2016 году ситуация изменилась, жители по-прежнему перемещаются в основном внутри региона, а выбывают в другие государства, и прибывают из других регионов России (рис. 1.4.4).</w:t>
      </w:r>
    </w:p>
    <w:p w:rsidR="00FA0047" w:rsidRPr="00B06469" w:rsidRDefault="00FA0047" w:rsidP="001F0139">
      <w:pPr>
        <w:spacing w:after="0" w:line="360" w:lineRule="auto"/>
        <w:ind w:firstLine="567"/>
        <w:jc w:val="both"/>
        <w:rPr>
          <w:rFonts w:ascii="Times New Roman" w:hAnsi="Times New Roman" w:cs="Times New Roman"/>
          <w:sz w:val="24"/>
          <w:szCs w:val="24"/>
        </w:rPr>
      </w:pPr>
    </w:p>
    <w:p w:rsidR="00FA0047" w:rsidRPr="00B06469" w:rsidRDefault="00204F22" w:rsidP="001F01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38" style="position:absolute;left:0;text-align:left;margin-left:12.65pt;margin-top:-26.3pt;width:213.8pt;height:43.2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" fillcolor="#365f91" strokecolor="#365f91">
            <v:textbox style="mso-next-textbox:#_x0000_s1038">
              <w:txbxContent>
                <w:p w:rsidR="001202C5" w:rsidRPr="00BC1922" w:rsidRDefault="001202C5" w:rsidP="00FA0047">
                  <w:pPr>
                    <w:spacing w:after="0" w:line="240" w:lineRule="auto"/>
                    <w:jc w:val="center"/>
                  </w:pPr>
                  <w:r>
                    <w:rPr>
                      <w:rFonts w:ascii="Times New Roman" w:hAnsi="Times New Roman"/>
                      <w:b/>
                      <w:bCs/>
                      <w:color w:val="FFFFFF"/>
                      <w:sz w:val="20"/>
                      <w:szCs w:val="20"/>
                    </w:rPr>
                    <w:t>В Камышлинском районе в 2015 году преобладают внутрирегиональная и межрегиональная миграция</w:t>
                  </w:r>
                </w:p>
              </w:txbxContent>
            </v:textbox>
          </v:rect>
        </w:pict>
      </w:r>
      <w:r>
        <w:rPr>
          <w:rFonts w:ascii="Times New Roman" w:hAnsi="Times New Roman" w:cs="Times New Roman"/>
          <w:noProof/>
          <w:sz w:val="24"/>
          <w:szCs w:val="24"/>
        </w:rPr>
        <w:pict>
          <v:rect id="_x0000_s1039" style="position:absolute;left:0;text-align:left;margin-left:236.45pt;margin-top:-26.3pt;width:216.1pt;height:42.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" fillcolor="#365f91" strokecolor="#365f91">
            <v:textbox style="mso-next-textbox:#_x0000_s1039">
              <w:txbxContent>
                <w:p w:rsidR="001202C5" w:rsidRPr="00BC1922" w:rsidRDefault="001202C5" w:rsidP="00FA0047">
                  <w:pPr>
                    <w:spacing w:after="0" w:line="240" w:lineRule="auto"/>
                    <w:jc w:val="center"/>
                  </w:pPr>
                  <w:r>
                    <w:rPr>
                      <w:rFonts w:ascii="Times New Roman" w:hAnsi="Times New Roman"/>
                      <w:b/>
                      <w:bCs/>
                      <w:color w:val="FFFFFF"/>
                      <w:sz w:val="20"/>
                      <w:szCs w:val="20"/>
                    </w:rPr>
                    <w:t>В Камышлинском районе в 2016 году преобладает межрегиональная миграция</w:t>
                  </w:r>
                </w:p>
              </w:txbxContent>
            </v:textbox>
          </v:rect>
        </w:pict>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7BACF915" wp14:editId="35DCA579">
            <wp:extent cx="2651760" cy="2231390"/>
            <wp:effectExtent l="0" t="0" r="0" b="0"/>
            <wp:docPr id="221" name="Объект 2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06469">
        <w:rPr>
          <w:rFonts w:ascii="Times New Roman" w:hAnsi="Times New Roman" w:cs="Times New Roman"/>
          <w:sz w:val="24"/>
          <w:szCs w:val="24"/>
        </w:rPr>
        <w:t xml:space="preserve"> </w:t>
      </w:r>
      <w:r w:rsidRPr="00B06469">
        <w:rPr>
          <w:rFonts w:ascii="Times New Roman" w:hAnsi="Times New Roman" w:cs="Times New Roman"/>
          <w:noProof/>
          <w:sz w:val="24"/>
          <w:szCs w:val="24"/>
          <w:lang w:eastAsia="ru-RU"/>
        </w:rPr>
        <w:drawing>
          <wp:inline distT="0" distB="0" distL="0" distR="0" wp14:anchorId="6CC4DCC2" wp14:editId="5755FB75">
            <wp:extent cx="2739675" cy="2525559"/>
            <wp:effectExtent l="6803" t="6706" r="8787" b="9640"/>
            <wp:docPr id="8"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Территориальный орган Федеральной службы государственной статистики по Самарской области. Режим доступа: http://www.gks.ru</w:t>
      </w:r>
    </w:p>
    <w:p w:rsidR="00FA0047" w:rsidRPr="00B06469" w:rsidRDefault="00FA0047" w:rsidP="001F0139">
      <w:pPr>
        <w:spacing w:after="0" w:line="240" w:lineRule="auto"/>
        <w:jc w:val="center"/>
        <w:rPr>
          <w:rFonts w:ascii="Times New Roman" w:hAnsi="Times New Roman" w:cs="Times New Roman"/>
          <w:b/>
          <w:sz w:val="24"/>
          <w:szCs w:val="24"/>
        </w:rPr>
      </w:pPr>
      <w:r w:rsidRPr="00B06469">
        <w:rPr>
          <w:rFonts w:ascii="Times New Roman" w:eastAsia="Times New Roman" w:hAnsi="Times New Roman" w:cs="Times New Roman"/>
          <w:b/>
          <w:sz w:val="24"/>
          <w:szCs w:val="24"/>
        </w:rPr>
        <w:t>Рисунок 1.4.4 – Территориальная структура миграционной убыли в Камышлинском районе в 2015, 2016 году</w:t>
      </w:r>
    </w:p>
    <w:p w:rsidR="00FA0047" w:rsidRPr="00B06469" w:rsidRDefault="00FA0047" w:rsidP="001F0139">
      <w:pPr>
        <w:spacing w:after="0" w:line="240" w:lineRule="auto"/>
        <w:jc w:val="center"/>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В Камышлинский район приезжают люди из других территорий, в том числе и по программам, призванным решить кадровую проблему в бюджетной сфере — учреждениях образования, здравоохранения и культуры.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Ведется работа</w:t>
      </w:r>
      <w:r w:rsidRPr="00B06469">
        <w:rPr>
          <w:rFonts w:ascii="Times New Roman" w:hAnsi="Times New Roman" w:cs="Times New Roman"/>
          <w:color w:val="000000"/>
          <w:sz w:val="24"/>
          <w:szCs w:val="24"/>
        </w:rPr>
        <w:t xml:space="preserve"> </w:t>
      </w:r>
      <w:r w:rsidRPr="00B06469">
        <w:rPr>
          <w:rFonts w:ascii="Times New Roman" w:hAnsi="Times New Roman" w:cs="Times New Roman"/>
          <w:sz w:val="24"/>
          <w:szCs w:val="24"/>
        </w:rPr>
        <w:t xml:space="preserve">по таким направлениям, как укрепление института семьи, создание равных возможностей для полноценного развития всех детей. На территории Камышлинского района проживает 4101 семья, в том числе 2302 семьи, имеющих детей в возрасте от 0 до 18 лет, 132 – многодетные семьи. За последние годы, благодаря государственной поддержке семьи произошел рост рождаемости детей по сравнению с 2011 годом почти в 2 раза. Так, на декабрь 2017 года их насчитывается 110. Знаком отличия «Материнская доблесть» 1 и 2 степени на сегодня награждены 119 матерей Камышлинского района. 80 многодетных семей на сегодня изъявили желание получить земельный участок, 43 из них уже получили. Сформировано для многодетных семей – 103 земельных участка, зарегистрировано право на 19 участков. Самое широкое развитие в районе получил институт приемной семьи. Всего в районе 174 приемных детей и детей, живущих под опекой родственников, 85 — приемных семей.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i/>
          <w:color w:val="365F91"/>
          <w:sz w:val="24"/>
          <w:szCs w:val="24"/>
        </w:rPr>
        <w:t xml:space="preserve">Сфера занятости и трудовые отношения, уровень жизни населения. </w:t>
      </w:r>
      <w:r w:rsidRPr="00B06469">
        <w:rPr>
          <w:rFonts w:ascii="Times New Roman" w:hAnsi="Times New Roman" w:cs="Times New Roman"/>
          <w:sz w:val="24"/>
          <w:szCs w:val="24"/>
        </w:rPr>
        <w:t>Численность жителей района в трудоспособном возрасте составляет менее 5,9 тыс. человек. При этом среднегодовая численность работников организаций составляет 1,5 тыс. человек. Таким образом, значительная доля населения района занята в малом бизнесе. В 2017 году на территории района зарегистрировано 211 индивидуальных предпринимателей и 112 организаций. Из которых: 27 организаций, осуществляющих государственное управление и обеспечение военной безопасности, социального страхования, 27 – предоставление коммунальных, социальных и персональных услуг; 14 – операции с недвижимым имуществом, аренда и предоставление других услуг; 12 – организаций оптовой и розничной торговли, по ремонту автотранспортных средств, мотоциклов, бытовых изделий и предметов личного пользования; 10 – предприятий сельского хозяйства, охоты и лесного хозяйства; 6 –образование; 5 – производство и распределение электроэнергии, газа и воды; 4 – здравоохранение и предоставление социальных услуг; 3 – транспорт и связь; 2 – строительство; 1 – обрабатывающие производства; 1 – гостиницы и рестораны; не зарегистрировано организаций, осуществляющих финансовую деятельность.</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Большинство занятых в организациях, так или иначе связанных с бюджетной сферой (рис. 1.4.5).</w:t>
      </w:r>
    </w:p>
    <w:p w:rsidR="00FA0047" w:rsidRPr="00B06469" w:rsidRDefault="00204F22" w:rsidP="001F01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040" style="position:absolute;left:0;text-align:left;margin-left:46.5pt;margin-top:-.15pt;width:375.65pt;height:32.6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" fillcolor="#365f91" strokecolor="#365f91">
            <v:textbox style="mso-next-textbox:#_x0000_s1040">
              <w:txbxContent>
                <w:p w:rsidR="001202C5" w:rsidRDefault="001202C5" w:rsidP="00FA0047">
                  <w:pPr>
                    <w:spacing w:after="0" w:line="240" w:lineRule="auto"/>
                    <w:jc w:val="center"/>
                    <w:rPr>
                      <w:b/>
                      <w:bCs/>
                      <w:color w:val="FFFFFF"/>
                      <w:sz w:val="20"/>
                    </w:rPr>
                  </w:pPr>
                  <w:r w:rsidRPr="00543920">
                    <w:rPr>
                      <w:rFonts w:ascii="Times New Roman Полужирный" w:hAnsi="Times New Roman Полужирный"/>
                      <w:b/>
                      <w:bCs/>
                      <w:color w:val="FFFFFF"/>
                      <w:sz w:val="20"/>
                    </w:rPr>
                    <w:t xml:space="preserve">Распределение организаций Камышлинского района </w:t>
                  </w:r>
                </w:p>
                <w:p w:rsidR="001202C5" w:rsidRPr="008F0D53" w:rsidRDefault="001202C5" w:rsidP="00FA0047">
                  <w:pPr>
                    <w:spacing w:after="0" w:line="240" w:lineRule="auto"/>
                    <w:jc w:val="center"/>
                    <w:rPr>
                      <w:rFonts w:ascii="Times New Roman Полужирный" w:hAnsi="Times New Roman Полужирный"/>
                      <w:color w:val="FFFFFF"/>
                      <w:sz w:val="20"/>
                    </w:rPr>
                  </w:pPr>
                  <w:r w:rsidRPr="00543920">
                    <w:rPr>
                      <w:rFonts w:ascii="Times New Roman Полужирный" w:hAnsi="Times New Roman Полужирный"/>
                      <w:b/>
                      <w:bCs/>
                      <w:color w:val="FFFFFF"/>
                      <w:sz w:val="20"/>
                    </w:rPr>
                    <w:t xml:space="preserve">по видам экономической </w:t>
                  </w:r>
                  <w:r w:rsidRPr="008F0D53">
                    <w:rPr>
                      <w:rFonts w:ascii="Times New Roman Полужирный" w:hAnsi="Times New Roman Полужирный"/>
                      <w:b/>
                      <w:bCs/>
                      <w:color w:val="FFFFFF"/>
                      <w:sz w:val="20"/>
                    </w:rPr>
                    <w:t>деятельности</w:t>
                  </w:r>
                </w:p>
              </w:txbxContent>
            </v:textbox>
          </v:rect>
        </w:pict>
      </w:r>
      <w:r w:rsidR="00FA0047" w:rsidRPr="00B06469">
        <w:rPr>
          <w:rFonts w:ascii="Times New Roman" w:hAnsi="Times New Roman" w:cs="Times New Roman"/>
          <w:noProof/>
          <w:sz w:val="24"/>
          <w:szCs w:val="24"/>
          <w:lang w:eastAsia="ru-RU"/>
        </w:rPr>
        <w:drawing>
          <wp:inline distT="0" distB="0" distL="0" distR="0" wp14:anchorId="189C9072" wp14:editId="495E3031">
            <wp:extent cx="4785360" cy="5260975"/>
            <wp:effectExtent l="0" t="0" r="0" b="0"/>
            <wp:docPr id="9"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p>
    <w:p w:rsidR="00FA0047" w:rsidRPr="00B06469" w:rsidRDefault="00FA0047" w:rsidP="001F0139">
      <w:pPr>
        <w:spacing w:after="0" w:line="240" w:lineRule="auto"/>
        <w:jc w:val="center"/>
        <w:rPr>
          <w:rFonts w:ascii="Times New Roman" w:hAnsi="Times New Roman" w:cs="Times New Roman"/>
          <w:noProof/>
          <w:sz w:val="24"/>
          <w:szCs w:val="24"/>
          <w:lang w:eastAsia="ru-RU"/>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1.4.5 – Количество организаций по видам экономической деятельности в Камышлинском районе на 1 января 2017 года</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Принципиально другая структура распределения по видам экономической деятельности у индивидуальных предпринимателей (рис. 1.4.6). Зарегистрировано: 105 – организаций оптовой и розничной торговли, по ремонту автотранспортных средств, мотоциклов, бытовых изделий и предметов личного пользования; 32 – предприятий сельского хозяйства, охоты и лесного хозяйства; 19 – транспорт и связь; 15 – обрабатывающие производства; 14 – гостиницы и рестораны; 12 – предоставление коммунальных, социальных и персональных услуг; 7 – операции с недвижимым имуществом, аренда и предоставление других услуг; 4 – строительство; 1 – рыболовство, рыбоводство; 1– финансовая деятельность, 1 – образование. </w:t>
      </w:r>
    </w:p>
    <w:p w:rsidR="00FA0047" w:rsidRPr="00B06469" w:rsidRDefault="00204F22" w:rsidP="001F0139">
      <w:pPr>
        <w:spacing w:after="0"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041" style="position:absolute;left:0;text-align:left;margin-left:65.4pt;margin-top:1.1pt;width:366.25pt;height:36.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" fillcolor="#365f91" strokecolor="#365f91">
            <v:textbox style="mso-next-textbox:#_x0000_s1041">
              <w:txbxContent>
                <w:p w:rsidR="001202C5" w:rsidRPr="008F0D53" w:rsidRDefault="001202C5" w:rsidP="00FA0047">
                  <w:pPr>
                    <w:spacing w:after="0" w:line="240" w:lineRule="auto"/>
                    <w:jc w:val="center"/>
                    <w:rPr>
                      <w:rFonts w:ascii="Times New Roman Полужирный" w:hAnsi="Times New Roman Полужирный"/>
                      <w:color w:val="FFFFFF"/>
                      <w:sz w:val="20"/>
                    </w:rPr>
                  </w:pPr>
                  <w:r w:rsidRPr="00454639">
                    <w:rPr>
                      <w:rFonts w:ascii="Times New Roman Полужирный" w:hAnsi="Times New Roman Полужирный"/>
                      <w:b/>
                      <w:bCs/>
                      <w:color w:val="FFFFFF"/>
                      <w:sz w:val="20"/>
                    </w:rPr>
                    <w:t xml:space="preserve">Распределение индивидуальных предпринимателей Камышлинского района по видам экономической </w:t>
                  </w:r>
                  <w:r w:rsidRPr="008F0D53">
                    <w:rPr>
                      <w:rFonts w:ascii="Times New Roman Полужирный" w:hAnsi="Times New Roman Полужирный"/>
                      <w:b/>
                      <w:bCs/>
                      <w:color w:val="FFFFFF"/>
                      <w:sz w:val="20"/>
                    </w:rPr>
                    <w:t>деятельности</w:t>
                  </w:r>
                </w:p>
              </w:txbxContent>
            </v:textbox>
          </v:rect>
        </w:pict>
      </w:r>
      <w:r w:rsidR="00FA0047" w:rsidRPr="00B06469">
        <w:rPr>
          <w:rFonts w:ascii="Times New Roman" w:hAnsi="Times New Roman" w:cs="Times New Roman"/>
          <w:noProof/>
          <w:sz w:val="24"/>
          <w:szCs w:val="24"/>
          <w:lang w:eastAsia="ru-RU"/>
        </w:rPr>
        <w:drawing>
          <wp:inline distT="0" distB="0" distL="0" distR="0" wp14:anchorId="3D6BAC48" wp14:editId="66BD0FE2">
            <wp:extent cx="4663440" cy="4730750"/>
            <wp:effectExtent l="0" t="0" r="0" b="0"/>
            <wp:docPr id="10" name="Диаграмма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A0047" w:rsidRPr="00B06469" w:rsidRDefault="00FA0047" w:rsidP="001F0139">
      <w:pPr>
        <w:spacing w:after="0" w:line="240" w:lineRule="auto"/>
        <w:ind w:firstLine="426"/>
        <w:jc w:val="both"/>
        <w:rPr>
          <w:rFonts w:ascii="Times New Roman" w:hAnsi="Times New Roman" w:cs="Times New Roman"/>
          <w:noProof/>
          <w:sz w:val="24"/>
          <w:szCs w:val="24"/>
          <w:lang w:eastAsia="ru-RU"/>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 xml:space="preserve">Рисунок 1.4.6 – Количество индивидуальных предпринимателей </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по видам экономической деятельности в Камышлинском районе на 1 января 2017 года</w:t>
      </w:r>
    </w:p>
    <w:p w:rsidR="00FA0047" w:rsidRPr="00B06469" w:rsidRDefault="00FA0047" w:rsidP="001F0139">
      <w:pPr>
        <w:spacing w:after="0" w:line="240" w:lineRule="auto"/>
        <w:ind w:firstLine="709"/>
        <w:jc w:val="both"/>
        <w:rPr>
          <w:rFonts w:ascii="Times New Roman" w:eastAsia="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Общий уровень официально зарегистрированной безработицы в Камышлинском районе на начало 2017 года составил 2,2% - </w:t>
      </w:r>
      <w:r w:rsidRPr="007223A6">
        <w:rPr>
          <w:rFonts w:ascii="Times New Roman" w:hAnsi="Times New Roman" w:cs="Times New Roman"/>
          <w:sz w:val="24"/>
          <w:szCs w:val="24"/>
        </w:rPr>
        <w:t xml:space="preserve">это </w:t>
      </w:r>
      <w:r w:rsidR="00546B28" w:rsidRPr="007223A6">
        <w:rPr>
          <w:rFonts w:ascii="Times New Roman" w:hAnsi="Times New Roman" w:cs="Times New Roman"/>
          <w:sz w:val="24"/>
          <w:szCs w:val="24"/>
        </w:rPr>
        <w:t>1</w:t>
      </w:r>
      <w:r w:rsidRPr="007223A6">
        <w:rPr>
          <w:rFonts w:ascii="Times New Roman" w:hAnsi="Times New Roman" w:cs="Times New Roman"/>
          <w:sz w:val="24"/>
          <w:szCs w:val="24"/>
        </w:rPr>
        <w:t>9 место среди</w:t>
      </w:r>
      <w:r w:rsidRPr="00B06469">
        <w:rPr>
          <w:rFonts w:ascii="Times New Roman" w:hAnsi="Times New Roman" w:cs="Times New Roman"/>
          <w:sz w:val="24"/>
          <w:szCs w:val="24"/>
        </w:rPr>
        <w:t xml:space="preserve"> районов области (начиная с наибольшего значения, рис. 1.4.7). За три последних года уровень безработицы повысился – в среднем </w:t>
      </w:r>
      <w:r w:rsidRPr="007223A6">
        <w:rPr>
          <w:rFonts w:ascii="Times New Roman" w:hAnsi="Times New Roman" w:cs="Times New Roman"/>
          <w:sz w:val="24"/>
          <w:szCs w:val="24"/>
        </w:rPr>
        <w:t xml:space="preserve">на </w:t>
      </w:r>
      <w:r w:rsidR="00865A8B" w:rsidRPr="007223A6">
        <w:rPr>
          <w:rFonts w:ascii="Times New Roman" w:hAnsi="Times New Roman" w:cs="Times New Roman"/>
          <w:sz w:val="24"/>
          <w:szCs w:val="24"/>
        </w:rPr>
        <w:t>0</w:t>
      </w:r>
      <w:r w:rsidRPr="007223A6">
        <w:rPr>
          <w:rFonts w:ascii="Times New Roman" w:hAnsi="Times New Roman" w:cs="Times New Roman"/>
          <w:sz w:val="24"/>
          <w:szCs w:val="24"/>
        </w:rPr>
        <w:t>,</w:t>
      </w:r>
      <w:r w:rsidR="00865A8B" w:rsidRPr="007223A6">
        <w:rPr>
          <w:rFonts w:ascii="Times New Roman" w:hAnsi="Times New Roman" w:cs="Times New Roman"/>
          <w:sz w:val="24"/>
          <w:szCs w:val="24"/>
        </w:rPr>
        <w:t>1</w:t>
      </w:r>
      <w:r w:rsidRPr="007223A6">
        <w:rPr>
          <w:rFonts w:ascii="Times New Roman" w:hAnsi="Times New Roman" w:cs="Times New Roman"/>
          <w:sz w:val="24"/>
          <w:szCs w:val="24"/>
        </w:rPr>
        <w:t>%.</w:t>
      </w:r>
      <w:r w:rsidRPr="00B06469">
        <w:rPr>
          <w:rFonts w:ascii="Times New Roman" w:hAnsi="Times New Roman" w:cs="Times New Roman"/>
          <w:sz w:val="24"/>
          <w:szCs w:val="24"/>
        </w:rPr>
        <w:t xml:space="preserve"> В анализируемом периоде отсутствовала просроченная задолженность по заработной плате работникам предприятий.</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204F22" w:rsidP="001F01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042" style="position:absolute;left:0;text-align:left;margin-left:20pt;margin-top:-16.4pt;width:428.1pt;height:34.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" fillcolor="#365f91" strokecolor="#365f91">
            <v:textbox style="mso-next-textbox:#_x0000_s1042">
              <w:txbxContent>
                <w:p w:rsidR="001202C5" w:rsidRPr="008F0D53" w:rsidRDefault="001202C5" w:rsidP="00FA0047">
                  <w:pPr>
                    <w:spacing w:after="0" w:line="240" w:lineRule="auto"/>
                    <w:jc w:val="center"/>
                    <w:rPr>
                      <w:rFonts w:ascii="Times New Roman Полужирный" w:hAnsi="Times New Roman Полужирный"/>
                      <w:color w:val="FFFFFF"/>
                      <w:sz w:val="20"/>
                    </w:rPr>
                  </w:pPr>
                  <w:r w:rsidRPr="00E32B63">
                    <w:rPr>
                      <w:rFonts w:ascii="Times New Roman Полужирный" w:hAnsi="Times New Roman Полужирный"/>
                      <w:b/>
                      <w:bCs/>
                      <w:color w:val="FFFFFF"/>
                      <w:sz w:val="20"/>
                    </w:rPr>
                    <w:t>Камышлинский район занимает 9 место по официально зарегистрированной безработице на начало 2017 года среди районов Самарской области</w:t>
                  </w:r>
                </w:p>
              </w:txbxContent>
            </v:textbox>
          </v:rect>
        </w:pict>
      </w:r>
      <w:r w:rsidR="00FA0047" w:rsidRPr="00B06469">
        <w:rPr>
          <w:rFonts w:ascii="Times New Roman" w:hAnsi="Times New Roman" w:cs="Times New Roman"/>
          <w:noProof/>
          <w:sz w:val="24"/>
          <w:szCs w:val="24"/>
          <w:lang w:eastAsia="ru-RU"/>
        </w:rPr>
        <w:drawing>
          <wp:inline distT="0" distB="0" distL="0" distR="0" wp14:anchorId="7E17471C" wp14:editId="5E100098">
            <wp:extent cx="5435983" cy="3209674"/>
            <wp:effectExtent l="6095" t="6095" r="7492" b="8761"/>
            <wp:docPr id="11" name="Диаграмма 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A0047" w:rsidRPr="00B06469" w:rsidRDefault="00FA0047" w:rsidP="001F0139">
      <w:pPr>
        <w:spacing w:after="0" w:line="240" w:lineRule="auto"/>
        <w:jc w:val="center"/>
        <w:rPr>
          <w:rFonts w:ascii="Times New Roman" w:hAnsi="Times New Roman" w:cs="Times New Roman"/>
          <w:noProof/>
          <w:sz w:val="24"/>
          <w:szCs w:val="24"/>
          <w:lang w:eastAsia="ru-RU"/>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hAnsi="Times New Roman" w:cs="Times New Roman"/>
          <w:b/>
          <w:sz w:val="24"/>
          <w:szCs w:val="24"/>
        </w:rPr>
      </w:pPr>
      <w:r w:rsidRPr="00B06469">
        <w:rPr>
          <w:rFonts w:ascii="Times New Roman" w:eastAsia="Times New Roman" w:hAnsi="Times New Roman" w:cs="Times New Roman"/>
          <w:b/>
          <w:sz w:val="24"/>
          <w:szCs w:val="24"/>
        </w:rPr>
        <w:t>Рисунок 1.4.7 – Уровень зарегистрированной безработицы на конец 2016 года и среднегодовой темп прироста показателя в 2014-2016 годах по муниципальным районам Самарской области</w:t>
      </w:r>
    </w:p>
    <w:p w:rsidR="00FA0047" w:rsidRPr="00B06469" w:rsidRDefault="00FA0047" w:rsidP="001F0139">
      <w:pPr>
        <w:spacing w:after="0" w:line="240" w:lineRule="auto"/>
        <w:jc w:val="center"/>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 величине среднемесячной заработной платы работников организаций по итогам 2016 года (21407,2 руб.) район занял 21 место среди районов области (рис. 1.4.8). При этом по динамике показателя район занимает 18 место - в последние три года средний размер заработной платы рос в среднем на 7,02% ежегодно. Вместе с тем инфляция за тот же период в среднем составляла около 10% ежегодно и таким образом реальные доходы работающего населения сократились.</w:t>
      </w:r>
    </w:p>
    <w:p w:rsidR="00FA0047" w:rsidRPr="00B06469" w:rsidRDefault="00FA0047" w:rsidP="001F0139">
      <w:pPr>
        <w:spacing w:after="0" w:line="360" w:lineRule="auto"/>
        <w:ind w:firstLine="567"/>
        <w:jc w:val="both"/>
        <w:rPr>
          <w:rFonts w:ascii="Times New Roman" w:hAnsi="Times New Roman" w:cs="Times New Roman"/>
          <w:sz w:val="24"/>
          <w:szCs w:val="24"/>
        </w:rPr>
      </w:pPr>
    </w:p>
    <w:p w:rsidR="00FA0047" w:rsidRPr="00B06469" w:rsidRDefault="00204F22" w:rsidP="001F01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Прямоугольник 9" o:spid="_x0000_s1043" style="position:absolute;left:0;text-align:left;margin-left:13.55pt;margin-top:-10.15pt;width:439.6pt;height:34.8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" fillcolor="#365f91" strokecolor="#365f91">
            <v:textbox style="mso-next-textbox:#Прямоугольник 9">
              <w:txbxContent>
                <w:p w:rsidR="001202C5" w:rsidRDefault="001202C5" w:rsidP="00FA0047">
                  <w:pPr>
                    <w:pStyle w:val="a7"/>
                    <w:spacing w:before="0" w:beforeAutospacing="0" w:after="0" w:afterAutospacing="0" w:line="276" w:lineRule="auto"/>
                    <w:jc w:val="center"/>
                  </w:pPr>
                  <w:r w:rsidRPr="00D34D5F">
                    <w:rPr>
                      <w:rFonts w:eastAsia="Calibri"/>
                      <w:b/>
                      <w:bCs/>
                      <w:color w:val="FFFFFF"/>
                      <w:sz w:val="20"/>
                      <w:szCs w:val="20"/>
                    </w:rPr>
                    <w:t>Камышлинский район занимает 21 место по величине среднемесячной заработной платы работников организаций в 2016</w:t>
                  </w:r>
                  <w:r>
                    <w:rPr>
                      <w:rFonts w:eastAsia="Calibri"/>
                      <w:b/>
                      <w:bCs/>
                      <w:color w:val="FFFFFF"/>
                      <w:sz w:val="20"/>
                      <w:szCs w:val="20"/>
                    </w:rPr>
                    <w:t xml:space="preserve"> </w:t>
                  </w:r>
                  <w:r w:rsidRPr="00D34D5F">
                    <w:rPr>
                      <w:rFonts w:eastAsia="Calibri"/>
                      <w:b/>
                      <w:bCs/>
                      <w:color w:val="FFFFFF"/>
                      <w:sz w:val="20"/>
                      <w:szCs w:val="20"/>
                    </w:rPr>
                    <w:t>году среди районов Самарской области</w:t>
                  </w:r>
                  <w:r>
                    <w:rPr>
                      <w:rFonts w:ascii="Arial" w:eastAsia="Calibri" w:hAnsi="Arial"/>
                      <w:sz w:val="22"/>
                      <w:szCs w:val="22"/>
                    </w:rPr>
                    <w:t> </w:t>
                  </w:r>
                </w:p>
              </w:txbxContent>
            </v:textbox>
          </v:rect>
        </w:pict>
      </w:r>
      <w:r w:rsidR="00FA0047" w:rsidRPr="00B06469">
        <w:rPr>
          <w:rFonts w:ascii="Times New Roman" w:hAnsi="Times New Roman" w:cs="Times New Roman"/>
          <w:noProof/>
          <w:sz w:val="24"/>
          <w:szCs w:val="24"/>
          <w:lang w:eastAsia="ru-RU"/>
        </w:rPr>
        <w:drawing>
          <wp:inline distT="0" distB="0" distL="0" distR="0" wp14:anchorId="26F3B7FD" wp14:editId="6EE6268B">
            <wp:extent cx="5583047" cy="4044317"/>
            <wp:effectExtent l="19050" t="0" r="17653"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1.4.8 – Среднемесячная заработная плата в 2016 году и среднегодовой темп прироста показателя в 2014-2016 годах по муниципальным районам Самарской области</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Среднемесячная номинальная начисленная заработная плата работников организаций Камышлинского района 2014-2017 гг. находится ниже уровня среднеобластного и среднероссийского значения. В целом динамика роста среднемесячной номинальной начисленной заработной платы работников организаций Камышлинского района совпадает с динамикой по Самарской области и РФ. Уровень зарегистрированной безработицы 2014-2016 гг. высокий по сравнению с уровнем Самарской области и РФ (рис. 1.4.9).</w:t>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0E61A733" wp14:editId="5357F704">
            <wp:extent cx="2419985" cy="3432175"/>
            <wp:effectExtent l="0" t="0" r="0" b="0"/>
            <wp:docPr id="255" name="Объект 2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06469">
        <w:rPr>
          <w:rFonts w:ascii="Times New Roman" w:hAnsi="Times New Roman" w:cs="Times New Roman"/>
          <w:noProof/>
          <w:sz w:val="24"/>
          <w:szCs w:val="24"/>
          <w:lang w:eastAsia="ru-RU"/>
        </w:rPr>
        <w:t xml:space="preserve"> </w:t>
      </w:r>
      <w:r w:rsidRPr="00B06469">
        <w:rPr>
          <w:rFonts w:ascii="Times New Roman" w:hAnsi="Times New Roman" w:cs="Times New Roman"/>
          <w:noProof/>
          <w:sz w:val="24"/>
          <w:szCs w:val="24"/>
          <w:lang w:eastAsia="ru-RU"/>
        </w:rPr>
        <w:drawing>
          <wp:inline distT="0" distB="0" distL="0" distR="0" wp14:anchorId="70AC23BA" wp14:editId="16E37728">
            <wp:extent cx="2480945" cy="3432175"/>
            <wp:effectExtent l="0" t="0" r="0" b="0"/>
            <wp:docPr id="251" name="Объект 2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Источники: ФСГС </w:t>
      </w:r>
      <w:r w:rsidRPr="00B06469">
        <w:rPr>
          <w:rFonts w:ascii="Times New Roman" w:hAnsi="Times New Roman" w:cs="Times New Roman"/>
          <w:sz w:val="24"/>
          <w:szCs w:val="24"/>
          <w:lang w:val="en-US" w:eastAsia="ru-RU"/>
        </w:rPr>
        <w:t>URL</w:t>
      </w:r>
      <w:r w:rsidRPr="00B06469">
        <w:rPr>
          <w:rFonts w:ascii="Times New Roman" w:hAnsi="Times New Roman" w:cs="Times New Roman"/>
          <w:sz w:val="24"/>
          <w:szCs w:val="24"/>
        </w:rPr>
        <w:t xml:space="preserve">: </w:t>
      </w:r>
      <w:hyperlink r:id="rId27" w:history="1">
        <w:r w:rsidRPr="00B06469">
          <w:rPr>
            <w:rStyle w:val="25"/>
            <w:rFonts w:eastAsiaTheme="minorHAnsi"/>
          </w:rPr>
          <w:t>http://www.gks.ru/</w:t>
        </w:r>
      </w:hyperlink>
      <w:r w:rsidRPr="00B06469">
        <w:rPr>
          <w:rFonts w:ascii="Times New Roman" w:hAnsi="Times New Roman" w:cs="Times New Roman"/>
          <w:sz w:val="24"/>
          <w:szCs w:val="24"/>
        </w:rPr>
        <w:t xml:space="preserve">; Муниципальные районы Самарской области. Статистический сборник. – Самара, 2017. Рейтинг социально-экономического развития муниципальных образований Самарской области МЭРИТ </w:t>
      </w:r>
      <w:r w:rsidRPr="00B06469">
        <w:rPr>
          <w:rFonts w:ascii="Times New Roman" w:hAnsi="Times New Roman" w:cs="Times New Roman"/>
          <w:sz w:val="24"/>
          <w:szCs w:val="24"/>
          <w:lang w:val="en-US" w:eastAsia="ru-RU"/>
        </w:rPr>
        <w:t>URL</w:t>
      </w:r>
      <w:r w:rsidRPr="00B06469">
        <w:rPr>
          <w:rFonts w:ascii="Times New Roman" w:hAnsi="Times New Roman" w:cs="Times New Roman"/>
          <w:sz w:val="24"/>
          <w:szCs w:val="24"/>
          <w:lang w:eastAsia="ru-RU"/>
        </w:rPr>
        <w:t xml:space="preserve">: </w:t>
      </w:r>
      <w:hyperlink r:id="rId28" w:history="1">
        <w:r w:rsidRPr="00B06469">
          <w:rPr>
            <w:rStyle w:val="25"/>
            <w:rFonts w:eastAsiaTheme="minorHAnsi"/>
          </w:rPr>
          <w:t>http://economy.samregion.ru/</w:t>
        </w:r>
      </w:hyperlink>
      <w:r w:rsidRPr="00B06469">
        <w:rPr>
          <w:rFonts w:ascii="Times New Roman" w:hAnsi="Times New Roman" w:cs="Times New Roman"/>
          <w:sz w:val="24"/>
          <w:szCs w:val="24"/>
        </w:rPr>
        <w:t>; аналитика ФГБОУ ВО «СГЭУ»</w:t>
      </w:r>
    </w:p>
    <w:p w:rsidR="00FA0047" w:rsidRPr="00B06469" w:rsidRDefault="00FA0047" w:rsidP="001F0139">
      <w:pPr>
        <w:spacing w:after="0" w:line="240" w:lineRule="auto"/>
        <w:jc w:val="center"/>
        <w:rPr>
          <w:rFonts w:ascii="Times New Roman" w:hAnsi="Times New Roman" w:cs="Times New Roman"/>
          <w:b/>
          <w:bCs/>
          <w:sz w:val="24"/>
          <w:szCs w:val="24"/>
        </w:rPr>
      </w:pPr>
      <w:r w:rsidRPr="00B06469">
        <w:rPr>
          <w:rFonts w:ascii="Times New Roman" w:eastAsia="Times New Roman" w:hAnsi="Times New Roman" w:cs="Times New Roman"/>
          <w:b/>
          <w:sz w:val="24"/>
          <w:szCs w:val="24"/>
        </w:rPr>
        <w:t xml:space="preserve">Рисунок 1.4.9 – </w:t>
      </w:r>
      <w:r w:rsidRPr="00B06469">
        <w:rPr>
          <w:rFonts w:ascii="Times New Roman" w:hAnsi="Times New Roman" w:cs="Times New Roman"/>
          <w:b/>
          <w:bCs/>
          <w:sz w:val="24"/>
          <w:szCs w:val="24"/>
        </w:rPr>
        <w:t>Динамика среднемесячной номинальной начисленной</w:t>
      </w:r>
    </w:p>
    <w:p w:rsidR="00FA0047" w:rsidRPr="00B06469" w:rsidRDefault="00FA0047" w:rsidP="001F0139">
      <w:pPr>
        <w:spacing w:after="0" w:line="240" w:lineRule="auto"/>
        <w:jc w:val="center"/>
        <w:rPr>
          <w:rFonts w:ascii="Times New Roman" w:hAnsi="Times New Roman" w:cs="Times New Roman"/>
          <w:b/>
          <w:bCs/>
          <w:sz w:val="24"/>
          <w:szCs w:val="24"/>
        </w:rPr>
      </w:pPr>
      <w:r w:rsidRPr="00B06469">
        <w:rPr>
          <w:rFonts w:ascii="Times New Roman" w:hAnsi="Times New Roman" w:cs="Times New Roman"/>
          <w:b/>
          <w:bCs/>
          <w:sz w:val="24"/>
          <w:szCs w:val="24"/>
        </w:rPr>
        <w:t>заработной платы работников организаций в РФ, Самарской области и м.р. Камышлинский, руб. и уровня зарегистрированной безработицы в РФ, Самарской области и м.р. Камышлинский (на конец года), %</w:t>
      </w:r>
    </w:p>
    <w:p w:rsidR="00FA0047" w:rsidRPr="00B06469" w:rsidRDefault="00FA0047" w:rsidP="001F0139">
      <w:pPr>
        <w:spacing w:after="0" w:line="240" w:lineRule="auto"/>
        <w:jc w:val="center"/>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На территории Камышлинского муниципального района существует 3 социально-ориентированные некоммерческие организации.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полной мере представлена сеть учреждений социальной защиты, необходимая для обеспечения предоставления минимальных социальных гарантий населению. В целях сохранения социальной стабильности в части обеспечения своевременности и полноты социальных выплат и льгот населению социальными учреждениями ежегодно предоставляется весь комплекс мер социальной поддержки, а именно: материальная помощь за счет всех источников финансирования, гражданам пожилого возраста и инвалидам оказывается социальная помощь на дому.</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Работает отделение социальной реабилитации граждан пожилого возраста и инвалидов. Управлением социальной защиты населения постоянно ведется работа по предоставлению адресных субсидий на оплату жилья и коммунальных услуг малообеспеченным семьям. </w:t>
      </w: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17" w:name="_Toc520894831"/>
      <w:r w:rsidRPr="00B06469">
        <w:rPr>
          <w:rFonts w:ascii="Times New Roman" w:hAnsi="Times New Roman" w:cs="Times New Roman"/>
          <w:b/>
          <w:color w:val="365F91"/>
          <w:sz w:val="24"/>
          <w:szCs w:val="24"/>
        </w:rPr>
        <w:t>Образование</w:t>
      </w:r>
      <w:bookmarkEnd w:id="17"/>
    </w:p>
    <w:p w:rsidR="00FA0047" w:rsidRPr="00B06469" w:rsidRDefault="00FA0047" w:rsidP="001F0139">
      <w:pPr>
        <w:keepNext/>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состав образовательной системы Камышлинского муниципального района входят: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государственные бюджетные общеобразовательные учреждения со структурными подразделениями дошкольного и дополнительного образования;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коррекционная школа-интернат;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ГБПОУ «Образовательный центр с. Камышла».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На территории муниципального района функционирует 7 структурных подразделений (филиалов) дневных общеобразовательных учреждений с общим количеством мест 1007; 519 воспитанников, посещающих организаций, осуществляющие образовательную деятельность по образовательным программам дошкольного образования, присмотр и уход за детьми.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результате реорганизации в 2012 году дошкольные образовательные организации утратили статус юридических лиц и вошли в состав </w:t>
      </w:r>
      <w:r w:rsidRPr="00B06469">
        <w:rPr>
          <w:rFonts w:ascii="Times New Roman" w:hAnsi="Times New Roman" w:cs="Times New Roman"/>
          <w:sz w:val="24"/>
          <w:szCs w:val="24"/>
        </w:rPr>
        <w:br/>
        <w:t>общеобразовательных организаций. До 2012 года на территории района функционировало 4 дошкольные образовательные организации, в 2016 году – 6 организаций, осуществляющих образовательную деятельность по образовательным программам дошкольного образования, присмотр и уход за детьми.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Дошкольным образованием охвачено около 500 детей, что составляет почти 57% от общей численности детей в возрасте 1-7 лет (5 место среди муниципальных районов области, рис. 1.4.10). Капитальный ремонт всех детских дошкольных учреждений завершен. По состоянию на 1 января 2016 года очередь для зачисления детей в возрасте от 3 до 7 лет в дошкольные учреждения, реализующие основную общеобразовательную программу дошкольного образования ликвидирована.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2016 году продолжилась работа по приведению зданий образовательных учреждений в соответствие с установленными требованиями. В районе в прошедшем году школы размещались в 11 капитальных зданиях. В 2015-2016 гг. капитальный ремонт требуется в пяти зданиях школ из 11-ти (доля зданий составила 45,5%), к 2019 году планируется отремонтировать 3 здания. </w:t>
      </w:r>
    </w:p>
    <w:p w:rsidR="00FA0047" w:rsidRPr="00B06469" w:rsidRDefault="00204F22" w:rsidP="001F0139">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4" o:spid="_x0000_s1028" style="position:absolute;left:0;text-align:left;margin-left:58.15pt;margin-top:3.65pt;width:370.15pt;height:45.3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" fillcolor="#365f91" strokecolor="#365f91">
            <v:textbox style="mso-next-textbox:#Прямоугольник 54">
              <w:txbxContent>
                <w:p w:rsidR="001202C5" w:rsidRPr="00790352" w:rsidRDefault="001202C5" w:rsidP="00FA0047">
                  <w:pPr>
                    <w:pStyle w:val="a7"/>
                    <w:spacing w:before="0" w:beforeAutospacing="0" w:after="0" w:afterAutospacing="0" w:line="276" w:lineRule="auto"/>
                    <w:jc w:val="center"/>
                    <w:rPr>
                      <w:sz w:val="20"/>
                      <w:szCs w:val="20"/>
                    </w:rPr>
                  </w:pPr>
                  <w:r w:rsidRPr="00790352">
                    <w:rPr>
                      <w:rFonts w:eastAsia="Calibri"/>
                      <w:b/>
                      <w:bCs/>
                      <w:color w:val="FFFFFF"/>
                      <w:sz w:val="20"/>
                      <w:szCs w:val="20"/>
                    </w:rPr>
                    <w:t>По доле детей в возрасте 1-7 лет, охваченных услугами дошкольного образования, в общей численности детей 1-7 лет в 2016 году</w:t>
                  </w:r>
                  <w:r>
                    <w:rPr>
                      <w:rFonts w:eastAsia="Calibri"/>
                      <w:b/>
                      <w:bCs/>
                      <w:color w:val="FFFFFF"/>
                      <w:sz w:val="20"/>
                      <w:szCs w:val="20"/>
                    </w:rPr>
                    <w:t xml:space="preserve"> </w:t>
                  </w:r>
                  <w:r w:rsidRPr="00790352">
                    <w:rPr>
                      <w:rFonts w:eastAsia="Calibri"/>
                      <w:b/>
                      <w:bCs/>
                      <w:color w:val="FFFFFF"/>
                      <w:sz w:val="20"/>
                      <w:szCs w:val="20"/>
                    </w:rPr>
                    <w:t>Камышлинский</w:t>
                  </w:r>
                  <w:r>
                    <w:rPr>
                      <w:rFonts w:eastAsia="Calibri"/>
                      <w:b/>
                      <w:bCs/>
                      <w:color w:val="FFFFFF"/>
                      <w:sz w:val="20"/>
                      <w:szCs w:val="20"/>
                    </w:rPr>
                    <w:t xml:space="preserve"> </w:t>
                  </w:r>
                  <w:r w:rsidRPr="00790352">
                    <w:rPr>
                      <w:rFonts w:eastAsia="Calibri"/>
                      <w:b/>
                      <w:bCs/>
                      <w:color w:val="FFFFFF"/>
                      <w:sz w:val="20"/>
                      <w:szCs w:val="20"/>
                    </w:rPr>
                    <w:t>район занимает 5 место среди районов Самарской области</w:t>
                  </w:r>
                </w:p>
              </w:txbxContent>
            </v:textbox>
          </v:rect>
        </w:pict>
      </w:r>
    </w:p>
    <w:p w:rsidR="00FA0047" w:rsidRPr="00B06469" w:rsidRDefault="00FA0047" w:rsidP="001F0139">
      <w:pPr>
        <w:spacing w:after="0" w:line="240" w:lineRule="auto"/>
        <w:ind w:firstLine="426"/>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2F5EF241" wp14:editId="68806E58">
            <wp:extent cx="4712335" cy="3200400"/>
            <wp:effectExtent l="19050" t="0" r="0" b="0"/>
            <wp:docPr id="15" name="Диаграмма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5"/>
                    <pic:cNvPicPr>
                      <a:picLocks noChangeArrowheads="1"/>
                    </pic:cNvPicPr>
                  </pic:nvPicPr>
                  <pic:blipFill>
                    <a:blip r:embed="rId29" cstate="print"/>
                    <a:srcRect/>
                    <a:stretch>
                      <a:fillRect/>
                    </a:stretch>
                  </pic:blipFill>
                  <pic:spPr bwMode="auto">
                    <a:xfrm>
                      <a:off x="0" y="0"/>
                      <a:ext cx="4712335" cy="3200400"/>
                    </a:xfrm>
                    <a:prstGeom prst="rect">
                      <a:avLst/>
                    </a:prstGeom>
                    <a:noFill/>
                    <a:ln w="9525">
                      <a:noFill/>
                      <a:miter lim="800000"/>
                      <a:headEnd/>
                      <a:tailEnd/>
                    </a:ln>
                  </pic:spPr>
                </pic:pic>
              </a:graphicData>
            </a:graphic>
          </wp:inline>
        </w:drawing>
      </w:r>
    </w:p>
    <w:p w:rsidR="00FA0047" w:rsidRPr="00B06469" w:rsidRDefault="00FA0047"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1.4.10 – Доля детей в возрасте 1-7 лет, охваченных услугами дошкольного образования, в общей численности детей 1-7 лет по муниципальным районам Самарской области, (%)</w:t>
      </w:r>
    </w:p>
    <w:p w:rsidR="00FA0047" w:rsidRPr="00B06469" w:rsidRDefault="00FA0047" w:rsidP="001F0139">
      <w:pPr>
        <w:spacing w:after="0" w:line="360" w:lineRule="auto"/>
        <w:ind w:firstLine="709"/>
        <w:jc w:val="center"/>
        <w:rPr>
          <w:rFonts w:ascii="Times New Roman" w:eastAsia="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Динамика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осталась на уровне 2015 года (65%). Одна из основных проблем системы образования в последние годы - недостаточное количество специалистов в системе дополнительного образования. Задача на ближайшие 3 года - увеличение охвата детей в возрасте от 5 до 18 лет услугами дополнительного образования до 68%.</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составляет 72,3% (14 место среди муниципальных районов области), что несколько выше, чем в среднем по районам области (рис.1.4.11).</w:t>
      </w:r>
    </w:p>
    <w:p w:rsidR="00FA0047" w:rsidRPr="00B06469" w:rsidRDefault="00FA0047" w:rsidP="001F0139">
      <w:pPr>
        <w:spacing w:after="0" w:line="360" w:lineRule="auto"/>
        <w:ind w:firstLine="709"/>
        <w:jc w:val="center"/>
        <w:rPr>
          <w:rFonts w:ascii="Times New Roman" w:hAnsi="Times New Roman" w:cs="Times New Roman"/>
          <w:sz w:val="24"/>
          <w:szCs w:val="24"/>
          <w:highlight w:val="yellow"/>
        </w:rPr>
      </w:pPr>
      <w:r w:rsidRPr="00B06469">
        <w:rPr>
          <w:rFonts w:ascii="Times New Roman" w:hAnsi="Times New Roman" w:cs="Times New Roman"/>
          <w:noProof/>
          <w:sz w:val="24"/>
          <w:szCs w:val="24"/>
          <w:lang w:eastAsia="ru-RU"/>
        </w:rPr>
        <w:lastRenderedPageBreak/>
        <w:drawing>
          <wp:inline distT="0" distB="0" distL="0" distR="0" wp14:anchorId="221611CB" wp14:editId="43B55AD5">
            <wp:extent cx="4919345" cy="3962400"/>
            <wp:effectExtent l="19050" t="0" r="0" b="0"/>
            <wp:docPr id="16" name="Диаграмма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6"/>
                    <pic:cNvPicPr>
                      <a:picLocks noChangeArrowheads="1"/>
                    </pic:cNvPicPr>
                  </pic:nvPicPr>
                  <pic:blipFill>
                    <a:blip r:embed="rId30" cstate="print"/>
                    <a:srcRect/>
                    <a:stretch>
                      <a:fillRect/>
                    </a:stretch>
                  </pic:blipFill>
                  <pic:spPr bwMode="auto">
                    <a:xfrm>
                      <a:off x="0" y="0"/>
                      <a:ext cx="4919345" cy="3962400"/>
                    </a:xfrm>
                    <a:prstGeom prst="rect">
                      <a:avLst/>
                    </a:prstGeom>
                    <a:noFill/>
                    <a:ln w="9525">
                      <a:noFill/>
                      <a:miter lim="800000"/>
                      <a:headEnd/>
                      <a:tailEnd/>
                    </a:ln>
                  </pic:spPr>
                </pic:pic>
              </a:graphicData>
            </a:graphic>
          </wp:inline>
        </w:drawing>
      </w:r>
    </w:p>
    <w:p w:rsidR="00FA0047" w:rsidRPr="00B06469" w:rsidRDefault="00FA0047"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 Муниципальные районы Самарской области. Статистический сборник. – Самара, 2017. </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1.4.11 – Доля детей в возрасте 5-18 лет, получающих услуги по дополнительному образованию по муниципальным районам Самарской области, (%)</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Все образовательные учреждения района работают по пятидневной учебной неделе в одну смену. В образовательных учреждениях имеется достаточный научно-методический потенциал для реализации основных направлений модернизации образования. Учащиеся и педагоги ежегодно принимают участие в различных конкурсах и неоднократно становились победителями и призерами окружного, областного и даже федерального уровня.</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Повышение учительского потенциала является одним из основных направлений модернизации образования. Хорошей возможностью для личностного роста педагогов является участие в профессиональных конкурсах. В районе сложился костяк талантливых и высокопрофессиональных педагогов, определяющих развитие системы образования, что напрямую влияет на качество знаний учащихся.</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Ежегодно по результатам итоговой аттестации выпускники 9 и 11-х классов района показывают высокие результаты. За пять лет не было ни одного ученика, не получившего документа об образовании. Результат итоговой аттестации 2016-2017 года: по всем предметам единого государственного экзамена баллы наших учащихся выше среднего по </w:t>
      </w:r>
      <w:r w:rsidRPr="00B06469">
        <w:rPr>
          <w:rFonts w:ascii="Times New Roman" w:hAnsi="Times New Roman" w:cs="Times New Roman"/>
          <w:sz w:val="24"/>
          <w:szCs w:val="24"/>
        </w:rPr>
        <w:lastRenderedPageBreak/>
        <w:t xml:space="preserve">северо-восточному управлению образования и науки. Ежегодно увеличивается количество медалистов. К примеру, в 2015 году было 4, в 2016 – 5, в 2017 – 8 медалистов.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образовательных учреждениях муниципального района накоплен опыт работы по разноуровневым стратегиям общего и профессионального образования, формируется гибкая система образовательных программ в соответствии с потребностями рынка труда. В течение 2015-2016 учебного года ГБПОУ «Образовательный центр с. «Камышла» реализовало программы среднего профессионального образования на базе основного общего и среднего общего образования по нижеследующим профессиям: хозяйка (ин) усадьбы; мастер сельскохозяйственного производства; социальный работник; тракторист-машинист сельскохозяйственного производства. Численность обучающихся по состоянию на 1 сентября 2016 года – 198 человек.</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Вопросы обеспечения антитеррористической защищенности образовательных учреждений района находятся на постоянном контроле. Все предписания надзорных служб выполняются. 75% образовательных организаций оборудованы кнопками тревожной сигнализаций, 63% — видеонаблюдением. Это один из высоких показателей в области.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Для организации безопасного подвоза учащихся из других населенных пунктов в базовые школы отрыто 10 школьных маршрутов, по которым курсируют 9 автобусов. Все школьные автобусы оборудованы в соответствии с требованиями Государственного стандарта для перевозки детей и оснащены системами спутниковой навигации ГЛОНАСС.</w:t>
      </w:r>
    </w:p>
    <w:p w:rsidR="00FA0047" w:rsidRPr="00B06469" w:rsidRDefault="00FA0047" w:rsidP="001F0139">
      <w:pPr>
        <w:spacing w:after="0" w:line="360" w:lineRule="auto"/>
        <w:ind w:firstLine="709"/>
        <w:jc w:val="both"/>
        <w:rPr>
          <w:rFonts w:ascii="Times New Roman" w:hAnsi="Times New Roman" w:cs="Times New Roman"/>
          <w:sz w:val="24"/>
          <w:szCs w:val="24"/>
          <w:highlight w:val="yellow"/>
        </w:rPr>
      </w:pP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18" w:name="_Toc520894832"/>
      <w:r w:rsidRPr="00B06469">
        <w:rPr>
          <w:rFonts w:ascii="Times New Roman" w:hAnsi="Times New Roman" w:cs="Times New Roman"/>
          <w:b/>
          <w:color w:val="365F91"/>
          <w:sz w:val="24"/>
          <w:szCs w:val="24"/>
        </w:rPr>
        <w:t>Здравоохранение</w:t>
      </w:r>
      <w:bookmarkEnd w:id="18"/>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На территории муниципального района оказывает медицинские услуги Камышлинская центральная районная больница. На базе учреждения предоставляется амбулаторно-поликлиническая (как плановая, так и экстренная) и круглосуточная – стационарная помощь, созданы выездные бригады врачей специалистов для оказания различных видов медицинской, организационно методической и консультативной помощи.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структуре ЛПУ в комплексе, присутствует поликлиника, многопрофильный круглосуточный стационар, стационар дневного пребывания, офисы врачей общей практики, отделение скорой медицинской помощи. Поликлиника рассчитана на 160 посещений в день, стационар — на 55 коек, из них 20 коек — медико-социальные. В </w:t>
      </w:r>
      <w:r w:rsidRPr="00B06469">
        <w:rPr>
          <w:rFonts w:ascii="Times New Roman" w:hAnsi="Times New Roman" w:cs="Times New Roman"/>
          <w:sz w:val="24"/>
          <w:szCs w:val="24"/>
        </w:rPr>
        <w:lastRenderedPageBreak/>
        <w:t>состав ЦРБ так же входят 2 офиса врача общей практики — в селах Новое Усманово и Старое Ермаково и 13 фельдшерско-акушерских пунктов.</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поликлинике ведут прием врачи специальностей: терапевт, хирург, онколог, гинеколог, оториноларинголог, педиатр, невролог, нарколог. Прием ведется без предварительной записи, по принципу «всех — в день обращения».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Диагностическую службу представляют клинико-диагностическая (общеклиническая и биохимическая) лаборатория, отделение ультразвуковой диагностики, кабинеты флюорографии, рентгенологический кабинет, службы ЛФК и физиотерапии.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2011 году поликлиника в Камышле была капитально отремонтирована и соединена теплым переходом со зданием центральной районной больницы, которая также была модернизирована. По областной целевой программе «Модернизация здравоохранения в Самарской области на 2011-2015 годы» был проведен капитальный ремонт кровли поликлинического отделения, получены медицинское оборудование на сумму 4 500 000 рублей, автомашины скорой помощи. Кроме того, были отремонтированы 4 ФАПа, в рамках реализации областной программы модернизации здравоохранения, в селе Никиткино был построен новый модульный ФАП, в настоящее время завершено строительство такого же ФАПа в селе Балыкла. В селе Новое усманово успешно работает стоматологический кабинет.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Число больничных коек в больничных организациях района снижалось и к 2014 году достигло минимума в 40,8 на 10 тыс. населения, после чего наметилась тенденция к увеличению числа больничных коек, в 2016 году оно составило 45,2 на 10 тыс. населения.</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Сокращение числа больничных коек – это общая тенденция практически для всех муниципальных образований региона на пути к оптимизации. Во многом она обусловлена внедрением стационарозамещающих технологий, а также повышением эффективности использования имеющихся коек. По обеспеченности жителей больничными койками в расчете на 10 тыс. населения Камышлинский район находится на 9 месте среди муниципальных районов области (рис. 1.4.12).</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ind w:firstLine="709"/>
        <w:jc w:val="center"/>
        <w:rPr>
          <w:rFonts w:ascii="Times New Roman" w:hAnsi="Times New Roman" w:cs="Times New Roman"/>
          <w:sz w:val="24"/>
          <w:szCs w:val="24"/>
        </w:rPr>
      </w:pPr>
    </w:p>
    <w:p w:rsidR="00FA0047" w:rsidRPr="00B06469" w:rsidRDefault="00204F22" w:rsidP="001F0139">
      <w:pPr>
        <w:spacing w:after="0" w:line="240" w:lineRule="auto"/>
        <w:ind w:firstLine="426"/>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Прямоугольник 51" o:spid="_x0000_s1029" style="position:absolute;left:0;text-align:left;margin-left:43.5pt;margin-top:-16.8pt;width:403.05pt;height:32.85pt;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" fillcolor="#365f91" strokecolor="#365f91">
            <v:textbox style="mso-next-textbox:#Прямоугольник 51">
              <w:txbxContent>
                <w:p w:rsidR="001202C5" w:rsidRDefault="001202C5" w:rsidP="00FA0047">
                  <w:pPr>
                    <w:pStyle w:val="a7"/>
                    <w:spacing w:before="0" w:beforeAutospacing="0" w:after="0" w:afterAutospacing="0" w:line="276" w:lineRule="auto"/>
                    <w:jc w:val="center"/>
                    <w:rPr>
                      <w:rFonts w:eastAsia="Calibri"/>
                      <w:b/>
                      <w:bCs/>
                      <w:color w:val="FFFFFF"/>
                      <w:sz w:val="20"/>
                      <w:szCs w:val="20"/>
                    </w:rPr>
                  </w:pPr>
                  <w:r>
                    <w:rPr>
                      <w:rFonts w:ascii="Arial" w:eastAsia="Calibri" w:hAnsi="Arial"/>
                      <w:b/>
                      <w:bCs/>
                      <w:color w:val="FFFFFF"/>
                      <w:sz w:val="20"/>
                      <w:szCs w:val="20"/>
                    </w:rPr>
                    <w:t> </w:t>
                  </w:r>
                  <w:r w:rsidRPr="00CB4D0E">
                    <w:rPr>
                      <w:rFonts w:eastAsia="Calibri"/>
                      <w:b/>
                      <w:bCs/>
                      <w:color w:val="FFFFFF"/>
                      <w:sz w:val="20"/>
                      <w:szCs w:val="20"/>
                    </w:rPr>
                    <w:t xml:space="preserve">Камышлинский район занимает 9 место по количеству больничных коек </w:t>
                  </w:r>
                </w:p>
                <w:p w:rsidR="001202C5" w:rsidRPr="00CB4D0E" w:rsidRDefault="001202C5" w:rsidP="00FA0047">
                  <w:pPr>
                    <w:pStyle w:val="a7"/>
                    <w:spacing w:before="0" w:beforeAutospacing="0" w:after="0" w:afterAutospacing="0" w:line="276" w:lineRule="auto"/>
                    <w:jc w:val="center"/>
                  </w:pPr>
                  <w:r w:rsidRPr="00CB4D0E">
                    <w:rPr>
                      <w:rFonts w:eastAsia="Calibri"/>
                      <w:b/>
                      <w:bCs/>
                      <w:color w:val="FFFFFF"/>
                      <w:sz w:val="20"/>
                      <w:szCs w:val="20"/>
                    </w:rPr>
                    <w:t>на 10 тыс. чел. населения среди районов Самарской области в 2016 году</w:t>
                  </w:r>
                </w:p>
              </w:txbxContent>
            </v:textbox>
          </v:rect>
        </w:pict>
      </w:r>
      <w:r w:rsidR="00FA0047" w:rsidRPr="00B06469">
        <w:rPr>
          <w:rFonts w:ascii="Times New Roman" w:hAnsi="Times New Roman" w:cs="Times New Roman"/>
          <w:noProof/>
          <w:sz w:val="24"/>
          <w:szCs w:val="24"/>
          <w:lang w:eastAsia="ru-RU"/>
        </w:rPr>
        <w:drawing>
          <wp:inline distT="0" distB="0" distL="0" distR="0" wp14:anchorId="1F6A7F2A" wp14:editId="539D234E">
            <wp:extent cx="5132705" cy="3706495"/>
            <wp:effectExtent l="0" t="0" r="0" b="0"/>
            <wp:docPr id="17"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0047" w:rsidRPr="00B06469" w:rsidRDefault="00FA0047" w:rsidP="001F0139">
      <w:pPr>
        <w:spacing w:after="0" w:line="240" w:lineRule="auto"/>
        <w:ind w:firstLine="426"/>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ind w:firstLine="709"/>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1.4.12 – Количество больничных коек на 10 тыс. чел. населения в больничных организациях по районам Самарской области на 2016 год</w:t>
      </w:r>
    </w:p>
    <w:p w:rsidR="00FA0047" w:rsidRPr="00B06469" w:rsidRDefault="00FA0047" w:rsidP="001F0139">
      <w:pPr>
        <w:spacing w:after="0" w:line="240" w:lineRule="auto"/>
        <w:ind w:firstLine="709"/>
        <w:jc w:val="center"/>
        <w:rPr>
          <w:rFonts w:ascii="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Доступность и качество медицинских услуг в значительной мере связано с численностью и степенью профессионализма медицинского персонала. Число врачей в Камышлинском районе по сравнению с 2012 годом увеличилось на 7,4 %, а показатель числа врачей в расчете на 10 тыс. человек населения составил 20,3, что несколько ниже среднего уровня по муниципальным районам области (рис.1.4.13). По данному показателю район занимает 23 место среди муниципальных районов.</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Проблема нехватки и старение квалифицированных кадров требует особого внимания. Необходимы врачи основных специальностей. С 2012 года в Самарской области действует программа «Земский доктор». По областной программе «Земский доктор» медицину Камышлинского района усилили три врача. Коллектив центральной районной больницы пополнился врачом клинической лабораторной диагностики, терапевтом и педиатром в поликлинике. </w:t>
      </w:r>
    </w:p>
    <w:p w:rsidR="00FA0047" w:rsidRPr="00B06469" w:rsidRDefault="00FA0047" w:rsidP="001F0139">
      <w:pPr>
        <w:spacing w:after="0" w:line="360" w:lineRule="auto"/>
        <w:ind w:firstLine="709"/>
        <w:jc w:val="center"/>
        <w:rPr>
          <w:rFonts w:ascii="Times New Roman" w:hAnsi="Times New Roman" w:cs="Times New Roman"/>
          <w:sz w:val="24"/>
          <w:szCs w:val="24"/>
        </w:rPr>
      </w:pPr>
    </w:p>
    <w:p w:rsidR="00FA0047" w:rsidRPr="00B06469" w:rsidRDefault="00204F22" w:rsidP="001F0139">
      <w:pPr>
        <w:spacing w:after="0" w:line="24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pict>
          <v:rect id="Прямоугольник 60" o:spid="_x0000_s1030" style="position:absolute;left:0;text-align:left;margin-left:33.1pt;margin-top:-.35pt;width:395.2pt;height:33.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" fillcolor="#365f91" strokecolor="#365f91">
            <v:textbox style="mso-next-textbox:#Прямоугольник 60">
              <w:txbxContent>
                <w:p w:rsidR="001202C5" w:rsidRPr="00536F99" w:rsidRDefault="001202C5" w:rsidP="00FA0047">
                  <w:pPr>
                    <w:pStyle w:val="a7"/>
                    <w:spacing w:before="0" w:beforeAutospacing="0" w:after="0" w:afterAutospacing="0" w:line="276" w:lineRule="auto"/>
                    <w:jc w:val="center"/>
                    <w:rPr>
                      <w:sz w:val="20"/>
                      <w:szCs w:val="20"/>
                    </w:rPr>
                  </w:pPr>
                  <w:r w:rsidRPr="00536F99">
                    <w:rPr>
                      <w:rFonts w:eastAsia="Calibri"/>
                      <w:b/>
                      <w:bCs/>
                      <w:color w:val="FFFFFF"/>
                      <w:sz w:val="20"/>
                      <w:szCs w:val="20"/>
                    </w:rPr>
                    <w:t>Камышлинский район занимает 23 место по количеству врачей на 10 тыс. человек населения среди районов Самарской области</w:t>
                  </w:r>
                </w:p>
              </w:txbxContent>
            </v:textbox>
          </v:rect>
        </w:pict>
      </w:r>
      <w:r w:rsidR="00FA0047" w:rsidRPr="00B06469">
        <w:rPr>
          <w:rFonts w:ascii="Times New Roman" w:hAnsi="Times New Roman" w:cs="Times New Roman"/>
          <w:noProof/>
          <w:sz w:val="24"/>
          <w:szCs w:val="24"/>
          <w:lang w:eastAsia="ru-RU"/>
        </w:rPr>
        <w:drawing>
          <wp:inline distT="0" distB="0" distL="0" distR="0" wp14:anchorId="4E605841" wp14:editId="6126852F">
            <wp:extent cx="4989195" cy="2882265"/>
            <wp:effectExtent l="6096" t="6096" r="3429" b="7239"/>
            <wp:docPr id="18"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1.4.13 – Численность врачей в муниципальных районах Самарской области на 10 тыс. населения в 2016 году</w:t>
      </w:r>
    </w:p>
    <w:p w:rsidR="00FA0047" w:rsidRPr="00B06469" w:rsidRDefault="00FA0047" w:rsidP="001F0139">
      <w:pPr>
        <w:spacing w:after="0" w:line="240" w:lineRule="auto"/>
        <w:jc w:val="center"/>
        <w:rPr>
          <w:rFonts w:ascii="Times New Roman" w:hAnsi="Times New Roman" w:cs="Times New Roman"/>
          <w:b/>
          <w:bCs/>
          <w:sz w:val="24"/>
          <w:szCs w:val="24"/>
        </w:rPr>
      </w:pPr>
    </w:p>
    <w:p w:rsidR="00FA0047" w:rsidRPr="00B06469" w:rsidRDefault="00204F22" w:rsidP="001F0139">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rect id="_x0000_s1044" style="position:absolute;left:0;text-align:left;margin-left:58.45pt;margin-top:115.6pt;width:351.4pt;height:29.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" fillcolor="#365f91" strokecolor="#365f91">
            <v:textbox style="mso-next-textbox:#_x0000_s1044">
              <w:txbxContent>
                <w:p w:rsidR="001202C5" w:rsidRPr="00BC1922" w:rsidRDefault="001202C5" w:rsidP="00FA0047">
                  <w:pPr>
                    <w:spacing w:after="0" w:line="240" w:lineRule="auto"/>
                    <w:jc w:val="center"/>
                  </w:pPr>
                  <w:r>
                    <w:rPr>
                      <w:rFonts w:ascii="Times New Roman" w:hAnsi="Times New Roman"/>
                      <w:b/>
                      <w:bCs/>
                      <w:color w:val="FFFFFF"/>
                      <w:sz w:val="20"/>
                      <w:szCs w:val="20"/>
                    </w:rPr>
                    <w:t>Средняя о</w:t>
                  </w:r>
                  <w:r w:rsidRPr="00BC1922">
                    <w:rPr>
                      <w:rFonts w:ascii="Times New Roman" w:hAnsi="Times New Roman"/>
                      <w:b/>
                      <w:bCs/>
                      <w:color w:val="FFFFFF"/>
                      <w:sz w:val="20"/>
                      <w:szCs w:val="20"/>
                    </w:rPr>
                    <w:t>беспеченность населения врачами и медперсоналом среди районов</w:t>
                  </w:r>
                  <w:r>
                    <w:rPr>
                      <w:rFonts w:ascii="Times New Roman" w:hAnsi="Times New Roman"/>
                      <w:b/>
                      <w:bCs/>
                      <w:color w:val="FFFFFF"/>
                      <w:sz w:val="20"/>
                      <w:szCs w:val="20"/>
                    </w:rPr>
                    <w:t xml:space="preserve"> области</w:t>
                  </w:r>
                </w:p>
              </w:txbxContent>
            </v:textbox>
          </v:rect>
        </w:pict>
      </w:r>
      <w:r w:rsidR="00FA0047" w:rsidRPr="00B06469">
        <w:rPr>
          <w:rFonts w:ascii="Times New Roman" w:hAnsi="Times New Roman" w:cs="Times New Roman"/>
          <w:sz w:val="24"/>
          <w:szCs w:val="24"/>
        </w:rPr>
        <w:t>Ситуация по обеспеченности средним медицинским персоналом тоже остается сложной. Уровень остается несколько ниже среднего по муниципальным районам уровня. По данному показателю район занимает 16 место среди муниципальных районов, что составляет 73,3 на 10 тыс. человек населения по данным на 2015 год (рис.1.4.14).</w:t>
      </w:r>
    </w:p>
    <w:p w:rsidR="00FA0047" w:rsidRPr="00B06469" w:rsidRDefault="00FA0047" w:rsidP="001F0139">
      <w:pPr>
        <w:spacing w:after="0"/>
        <w:ind w:firstLine="567"/>
        <w:jc w:val="both"/>
        <w:rPr>
          <w:rFonts w:ascii="Times New Roman" w:hAnsi="Times New Roman" w:cs="Times New Roman"/>
          <w:sz w:val="24"/>
          <w:szCs w:val="24"/>
        </w:rPr>
      </w:pPr>
    </w:p>
    <w:p w:rsidR="00FA0047" w:rsidRPr="00B06469" w:rsidRDefault="00FA0047" w:rsidP="001F0139">
      <w:pPr>
        <w:spacing w:after="0" w:line="240" w:lineRule="auto"/>
        <w:jc w:val="center"/>
        <w:rPr>
          <w:rFonts w:ascii="Times New Roman" w:hAnsi="Times New Roman" w:cs="Times New Roman"/>
          <w:sz w:val="24"/>
          <w:szCs w:val="24"/>
          <w:lang w:val="en-US"/>
        </w:rPr>
      </w:pPr>
      <w:r w:rsidRPr="00B06469">
        <w:rPr>
          <w:rFonts w:ascii="Times New Roman" w:hAnsi="Times New Roman" w:cs="Times New Roman"/>
          <w:noProof/>
          <w:sz w:val="24"/>
          <w:szCs w:val="24"/>
          <w:lang w:eastAsia="ru-RU"/>
        </w:rPr>
        <w:drawing>
          <wp:inline distT="0" distB="0" distL="0" distR="0" wp14:anchorId="1DD05888" wp14:editId="5CE127EE">
            <wp:extent cx="4464707" cy="3041904"/>
            <wp:effectExtent l="19050" t="0" r="12043" b="6096"/>
            <wp:docPr id="19"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Источники: ФСГС: Социально-экономические показатели муниципальных районов </w:t>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ских округов Самарской области,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1.4.14 – Обеспеченность населения средним медицинским персоналом и врачами в муниципальных районах, 2016 г.</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В структуре общей заболеваемости в муниципальном районе Камышлинский первое место занимают болезни органов дыхания, на втором месте находятся болезни мочеполовой системы.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Среди детей (0 – 14 лет) в структуре общей заболеваемости первое место занимают болезни органов дыхания. У подростков (15 – 17 лет) в муниципальном районе Камышлинский на первом месте также заболевания органов дыхания, а у взрослого населения (18 лет и старше) на первое место выходят заболевания мочеполовой системы.</w:t>
      </w: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19" w:name="_Toc520894833"/>
      <w:r w:rsidRPr="00B06469">
        <w:rPr>
          <w:rFonts w:ascii="Times New Roman" w:hAnsi="Times New Roman" w:cs="Times New Roman"/>
          <w:b/>
          <w:color w:val="365F91"/>
          <w:sz w:val="24"/>
          <w:szCs w:val="24"/>
        </w:rPr>
        <w:t>Физическая культура и спорт</w:t>
      </w:r>
      <w:bookmarkEnd w:id="19"/>
    </w:p>
    <w:p w:rsidR="00FA0047" w:rsidRPr="00B06469" w:rsidRDefault="00FA0047" w:rsidP="001F0139">
      <w:pPr>
        <w:spacing w:after="0" w:line="360" w:lineRule="auto"/>
        <w:ind w:firstLine="709"/>
        <w:jc w:val="both"/>
        <w:rPr>
          <w:rFonts w:ascii="Times New Roman" w:hAnsi="Times New Roman" w:cs="Times New Roman"/>
          <w:sz w:val="24"/>
          <w:szCs w:val="24"/>
          <w:highlight w:val="yellow"/>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Спортивная инфраструктура Камышлинского района представлена 37 спортивными сооружениями, в том числе 10 спортивных залов, 1 тренажерный зал. Однако, в районе нет бассейна, стадиона, </w:t>
      </w:r>
      <w:r w:rsidRPr="00B06469">
        <w:rPr>
          <w:rFonts w:ascii="Times New Roman" w:hAnsi="Times New Roman" w:cs="Times New Roman"/>
          <w:color w:val="242424"/>
          <w:sz w:val="24"/>
          <w:szCs w:val="24"/>
        </w:rPr>
        <w:t>универсального спортивного комплекса</w:t>
      </w:r>
      <w:r w:rsidRPr="00B06469">
        <w:rPr>
          <w:rFonts w:ascii="Times New Roman" w:hAnsi="Times New Roman" w:cs="Times New Roman"/>
          <w:sz w:val="24"/>
          <w:szCs w:val="24"/>
        </w:rPr>
        <w:t xml:space="preserve">. Как для детей, так и для взрослого населения создаются условия для занятий физической культурой и спортом. В их распоряжении спортивные залы в центре дополнительного образования СП ДЮСШ «Фортуна» и тренажерный зал «Батыр», а также в спортивные залы учебных заведений в вечернее время.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Уровень фактической обеспеченности объектами физической культуры и спорта жителей Камышлинского района в 2016 году составил 60% .</w:t>
      </w:r>
    </w:p>
    <w:p w:rsidR="00FA0047" w:rsidRPr="00B06469" w:rsidRDefault="00FA0047" w:rsidP="001F0139">
      <w:pPr>
        <w:spacing w:after="0" w:line="360" w:lineRule="auto"/>
        <w:ind w:firstLine="709"/>
        <w:jc w:val="both"/>
        <w:rPr>
          <w:rFonts w:ascii="Times New Roman" w:hAnsi="Times New Roman" w:cs="Times New Roman"/>
          <w:color w:val="242424"/>
          <w:sz w:val="24"/>
          <w:szCs w:val="24"/>
        </w:rPr>
      </w:pPr>
      <w:r w:rsidRPr="00B06469">
        <w:rPr>
          <w:rFonts w:ascii="Times New Roman" w:hAnsi="Times New Roman" w:cs="Times New Roman"/>
          <w:color w:val="242424"/>
          <w:sz w:val="24"/>
          <w:szCs w:val="24"/>
        </w:rPr>
        <w:t xml:space="preserve">Доля населения, регулярно занимающегося спортом, в последние годы увеличилась и достигла 33,7% в 2016 году, что близко к среднему значению по муниципальным районам – 34,7% (рис.1.4.16). </w:t>
      </w:r>
    </w:p>
    <w:p w:rsidR="00FA0047" w:rsidRPr="00B06469" w:rsidRDefault="00FA0047" w:rsidP="001F0139">
      <w:pPr>
        <w:spacing w:after="0" w:line="360" w:lineRule="auto"/>
        <w:ind w:firstLine="709"/>
        <w:jc w:val="both"/>
        <w:rPr>
          <w:rFonts w:ascii="Times New Roman" w:hAnsi="Times New Roman" w:cs="Times New Roman"/>
          <w:color w:val="242424"/>
          <w:sz w:val="24"/>
          <w:szCs w:val="24"/>
        </w:rPr>
      </w:pPr>
      <w:r w:rsidRPr="00B06469">
        <w:rPr>
          <w:rFonts w:ascii="Times New Roman" w:hAnsi="Times New Roman" w:cs="Times New Roman"/>
          <w:color w:val="242424"/>
          <w:sz w:val="24"/>
          <w:szCs w:val="24"/>
        </w:rPr>
        <w:t xml:space="preserve">Рост количества занимающихся физической культурой по сравнению с предыдущими годами произошел в основном за счет увеличения количества спортивно-массовых мероприятий, проводимых в районе после введения в эксплуатацию новых универсальных спортивных площадок. </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44C5BD16" wp14:editId="70F3D6D9">
            <wp:extent cx="4328160" cy="4212590"/>
            <wp:effectExtent l="0" t="0" r="0" b="0"/>
            <wp:docPr id="262" name="Объект 2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A0047" w:rsidRPr="00B06469" w:rsidRDefault="00FA0047" w:rsidP="001F0139">
      <w:pPr>
        <w:spacing w:after="0" w:line="240" w:lineRule="auto"/>
        <w:jc w:val="center"/>
        <w:rPr>
          <w:rFonts w:ascii="Times New Roman" w:hAnsi="Times New Roman" w:cs="Times New Roman"/>
          <w:color w:val="242424"/>
          <w:sz w:val="24"/>
          <w:szCs w:val="24"/>
        </w:rPr>
      </w:pPr>
      <w:r w:rsidRPr="00B06469">
        <w:rPr>
          <w:rFonts w:ascii="Times New Roman" w:eastAsia="Times New Roman" w:hAnsi="Times New Roman" w:cs="Times New Roman"/>
          <w:b/>
          <w:sz w:val="24"/>
          <w:szCs w:val="24"/>
        </w:rPr>
        <w:t>Рисунок 1.4.15 – Обеспеченность населения муниципальных районов Самарской области спортивными сооружениями (в % от норматива)</w:t>
      </w:r>
    </w:p>
    <w:p w:rsidR="00FA0047" w:rsidRPr="00B06469" w:rsidRDefault="00FA0047" w:rsidP="001F0139">
      <w:pPr>
        <w:spacing w:after="0" w:line="240" w:lineRule="auto"/>
        <w:jc w:val="both"/>
        <w:rPr>
          <w:rFonts w:ascii="Times New Roman" w:hAnsi="Times New Roman" w:cs="Times New Roman"/>
          <w:sz w:val="24"/>
          <w:szCs w:val="24"/>
        </w:rPr>
      </w:pPr>
    </w:p>
    <w:p w:rsidR="00FA0047" w:rsidRPr="00B06469" w:rsidRDefault="00204F22" w:rsidP="001F013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Прямоугольник 50" o:spid="_x0000_s1031" style="position:absolute;left:0;text-align:left;margin-left:39.6pt;margin-top:-4.25pt;width:389.7pt;height:34.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" fillcolor="#365f91" strokecolor="#365f91">
            <v:textbox style="mso-next-textbox:#Прямоугольник 50">
              <w:txbxContent>
                <w:p w:rsidR="001202C5" w:rsidRPr="008B6C71" w:rsidRDefault="001202C5" w:rsidP="00FA0047">
                  <w:pPr>
                    <w:spacing w:after="0" w:line="240" w:lineRule="auto"/>
                    <w:jc w:val="center"/>
                    <w:rPr>
                      <w:rFonts w:ascii="Times New Roman" w:hAnsi="Times New Roman"/>
                      <w:b/>
                      <w:bCs/>
                      <w:color w:val="FFFFFF"/>
                      <w:sz w:val="20"/>
                      <w:szCs w:val="20"/>
                    </w:rPr>
                  </w:pPr>
                  <w:r w:rsidRPr="008B6C71">
                    <w:rPr>
                      <w:rFonts w:ascii="Times New Roman" w:hAnsi="Times New Roman"/>
                      <w:b/>
                      <w:bCs/>
                      <w:color w:val="FFFFFF"/>
                      <w:sz w:val="20"/>
                      <w:szCs w:val="20"/>
                    </w:rPr>
                    <w:t>Камышлинский район занимает 20 место по доле населения, занимающейся спортом, среди районов Самарской области в 2016 году</w:t>
                  </w:r>
                </w:p>
              </w:txbxContent>
            </v:textbox>
          </v:rect>
        </w:pict>
      </w:r>
      <w:r w:rsidR="00FA0047" w:rsidRPr="00B06469">
        <w:rPr>
          <w:rFonts w:ascii="Times New Roman" w:hAnsi="Times New Roman" w:cs="Times New Roman"/>
          <w:noProof/>
          <w:sz w:val="24"/>
          <w:szCs w:val="24"/>
          <w:lang w:eastAsia="ru-RU"/>
        </w:rPr>
        <w:drawing>
          <wp:inline distT="0" distB="0" distL="0" distR="0" wp14:anchorId="55862536" wp14:editId="164E757E">
            <wp:extent cx="4944110" cy="4004945"/>
            <wp:effectExtent l="0" t="0" r="0" b="0"/>
            <wp:docPr id="21" name="Диаграмма 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1.4.16 – Доля населения муниципальных районов Самарской области, регулярно занимающегося спортом (% от норматива, 2016 г.)</w:t>
      </w:r>
    </w:p>
    <w:p w:rsidR="00FA0047" w:rsidRPr="00B06469" w:rsidRDefault="00FA0047" w:rsidP="001F0139">
      <w:pPr>
        <w:spacing w:after="0" w:line="360" w:lineRule="auto"/>
        <w:ind w:firstLine="709"/>
        <w:jc w:val="both"/>
        <w:rPr>
          <w:rFonts w:ascii="Times New Roman" w:hAnsi="Times New Roman" w:cs="Times New Roman"/>
          <w:color w:val="242424"/>
          <w:sz w:val="24"/>
          <w:szCs w:val="24"/>
        </w:rPr>
      </w:pPr>
      <w:r w:rsidRPr="00B06469">
        <w:rPr>
          <w:rFonts w:ascii="Times New Roman" w:hAnsi="Times New Roman" w:cs="Times New Roman"/>
          <w:color w:val="242424"/>
          <w:sz w:val="24"/>
          <w:szCs w:val="24"/>
        </w:rPr>
        <w:lastRenderedPageBreak/>
        <w:t xml:space="preserve">Доля обучающихся, систематически занимающихся физической культурой и спортом, в общей численности обучающихся в 2016 году (42,18%) уменьшилась по сравнению с тем же показателем за 2013-2015 годы. </w:t>
      </w:r>
    </w:p>
    <w:p w:rsidR="00FA0047" w:rsidRPr="00B06469" w:rsidRDefault="00FA0047" w:rsidP="001F0139">
      <w:pPr>
        <w:spacing w:after="0" w:line="360" w:lineRule="auto"/>
        <w:ind w:firstLine="709"/>
        <w:jc w:val="center"/>
        <w:rPr>
          <w:rFonts w:ascii="Times New Roman" w:hAnsi="Times New Roman" w:cs="Times New Roman"/>
          <w:b/>
          <w:sz w:val="24"/>
          <w:szCs w:val="24"/>
        </w:rPr>
      </w:pP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20" w:name="_Toc520894834"/>
      <w:r w:rsidRPr="00B06469">
        <w:rPr>
          <w:rFonts w:ascii="Times New Roman" w:hAnsi="Times New Roman" w:cs="Times New Roman"/>
          <w:b/>
          <w:color w:val="365F91"/>
          <w:sz w:val="24"/>
          <w:szCs w:val="24"/>
        </w:rPr>
        <w:t>Культура</w:t>
      </w:r>
      <w:bookmarkEnd w:id="20"/>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Книжный фонд муниципальных общедоступных библиотек Камышлинского района составляет 141 355 экземпляров, число библиотек – 13, число читателей – 5 724 человек.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муниципальном районе на 2016 год число существует 1 учреждение культурно-досугового типа. Число структурных подразделений (филиалов) учреждений культурно-досугового типа –14 (рис.1.4.17).</w:t>
      </w:r>
    </w:p>
    <w:p w:rsidR="00FA0047" w:rsidRPr="00B06469" w:rsidRDefault="00204F22" w:rsidP="001F0139">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29.85pt;margin-top:2pt;width:407.75pt;height:36.4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" fillcolor="#365f91" strokecolor="#365f91">
            <v:textbox style="mso-next-textbox:#_x0000_s1045">
              <w:txbxContent>
                <w:p w:rsidR="001202C5" w:rsidRDefault="001202C5" w:rsidP="00FA0047">
                  <w:pPr>
                    <w:spacing w:after="0" w:line="240" w:lineRule="auto"/>
                    <w:jc w:val="center"/>
                    <w:rPr>
                      <w:rFonts w:ascii="Times New Roman" w:hAnsi="Times New Roman"/>
                      <w:b/>
                      <w:bCs/>
                      <w:color w:val="FFFFFF"/>
                      <w:sz w:val="20"/>
                      <w:szCs w:val="20"/>
                    </w:rPr>
                  </w:pPr>
                  <w:r w:rsidRPr="008B6C71">
                    <w:rPr>
                      <w:rFonts w:ascii="Times New Roman" w:hAnsi="Times New Roman"/>
                      <w:b/>
                      <w:bCs/>
                      <w:color w:val="FFFFFF"/>
                      <w:sz w:val="20"/>
                      <w:szCs w:val="20"/>
                    </w:rPr>
                    <w:t xml:space="preserve">Обеспеченность населения Камышлинского района учреждениями </w:t>
                  </w:r>
                </w:p>
                <w:p w:rsidR="001202C5" w:rsidRPr="008F0D53" w:rsidRDefault="001202C5" w:rsidP="00FA0047">
                  <w:pPr>
                    <w:spacing w:after="0" w:line="240" w:lineRule="auto"/>
                    <w:jc w:val="center"/>
                    <w:rPr>
                      <w:color w:val="FFFFFF"/>
                      <w:sz w:val="20"/>
                      <w:szCs w:val="20"/>
                    </w:rPr>
                  </w:pPr>
                  <w:r w:rsidRPr="008B6C71">
                    <w:rPr>
                      <w:rFonts w:ascii="Times New Roman" w:hAnsi="Times New Roman"/>
                      <w:b/>
                      <w:bCs/>
                      <w:color w:val="FFFFFF"/>
                      <w:sz w:val="20"/>
                      <w:szCs w:val="20"/>
                    </w:rPr>
                    <w:t>культурно-досугового тип</w:t>
                  </w:r>
                  <w:r>
                    <w:rPr>
                      <w:rFonts w:ascii="Times New Roman" w:hAnsi="Times New Roman"/>
                      <w:b/>
                      <w:bCs/>
                      <w:color w:val="FFFFFF"/>
                      <w:sz w:val="20"/>
                      <w:szCs w:val="20"/>
                    </w:rPr>
                    <w:t>а</w:t>
                  </w:r>
                  <w:r w:rsidRPr="008B6C71">
                    <w:rPr>
                      <w:rFonts w:ascii="Times New Roman" w:hAnsi="Times New Roman"/>
                      <w:b/>
                      <w:bCs/>
                      <w:color w:val="FFFFFF"/>
                      <w:sz w:val="20"/>
                      <w:szCs w:val="20"/>
                    </w:rPr>
                    <w:t xml:space="preserve"> низкая</w:t>
                  </w:r>
                </w:p>
              </w:txbxContent>
            </v:textbox>
          </v:rect>
        </w:pict>
      </w:r>
    </w:p>
    <w:p w:rsidR="00FA0047" w:rsidRPr="00B06469" w:rsidRDefault="00FA0047" w:rsidP="001F0139">
      <w:pPr>
        <w:spacing w:after="0" w:line="240" w:lineRule="auto"/>
        <w:jc w:val="center"/>
        <w:rPr>
          <w:rFonts w:ascii="Times New Roman" w:hAnsi="Times New Roman" w:cs="Times New Roman"/>
          <w:sz w:val="24"/>
          <w:szCs w:val="24"/>
        </w:rPr>
      </w:pPr>
      <w:bookmarkStart w:id="21" w:name="_MON_1595449726"/>
      <w:bookmarkEnd w:id="21"/>
      <w:r w:rsidRPr="00B06469">
        <w:rPr>
          <w:rFonts w:ascii="Times New Roman" w:hAnsi="Times New Roman" w:cs="Times New Roman"/>
          <w:noProof/>
          <w:sz w:val="24"/>
          <w:szCs w:val="24"/>
          <w:lang w:eastAsia="ru-RU"/>
        </w:rPr>
        <w:drawing>
          <wp:inline distT="0" distB="0" distL="0" distR="0" wp14:anchorId="5AFE1353" wp14:editId="60384BF7">
            <wp:extent cx="5181600" cy="3257550"/>
            <wp:effectExtent l="0" t="0" r="0" b="0"/>
            <wp:docPr id="1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hAnsi="Times New Roman" w:cs="Times New Roman"/>
          <w:b/>
          <w:sz w:val="24"/>
          <w:szCs w:val="24"/>
        </w:rPr>
      </w:pPr>
      <w:r w:rsidRPr="00B06469">
        <w:rPr>
          <w:rFonts w:ascii="Times New Roman" w:eastAsia="Times New Roman" w:hAnsi="Times New Roman" w:cs="Times New Roman"/>
          <w:b/>
          <w:sz w:val="24"/>
          <w:szCs w:val="24"/>
        </w:rPr>
        <w:t>Рисунок 1.4.17 – Число учреждений культурно-досугового типа и общедоступных библиотек по муниципальным районам Самарской области (ед., на конец 2016 года)</w:t>
      </w:r>
    </w:p>
    <w:p w:rsidR="00FA0047" w:rsidRPr="00B06469" w:rsidRDefault="00FA0047" w:rsidP="001F0139">
      <w:pPr>
        <w:spacing w:after="0" w:line="240" w:lineRule="auto"/>
        <w:jc w:val="center"/>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Уровень фактической обеспеченности учреждениями культуры от нормативной потребности в 2016 году определен на уровне 67%.</w:t>
      </w:r>
      <w:r w:rsidRPr="00B06469">
        <w:rPr>
          <w:rFonts w:ascii="Times New Roman" w:hAnsi="Times New Roman" w:cs="Times New Roman"/>
          <w:sz w:val="24"/>
          <w:szCs w:val="24"/>
        </w:rPr>
        <w:br w:type="page"/>
      </w:r>
    </w:p>
    <w:p w:rsidR="00FA0047" w:rsidRPr="00B06469" w:rsidRDefault="00FA0047" w:rsidP="001F0139">
      <w:pPr>
        <w:suppressAutoHyphens/>
        <w:spacing w:after="0" w:line="360" w:lineRule="auto"/>
        <w:ind w:firstLine="709"/>
        <w:jc w:val="both"/>
        <w:rPr>
          <w:rFonts w:ascii="Times New Roman" w:hAnsi="Times New Roman" w:cs="Times New Roman"/>
          <w:bCs/>
          <w:kern w:val="1"/>
          <w:sz w:val="24"/>
          <w:szCs w:val="24"/>
          <w:lang w:eastAsia="hi-IN" w:bidi="hi-IN"/>
        </w:rPr>
      </w:pPr>
      <w:r w:rsidRPr="00B06469">
        <w:rPr>
          <w:rFonts w:ascii="Times New Roman" w:hAnsi="Times New Roman" w:cs="Times New Roman"/>
          <w:kern w:val="1"/>
          <w:sz w:val="24"/>
          <w:szCs w:val="24"/>
          <w:lang w:eastAsia="hi-IN" w:bidi="hi-IN"/>
        </w:rPr>
        <w:lastRenderedPageBreak/>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в 2016 году составила 41,2%, что соответствует уровню 2015 года.</w:t>
      </w:r>
      <w:r w:rsidRPr="00B06469">
        <w:rPr>
          <w:rFonts w:ascii="Times New Roman" w:hAnsi="Times New Roman" w:cs="Times New Roman"/>
          <w:bCs/>
          <w:kern w:val="1"/>
          <w:sz w:val="24"/>
          <w:szCs w:val="24"/>
          <w:lang w:eastAsia="hi-IN" w:bidi="hi-IN"/>
        </w:rPr>
        <w:t xml:space="preserve"> Проведение капитального ремонта требуется в 7 зданиях из 17.</w:t>
      </w:r>
    </w:p>
    <w:p w:rsidR="00FA0047" w:rsidRPr="00B06469" w:rsidRDefault="00FA0047" w:rsidP="001F0139">
      <w:pPr>
        <w:suppressAutoHyphens/>
        <w:spacing w:after="0" w:line="360" w:lineRule="auto"/>
        <w:ind w:firstLine="709"/>
        <w:jc w:val="both"/>
        <w:rPr>
          <w:rFonts w:ascii="Times New Roman" w:hAnsi="Times New Roman" w:cs="Times New Roman"/>
          <w:bCs/>
          <w:kern w:val="1"/>
          <w:sz w:val="24"/>
          <w:szCs w:val="24"/>
          <w:lang w:eastAsia="hi-IN" w:bidi="hi-IN"/>
        </w:rPr>
      </w:pPr>
      <w:r w:rsidRPr="00B06469">
        <w:rPr>
          <w:rFonts w:ascii="Times New Roman" w:hAnsi="Times New Roman" w:cs="Times New Roman"/>
          <w:bCs/>
          <w:kern w:val="1"/>
          <w:sz w:val="24"/>
          <w:szCs w:val="24"/>
          <w:lang w:eastAsia="hi-IN" w:bidi="hi-IN"/>
        </w:rPr>
        <w:t xml:space="preserve">На 2017 год предполагается частичный ремонт здания СДК села Русский Байтуган в рамках реализации целевой программы «Развитие и укрепление материально-технической базы учреждений культуры, осуществляющих свою деятельность в сфере культуры на территории муниципального района Камышлинский Самарской области на 2011-2018гг».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На территории Камышлинского района реализуется муниципальная целевая программа «Развитие и укрепление материально-технической базы учреждений культуры, осуществляющих свою деятельность в сфере культуры на территории муниципального района Камышлинский Самарской области на 2011-2018гг». В 2013 году в рамках мероприятий указанной целевой программы установлена автоматическая пожарная сигнализация и система оповещения людей о пожаре во всех учреждениях культуры. В районе отремонтированы и оснащены Дома культуры и клубы сел Камышла, Никиткино, Новое и Старое Усманово, Балыкла, Старое Ермаково. Оснащены одеждой сцены и новым современным светотехническим и звуковым оборудованием Никиткинский, Староусмановский, Новоусмановский, Староермаковский сельские Дома культуры.</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 сравнению с 2012 годом, количество участников культурно-массовых мероприятий, проводимых муниципальными учреждениями района, на сегодня достигает 101%, доля детей, привлекаемых к участию в творческих мероприятиях, в общем числе детей 120%.</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Более 350 человек занимаются в 15 творческих коллективах и объединениях. Хореографические коллективы: «Серпантин», «Созвездие» из села Камышла, «Нежность» села Новое Усманово; вокальные коллективы: «Журавушка» села Степановка, «Сударушки» села Камышла, «Россиянка» села Русский Байтуган и многие другие.</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Ежегодно работники культуры и творческие коллективы района выступают на Губернском фестивале самодеятельного народного творчества «Рожденные в сердце России», поражая искренностью и чистотой мелодий, талантом, творческим мастерством, высоким профессионализмом и превосходными вокальными данными.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всему Камышлинскому району структурное подразделение «Созвездие», или Дом творчества детей Камышлинской школы, насчитывает 650 воспитанников и 35 педагогов дополнительного образования. Только за 2016-2017 учебный год обучающиеся </w:t>
      </w:r>
      <w:r w:rsidRPr="00B06469">
        <w:rPr>
          <w:rFonts w:ascii="Times New Roman" w:hAnsi="Times New Roman" w:cs="Times New Roman"/>
          <w:sz w:val="24"/>
          <w:szCs w:val="24"/>
        </w:rPr>
        <w:lastRenderedPageBreak/>
        <w:t xml:space="preserve">данного подразделения удостоены дипломов самых различных уровней от муниципального до всероссийского. Шесть творческих работ педагогов участвовали на межрегиональных научно-практических конференциях.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целях развития социальной сферы и инфраструктуры Камышлинского района в последующие годы планируется провести ремонтные работы здания Дома культуры села Новое Ермаково, которое включено в областную программу и находится в листе ожидания для финансирования в 2018–2020 годах. Требуют больших финансовых вложений клубы сел Русский и Татарский Байтуган, Стапановка и поселка Чулпан.</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2016 году в селе Татарский Байтуган был открыт музейный комплекс автора татарского букваря «Алифба» Салея Вагизова, которое стало возможным благодаря инициативе граждан, организационной и финансовой поддержке районной и поселенческой администраций, а также Президента республики Татарстан Рустама Минниханова и Всемирного конгресса татар.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Главной культурной достопримечательностью райцентра является татарский народный театр, который уже более 90 лет радует земляков своим творчеством. Непременным участником национальных праздников являются ансамбли «Корнай» и «Ак каен».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качестве нового объекта культурного наследия можно рассмотреть усадьбу в селе Неклюдово дворянина Степана Неклюдова (родственника писателя Сергея Аксакова), получившего эти земли за заслуги в русско-турецкой войне. Неклюдово и быт его помещиков описаны в книге Аксакова «Детские годы Багрова-внука». После революции от усадьбы остался практически один остов. Ее восстанавливают волонтеры. </w:t>
      </w:r>
    </w:p>
    <w:p w:rsidR="00FA0047" w:rsidRPr="00B06469" w:rsidRDefault="00FA0047" w:rsidP="001F0139">
      <w:pPr>
        <w:suppressAutoHyphens/>
        <w:spacing w:after="0" w:line="360" w:lineRule="auto"/>
        <w:ind w:firstLine="709"/>
        <w:jc w:val="both"/>
        <w:rPr>
          <w:rFonts w:ascii="Times New Roman" w:hAnsi="Times New Roman" w:cs="Times New Roman"/>
          <w:bCs/>
          <w:kern w:val="1"/>
          <w:sz w:val="24"/>
          <w:szCs w:val="24"/>
          <w:lang w:eastAsia="hi-IN" w:bidi="hi-IN"/>
        </w:rPr>
      </w:pPr>
      <w:r w:rsidRPr="00B06469">
        <w:rPr>
          <w:rFonts w:ascii="Times New Roman" w:hAnsi="Times New Roman" w:cs="Times New Roman"/>
          <w:kern w:val="1"/>
          <w:sz w:val="24"/>
          <w:szCs w:val="24"/>
          <w:lang w:eastAsia="hi-IN" w:bidi="hi-IN"/>
        </w:rPr>
        <w:t>Район представлен малым числом организаций местной прессы («Камышлинские известия») и СМИ (телеканал «НУР», вещание 3 часа в неделю).</w:t>
      </w:r>
    </w:p>
    <w:p w:rsidR="00FA0047" w:rsidRPr="00B06469" w:rsidRDefault="00FA0047" w:rsidP="001F0139">
      <w:pPr>
        <w:spacing w:after="0" w:line="360" w:lineRule="auto"/>
        <w:ind w:firstLine="709"/>
        <w:contextualSpacing/>
        <w:jc w:val="both"/>
        <w:rPr>
          <w:rFonts w:ascii="Times New Roman" w:hAnsi="Times New Roman" w:cs="Times New Roman"/>
          <w:b/>
          <w:color w:val="0070C0"/>
          <w:sz w:val="24"/>
          <w:szCs w:val="24"/>
        </w:rPr>
      </w:pPr>
    </w:p>
    <w:p w:rsidR="00FA0047" w:rsidRPr="00B06469" w:rsidRDefault="00FA0047" w:rsidP="001F0139">
      <w:pPr>
        <w:spacing w:after="0" w:line="360" w:lineRule="auto"/>
        <w:contextualSpacing/>
        <w:jc w:val="both"/>
        <w:outlineLvl w:val="2"/>
        <w:rPr>
          <w:rFonts w:ascii="Times New Roman" w:hAnsi="Times New Roman" w:cs="Times New Roman"/>
          <w:b/>
          <w:color w:val="365F91"/>
          <w:sz w:val="24"/>
          <w:szCs w:val="24"/>
        </w:rPr>
      </w:pPr>
      <w:bookmarkStart w:id="22" w:name="_Toc520894835"/>
      <w:r w:rsidRPr="00B06469">
        <w:rPr>
          <w:rFonts w:ascii="Times New Roman" w:hAnsi="Times New Roman" w:cs="Times New Roman"/>
          <w:b/>
          <w:color w:val="365F91"/>
          <w:sz w:val="24"/>
          <w:szCs w:val="24"/>
        </w:rPr>
        <w:t>Молодежная политика. Некоммерческий сектор и гражданские инициативы</w:t>
      </w:r>
      <w:bookmarkEnd w:id="22"/>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Перспективы социально-экономического развития муниципального района во многом зависят от потенциала молодежи, от её включенности в происходящие изменения и от степени её интегрированности в социальную структуру общества. Молодое поколение выступает источником трудового, творческого и предпринимательского потенциала Камышлинского муниципального района, «двигателем» современных инновационных идей и нововведений, и в связи с этим администрация района уделяет особое внимание реализации соответствующей молодежной политики.</w:t>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6AC72363" wp14:editId="74A572F0">
            <wp:extent cx="4974590" cy="2194560"/>
            <wp:effectExtent l="0" t="0" r="0" b="0"/>
            <wp:docPr id="555" name="Объект 5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0047" w:rsidRPr="00B06469" w:rsidRDefault="00FA0047" w:rsidP="001F0139">
      <w:pPr>
        <w:spacing w:after="0" w:line="240" w:lineRule="auto"/>
        <w:jc w:val="center"/>
        <w:rPr>
          <w:rFonts w:ascii="Times New Roman" w:hAnsi="Times New Roman" w:cs="Times New Roman"/>
          <w:b/>
          <w:sz w:val="24"/>
          <w:szCs w:val="24"/>
        </w:rPr>
      </w:pPr>
      <w:r w:rsidRPr="00B06469">
        <w:rPr>
          <w:rFonts w:ascii="Times New Roman" w:eastAsia="Times New Roman" w:hAnsi="Times New Roman" w:cs="Times New Roman"/>
          <w:b/>
          <w:sz w:val="24"/>
          <w:szCs w:val="24"/>
        </w:rPr>
        <w:t>Рисунок 1.4.18 – Доля населения Камышлинского района Самарской области по возрастным категориям от общей численности,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Численность молодых людей (в возрасте от 14 до 29 лет), проживающих на территории Камышлинского района на 1 января 2017 года, составляет более 2 тыс. человек. Удельный вес молодежи в общей численности населения района составляет 19%, но совершенно очевидно, что молодёжь является реальным, социально значимым стратегическим ресурсом развития района (рис.1.4.18).</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Главная ключевая проблема – отток людей из-за отсутствия работы, доступного жилья, качества жизни, досуга и культурно-развлекательной инфраструктуры. Молодежь и среднее поколение не видит перспектив на будущее.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Основной задачей реализации молодёжной политики является создание условий для развития и реализации способностей и потенциала молодого человека не только в своих собственных интересах, но и в интересах общества и государства.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Ключевыми направлениями деятельности администрации района является обеспечение сбалансированного решения молодёжных проблем в сфере трудоустройства, социально-правовой, социально-психологической помощи, организации досуга, гражданско-патриотического воспитания и развития деятельности детских и молодёжных объединений. Основной целью является создание возможностей для успешной социализации, самореализации, проявления и развития инновационного потенциала молодых людей, вне зависимости от их социального статуса и уровня дохода их семей.</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Для достижения данной цели предусматривается решение таких задач, как: максимальное вовлечение молодёжи в разработку и реализацию инновационных идей, в активную общественную жизнь; создание условий для патриотического и духовно-нравственного воспитания, интеллектуального, творческого и физического развития молодёжи, реализации её научно-технического и творческого потенциала; поддержка деятельности молодёжных и детских общественных объединений; поддержка молодых семей и повышение материального благополучия молодых родителей; формирование у </w:t>
      </w:r>
      <w:r w:rsidRPr="00B06469">
        <w:rPr>
          <w:rFonts w:ascii="Times New Roman" w:hAnsi="Times New Roman" w:cs="Times New Roman"/>
          <w:sz w:val="24"/>
          <w:szCs w:val="24"/>
        </w:rPr>
        <w:lastRenderedPageBreak/>
        <w:t>молодого поколения здорового образа жизни, профилактика безнадзорности, подростковой преступности, наркомании и алкоголизма; поддержка и реабилитация молодёжи, находящейся в трудной жизненной ситуации.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Решением Собрания представителей муниципального района Камышлинский Самарской области от 12.11.2009 года создан Молодежный Совет при Собрании представителей муниципального района Камышлинский Самарской области. Его цели: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объединение и привлечение молодёжи к активному участию в жизнедеятельности района, обеспечение эффективного сотрудничества представителей молодёжи с органами власти по реализации молодёжной политики;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изучение проблем молодежи в муниципальном районе Камышлинский в целях своевременного реагирования на них органов местного самоуправления;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содействие деятельности Собрания представителей муниципального района Камышлинский в области регулирования прав и законных интересов молодежи, внесение рекомендаций по решению проблем молодежи в муниципальном районе Камышлинский.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Цели создания группы Молодежного Совета Вконтакте (https://vk.com/ms_kamishlinskii):</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информировать о событиях, новостях, мероприятиях, проводимых для молодежи Камышлинского района;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собрать и объединить между собой активную часть молодежи общей целью развития молодежной политики муниципального района Камышлинский;</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ориентировать молодежь на позитивные модели построения своей жизни;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организовать объединения молодежи по общим интересам и полезным увлечениям;</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активно, продуктивно участвовать в общественной жизни района;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реализовывать интересные, перспективные и реально полезные молодежные программы;</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принимать на рассмотрение все осмысленные предложения по улучшению жизни на «Земле Камышлинской»;</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способствовать личной и профессиональной реализации каждого молодого жителя района с активной жизненной позицией;</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налаживать контакты для сотрудничества и взаимопомощи с молодежными структурами всех районов Самарской области для информационного и прочих видов сотрудничества вы можете связаться с руководителями группы или непосредственно с Председателем Молодежного совета.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Администрация района ориентирована на развитие молодёжного самоуправления и самоорганизации, вовлечение представителей нового поколения в проекты, которые помогут им найти свое место в жизни. В частности, на поддержание молодых людей, обладающих проектным мышлением, ориентированным на долгосрочные инвестиции действует муниципальная программа «Молодежь муниципального района Камышлинский», направленная на духовно-нравственное и патриотическое развитие молодого поколения. В районе за последние годы создано несколько молодежных военно-патриотических клубов, и берет обороты волонтерское движение. Молодежь района в 2017 году активно принимала участие в акции «Где родился, там и пригодился». Учитель истории Байтуганской школы Ильфат Бадретдинов стал финалистом акции.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Камышлинском районе на 2017 год работают 6 Профсоюзных организаций и 5 – Общественных советов; 3 – социально ориентированных некоммерческих организации; 15 – объектов религиозных организаций, из которых: 13 – Регионального духовного управления мусульман Самарской области, 2 – Самарской и Сызранской епархии Русской Православной Церкви.</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 2017 году на территории района реализуется приоритетный федеральный проект «Формирование комфортной </w:t>
      </w:r>
      <w:r w:rsidR="001F0139" w:rsidRPr="00B06469">
        <w:rPr>
          <w:rFonts w:ascii="Times New Roman" w:hAnsi="Times New Roman" w:cs="Times New Roman"/>
          <w:sz w:val="24"/>
          <w:szCs w:val="24"/>
        </w:rPr>
        <w:t>район</w:t>
      </w:r>
      <w:r w:rsidR="0064720A">
        <w:rPr>
          <w:rFonts w:ascii="Times New Roman" w:hAnsi="Times New Roman" w:cs="Times New Roman"/>
          <w:sz w:val="24"/>
          <w:szCs w:val="24"/>
        </w:rPr>
        <w:t>н</w:t>
      </w:r>
      <w:r w:rsidRPr="00B06469">
        <w:rPr>
          <w:rFonts w:ascii="Times New Roman" w:hAnsi="Times New Roman" w:cs="Times New Roman"/>
          <w:sz w:val="24"/>
          <w:szCs w:val="24"/>
        </w:rPr>
        <w:t>ой среды». Начиная с 2018 года, в течение 5 лет, Камышлинский район будет принимать участие в реализации данного проекта, который предусматривает два направления: благоустройство дворовых территорий и благоустройство муниципальных территорий общего пользования и мест массового отдыха населения. В муниципальную программу, подготовленную управлением строительства, архитектуры и ЖКХ совместно с администрациями сельских поселений с учетом мнения жителей района, вошли все многоквартирные дома райцентра и ДРП-3. Кроме того, планируется благоустроить общественные пространства в трех сельских поселениях (программа предусматривает финансирование населенных пунктов, где проживает население более 1000 человек). Это территории административных центров Камышла, Новое Усманово и Старое Ермаково (площади вокруг памятников, учреждений культуры и т.д.). Приоритетными являются территории, определяющие «лицо» и внешний вид села. Данная программа подразумевает собой благоустройство именно центральной части села, где ежедневно проходит наибольший поток людей.</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Дополнительно мотивировать сельчан к совместному выполнению работ по решению вопросов местного значения призван областной проект поддержки местных инициатив граждан, благодаря которой все сельские поселения района смогут улучшить </w:t>
      </w:r>
      <w:r w:rsidRPr="00B06469">
        <w:rPr>
          <w:rFonts w:ascii="Times New Roman" w:hAnsi="Times New Roman" w:cs="Times New Roman"/>
          <w:sz w:val="24"/>
          <w:szCs w:val="24"/>
        </w:rPr>
        <w:lastRenderedPageBreak/>
        <w:t>уровень благоустройства. Участие в нем — отличная возможность для населения решать именно те проблемы, которые являются наиболее важными для их территорий.</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Проект поддержки местных инициатив осуществляется за счет областного бюджета через предоставление субсидии на реализацию конкретного проекта муниципалитета на условиях софинансирования из местного бюджета, средств населения и организаций. На сегодня все шесть сельских поселений района подали заявки на участие в конкурсном отборе программы по поддержке и реализации местных инициатив. Это проекты, инициированные гражданами, по самым различным направлениям.</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Государственная программа Самарской области «Поддержка инициатив населения муниципальных образований» на 2017-2025 годы разработана правительством Самарской области, ее цель — вовлечение жителей муниципальных образований в развитие их территорий, увеличение средств муниципалитетов, расходуемых на решение проблем, которые волнуют граждан. Поддержка общественных проектов из регионального бюджета будет осуществляться на конкурсной основе. Минимальная доля самофинансирования за счет средств граждан и организаций – 7%. Также обязательно софинансирование за счет средств местного бюджета. Оно, кстати, станет одним из критериев отбора. Инициировать проекты могут общественные советы, органы самоуправления, непосредственно сами граждане.</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360" w:lineRule="auto"/>
        <w:contextualSpacing/>
        <w:jc w:val="both"/>
        <w:outlineLvl w:val="2"/>
        <w:rPr>
          <w:rFonts w:ascii="Times New Roman" w:hAnsi="Times New Roman" w:cs="Times New Roman"/>
          <w:b/>
          <w:color w:val="365F91"/>
          <w:sz w:val="24"/>
          <w:szCs w:val="24"/>
        </w:rPr>
      </w:pPr>
      <w:bookmarkStart w:id="23" w:name="_Toc520894836"/>
      <w:r w:rsidRPr="00B06469">
        <w:rPr>
          <w:rFonts w:ascii="Times New Roman" w:hAnsi="Times New Roman" w:cs="Times New Roman"/>
          <w:b/>
          <w:color w:val="365F91"/>
          <w:sz w:val="24"/>
          <w:szCs w:val="24"/>
        </w:rPr>
        <w:t>Общественная безопасность</w:t>
      </w:r>
      <w:bookmarkEnd w:id="23"/>
    </w:p>
    <w:p w:rsidR="00FA0047" w:rsidRPr="00B06469" w:rsidRDefault="00FA0047" w:rsidP="001F0139">
      <w:pPr>
        <w:spacing w:after="0" w:line="360" w:lineRule="auto"/>
        <w:ind w:firstLine="709"/>
        <w:contextualSpacing/>
        <w:jc w:val="both"/>
        <w:rPr>
          <w:rFonts w:ascii="Times New Roman" w:hAnsi="Times New Roman" w:cs="Times New Roman"/>
          <w:b/>
          <w:color w:val="0070C0"/>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2016 году по Камышлинскому району зарегистрировано 129 преступлений (26 место, начиная с наибольшего значения); в пересчете на 100 тыс. населения – 1186 (12 место), что близко к среднему значению по Самарской области (рис. 1.4.19). Темп снижения количества зарегистрированных преступлений по сравнению с 2015 годом составляет 24%.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 последние 10 лет статистика правонарушений имеет устойчивую тенденцию к снижению количества зарегистрированных преступлений (рис.1.4.20). </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0A3769A3" wp14:editId="0ADC3CDA">
            <wp:extent cx="4949825" cy="4431665"/>
            <wp:effectExtent l="0" t="0" r="0" b="0"/>
            <wp:docPr id="629" name="Объект 6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1.4.19 – Число зарегистрированных правонарушений в муниципальных районах Самарской области на 100 тыс. населения в 2016 году</w:t>
      </w:r>
    </w:p>
    <w:p w:rsidR="00FA0047" w:rsidRPr="00B06469" w:rsidRDefault="00FA0047" w:rsidP="001F0139">
      <w:pPr>
        <w:spacing w:after="0" w:line="360" w:lineRule="auto"/>
        <w:ind w:firstLine="709"/>
        <w:jc w:val="both"/>
        <w:rPr>
          <w:rFonts w:ascii="Times New Roman" w:hAnsi="Times New Roman" w:cs="Times New Roman"/>
          <w:sz w:val="24"/>
          <w:szCs w:val="24"/>
        </w:rPr>
      </w:pPr>
    </w:p>
    <w:p w:rsidR="00FA0047" w:rsidRPr="00B06469" w:rsidRDefault="00FA0047" w:rsidP="001F0139">
      <w:pPr>
        <w:spacing w:after="0" w:line="240" w:lineRule="auto"/>
        <w:contextualSpacing/>
        <w:jc w:val="center"/>
        <w:rPr>
          <w:rFonts w:ascii="Times New Roman" w:hAnsi="Times New Roman" w:cs="Times New Roman"/>
          <w:b/>
          <w:color w:val="0070C0"/>
          <w:sz w:val="24"/>
          <w:szCs w:val="24"/>
        </w:rPr>
      </w:pPr>
      <w:r w:rsidRPr="00B06469">
        <w:rPr>
          <w:rFonts w:ascii="Times New Roman" w:hAnsi="Times New Roman" w:cs="Times New Roman"/>
          <w:noProof/>
          <w:sz w:val="24"/>
          <w:szCs w:val="24"/>
          <w:lang w:eastAsia="ru-RU"/>
        </w:rPr>
        <w:drawing>
          <wp:inline distT="0" distB="0" distL="0" distR="0" wp14:anchorId="3E17383C" wp14:editId="1BD522C0">
            <wp:extent cx="4596130" cy="2767330"/>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Статистический сборник. – Самара, 2017.</w:t>
      </w:r>
    </w:p>
    <w:p w:rsidR="00FA0047" w:rsidRPr="00B06469" w:rsidRDefault="00FA0047" w:rsidP="001F0139">
      <w:pPr>
        <w:spacing w:after="0" w:line="240" w:lineRule="auto"/>
        <w:jc w:val="center"/>
        <w:rPr>
          <w:rFonts w:ascii="Times New Roman" w:eastAsia="Times New Roman" w:hAnsi="Times New Roman" w:cs="Times New Roman"/>
          <w:b/>
          <w:sz w:val="24"/>
          <w:szCs w:val="24"/>
        </w:rPr>
      </w:pPr>
      <w:r w:rsidRPr="00B06469">
        <w:rPr>
          <w:rFonts w:ascii="Times New Roman" w:eastAsia="Times New Roman" w:hAnsi="Times New Roman" w:cs="Times New Roman"/>
          <w:b/>
          <w:sz w:val="24"/>
          <w:szCs w:val="24"/>
        </w:rPr>
        <w:t>Рисунок 1.4.20 – Число зарегистрированных правонарушений в муниципальных районах Самарской области на 100 тыс. населения в 2016 году</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В последние годы количество зарегистрированных дорожно-транспортных происшествий имеет тенденцию к снижению, показатель раскрываемости имеет устойчивую тенденцию к росту и в 2016 году составил 94,2%. </w:t>
      </w:r>
    </w:p>
    <w:p w:rsidR="00FA0047" w:rsidRPr="00B06469" w:rsidRDefault="00FA0047" w:rsidP="001F0139">
      <w:pPr>
        <w:spacing w:after="0" w:line="360" w:lineRule="auto"/>
        <w:ind w:firstLine="709"/>
        <w:jc w:val="both"/>
        <w:rPr>
          <w:rFonts w:ascii="Times New Roman" w:hAnsi="Times New Roman" w:cs="Times New Roman"/>
          <w:b/>
          <w:color w:val="365F91" w:themeColor="accent1" w:themeShade="BF"/>
          <w:sz w:val="24"/>
          <w:szCs w:val="24"/>
        </w:rPr>
      </w:pPr>
    </w:p>
    <w:p w:rsidR="00E74438" w:rsidRPr="00B06469" w:rsidRDefault="00E74438"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
          <w:color w:val="365F91" w:themeColor="accent1" w:themeShade="BF"/>
          <w:sz w:val="24"/>
          <w:szCs w:val="24"/>
        </w:rPr>
        <w:t xml:space="preserve">6.2. Стратегические цели, задачи и </w:t>
      </w:r>
      <w:r w:rsidR="00077D58" w:rsidRPr="00B06469">
        <w:rPr>
          <w:rFonts w:ascii="Times New Roman" w:hAnsi="Times New Roman" w:cs="Times New Roman"/>
          <w:b/>
          <w:color w:val="365F91" w:themeColor="accent1" w:themeShade="BF"/>
          <w:sz w:val="24"/>
          <w:szCs w:val="24"/>
        </w:rPr>
        <w:t>ожидаемые результаты</w:t>
      </w:r>
      <w:r w:rsidRPr="00B06469">
        <w:rPr>
          <w:rFonts w:ascii="Times New Roman" w:hAnsi="Times New Roman" w:cs="Times New Roman"/>
          <w:b/>
          <w:color w:val="365F91" w:themeColor="accent1" w:themeShade="BF"/>
          <w:sz w:val="24"/>
          <w:szCs w:val="24"/>
        </w:rPr>
        <w:t xml:space="preserve"> комплекс</w:t>
      </w:r>
      <w:r w:rsidR="002760F1" w:rsidRPr="00B06469">
        <w:rPr>
          <w:rFonts w:ascii="Times New Roman" w:hAnsi="Times New Roman" w:cs="Times New Roman"/>
          <w:b/>
          <w:color w:val="365F91" w:themeColor="accent1" w:themeShade="BF"/>
          <w:sz w:val="24"/>
          <w:szCs w:val="24"/>
        </w:rPr>
        <w:t xml:space="preserve"> </w:t>
      </w:r>
      <w:r w:rsidRPr="00B06469">
        <w:rPr>
          <w:rFonts w:ascii="Times New Roman" w:hAnsi="Times New Roman" w:cs="Times New Roman"/>
          <w:b/>
          <w:color w:val="365F91" w:themeColor="accent1" w:themeShade="BF"/>
          <w:sz w:val="24"/>
          <w:szCs w:val="24"/>
        </w:rPr>
        <w:t xml:space="preserve">направления «Формирование, совершенствование и накопление человеческого капитала». </w:t>
      </w:r>
    </w:p>
    <w:p w:rsidR="00E74438"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6.2.1.–Достижение современного, качественного образования в Камышлинском районе</w:t>
      </w:r>
    </w:p>
    <w:p w:rsidR="009A24B4" w:rsidRPr="00B06469" w:rsidRDefault="009A24B4"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Цель Достижение современного, качественного образования в Камышлинском районе</w:t>
      </w:r>
    </w:p>
    <w:p w:rsidR="00077D58" w:rsidRPr="00B06469" w:rsidRDefault="009A24B4"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Задачи</w:t>
      </w:r>
    </w:p>
    <w:p w:rsidR="009A24B4" w:rsidRPr="00B06469" w:rsidRDefault="009A24B4" w:rsidP="001F0139">
      <w:pPr>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Программа строительства детских садов с учетом потребности в дошкольном образовании;</w:t>
      </w:r>
    </w:p>
    <w:p w:rsidR="009A24B4" w:rsidRPr="00B06469" w:rsidRDefault="009A24B4" w:rsidP="001F0139">
      <w:pPr>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Создание дополнительных мест в дошкольных учреждениях после проводимого капитального ремонта</w:t>
      </w:r>
    </w:p>
    <w:p w:rsidR="009A24B4" w:rsidRPr="00B06469" w:rsidRDefault="009A24B4" w:rsidP="001F0139">
      <w:pPr>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Разработка и реализация программы по обеспечению преемственности дошкольных образовательных учреждений и школы в условиях реализации ФГОС ДО и ФГОС НОО.</w:t>
      </w:r>
    </w:p>
    <w:p w:rsidR="009A24B4" w:rsidRPr="00B06469" w:rsidRDefault="009A24B4" w:rsidP="001F0139">
      <w:pPr>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Разработка Программы по работе с одаренными детьми.</w:t>
      </w:r>
    </w:p>
    <w:p w:rsidR="009A24B4" w:rsidRPr="00B06469" w:rsidRDefault="009A24B4" w:rsidP="001F0139">
      <w:pPr>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Психолого-медико-педагогическое сопровождение детей с особыми образовательными потребностями в условиях ДОУ (инклюзивное образование).</w:t>
      </w:r>
    </w:p>
    <w:p w:rsidR="009A24B4" w:rsidRPr="00B06469" w:rsidRDefault="009A24B4" w:rsidP="001F0139">
      <w:pPr>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Преобразование и обогащение развивающей предметно-пространственной среды ДОУ в соответствии с требованиями ФГОС дошкольного образования.</w:t>
      </w:r>
    </w:p>
    <w:p w:rsidR="009A24B4" w:rsidRPr="00B06469" w:rsidRDefault="009A24B4" w:rsidP="001F0139">
      <w:pPr>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Внедрение учебно -методических комплектов по обучению татарскому языку;</w:t>
      </w:r>
    </w:p>
    <w:p w:rsidR="009A24B4" w:rsidRPr="00B06469" w:rsidRDefault="009A24B4" w:rsidP="001F0139">
      <w:pPr>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Открытие групп с погружением в языковую среду: татарскую, английскую;</w:t>
      </w:r>
    </w:p>
    <w:p w:rsidR="009A24B4" w:rsidRPr="00B06469" w:rsidRDefault="009A24B4" w:rsidP="001F0139">
      <w:pPr>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Открытие международного детского сада на базе международной школы;</w:t>
      </w:r>
    </w:p>
    <w:p w:rsidR="009A24B4" w:rsidRPr="00B06469" w:rsidRDefault="009A24B4" w:rsidP="001F0139">
      <w:pPr>
        <w:numPr>
          <w:ilvl w:val="0"/>
          <w:numId w:val="31"/>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Открытие групп для неорганизованных детей раннего возраста с целью адаптации детей к детскому саду;</w:t>
      </w:r>
    </w:p>
    <w:p w:rsidR="009A24B4" w:rsidRPr="00B06469" w:rsidRDefault="009A24B4" w:rsidP="001F0139">
      <w:pPr>
        <w:spacing w:after="0" w:line="360" w:lineRule="auto"/>
        <w:ind w:firstLine="709"/>
        <w:jc w:val="both"/>
        <w:rPr>
          <w:rFonts w:ascii="Times New Roman" w:hAnsi="Times New Roman" w:cs="Times New Roman"/>
          <w:sz w:val="24"/>
          <w:szCs w:val="24"/>
        </w:rPr>
      </w:pPr>
    </w:p>
    <w:p w:rsidR="009A24B4" w:rsidRPr="00B06469" w:rsidRDefault="009A24B4"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Мероприятия</w:t>
      </w:r>
    </w:p>
    <w:p w:rsidR="009A24B4" w:rsidRPr="00B06469" w:rsidRDefault="009A24B4" w:rsidP="001F0139">
      <w:pPr>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организация комплекса исследований в области дошкольного детства;</w:t>
      </w:r>
    </w:p>
    <w:p w:rsidR="009A24B4" w:rsidRPr="00B06469" w:rsidRDefault="009A24B4" w:rsidP="001F0139">
      <w:pPr>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создание грантовых программ поддержки инноваций в сфере дошкольного образования;</w:t>
      </w:r>
    </w:p>
    <w:p w:rsidR="009A24B4" w:rsidRPr="00B06469" w:rsidRDefault="009A24B4" w:rsidP="001F0139">
      <w:pPr>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стимулирование негосударственного сектора дошкольного образования, развитие государственно-частного и социального партнерства;</w:t>
      </w:r>
    </w:p>
    <w:p w:rsidR="009A24B4" w:rsidRPr="00B06469" w:rsidRDefault="009A24B4" w:rsidP="001F0139">
      <w:pPr>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lastRenderedPageBreak/>
        <w:t>укрепление связи организаций дошкольного образования со школами, в том числе в форме комплексов: включение детских садов в состав комплексов со школами, создание инфраструктуры дошкольного образования многоцелевого назначения;</w:t>
      </w:r>
    </w:p>
    <w:p w:rsidR="009A24B4" w:rsidRPr="00B06469" w:rsidRDefault="009A24B4" w:rsidP="001F0139">
      <w:pPr>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реализация проекта "Раннее развитие", который включает:</w:t>
      </w:r>
    </w:p>
    <w:p w:rsidR="009A24B4" w:rsidRPr="00B06469" w:rsidRDefault="009A24B4" w:rsidP="001F0139">
      <w:pPr>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создание системы оценки индивидуального развития дошкольников;</w:t>
      </w:r>
    </w:p>
    <w:p w:rsidR="009A24B4" w:rsidRPr="00B06469" w:rsidRDefault="009A24B4" w:rsidP="001F0139">
      <w:pPr>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создание клубов раннего развития на базе дошкольных организаций, гибкие формы поддержки семей и дошкольного образования, особая поддержка детей в трудной ситуации, включая детей с ограниченными возможностями здоровья;</w:t>
      </w:r>
    </w:p>
    <w:p w:rsidR="009A24B4" w:rsidRPr="00B06469" w:rsidRDefault="009A24B4" w:rsidP="001F0139">
      <w:pPr>
        <w:numPr>
          <w:ilvl w:val="0"/>
          <w:numId w:val="32"/>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создание доступной системы сопровождения детей с трудностями в развитии.</w:t>
      </w:r>
    </w:p>
    <w:p w:rsidR="00077D58" w:rsidRPr="00B06469" w:rsidRDefault="00077D58"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 xml:space="preserve">Программы и проекты </w:t>
      </w:r>
    </w:p>
    <w:p w:rsidR="00077D58" w:rsidRPr="00B06469" w:rsidRDefault="00077D58" w:rsidP="001F0139">
      <w:pPr>
        <w:spacing w:after="0" w:line="360" w:lineRule="auto"/>
        <w:rPr>
          <w:rFonts w:ascii="Times New Roman" w:hAnsi="Times New Roman" w:cs="Times New Roman"/>
          <w:sz w:val="24"/>
          <w:szCs w:val="24"/>
        </w:rPr>
      </w:pPr>
      <w:r w:rsidRPr="00B06469">
        <w:rPr>
          <w:rFonts w:ascii="Times New Roman" w:hAnsi="Times New Roman" w:cs="Times New Roman"/>
          <w:bCs/>
          <w:sz w:val="24"/>
          <w:szCs w:val="24"/>
          <w:u w:val="single"/>
        </w:rPr>
        <w:t xml:space="preserve">Разработка и реализация муниципальной программы </w:t>
      </w:r>
      <w:r w:rsidRPr="00B06469">
        <w:rPr>
          <w:rFonts w:ascii="Times New Roman" w:hAnsi="Times New Roman" w:cs="Times New Roman"/>
          <w:sz w:val="24"/>
          <w:szCs w:val="24"/>
        </w:rPr>
        <w:t>«Развитие материально-технической базы и кадрового потенциала образования, здравоохранения, культуры и спорта в районе»</w:t>
      </w:r>
    </w:p>
    <w:p w:rsidR="00077D58" w:rsidRPr="00B06469" w:rsidRDefault="00077D58" w:rsidP="001F0139">
      <w:pPr>
        <w:spacing w:after="0" w:line="360" w:lineRule="auto"/>
        <w:rPr>
          <w:rFonts w:ascii="Times New Roman" w:hAnsi="Times New Roman" w:cs="Times New Roman"/>
          <w:sz w:val="24"/>
          <w:szCs w:val="24"/>
        </w:rPr>
      </w:pPr>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«Расширение спектра услуг образовательного центра с использованием цифрового дистанционного обучения» (2019-2021 гг)</w:t>
      </w:r>
    </w:p>
    <w:p w:rsidR="00077D58" w:rsidRPr="00B06469" w:rsidRDefault="00077D58" w:rsidP="001F0139">
      <w:pPr>
        <w:spacing w:after="0" w:line="360" w:lineRule="auto"/>
        <w:ind w:firstLine="709"/>
        <w:jc w:val="both"/>
        <w:rPr>
          <w:rFonts w:ascii="Times New Roman" w:hAnsi="Times New Roman" w:cs="Times New Roman"/>
          <w:b/>
          <w:color w:val="365F91" w:themeColor="accent1" w:themeShade="BF"/>
          <w:sz w:val="24"/>
          <w:szCs w:val="24"/>
        </w:rPr>
      </w:pPr>
    </w:p>
    <w:p w:rsidR="00077D58" w:rsidRPr="00B06469" w:rsidRDefault="00077D58" w:rsidP="001F0139">
      <w:pPr>
        <w:spacing w:after="0" w:line="360" w:lineRule="auto"/>
        <w:ind w:firstLine="709"/>
        <w:jc w:val="both"/>
        <w:rPr>
          <w:rFonts w:ascii="Times New Roman" w:hAnsi="Times New Roman" w:cs="Times New Roman"/>
          <w:b/>
          <w:color w:val="365F91" w:themeColor="accent1" w:themeShade="BF"/>
          <w:sz w:val="24"/>
          <w:szCs w:val="24"/>
        </w:rPr>
      </w:pPr>
    </w:p>
    <w:p w:rsidR="00E74438"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6.2.2. Обеспечение социализациии высоких образовательные достижений каждого школьника с учетом индивидуальных особенностей, развитие навыков в сфере цифровых технологий.</w:t>
      </w:r>
    </w:p>
    <w:p w:rsidR="009A24B4" w:rsidRPr="00B06469" w:rsidRDefault="009A24B4" w:rsidP="001F0139">
      <w:pPr>
        <w:spacing w:after="0" w:line="360" w:lineRule="auto"/>
        <w:ind w:firstLine="709"/>
        <w:jc w:val="both"/>
        <w:rPr>
          <w:rFonts w:ascii="Times New Roman" w:hAnsi="Times New Roman" w:cs="Times New Roman"/>
          <w:b/>
          <w:color w:val="365F91" w:themeColor="accent1" w:themeShade="BF"/>
          <w:sz w:val="24"/>
          <w:szCs w:val="24"/>
        </w:rPr>
      </w:pPr>
    </w:p>
    <w:p w:rsidR="009A24B4" w:rsidRPr="00B06469" w:rsidRDefault="009A24B4"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sz w:val="24"/>
          <w:szCs w:val="24"/>
        </w:rPr>
        <w:t>Цель Обеспечение социализациии высоких образовательные достижений каждого школьника с учетом индивидуальных особенностей, развитие навыков в сфере цифровых технологий</w:t>
      </w:r>
      <w:r w:rsidRPr="00B06469">
        <w:rPr>
          <w:rFonts w:ascii="Times New Roman" w:hAnsi="Times New Roman" w:cs="Times New Roman"/>
          <w:b/>
          <w:color w:val="365F91" w:themeColor="accent1" w:themeShade="BF"/>
          <w:sz w:val="24"/>
          <w:szCs w:val="24"/>
        </w:rPr>
        <w:t>.</w:t>
      </w:r>
    </w:p>
    <w:p w:rsidR="009A24B4" w:rsidRPr="00B06469" w:rsidRDefault="009A24B4" w:rsidP="001F0139">
      <w:pPr>
        <w:spacing w:after="0" w:line="360" w:lineRule="auto"/>
        <w:ind w:firstLine="709"/>
        <w:jc w:val="both"/>
        <w:rPr>
          <w:rFonts w:ascii="Times New Roman" w:hAnsi="Times New Roman" w:cs="Times New Roman"/>
          <w:b/>
          <w:color w:val="365F91" w:themeColor="accent1" w:themeShade="BF"/>
          <w:sz w:val="24"/>
          <w:szCs w:val="24"/>
        </w:rPr>
      </w:pPr>
    </w:p>
    <w:p w:rsidR="009A24B4" w:rsidRPr="00B06469" w:rsidRDefault="009A24B4" w:rsidP="001F0139">
      <w:pPr>
        <w:spacing w:after="0" w:line="360" w:lineRule="auto"/>
        <w:rPr>
          <w:rFonts w:ascii="Times New Roman" w:hAnsi="Times New Roman" w:cs="Times New Roman"/>
          <w:bCs/>
          <w:sz w:val="24"/>
          <w:szCs w:val="24"/>
          <w:u w:val="single"/>
        </w:rPr>
      </w:pPr>
      <w:r w:rsidRPr="00B06469">
        <w:rPr>
          <w:rFonts w:ascii="Times New Roman" w:hAnsi="Times New Roman" w:cs="Times New Roman"/>
          <w:bCs/>
          <w:sz w:val="24"/>
          <w:szCs w:val="24"/>
          <w:u w:val="single"/>
        </w:rPr>
        <w:t>Задачи:</w:t>
      </w:r>
    </w:p>
    <w:p w:rsidR="009A24B4" w:rsidRPr="00B06469" w:rsidRDefault="009A24B4"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t>Создать среду, интегрирующую современные управленческие, технологические и педагогические решения.</w:t>
      </w:r>
    </w:p>
    <w:p w:rsidR="009A24B4" w:rsidRPr="00B06469" w:rsidRDefault="009A24B4"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t>Обеспечить инклюзивное образование для детей с ограниченными возможностями здоровья.</w:t>
      </w:r>
    </w:p>
    <w:p w:rsidR="009A24B4" w:rsidRPr="00B06469" w:rsidRDefault="009A24B4"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t>Расширить возможности семей, местного сообщества, бизнеса для участия в образовательном процессе, оценке качества образования и управлении школами.</w:t>
      </w:r>
    </w:p>
    <w:p w:rsidR="009A24B4" w:rsidRPr="00B06469" w:rsidRDefault="009A24B4"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t>Обеспечить высокий уровень индивидуализации образования и академической мобильности обучающихся за счет развития современных форм обучения, включая профильное обучение, за счет интеграции общего и дополнительного образования.</w:t>
      </w:r>
    </w:p>
    <w:p w:rsidR="00077D58" w:rsidRPr="00B06469" w:rsidRDefault="00077D58" w:rsidP="001F0139">
      <w:pPr>
        <w:spacing w:after="0" w:line="360" w:lineRule="auto"/>
        <w:rPr>
          <w:rFonts w:ascii="Times New Roman" w:hAnsi="Times New Roman" w:cs="Times New Roman"/>
          <w:bCs/>
          <w:sz w:val="24"/>
          <w:szCs w:val="24"/>
        </w:rPr>
      </w:pPr>
    </w:p>
    <w:p w:rsidR="009A24B4" w:rsidRPr="00B06469" w:rsidRDefault="009A24B4"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t>Мероприятия</w:t>
      </w:r>
      <w:bookmarkStart w:id="24" w:name="bookmark28"/>
      <w:r w:rsidRPr="00B06469">
        <w:rPr>
          <w:rFonts w:ascii="Times New Roman" w:hAnsi="Times New Roman" w:cs="Times New Roman"/>
          <w:bCs/>
          <w:sz w:val="24"/>
          <w:szCs w:val="24"/>
        </w:rPr>
        <w:t>:</w:t>
      </w:r>
      <w:bookmarkEnd w:id="24"/>
    </w:p>
    <w:p w:rsidR="009A24B4" w:rsidRPr="00B06469" w:rsidRDefault="009A24B4" w:rsidP="001F0139">
      <w:pPr>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программа строительства и реконструкции новых школьных зданий;</w:t>
      </w:r>
    </w:p>
    <w:p w:rsidR="009A24B4" w:rsidRPr="00B06469" w:rsidRDefault="009A24B4" w:rsidP="001F0139">
      <w:pPr>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грантовые программы поддержки инноваций;</w:t>
      </w:r>
    </w:p>
    <w:p w:rsidR="009A24B4" w:rsidRPr="00B06469" w:rsidRDefault="009A24B4" w:rsidP="001F0139">
      <w:pPr>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районная программа достижения лидерства в образовании в сфере математики и информационных технологий;</w:t>
      </w:r>
    </w:p>
    <w:p w:rsidR="009A24B4" w:rsidRPr="00B06469" w:rsidRDefault="009A24B4" w:rsidP="001F0139">
      <w:pPr>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нормативное стимулирование повышения самостоятельности образовательных организаций;</w:t>
      </w:r>
    </w:p>
    <w:p w:rsidR="009A24B4" w:rsidRPr="00B06469" w:rsidRDefault="009A24B4" w:rsidP="001F0139">
      <w:pPr>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нормативное стимулирование расширения участия родителей в образовательном процессе и развитии образования;</w:t>
      </w:r>
    </w:p>
    <w:p w:rsidR="009A24B4" w:rsidRPr="00B06469" w:rsidRDefault="009A24B4" w:rsidP="001F0139">
      <w:pPr>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программа выявления, развития и сопровождения талантливых детей и молодежи;</w:t>
      </w:r>
    </w:p>
    <w:p w:rsidR="009A24B4" w:rsidRPr="00B06469" w:rsidRDefault="009A24B4" w:rsidP="001F0139">
      <w:pPr>
        <w:numPr>
          <w:ilvl w:val="0"/>
          <w:numId w:val="34"/>
        </w:numPr>
        <w:spacing w:after="0" w:line="360" w:lineRule="auto"/>
        <w:ind w:left="0"/>
        <w:jc w:val="both"/>
        <w:rPr>
          <w:rFonts w:ascii="Times New Roman" w:hAnsi="Times New Roman" w:cs="Times New Roman"/>
          <w:bCs/>
          <w:sz w:val="24"/>
          <w:szCs w:val="24"/>
        </w:rPr>
      </w:pPr>
      <w:r w:rsidRPr="00B06469">
        <w:rPr>
          <w:rFonts w:ascii="Times New Roman" w:hAnsi="Times New Roman" w:cs="Times New Roman"/>
          <w:bCs/>
          <w:sz w:val="24"/>
          <w:szCs w:val="24"/>
        </w:rPr>
        <w:t>поддержка культуры двуязычия и поликультурного образования на уровне начального общего, основного общего и среднего общего образования.</w:t>
      </w:r>
    </w:p>
    <w:p w:rsidR="00A65CD4" w:rsidRPr="00B06469" w:rsidRDefault="00A65CD4" w:rsidP="001F0139">
      <w:pPr>
        <w:numPr>
          <w:ilvl w:val="0"/>
          <w:numId w:val="34"/>
        </w:numPr>
        <w:ind w:left="0"/>
        <w:rPr>
          <w:sz w:val="24"/>
          <w:szCs w:val="24"/>
        </w:rPr>
      </w:pPr>
      <w:r w:rsidRPr="00B06469">
        <w:rPr>
          <w:sz w:val="24"/>
          <w:szCs w:val="24"/>
        </w:rPr>
        <w:t>строительство образовательного комплекса основного и профессионального образования в селе Камышла муниципального района Камышлинский;</w:t>
      </w:r>
    </w:p>
    <w:p w:rsidR="009A24B4" w:rsidRPr="00B06469" w:rsidRDefault="009A24B4"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Проекты</w:t>
      </w:r>
    </w:p>
    <w:p w:rsidR="00077D58" w:rsidRPr="00B06469" w:rsidRDefault="00077D58" w:rsidP="001F0139">
      <w:pPr>
        <w:spacing w:after="0" w:line="360" w:lineRule="auto"/>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«Создание детской школы искусств» (2019-2022 гг)</w:t>
      </w:r>
    </w:p>
    <w:p w:rsidR="00077D58" w:rsidRPr="00B06469" w:rsidRDefault="00077D58" w:rsidP="001F0139">
      <w:pPr>
        <w:spacing w:after="0" w:line="360" w:lineRule="auto"/>
        <w:ind w:firstLine="709"/>
        <w:jc w:val="both"/>
        <w:rPr>
          <w:rFonts w:ascii="Times New Roman" w:hAnsi="Times New Roman" w:cs="Times New Roman"/>
          <w:b/>
          <w:color w:val="365F91" w:themeColor="accent1" w:themeShade="BF"/>
          <w:sz w:val="24"/>
          <w:szCs w:val="24"/>
        </w:rPr>
      </w:pPr>
    </w:p>
    <w:p w:rsidR="00337AC4"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w:t>
      </w:r>
      <w:r w:rsidR="00337AC4" w:rsidRPr="00B06469">
        <w:rPr>
          <w:rFonts w:ascii="Times New Roman" w:hAnsi="Times New Roman" w:cs="Times New Roman"/>
          <w:b/>
          <w:color w:val="365F91" w:themeColor="accent1" w:themeShade="BF"/>
          <w:sz w:val="24"/>
          <w:szCs w:val="24"/>
        </w:rPr>
        <w:t xml:space="preserve"> 3 Развитие кадрового потенциала и инфраструктуры</w:t>
      </w:r>
      <w:r w:rsidR="002760F1" w:rsidRPr="00B06469">
        <w:rPr>
          <w:rFonts w:ascii="Times New Roman" w:hAnsi="Times New Roman" w:cs="Times New Roman"/>
          <w:b/>
          <w:color w:val="365F91" w:themeColor="accent1" w:themeShade="BF"/>
          <w:sz w:val="24"/>
          <w:szCs w:val="24"/>
        </w:rPr>
        <w:t xml:space="preserve"> </w:t>
      </w:r>
      <w:r w:rsidR="00337AC4" w:rsidRPr="00B06469">
        <w:rPr>
          <w:rFonts w:ascii="Times New Roman" w:hAnsi="Times New Roman" w:cs="Times New Roman"/>
          <w:b/>
          <w:color w:val="365F91" w:themeColor="accent1" w:themeShade="BF"/>
          <w:sz w:val="24"/>
          <w:szCs w:val="24"/>
        </w:rPr>
        <w:t>системы образования, здравоохранения</w:t>
      </w:r>
      <w:r w:rsidR="00865A8B">
        <w:rPr>
          <w:rFonts w:ascii="Times New Roman" w:hAnsi="Times New Roman" w:cs="Times New Roman"/>
          <w:b/>
          <w:color w:val="365F91" w:themeColor="accent1" w:themeShade="BF"/>
          <w:sz w:val="24"/>
          <w:szCs w:val="24"/>
        </w:rPr>
        <w:t>, социальной защиты населения,</w:t>
      </w:r>
      <w:r w:rsidR="00337AC4" w:rsidRPr="00B06469">
        <w:rPr>
          <w:rFonts w:ascii="Times New Roman" w:hAnsi="Times New Roman" w:cs="Times New Roman"/>
          <w:b/>
          <w:color w:val="365F91" w:themeColor="accent1" w:themeShade="BF"/>
          <w:sz w:val="24"/>
          <w:szCs w:val="24"/>
        </w:rPr>
        <w:t xml:space="preserve"> культуры и спорта в районе</w:t>
      </w:r>
    </w:p>
    <w:p w:rsidR="009A24B4" w:rsidRPr="00B06469" w:rsidRDefault="009A24B4" w:rsidP="001F0139">
      <w:pPr>
        <w:spacing w:after="0" w:line="360" w:lineRule="auto"/>
        <w:ind w:firstLine="709"/>
        <w:jc w:val="both"/>
        <w:rPr>
          <w:rFonts w:ascii="Times New Roman" w:hAnsi="Times New Roman" w:cs="Times New Roman"/>
          <w:b/>
          <w:color w:val="365F91" w:themeColor="accent1" w:themeShade="BF"/>
          <w:sz w:val="24"/>
          <w:szCs w:val="24"/>
        </w:rPr>
      </w:pPr>
    </w:p>
    <w:p w:rsidR="006C73B0" w:rsidRPr="00B06469" w:rsidRDefault="006C73B0"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Мероприятия</w:t>
      </w:r>
    </w:p>
    <w:p w:rsidR="006C73B0" w:rsidRPr="00B06469" w:rsidRDefault="006C73B0"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t>строительство объектов сферы образования, соответствующих современным стандартам;</w:t>
      </w:r>
    </w:p>
    <w:p w:rsidR="006C73B0" w:rsidRPr="00B06469" w:rsidRDefault="006C73B0"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t>создание единого образовательного пространства, ориентированного на индивидуализацию профессионального образования;</w:t>
      </w:r>
    </w:p>
    <w:p w:rsidR="006C73B0" w:rsidRDefault="006C73B0" w:rsidP="001F0139">
      <w:pPr>
        <w:spacing w:after="0" w:line="360" w:lineRule="auto"/>
        <w:rPr>
          <w:rFonts w:ascii="Times New Roman" w:hAnsi="Times New Roman" w:cs="Times New Roman"/>
          <w:bCs/>
          <w:sz w:val="24"/>
          <w:szCs w:val="24"/>
        </w:rPr>
      </w:pPr>
      <w:r w:rsidRPr="00B06469">
        <w:rPr>
          <w:rFonts w:ascii="Times New Roman" w:hAnsi="Times New Roman" w:cs="Times New Roman"/>
          <w:bCs/>
          <w:sz w:val="24"/>
          <w:szCs w:val="24"/>
        </w:rPr>
        <w:t>создание условий для самообразования и всестороннего развития личности.строительство центра компетенций по рабочим профессиям с современными учебно-тренировочными полигонами.</w:t>
      </w:r>
    </w:p>
    <w:p w:rsidR="0016495D" w:rsidRDefault="0016495D" w:rsidP="001F0139">
      <w:pPr>
        <w:spacing w:after="0" w:line="360" w:lineRule="auto"/>
        <w:rPr>
          <w:rFonts w:ascii="Times New Roman" w:hAnsi="Times New Roman" w:cs="Times New Roman"/>
          <w:b/>
          <w:bCs/>
          <w:sz w:val="24"/>
          <w:szCs w:val="24"/>
        </w:rPr>
      </w:pPr>
      <w:r w:rsidRPr="0016495D">
        <w:rPr>
          <w:rFonts w:ascii="Times New Roman" w:hAnsi="Times New Roman" w:cs="Times New Roman"/>
          <w:b/>
          <w:bCs/>
          <w:sz w:val="24"/>
          <w:szCs w:val="24"/>
        </w:rPr>
        <w:t xml:space="preserve"> Задачи</w:t>
      </w:r>
    </w:p>
    <w:p w:rsidR="0016495D" w:rsidRPr="007223A6" w:rsidRDefault="0016495D" w:rsidP="0016495D">
      <w:pPr>
        <w:numPr>
          <w:ilvl w:val="0"/>
          <w:numId w:val="43"/>
        </w:numPr>
        <w:spacing w:after="0" w:line="360" w:lineRule="auto"/>
        <w:jc w:val="both"/>
        <w:rPr>
          <w:rFonts w:ascii="Times New Roman" w:hAnsi="Times New Roman" w:cs="Times New Roman"/>
          <w:sz w:val="24"/>
          <w:szCs w:val="24"/>
        </w:rPr>
      </w:pPr>
      <w:r w:rsidRPr="007223A6">
        <w:rPr>
          <w:rFonts w:ascii="Times New Roman" w:hAnsi="Times New Roman" w:cs="Times New Roman"/>
          <w:sz w:val="24"/>
          <w:szCs w:val="24"/>
        </w:rPr>
        <w:t>Реализовывать принципы доступности для маломобильных категорий граждан при строительстве и реконструкции зданий, благоустройстве территорий.</w:t>
      </w:r>
    </w:p>
    <w:p w:rsidR="0016495D" w:rsidRPr="007223A6" w:rsidRDefault="0016495D" w:rsidP="0016495D">
      <w:pPr>
        <w:numPr>
          <w:ilvl w:val="0"/>
          <w:numId w:val="43"/>
        </w:numPr>
        <w:spacing w:after="0" w:line="360" w:lineRule="auto"/>
        <w:jc w:val="both"/>
        <w:rPr>
          <w:rFonts w:ascii="Times New Roman" w:hAnsi="Times New Roman" w:cs="Times New Roman"/>
          <w:sz w:val="24"/>
          <w:szCs w:val="24"/>
        </w:rPr>
      </w:pPr>
      <w:r w:rsidRPr="007223A6">
        <w:rPr>
          <w:rFonts w:ascii="Times New Roman" w:hAnsi="Times New Roman" w:cs="Times New Roman"/>
          <w:sz w:val="24"/>
          <w:szCs w:val="24"/>
        </w:rPr>
        <w:t xml:space="preserve">Организовывать взаимодействие и оказывать информационно-методическую помощь социально-ориентированным некоммерческим организациям, </w:t>
      </w:r>
      <w:r w:rsidRPr="007223A6">
        <w:rPr>
          <w:rFonts w:ascii="Times New Roman" w:hAnsi="Times New Roman" w:cs="Times New Roman"/>
          <w:sz w:val="24"/>
          <w:szCs w:val="24"/>
        </w:rPr>
        <w:lastRenderedPageBreak/>
        <w:t>оказывающим услуги по социальному обслуживанию семьям с детьми, людям с ограниченными возможностями здоровья, пожилым гражданам.</w:t>
      </w:r>
    </w:p>
    <w:p w:rsidR="0016495D" w:rsidRPr="007223A6" w:rsidRDefault="0016495D" w:rsidP="0016495D">
      <w:pPr>
        <w:spacing w:after="0" w:line="360" w:lineRule="auto"/>
        <w:rPr>
          <w:rFonts w:ascii="Times New Roman" w:hAnsi="Times New Roman" w:cs="Times New Roman"/>
          <w:bCs/>
          <w:sz w:val="24"/>
          <w:szCs w:val="24"/>
        </w:rPr>
      </w:pPr>
    </w:p>
    <w:p w:rsidR="006C73B0" w:rsidRPr="00B06469" w:rsidRDefault="006C73B0" w:rsidP="001F0139">
      <w:pPr>
        <w:spacing w:after="0" w:line="360" w:lineRule="auto"/>
        <w:rPr>
          <w:rFonts w:ascii="Times New Roman" w:hAnsi="Times New Roman" w:cs="Times New Roman"/>
          <w:b/>
          <w:bCs/>
          <w:sz w:val="24"/>
          <w:szCs w:val="24"/>
        </w:rPr>
      </w:pPr>
      <w:r w:rsidRPr="007223A6">
        <w:rPr>
          <w:rFonts w:ascii="Times New Roman" w:hAnsi="Times New Roman" w:cs="Times New Roman"/>
          <w:b/>
          <w:bCs/>
          <w:sz w:val="24"/>
          <w:szCs w:val="24"/>
        </w:rPr>
        <w:t>Проекты и программы</w:t>
      </w:r>
      <w:r w:rsidRPr="00B06469">
        <w:rPr>
          <w:rFonts w:ascii="Times New Roman" w:hAnsi="Times New Roman" w:cs="Times New Roman"/>
          <w:b/>
          <w:bCs/>
          <w:sz w:val="24"/>
          <w:szCs w:val="24"/>
        </w:rPr>
        <w:t xml:space="preserve"> </w:t>
      </w:r>
    </w:p>
    <w:p w:rsidR="00077D58" w:rsidRPr="00B06469" w:rsidRDefault="00077D58" w:rsidP="001F0139">
      <w:pPr>
        <w:numPr>
          <w:ilvl w:val="0"/>
          <w:numId w:val="27"/>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Разработка и реализация муниципальной программы </w:t>
      </w:r>
      <w:r w:rsidRPr="00B06469">
        <w:rPr>
          <w:rFonts w:ascii="Times New Roman" w:hAnsi="Times New Roman" w:cs="Times New Roman"/>
          <w:sz w:val="24"/>
          <w:szCs w:val="24"/>
        </w:rPr>
        <w:t>«Развитие материально-технической базы и кадрового потенциала образования, здравоохранения, культуры и спорта в районе»</w:t>
      </w:r>
    </w:p>
    <w:p w:rsidR="00077D58" w:rsidRPr="00B06469" w:rsidRDefault="00077D58" w:rsidP="001F0139">
      <w:pPr>
        <w:spacing w:after="0" w:line="360" w:lineRule="auto"/>
        <w:ind w:firstLine="709"/>
        <w:jc w:val="both"/>
        <w:rPr>
          <w:rFonts w:ascii="Times New Roman" w:hAnsi="Times New Roman" w:cs="Times New Roman"/>
          <w:b/>
          <w:color w:val="365F91" w:themeColor="accent1" w:themeShade="BF"/>
          <w:sz w:val="24"/>
          <w:szCs w:val="24"/>
        </w:rPr>
      </w:pPr>
    </w:p>
    <w:p w:rsidR="00E74438"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6.2.4.Сохранение здоровья и продление долголетия</w:t>
      </w:r>
    </w:p>
    <w:p w:rsidR="00A478B9" w:rsidRPr="00B06469" w:rsidRDefault="00A478B9"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Задачи</w:t>
      </w:r>
    </w:p>
    <w:p w:rsidR="00A478B9" w:rsidRPr="00B06469" w:rsidRDefault="00A478B9" w:rsidP="001F0139">
      <w:pPr>
        <w:numPr>
          <w:ilvl w:val="0"/>
          <w:numId w:val="37"/>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Повысить мотивацию работодателей к сохранению здоровья работников, созданию условий труда, направленных на предупреждение развития профессиональных и профессионально обусловленных заболеваний.</w:t>
      </w:r>
    </w:p>
    <w:p w:rsidR="00A478B9" w:rsidRDefault="00A478B9" w:rsidP="001F0139">
      <w:pPr>
        <w:numPr>
          <w:ilvl w:val="0"/>
          <w:numId w:val="37"/>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Сформировать модель ведения здорового образа жизни, создание условий для сохранения здоровья людей.</w:t>
      </w:r>
    </w:p>
    <w:p w:rsidR="00A478B9" w:rsidRPr="00B06469" w:rsidRDefault="00A478B9" w:rsidP="001F0139">
      <w:pPr>
        <w:numPr>
          <w:ilvl w:val="0"/>
          <w:numId w:val="37"/>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Просвещение и информирование населения, в том числе детей и молодежи, о правилах здорового образа жизни, о последствиях употребления табака и злоупотребления алкоголем, включая разработку, осуществление и развитие информационных коммуникативных компаний и медиапроектов</w:t>
      </w:r>
      <w:r w:rsidR="0016495D">
        <w:rPr>
          <w:rFonts w:ascii="Times New Roman" w:hAnsi="Times New Roman" w:cs="Times New Roman"/>
          <w:sz w:val="24"/>
          <w:szCs w:val="24"/>
        </w:rPr>
        <w:t>.</w:t>
      </w:r>
    </w:p>
    <w:p w:rsidR="006F6205" w:rsidRPr="007223A6" w:rsidRDefault="00A478B9" w:rsidP="006F6205">
      <w:pPr>
        <w:numPr>
          <w:ilvl w:val="0"/>
          <w:numId w:val="37"/>
        </w:numPr>
        <w:spacing w:after="0" w:line="360" w:lineRule="auto"/>
        <w:ind w:left="0"/>
        <w:jc w:val="both"/>
        <w:rPr>
          <w:rFonts w:ascii="Times New Roman" w:hAnsi="Times New Roman" w:cs="Times New Roman"/>
          <w:sz w:val="24"/>
          <w:szCs w:val="24"/>
        </w:rPr>
      </w:pPr>
      <w:r w:rsidRPr="007223A6">
        <w:rPr>
          <w:rFonts w:ascii="Times New Roman" w:hAnsi="Times New Roman" w:cs="Times New Roman"/>
          <w:sz w:val="24"/>
          <w:szCs w:val="24"/>
        </w:rPr>
        <w:t>Обеспечение здорового безопасного питания населения всех возрастных групп, предусматривающего оптимизацию режима и характера питания, а также образование и обучение различных групп населения по вопросам здорового питания, в том числе с участием организаций, занимающихся данными вопросами</w:t>
      </w:r>
      <w:r w:rsidR="0016495D" w:rsidRPr="007223A6">
        <w:rPr>
          <w:rFonts w:ascii="Times New Roman" w:hAnsi="Times New Roman" w:cs="Times New Roman"/>
          <w:sz w:val="24"/>
          <w:szCs w:val="24"/>
        </w:rPr>
        <w:t>.</w:t>
      </w:r>
    </w:p>
    <w:p w:rsidR="006F6205" w:rsidRPr="007223A6" w:rsidRDefault="006F6205" w:rsidP="006F6205">
      <w:pPr>
        <w:numPr>
          <w:ilvl w:val="0"/>
          <w:numId w:val="37"/>
        </w:numPr>
        <w:spacing w:after="0" w:line="360" w:lineRule="auto"/>
        <w:ind w:left="0"/>
        <w:jc w:val="both"/>
        <w:rPr>
          <w:rFonts w:ascii="Times New Roman" w:hAnsi="Times New Roman" w:cs="Times New Roman"/>
          <w:sz w:val="24"/>
          <w:szCs w:val="24"/>
        </w:rPr>
      </w:pPr>
      <w:r w:rsidRPr="007223A6">
        <w:rPr>
          <w:rFonts w:ascii="Times New Roman" w:hAnsi="Times New Roman" w:cs="Times New Roman"/>
          <w:sz w:val="24"/>
          <w:szCs w:val="24"/>
        </w:rPr>
        <w:t>содействовать продлению социальной активности пожилых людей, в том числе через развитие «Серебряного» волонтерства;</w:t>
      </w:r>
    </w:p>
    <w:p w:rsidR="0016495D" w:rsidRPr="006F6205" w:rsidRDefault="006F6205" w:rsidP="006F6205">
      <w:pPr>
        <w:numPr>
          <w:ilvl w:val="0"/>
          <w:numId w:val="37"/>
        </w:numPr>
        <w:spacing w:after="0" w:line="360" w:lineRule="auto"/>
        <w:ind w:left="0"/>
        <w:jc w:val="both"/>
        <w:rPr>
          <w:rFonts w:ascii="Times New Roman" w:hAnsi="Times New Roman" w:cs="Times New Roman"/>
          <w:sz w:val="24"/>
          <w:szCs w:val="24"/>
        </w:rPr>
      </w:pPr>
      <w:r w:rsidRPr="006F6205">
        <w:rPr>
          <w:rFonts w:ascii="Times New Roman" w:hAnsi="Times New Roman" w:cs="Times New Roman"/>
          <w:sz w:val="24"/>
          <w:szCs w:val="24"/>
        </w:rPr>
        <w:t>развивать стационарозамещающие технологии, в том числе институт «приемной семьи» для пожилых, позволяющий обеспечить максимально полное пребывание пожилого человека в домашних условиях.</w:t>
      </w:r>
    </w:p>
    <w:p w:rsidR="00A478B9" w:rsidRPr="00B06469" w:rsidRDefault="00A478B9" w:rsidP="001F0139">
      <w:pPr>
        <w:numPr>
          <w:ilvl w:val="0"/>
          <w:numId w:val="37"/>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sz w:val="24"/>
          <w:szCs w:val="24"/>
        </w:rPr>
        <w:t>Разработка мер по повышению двигательной активности, которая представляет собой важнейшее условие поддержания здоровья граждан, включая:</w:t>
      </w:r>
    </w:p>
    <w:p w:rsidR="006C73B0" w:rsidRPr="00B06469" w:rsidRDefault="00A478B9"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Мероприятия</w:t>
      </w:r>
    </w:p>
    <w:p w:rsidR="00A478B9" w:rsidRPr="00B06469" w:rsidRDefault="00A478B9" w:rsidP="001F0139">
      <w:pPr>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проведение массовых направленных скринингов (обследований) здоровья;</w:t>
      </w:r>
    </w:p>
    <w:p w:rsidR="00A478B9" w:rsidRPr="00B06469" w:rsidRDefault="00A478B9" w:rsidP="001F0139">
      <w:pPr>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диспансерном наблюдении лиц, страдающих хроническими заболеваниями или имеющих серьезный интегративный риск развития острых заболеваний,</w:t>
      </w:r>
    </w:p>
    <w:p w:rsidR="00A478B9" w:rsidRPr="00B06469" w:rsidRDefault="00A478B9" w:rsidP="001F0139">
      <w:pPr>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lastRenderedPageBreak/>
        <w:t>максимально ранней коррекции факторов риска и повышении приверженности населения к лечению болезней на стадиях их максимальной излечимости,</w:t>
      </w:r>
    </w:p>
    <w:p w:rsidR="00A478B9" w:rsidRPr="00B06469" w:rsidRDefault="00A478B9" w:rsidP="001F0139">
      <w:pPr>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массовой иммунопрофилактике в рамках Национального Календаря прививок,</w:t>
      </w:r>
    </w:p>
    <w:p w:rsidR="00A478B9" w:rsidRPr="00B06469" w:rsidRDefault="00A478B9" w:rsidP="001F0139">
      <w:pPr>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координированной, четкой и быстрой работе служб неотложной, скорой и экстренной специализированной медицинской помощи - в случае возникновения острой патологии,</w:t>
      </w:r>
    </w:p>
    <w:p w:rsidR="00A478B9" w:rsidRPr="00B06469" w:rsidRDefault="00A478B9" w:rsidP="001F0139">
      <w:pPr>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развитой специализированной медицинской помощи с увеличением доли высокотехнологичной медицинской помощи,</w:t>
      </w:r>
    </w:p>
    <w:p w:rsidR="00A478B9" w:rsidRPr="00B06469" w:rsidRDefault="00A478B9" w:rsidP="001F0139">
      <w:pPr>
        <w:numPr>
          <w:ilvl w:val="0"/>
          <w:numId w:val="37"/>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междисциплинарной медицинской реабилитации</w:t>
      </w:r>
    </w:p>
    <w:p w:rsidR="006C73B0" w:rsidRPr="00B06469" w:rsidRDefault="006C73B0" w:rsidP="001F0139">
      <w:pPr>
        <w:spacing w:after="0" w:line="360" w:lineRule="auto"/>
        <w:ind w:firstLine="709"/>
        <w:jc w:val="both"/>
        <w:rPr>
          <w:rFonts w:ascii="Times New Roman" w:hAnsi="Times New Roman" w:cs="Times New Roman"/>
          <w:b/>
          <w:color w:val="365F91" w:themeColor="accent1" w:themeShade="BF"/>
          <w:sz w:val="24"/>
          <w:szCs w:val="24"/>
        </w:rPr>
      </w:pPr>
    </w:p>
    <w:p w:rsidR="00E74438"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w:t>
      </w:r>
      <w:r w:rsidR="00A478B9" w:rsidRPr="00B06469">
        <w:rPr>
          <w:rFonts w:ascii="Times New Roman" w:hAnsi="Times New Roman" w:cs="Times New Roman"/>
          <w:b/>
          <w:color w:val="365F91" w:themeColor="accent1" w:themeShade="BF"/>
          <w:sz w:val="24"/>
          <w:szCs w:val="24"/>
        </w:rPr>
        <w:t>5</w:t>
      </w:r>
      <w:r w:rsidRPr="00B06469">
        <w:rPr>
          <w:rFonts w:ascii="Times New Roman" w:hAnsi="Times New Roman" w:cs="Times New Roman"/>
          <w:b/>
          <w:color w:val="365F91" w:themeColor="accent1" w:themeShade="BF"/>
          <w:sz w:val="24"/>
          <w:szCs w:val="24"/>
        </w:rPr>
        <w:t>.Качество и разнообразие культурной жизни</w:t>
      </w:r>
      <w:r w:rsidR="00337AC4" w:rsidRPr="00B06469">
        <w:rPr>
          <w:rFonts w:ascii="Times New Roman" w:hAnsi="Times New Roman" w:cs="Times New Roman"/>
          <w:b/>
          <w:color w:val="365F91" w:themeColor="accent1" w:themeShade="BF"/>
          <w:sz w:val="24"/>
          <w:szCs w:val="24"/>
        </w:rPr>
        <w:t>, сохранение, развитие семейных, духовно-нравственных ценностей и здорового образа жизни</w:t>
      </w:r>
    </w:p>
    <w:p w:rsidR="00077D58" w:rsidRPr="00B06469" w:rsidRDefault="00A478B9"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Мероприятия</w:t>
      </w:r>
    </w:p>
    <w:p w:rsidR="00A478B9" w:rsidRPr="00B06469" w:rsidRDefault="00A478B9" w:rsidP="001F0139">
      <w:pPr>
        <w:numPr>
          <w:ilvl w:val="0"/>
          <w:numId w:val="40"/>
        </w:numPr>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реконструкция зданий культурных учреждений, находящихся в неудовлетворительном состоянии и не отвечающих современным требованиям к условиям осуществления культурной деятельности;</w:t>
      </w:r>
    </w:p>
    <w:p w:rsidR="00A478B9" w:rsidRPr="00B06469" w:rsidRDefault="00A478B9" w:rsidP="001F0139">
      <w:pPr>
        <w:numPr>
          <w:ilvl w:val="0"/>
          <w:numId w:val="40"/>
        </w:numPr>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популяризация и предоставление новых видов услуг в области культуры с использованием современных информационно-коммуникационных технологий;</w:t>
      </w:r>
    </w:p>
    <w:p w:rsidR="009D64B8" w:rsidRDefault="00A478B9" w:rsidP="009D64B8">
      <w:pPr>
        <w:numPr>
          <w:ilvl w:val="0"/>
          <w:numId w:val="40"/>
        </w:numPr>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обеспечение правовых и экономических условий для кооперации и интеграции образовательных организаций общего и дополнительного образования, учреждений культуры;</w:t>
      </w:r>
    </w:p>
    <w:p w:rsidR="009D64B8" w:rsidRPr="007223A6" w:rsidRDefault="009D64B8" w:rsidP="009D64B8">
      <w:pPr>
        <w:numPr>
          <w:ilvl w:val="0"/>
          <w:numId w:val="40"/>
        </w:numPr>
        <w:spacing w:after="0" w:line="360" w:lineRule="auto"/>
        <w:ind w:left="0"/>
        <w:rPr>
          <w:rFonts w:ascii="Times New Roman" w:hAnsi="Times New Roman" w:cs="Times New Roman"/>
          <w:bCs/>
          <w:sz w:val="24"/>
          <w:szCs w:val="24"/>
        </w:rPr>
      </w:pPr>
      <w:r w:rsidRPr="007223A6">
        <w:rPr>
          <w:rFonts w:ascii="Times New Roman" w:hAnsi="Times New Roman" w:cs="Times New Roman"/>
          <w:bCs/>
          <w:sz w:val="24"/>
          <w:szCs w:val="24"/>
        </w:rPr>
        <w:t>проведение мероприятий, направленных на укрепление института семьи, поддержание семейных ценностей, профилактику семейного неблагополучия;</w:t>
      </w:r>
    </w:p>
    <w:p w:rsidR="00A478B9" w:rsidRPr="00B06469" w:rsidRDefault="00A478B9" w:rsidP="001F0139">
      <w:pPr>
        <w:numPr>
          <w:ilvl w:val="0"/>
          <w:numId w:val="40"/>
        </w:numPr>
        <w:spacing w:after="0" w:line="360" w:lineRule="auto"/>
        <w:ind w:left="0"/>
        <w:rPr>
          <w:rFonts w:ascii="Times New Roman" w:hAnsi="Times New Roman" w:cs="Times New Roman"/>
          <w:bCs/>
          <w:sz w:val="24"/>
          <w:szCs w:val="24"/>
        </w:rPr>
      </w:pPr>
      <w:r w:rsidRPr="00B06469">
        <w:rPr>
          <w:rFonts w:ascii="Times New Roman" w:hAnsi="Times New Roman" w:cs="Times New Roman"/>
          <w:bCs/>
          <w:sz w:val="24"/>
          <w:szCs w:val="24"/>
        </w:rPr>
        <w:t>использование образовательных, педагогических, научно-методических и материальных ресурсов для развития и реализации творческого потенциала обучающихся в различных видах художественно-эстетической деятельности;</w:t>
      </w:r>
    </w:p>
    <w:p w:rsidR="00077D58" w:rsidRPr="00B06469" w:rsidRDefault="00077D58"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Проекты и программы</w:t>
      </w:r>
    </w:p>
    <w:p w:rsidR="00077D58" w:rsidRPr="00B06469" w:rsidRDefault="00077D58" w:rsidP="001F0139">
      <w:pPr>
        <w:spacing w:after="0" w:line="360" w:lineRule="auto"/>
        <w:ind w:firstLine="709"/>
        <w:rPr>
          <w:rFonts w:ascii="Times New Roman" w:hAnsi="Times New Roman" w:cs="Times New Roman"/>
          <w:sz w:val="24"/>
          <w:szCs w:val="24"/>
        </w:rPr>
      </w:pPr>
      <w:r w:rsidRPr="00B06469">
        <w:rPr>
          <w:rFonts w:ascii="Times New Roman" w:hAnsi="Times New Roman" w:cs="Times New Roman"/>
          <w:bCs/>
          <w:sz w:val="24"/>
          <w:szCs w:val="24"/>
        </w:rPr>
        <w:t>1</w:t>
      </w:r>
      <w:r w:rsidRPr="00B06469">
        <w:rPr>
          <w:rFonts w:ascii="Times New Roman" w:hAnsi="Times New Roman" w:cs="Times New Roman"/>
          <w:sz w:val="24"/>
          <w:szCs w:val="24"/>
        </w:rPr>
        <w:t>.</w:t>
      </w:r>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«Создание конно-спортивного клуба»</w:t>
      </w:r>
    </w:p>
    <w:p w:rsidR="00077D58" w:rsidRPr="00B06469" w:rsidRDefault="00077D58" w:rsidP="001F0139">
      <w:pPr>
        <w:spacing w:after="0" w:line="360" w:lineRule="auto"/>
        <w:ind w:firstLine="709"/>
        <w:rPr>
          <w:rFonts w:ascii="Times New Roman" w:hAnsi="Times New Roman" w:cs="Times New Roman"/>
          <w:sz w:val="24"/>
          <w:szCs w:val="24"/>
        </w:rPr>
      </w:pPr>
      <w:r w:rsidRPr="00B06469">
        <w:rPr>
          <w:rFonts w:ascii="Times New Roman" w:hAnsi="Times New Roman" w:cs="Times New Roman"/>
          <w:bCs/>
          <w:sz w:val="24"/>
          <w:szCs w:val="24"/>
          <w:u w:val="single"/>
        </w:rPr>
        <w:t>2.Проект</w:t>
      </w:r>
      <w:r w:rsidRPr="00B06469">
        <w:rPr>
          <w:rFonts w:ascii="Times New Roman" w:hAnsi="Times New Roman" w:cs="Times New Roman"/>
          <w:bCs/>
          <w:sz w:val="24"/>
          <w:szCs w:val="24"/>
        </w:rPr>
        <w:t xml:space="preserve"> </w:t>
      </w:r>
      <w:r w:rsidRPr="00B06469">
        <w:rPr>
          <w:rFonts w:ascii="Times New Roman" w:hAnsi="Times New Roman" w:cs="Times New Roman"/>
          <w:sz w:val="24"/>
          <w:szCs w:val="24"/>
        </w:rPr>
        <w:t>«Туристические маршруты «Духовное наследие Камышлинского района»»</w:t>
      </w:r>
    </w:p>
    <w:p w:rsidR="00077D58" w:rsidRPr="00B06469" w:rsidRDefault="00077D58" w:rsidP="001F0139">
      <w:pPr>
        <w:spacing w:after="0" w:line="360" w:lineRule="auto"/>
        <w:ind w:firstLine="709"/>
        <w:jc w:val="both"/>
        <w:rPr>
          <w:rFonts w:ascii="Times New Roman" w:hAnsi="Times New Roman" w:cs="Times New Roman"/>
          <w:b/>
          <w:color w:val="365F91" w:themeColor="accent1" w:themeShade="BF"/>
          <w:sz w:val="24"/>
          <w:szCs w:val="24"/>
        </w:rPr>
      </w:pPr>
    </w:p>
    <w:p w:rsidR="00E74438"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w:t>
      </w:r>
      <w:r w:rsidR="008D1B35" w:rsidRPr="00B06469">
        <w:rPr>
          <w:rFonts w:ascii="Times New Roman" w:hAnsi="Times New Roman" w:cs="Times New Roman"/>
          <w:b/>
          <w:color w:val="365F91" w:themeColor="accent1" w:themeShade="BF"/>
          <w:sz w:val="24"/>
          <w:szCs w:val="24"/>
        </w:rPr>
        <w:t>6</w:t>
      </w:r>
      <w:r w:rsidRPr="00B06469">
        <w:rPr>
          <w:rFonts w:ascii="Times New Roman" w:hAnsi="Times New Roman" w:cs="Times New Roman"/>
          <w:b/>
          <w:color w:val="365F91" w:themeColor="accent1" w:themeShade="BF"/>
          <w:sz w:val="24"/>
          <w:szCs w:val="24"/>
        </w:rPr>
        <w:t>. Вовлечение населения в спортивные мероприятия</w:t>
      </w:r>
    </w:p>
    <w:p w:rsidR="00A478B9" w:rsidRPr="00B06469" w:rsidRDefault="00A478B9" w:rsidP="001F0139">
      <w:pPr>
        <w:spacing w:after="0" w:line="360" w:lineRule="auto"/>
        <w:ind w:firstLine="709"/>
        <w:rPr>
          <w:rFonts w:ascii="Times New Roman" w:hAnsi="Times New Roman" w:cs="Times New Roman"/>
          <w:bCs/>
          <w:sz w:val="24"/>
          <w:szCs w:val="24"/>
        </w:rPr>
      </w:pPr>
      <w:r w:rsidRPr="00B06469">
        <w:rPr>
          <w:rFonts w:ascii="Times New Roman" w:hAnsi="Times New Roman" w:cs="Times New Roman"/>
          <w:bCs/>
          <w:sz w:val="24"/>
          <w:szCs w:val="24"/>
        </w:rPr>
        <w:t>Строительство спортивно-оздоровительного центра с бассейном в</w:t>
      </w:r>
      <w:r w:rsidR="002760F1" w:rsidRPr="00B06469">
        <w:rPr>
          <w:rFonts w:ascii="Times New Roman" w:hAnsi="Times New Roman" w:cs="Times New Roman"/>
          <w:bCs/>
          <w:sz w:val="24"/>
          <w:szCs w:val="24"/>
        </w:rPr>
        <w:t xml:space="preserve"> </w:t>
      </w:r>
      <w:r w:rsidRPr="00B06469">
        <w:rPr>
          <w:rFonts w:ascii="Times New Roman" w:hAnsi="Times New Roman" w:cs="Times New Roman"/>
          <w:bCs/>
          <w:sz w:val="24"/>
          <w:szCs w:val="24"/>
        </w:rPr>
        <w:t>селе Новое Усманово.</w:t>
      </w:r>
    </w:p>
    <w:p w:rsidR="00A478B9" w:rsidRPr="00B06469" w:rsidRDefault="00A478B9" w:rsidP="001F0139">
      <w:pPr>
        <w:spacing w:after="0" w:line="360" w:lineRule="auto"/>
        <w:ind w:firstLine="709"/>
        <w:rPr>
          <w:rFonts w:ascii="Times New Roman" w:hAnsi="Times New Roman" w:cs="Times New Roman"/>
          <w:bCs/>
          <w:sz w:val="24"/>
          <w:szCs w:val="24"/>
        </w:rPr>
      </w:pPr>
      <w:r w:rsidRPr="00B06469">
        <w:rPr>
          <w:rFonts w:ascii="Times New Roman" w:hAnsi="Times New Roman" w:cs="Times New Roman"/>
          <w:bCs/>
          <w:sz w:val="24"/>
          <w:szCs w:val="24"/>
        </w:rPr>
        <w:t>Строительство бассейна и стадиона-площадки в селе Старое Ермаково.</w:t>
      </w:r>
    </w:p>
    <w:p w:rsidR="00A478B9" w:rsidRPr="00B06469" w:rsidRDefault="00A478B9" w:rsidP="001F0139">
      <w:pPr>
        <w:spacing w:after="0" w:line="360" w:lineRule="auto"/>
        <w:ind w:firstLine="709"/>
        <w:rPr>
          <w:rFonts w:ascii="Times New Roman" w:hAnsi="Times New Roman" w:cs="Times New Roman"/>
          <w:bCs/>
          <w:sz w:val="24"/>
          <w:szCs w:val="24"/>
        </w:rPr>
      </w:pPr>
      <w:r w:rsidRPr="00B06469">
        <w:rPr>
          <w:rFonts w:ascii="Times New Roman" w:hAnsi="Times New Roman" w:cs="Times New Roman"/>
          <w:bCs/>
          <w:sz w:val="24"/>
          <w:szCs w:val="24"/>
        </w:rPr>
        <w:lastRenderedPageBreak/>
        <w:t>Строительство физкультурно-оздоровительных комплексов при общеобразовательных учреждениях (начального общего, основного общего, среднего (полного) общего образования) в селах Старое Усманово, Никиткино и оселке Чулпан.</w:t>
      </w:r>
    </w:p>
    <w:p w:rsidR="00A478B9" w:rsidRPr="00B06469" w:rsidRDefault="00A478B9" w:rsidP="001F0139">
      <w:pPr>
        <w:spacing w:after="0" w:line="360" w:lineRule="auto"/>
        <w:ind w:firstLine="709"/>
        <w:rPr>
          <w:rFonts w:ascii="Times New Roman" w:hAnsi="Times New Roman" w:cs="Times New Roman"/>
          <w:bCs/>
          <w:sz w:val="24"/>
          <w:szCs w:val="24"/>
        </w:rPr>
      </w:pPr>
      <w:r w:rsidRPr="00B06469">
        <w:rPr>
          <w:rFonts w:ascii="Times New Roman" w:hAnsi="Times New Roman" w:cs="Times New Roman"/>
          <w:bCs/>
          <w:sz w:val="24"/>
          <w:szCs w:val="24"/>
        </w:rPr>
        <w:t>Строительство физкультурно-оздоровительного комплекса со спортивным залом в селе Камышла.</w:t>
      </w:r>
    </w:p>
    <w:p w:rsidR="00A478B9" w:rsidRDefault="00A478B9" w:rsidP="001F0139">
      <w:pPr>
        <w:spacing w:after="0" w:line="360" w:lineRule="auto"/>
        <w:ind w:firstLine="709"/>
        <w:rPr>
          <w:rFonts w:ascii="Times New Roman" w:hAnsi="Times New Roman" w:cs="Times New Roman"/>
          <w:bCs/>
          <w:sz w:val="24"/>
          <w:szCs w:val="24"/>
        </w:rPr>
      </w:pPr>
      <w:r w:rsidRPr="00B06469">
        <w:rPr>
          <w:rFonts w:ascii="Times New Roman" w:hAnsi="Times New Roman" w:cs="Times New Roman"/>
          <w:bCs/>
          <w:sz w:val="24"/>
          <w:szCs w:val="24"/>
        </w:rPr>
        <w:t>Строительство плоскостных спортивных сооружений в селах Старая Балыкла, Старое Усманово, Новое Усманово, Камышла.</w:t>
      </w:r>
    </w:p>
    <w:p w:rsidR="000037AD" w:rsidRPr="00B06469" w:rsidRDefault="000037AD" w:rsidP="001F0139">
      <w:pPr>
        <w:spacing w:after="0" w:line="360" w:lineRule="auto"/>
        <w:ind w:firstLine="709"/>
        <w:rPr>
          <w:rFonts w:ascii="Times New Roman" w:hAnsi="Times New Roman" w:cs="Times New Roman"/>
          <w:bCs/>
          <w:sz w:val="24"/>
          <w:szCs w:val="24"/>
        </w:rPr>
      </w:pPr>
      <w:r w:rsidRPr="007223A6">
        <w:rPr>
          <w:rFonts w:ascii="Times New Roman" w:hAnsi="Times New Roman" w:cs="Times New Roman"/>
          <w:bCs/>
          <w:sz w:val="24"/>
          <w:szCs w:val="24"/>
        </w:rPr>
        <w:t>Показатель: «доля граждан, систематически занимающихся физической культурой и спортом» – планируется достижение значения  55%  к 2024 году.</w:t>
      </w:r>
    </w:p>
    <w:p w:rsidR="00077D58" w:rsidRPr="00B06469" w:rsidRDefault="00077D58"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Проекты и программы</w:t>
      </w:r>
    </w:p>
    <w:p w:rsidR="00077D58" w:rsidRPr="00B06469" w:rsidRDefault="00077D58" w:rsidP="001F0139">
      <w:pPr>
        <w:spacing w:after="0" w:line="360" w:lineRule="auto"/>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«Строительство конезавода для активизации конного спорта в районе» (2021-2025 гг)</w:t>
      </w:r>
    </w:p>
    <w:p w:rsidR="00077D58" w:rsidRPr="00B06469" w:rsidRDefault="00077D58" w:rsidP="001F0139">
      <w:pPr>
        <w:spacing w:after="0" w:line="360" w:lineRule="auto"/>
        <w:ind w:firstLine="709"/>
        <w:jc w:val="both"/>
        <w:rPr>
          <w:rFonts w:ascii="Times New Roman" w:hAnsi="Times New Roman" w:cs="Times New Roman"/>
          <w:b/>
          <w:color w:val="365F91" w:themeColor="accent1" w:themeShade="BF"/>
          <w:sz w:val="24"/>
          <w:szCs w:val="24"/>
        </w:rPr>
      </w:pPr>
    </w:p>
    <w:p w:rsidR="00337AC4" w:rsidRPr="00B06469" w:rsidRDefault="00337AC4"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6.2.</w:t>
      </w:r>
      <w:r w:rsidR="008D1B35" w:rsidRPr="00B06469">
        <w:rPr>
          <w:rFonts w:ascii="Times New Roman" w:hAnsi="Times New Roman" w:cs="Times New Roman"/>
          <w:b/>
          <w:color w:val="365F91" w:themeColor="accent1" w:themeShade="BF"/>
          <w:sz w:val="24"/>
          <w:szCs w:val="24"/>
        </w:rPr>
        <w:t>7</w:t>
      </w:r>
      <w:r w:rsidRPr="00B06469">
        <w:rPr>
          <w:rFonts w:ascii="Times New Roman" w:hAnsi="Times New Roman" w:cs="Times New Roman"/>
          <w:b/>
          <w:color w:val="365F91" w:themeColor="accent1" w:themeShade="BF"/>
          <w:sz w:val="24"/>
          <w:szCs w:val="24"/>
        </w:rPr>
        <w:t>. Создание и развитие информационно-коммуникационной среды района</w:t>
      </w:r>
    </w:p>
    <w:p w:rsidR="00077D58" w:rsidRPr="00B06469" w:rsidRDefault="00077D58"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Проект</w:t>
      </w:r>
      <w:r w:rsidR="008D1B35" w:rsidRPr="00B06469">
        <w:rPr>
          <w:rFonts w:ascii="Times New Roman" w:hAnsi="Times New Roman" w:cs="Times New Roman"/>
          <w:sz w:val="24"/>
          <w:szCs w:val="24"/>
        </w:rPr>
        <w:t>ы</w:t>
      </w:r>
      <w:r w:rsidRPr="00B06469">
        <w:rPr>
          <w:rFonts w:ascii="Times New Roman" w:hAnsi="Times New Roman" w:cs="Times New Roman"/>
          <w:sz w:val="24"/>
          <w:szCs w:val="24"/>
        </w:rPr>
        <w:t xml:space="preserve"> и программы</w:t>
      </w:r>
    </w:p>
    <w:p w:rsidR="00077D58" w:rsidRPr="00B06469" w:rsidRDefault="00077D58" w:rsidP="001F0139">
      <w:pPr>
        <w:numPr>
          <w:ilvl w:val="0"/>
          <w:numId w:val="24"/>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 xml:space="preserve">на основе государственно-частного партнерства «Обеспечение всех населенных пунктов района качественной мобильной связью и Интернет» </w:t>
      </w:r>
    </w:p>
    <w:p w:rsidR="00077D58" w:rsidRPr="00B06469" w:rsidRDefault="00077D58" w:rsidP="001F0139">
      <w:pPr>
        <w:numPr>
          <w:ilvl w:val="0"/>
          <w:numId w:val="24"/>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«Развитие местного радио- и телевещания»</w:t>
      </w:r>
    </w:p>
    <w:p w:rsidR="00077D58" w:rsidRPr="00B06469" w:rsidRDefault="00077D58" w:rsidP="001F0139">
      <w:pPr>
        <w:numPr>
          <w:ilvl w:val="0"/>
          <w:numId w:val="24"/>
        </w:numPr>
        <w:spacing w:after="0" w:line="360" w:lineRule="auto"/>
        <w:ind w:left="0"/>
        <w:jc w:val="both"/>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«Создание культурно-образовательного портала района»</w:t>
      </w:r>
    </w:p>
    <w:p w:rsidR="00077D58" w:rsidRPr="00B06469" w:rsidRDefault="00077D58" w:rsidP="001F0139">
      <w:pPr>
        <w:spacing w:after="0" w:line="360" w:lineRule="auto"/>
        <w:ind w:firstLine="709"/>
        <w:jc w:val="both"/>
        <w:rPr>
          <w:rFonts w:ascii="Times New Roman" w:hAnsi="Times New Roman" w:cs="Times New Roman"/>
          <w:b/>
          <w:color w:val="365F91" w:themeColor="accent1" w:themeShade="BF"/>
          <w:sz w:val="24"/>
          <w:szCs w:val="24"/>
        </w:rPr>
      </w:pPr>
    </w:p>
    <w:p w:rsidR="00302E87" w:rsidRPr="00B06469" w:rsidRDefault="00302E87"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Ожидаемые результаты</w:t>
      </w:r>
    </w:p>
    <w:tbl>
      <w:tblPr>
        <w:tblStyle w:val="a9"/>
        <w:tblW w:w="0" w:type="auto"/>
        <w:jc w:val="center"/>
        <w:tblLook w:val="04A0" w:firstRow="1" w:lastRow="0" w:firstColumn="1" w:lastColumn="0" w:noHBand="0" w:noVBand="1"/>
      </w:tblPr>
      <w:tblGrid>
        <w:gridCol w:w="2509"/>
        <w:gridCol w:w="675"/>
        <w:gridCol w:w="1630"/>
        <w:gridCol w:w="865"/>
        <w:gridCol w:w="865"/>
        <w:gridCol w:w="940"/>
      </w:tblGrid>
      <w:tr w:rsidR="00302E87" w:rsidRPr="00B06469" w:rsidTr="00A722E5">
        <w:trPr>
          <w:jc w:val="center"/>
        </w:trPr>
        <w:tc>
          <w:tcPr>
            <w:tcW w:w="2509" w:type="dxa"/>
            <w:shd w:val="clear" w:color="auto" w:fill="C00000"/>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Целевой показатель</w:t>
            </w:r>
          </w:p>
        </w:tc>
        <w:tc>
          <w:tcPr>
            <w:tcW w:w="675" w:type="dxa"/>
            <w:shd w:val="clear" w:color="auto" w:fill="C00000"/>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Ед. изм.</w:t>
            </w:r>
          </w:p>
        </w:tc>
        <w:tc>
          <w:tcPr>
            <w:tcW w:w="1630" w:type="dxa"/>
            <w:shd w:val="clear" w:color="auto" w:fill="C00000"/>
            <w:vAlign w:val="center"/>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Сценарий</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2020г.</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2025г.</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2030г.</w:t>
            </w:r>
          </w:p>
        </w:tc>
      </w:tr>
      <w:tr w:rsidR="00302E87" w:rsidRPr="00B06469" w:rsidTr="00A722E5">
        <w:trPr>
          <w:trHeight w:val="439"/>
          <w:jc w:val="center"/>
        </w:trPr>
        <w:tc>
          <w:tcPr>
            <w:tcW w:w="2509" w:type="dxa"/>
            <w:vMerge w:val="restart"/>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доля выпускников общеобразовательных организаций, сдавших единый государственный экзамен</w:t>
            </w:r>
          </w:p>
        </w:tc>
        <w:tc>
          <w:tcPr>
            <w:tcW w:w="675" w:type="dxa"/>
            <w:vMerge w:val="restart"/>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68%</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79%</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90%</w:t>
            </w:r>
          </w:p>
        </w:tc>
      </w:tr>
      <w:tr w:rsidR="00302E87" w:rsidRPr="00B06469" w:rsidTr="00A722E5">
        <w:trPr>
          <w:jc w:val="center"/>
        </w:trPr>
        <w:tc>
          <w:tcPr>
            <w:tcW w:w="2509" w:type="dxa"/>
            <w:vMerge/>
          </w:tcPr>
          <w:p w:rsidR="00302E87" w:rsidRPr="00B06469" w:rsidRDefault="00302E87" w:rsidP="001F0139">
            <w:pPr>
              <w:jc w:val="both"/>
              <w:rPr>
                <w:rFonts w:ascii="Times New Roman" w:hAnsi="Times New Roman" w:cs="Times New Roman"/>
                <w:sz w:val="24"/>
                <w:szCs w:val="24"/>
              </w:rPr>
            </w:pPr>
          </w:p>
        </w:tc>
        <w:tc>
          <w:tcPr>
            <w:tcW w:w="675" w:type="dxa"/>
            <w:vMerge/>
            <w:vAlign w:val="center"/>
          </w:tcPr>
          <w:p w:rsidR="00302E87" w:rsidRPr="00B06469" w:rsidRDefault="00302E87" w:rsidP="001F0139">
            <w:pPr>
              <w:jc w:val="both"/>
              <w:rPr>
                <w:rFonts w:ascii="Times New Roman" w:hAnsi="Times New Roman" w:cs="Times New Roman"/>
                <w:sz w:val="24"/>
                <w:szCs w:val="24"/>
              </w:rPr>
            </w:pP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70%</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80%</w:t>
            </w:r>
          </w:p>
        </w:tc>
        <w:tc>
          <w:tcPr>
            <w:tcW w:w="865" w:type="dxa"/>
            <w:vAlign w:val="center"/>
          </w:tcPr>
          <w:p w:rsidR="00302E87" w:rsidRPr="00B06469" w:rsidRDefault="00302E87" w:rsidP="001F0139">
            <w:pPr>
              <w:pStyle w:val="aa"/>
              <w:spacing w:line="360" w:lineRule="auto"/>
              <w:ind w:firstLine="709"/>
            </w:pPr>
            <w:r w:rsidRPr="00B06469">
              <w:t xml:space="preserve">998%. </w:t>
            </w:r>
          </w:p>
          <w:p w:rsidR="00302E87" w:rsidRPr="00B06469" w:rsidRDefault="00302E87" w:rsidP="001F0139">
            <w:pPr>
              <w:jc w:val="both"/>
              <w:rPr>
                <w:rFonts w:ascii="Times New Roman" w:hAnsi="Times New Roman" w:cs="Times New Roman"/>
                <w:sz w:val="24"/>
                <w:szCs w:val="24"/>
              </w:rPr>
            </w:pPr>
          </w:p>
        </w:tc>
      </w:tr>
      <w:tr w:rsidR="00302E87" w:rsidRPr="00B06469" w:rsidTr="00A722E5">
        <w:trPr>
          <w:trHeight w:val="1767"/>
          <w:jc w:val="center"/>
        </w:trPr>
        <w:tc>
          <w:tcPr>
            <w:tcW w:w="2509" w:type="dxa"/>
            <w:vMerge w:val="restart"/>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удельный вес численности выпускников профессиональных образовательных учреждений, трудоустроившихся в течение одного года после окончания обучения по полученной специальности </w:t>
            </w:r>
            <w:r w:rsidRPr="00B06469">
              <w:rPr>
                <w:rFonts w:ascii="Times New Roman" w:hAnsi="Times New Roman" w:cs="Times New Roman"/>
                <w:sz w:val="24"/>
                <w:szCs w:val="24"/>
              </w:rPr>
              <w:lastRenderedPageBreak/>
              <w:t>(профес</w:t>
            </w:r>
            <w:r w:rsidRPr="00B06469">
              <w:rPr>
                <w:rFonts w:ascii="Times New Roman" w:hAnsi="Times New Roman" w:cs="Times New Roman"/>
                <w:sz w:val="24"/>
                <w:szCs w:val="24"/>
              </w:rPr>
              <w:softHyphen/>
              <w:t>сии), в общей их численности -.</w:t>
            </w:r>
          </w:p>
          <w:p w:rsidR="00302E87" w:rsidRPr="00B06469" w:rsidRDefault="00302E87" w:rsidP="001F0139">
            <w:pPr>
              <w:jc w:val="both"/>
              <w:rPr>
                <w:rFonts w:ascii="Times New Roman" w:hAnsi="Times New Roman" w:cs="Times New Roman"/>
                <w:sz w:val="24"/>
                <w:szCs w:val="24"/>
              </w:rPr>
            </w:pPr>
          </w:p>
        </w:tc>
        <w:tc>
          <w:tcPr>
            <w:tcW w:w="675" w:type="dxa"/>
            <w:vMerge w:val="restart"/>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lastRenderedPageBreak/>
              <w:t>%</w:t>
            </w: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48%</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57%</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68%</w:t>
            </w:r>
          </w:p>
        </w:tc>
      </w:tr>
      <w:tr w:rsidR="00302E87" w:rsidRPr="00B06469" w:rsidTr="00A722E5">
        <w:trPr>
          <w:jc w:val="center"/>
        </w:trPr>
        <w:tc>
          <w:tcPr>
            <w:tcW w:w="2509" w:type="dxa"/>
            <w:vMerge/>
          </w:tcPr>
          <w:p w:rsidR="00302E87" w:rsidRPr="00B06469" w:rsidRDefault="00302E87" w:rsidP="001F0139">
            <w:pPr>
              <w:jc w:val="both"/>
              <w:rPr>
                <w:rFonts w:ascii="Times New Roman" w:hAnsi="Times New Roman" w:cs="Times New Roman"/>
                <w:sz w:val="24"/>
                <w:szCs w:val="24"/>
              </w:rPr>
            </w:pPr>
          </w:p>
        </w:tc>
        <w:tc>
          <w:tcPr>
            <w:tcW w:w="675" w:type="dxa"/>
            <w:vMerge/>
          </w:tcPr>
          <w:p w:rsidR="00302E87" w:rsidRPr="00B06469" w:rsidRDefault="00302E87" w:rsidP="001F0139">
            <w:pPr>
              <w:jc w:val="both"/>
              <w:rPr>
                <w:rFonts w:ascii="Times New Roman" w:hAnsi="Times New Roman" w:cs="Times New Roman"/>
                <w:sz w:val="24"/>
                <w:szCs w:val="24"/>
              </w:rPr>
            </w:pP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50%</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60%</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70%</w:t>
            </w:r>
          </w:p>
        </w:tc>
      </w:tr>
      <w:tr w:rsidR="00302E87" w:rsidRPr="00B06469" w:rsidTr="00A722E5">
        <w:trPr>
          <w:trHeight w:val="1010"/>
          <w:jc w:val="center"/>
        </w:trPr>
        <w:tc>
          <w:tcPr>
            <w:tcW w:w="2509" w:type="dxa"/>
            <w:vMerge w:val="restart"/>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доля обучающихся, занимающихся в первую смену, в общей численности обучающихся в учреждениях, реализующих основные общеобразовательные программы общего образования - </w:t>
            </w:r>
          </w:p>
        </w:tc>
        <w:tc>
          <w:tcPr>
            <w:tcW w:w="675" w:type="dxa"/>
            <w:vMerge w:val="restart"/>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73%</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83%</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90%</w:t>
            </w:r>
          </w:p>
        </w:tc>
      </w:tr>
      <w:tr w:rsidR="00302E87" w:rsidRPr="00B06469" w:rsidTr="00A722E5">
        <w:trPr>
          <w:jc w:val="center"/>
        </w:trPr>
        <w:tc>
          <w:tcPr>
            <w:tcW w:w="2509" w:type="dxa"/>
            <w:vMerge/>
          </w:tcPr>
          <w:p w:rsidR="00302E87" w:rsidRPr="00B06469" w:rsidRDefault="00302E87" w:rsidP="001F0139">
            <w:pPr>
              <w:jc w:val="both"/>
              <w:rPr>
                <w:rFonts w:ascii="Times New Roman" w:hAnsi="Times New Roman" w:cs="Times New Roman"/>
                <w:sz w:val="24"/>
                <w:szCs w:val="24"/>
              </w:rPr>
            </w:pPr>
          </w:p>
        </w:tc>
        <w:tc>
          <w:tcPr>
            <w:tcW w:w="675" w:type="dxa"/>
            <w:vMerge/>
            <w:vAlign w:val="center"/>
          </w:tcPr>
          <w:p w:rsidR="00302E87" w:rsidRPr="00B06469" w:rsidRDefault="00302E87" w:rsidP="001F0139">
            <w:pPr>
              <w:jc w:val="both"/>
              <w:rPr>
                <w:rFonts w:ascii="Times New Roman" w:hAnsi="Times New Roman" w:cs="Times New Roman"/>
                <w:sz w:val="24"/>
                <w:szCs w:val="24"/>
              </w:rPr>
            </w:pPr>
          </w:p>
        </w:tc>
        <w:tc>
          <w:tcPr>
            <w:tcW w:w="1630"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85%</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96%</w:t>
            </w:r>
          </w:p>
        </w:tc>
        <w:tc>
          <w:tcPr>
            <w:tcW w:w="865" w:type="dxa"/>
            <w:vAlign w:val="center"/>
          </w:tcPr>
          <w:p w:rsidR="00302E87" w:rsidRPr="00B06469" w:rsidRDefault="00302E87" w:rsidP="001F0139">
            <w:pPr>
              <w:jc w:val="both"/>
              <w:rPr>
                <w:rFonts w:ascii="Times New Roman" w:hAnsi="Times New Roman" w:cs="Times New Roman"/>
                <w:sz w:val="24"/>
                <w:szCs w:val="24"/>
              </w:rPr>
            </w:pPr>
            <w:r w:rsidRPr="00B06469">
              <w:rPr>
                <w:rFonts w:ascii="Times New Roman" w:hAnsi="Times New Roman" w:cs="Times New Roman"/>
                <w:sz w:val="24"/>
                <w:szCs w:val="24"/>
              </w:rPr>
              <w:t>100%.</w:t>
            </w:r>
          </w:p>
          <w:p w:rsidR="00302E87" w:rsidRPr="00B06469" w:rsidRDefault="00302E87" w:rsidP="001F0139">
            <w:pPr>
              <w:jc w:val="both"/>
              <w:rPr>
                <w:rFonts w:ascii="Times New Roman" w:hAnsi="Times New Roman" w:cs="Times New Roman"/>
                <w:sz w:val="24"/>
                <w:szCs w:val="24"/>
              </w:rPr>
            </w:pPr>
          </w:p>
        </w:tc>
      </w:tr>
    </w:tbl>
    <w:p w:rsidR="00302E87" w:rsidRPr="00B06469" w:rsidRDefault="00302E87" w:rsidP="001F0139">
      <w:pPr>
        <w:spacing w:after="0" w:line="360" w:lineRule="auto"/>
        <w:ind w:firstLine="709"/>
        <w:jc w:val="both"/>
        <w:rPr>
          <w:rFonts w:ascii="Times New Roman" w:hAnsi="Times New Roman" w:cs="Times New Roman"/>
          <w:b/>
          <w:color w:val="365F91" w:themeColor="accent1" w:themeShade="BF"/>
          <w:sz w:val="24"/>
          <w:szCs w:val="24"/>
        </w:rPr>
      </w:pPr>
    </w:p>
    <w:tbl>
      <w:tblPr>
        <w:tblStyle w:val="a9"/>
        <w:tblW w:w="0" w:type="auto"/>
        <w:jc w:val="center"/>
        <w:tblLook w:val="04A0" w:firstRow="1" w:lastRow="0" w:firstColumn="1" w:lastColumn="0" w:noHBand="0" w:noVBand="1"/>
      </w:tblPr>
      <w:tblGrid>
        <w:gridCol w:w="2566"/>
        <w:gridCol w:w="675"/>
        <w:gridCol w:w="1630"/>
        <w:gridCol w:w="865"/>
        <w:gridCol w:w="865"/>
        <w:gridCol w:w="865"/>
      </w:tblGrid>
      <w:tr w:rsidR="00302E87" w:rsidRPr="00B06469" w:rsidTr="00A722E5">
        <w:trPr>
          <w:jc w:val="center"/>
        </w:trPr>
        <w:tc>
          <w:tcPr>
            <w:tcW w:w="2509" w:type="dxa"/>
            <w:shd w:val="clear" w:color="auto" w:fill="C00000"/>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Целевой показатель</w:t>
            </w:r>
          </w:p>
        </w:tc>
        <w:tc>
          <w:tcPr>
            <w:tcW w:w="675" w:type="dxa"/>
            <w:shd w:val="clear" w:color="auto" w:fill="C00000"/>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Ед. изм.</w:t>
            </w:r>
          </w:p>
        </w:tc>
        <w:tc>
          <w:tcPr>
            <w:tcW w:w="1630" w:type="dxa"/>
            <w:shd w:val="clear" w:color="auto" w:fill="C00000"/>
            <w:vAlign w:val="center"/>
          </w:tcPr>
          <w:p w:rsidR="00302E87" w:rsidRPr="00B06469" w:rsidRDefault="00302E87"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Сценарий</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2020г.</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2025г.</w:t>
            </w:r>
          </w:p>
        </w:tc>
        <w:tc>
          <w:tcPr>
            <w:tcW w:w="865" w:type="dxa"/>
            <w:shd w:val="clear" w:color="auto" w:fill="C00000"/>
          </w:tcPr>
          <w:p w:rsidR="00302E87" w:rsidRPr="00B06469" w:rsidRDefault="00302E87" w:rsidP="001F0139">
            <w:pPr>
              <w:rPr>
                <w:rFonts w:ascii="Times New Roman" w:hAnsi="Times New Roman" w:cs="Times New Roman"/>
                <w:b/>
                <w:sz w:val="24"/>
                <w:szCs w:val="24"/>
              </w:rPr>
            </w:pPr>
            <w:r w:rsidRPr="00B06469">
              <w:rPr>
                <w:rFonts w:ascii="Times New Roman" w:hAnsi="Times New Roman" w:cs="Times New Roman"/>
                <w:b/>
                <w:sz w:val="24"/>
                <w:szCs w:val="24"/>
              </w:rPr>
              <w:t>2030г.</w:t>
            </w:r>
          </w:p>
        </w:tc>
      </w:tr>
      <w:tr w:rsidR="00302E87" w:rsidRPr="00B06469" w:rsidTr="00A722E5">
        <w:trPr>
          <w:trHeight w:val="439"/>
          <w:jc w:val="center"/>
        </w:trPr>
        <w:tc>
          <w:tcPr>
            <w:tcW w:w="2509" w:type="dxa"/>
            <w:vMerge w:val="restart"/>
          </w:tcPr>
          <w:p w:rsidR="00302E87" w:rsidRPr="00B06469" w:rsidRDefault="00302E87" w:rsidP="001F0139">
            <w:pPr>
              <w:rPr>
                <w:rFonts w:ascii="Times New Roman" w:hAnsi="Times New Roman" w:cs="Times New Roman"/>
                <w:sz w:val="24"/>
                <w:szCs w:val="24"/>
              </w:rPr>
            </w:pPr>
            <w:r w:rsidRPr="00B06469">
              <w:rPr>
                <w:rFonts w:ascii="Times New Roman" w:hAnsi="Times New Roman" w:cs="Times New Roman"/>
                <w:sz w:val="24"/>
                <w:szCs w:val="24"/>
              </w:rPr>
              <w:t>Численность врачей на 10 000 человек населения, лет.</w:t>
            </w:r>
          </w:p>
        </w:tc>
        <w:tc>
          <w:tcPr>
            <w:tcW w:w="675" w:type="dxa"/>
            <w:vMerge w:val="restart"/>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29%</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31%</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33,5%</w:t>
            </w:r>
          </w:p>
        </w:tc>
      </w:tr>
      <w:tr w:rsidR="00302E87" w:rsidRPr="00B06469" w:rsidTr="00A722E5">
        <w:trPr>
          <w:jc w:val="center"/>
        </w:trPr>
        <w:tc>
          <w:tcPr>
            <w:tcW w:w="2509" w:type="dxa"/>
            <w:vMerge/>
          </w:tcPr>
          <w:p w:rsidR="00302E87" w:rsidRPr="00B06469" w:rsidRDefault="00302E87" w:rsidP="001F0139">
            <w:pPr>
              <w:rPr>
                <w:rFonts w:ascii="Times New Roman" w:hAnsi="Times New Roman" w:cs="Times New Roman"/>
                <w:sz w:val="24"/>
                <w:szCs w:val="24"/>
              </w:rPr>
            </w:pPr>
          </w:p>
        </w:tc>
        <w:tc>
          <w:tcPr>
            <w:tcW w:w="675" w:type="dxa"/>
            <w:vMerge/>
            <w:vAlign w:val="center"/>
          </w:tcPr>
          <w:p w:rsidR="00302E87" w:rsidRPr="00B06469" w:rsidRDefault="00302E87" w:rsidP="001F0139">
            <w:pPr>
              <w:jc w:val="center"/>
              <w:rPr>
                <w:rFonts w:ascii="Times New Roman" w:hAnsi="Times New Roman" w:cs="Times New Roman"/>
                <w:sz w:val="24"/>
                <w:szCs w:val="24"/>
              </w:rPr>
            </w:pP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30%</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33%</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35,6%</w:t>
            </w:r>
          </w:p>
        </w:tc>
      </w:tr>
      <w:tr w:rsidR="00302E87" w:rsidRPr="00B06469" w:rsidTr="00A722E5">
        <w:trPr>
          <w:trHeight w:val="451"/>
          <w:jc w:val="center"/>
        </w:trPr>
        <w:tc>
          <w:tcPr>
            <w:tcW w:w="2509" w:type="dxa"/>
            <w:vMerge w:val="restart"/>
          </w:tcPr>
          <w:p w:rsidR="00302E87" w:rsidRPr="00B06469" w:rsidRDefault="00302E87" w:rsidP="001F0139">
            <w:pPr>
              <w:rPr>
                <w:rFonts w:ascii="Times New Roman" w:hAnsi="Times New Roman" w:cs="Times New Roman"/>
                <w:sz w:val="24"/>
                <w:szCs w:val="24"/>
              </w:rPr>
            </w:pPr>
            <w:r w:rsidRPr="00B06469">
              <w:rPr>
                <w:rFonts w:ascii="Times New Roman" w:hAnsi="Times New Roman" w:cs="Times New Roman"/>
                <w:sz w:val="24"/>
                <w:szCs w:val="24"/>
              </w:rPr>
              <w:t>Число больничных коек круглосуточных стационаров на 10 000 человек</w:t>
            </w:r>
          </w:p>
        </w:tc>
        <w:tc>
          <w:tcPr>
            <w:tcW w:w="675" w:type="dxa"/>
            <w:vMerge w:val="restart"/>
          </w:tcPr>
          <w:p w:rsidR="00302E87" w:rsidRPr="00B06469" w:rsidRDefault="00302E87" w:rsidP="001F0139">
            <w:pPr>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!6%</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17%</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19%</w:t>
            </w:r>
          </w:p>
        </w:tc>
      </w:tr>
      <w:tr w:rsidR="00302E87" w:rsidRPr="00B06469" w:rsidTr="00A722E5">
        <w:trPr>
          <w:jc w:val="center"/>
        </w:trPr>
        <w:tc>
          <w:tcPr>
            <w:tcW w:w="2509" w:type="dxa"/>
            <w:vMerge/>
          </w:tcPr>
          <w:p w:rsidR="00302E87" w:rsidRPr="00B06469" w:rsidRDefault="00302E87" w:rsidP="001F0139">
            <w:pPr>
              <w:rPr>
                <w:rFonts w:ascii="Times New Roman" w:hAnsi="Times New Roman" w:cs="Times New Roman"/>
                <w:sz w:val="24"/>
                <w:szCs w:val="24"/>
              </w:rPr>
            </w:pPr>
          </w:p>
        </w:tc>
        <w:tc>
          <w:tcPr>
            <w:tcW w:w="675" w:type="dxa"/>
            <w:vMerge/>
          </w:tcPr>
          <w:p w:rsidR="00302E87" w:rsidRPr="00B06469" w:rsidRDefault="00302E87" w:rsidP="001F0139">
            <w:pPr>
              <w:jc w:val="center"/>
              <w:rPr>
                <w:rFonts w:ascii="Times New Roman" w:hAnsi="Times New Roman" w:cs="Times New Roman"/>
                <w:sz w:val="24"/>
                <w:szCs w:val="24"/>
              </w:rPr>
            </w:pP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17%</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20%</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21,7%</w:t>
            </w:r>
          </w:p>
        </w:tc>
      </w:tr>
      <w:tr w:rsidR="00302E87" w:rsidRPr="00B06469" w:rsidTr="00A722E5">
        <w:trPr>
          <w:jc w:val="center"/>
        </w:trPr>
        <w:tc>
          <w:tcPr>
            <w:tcW w:w="2509" w:type="dxa"/>
            <w:vMerge w:val="restart"/>
          </w:tcPr>
          <w:p w:rsidR="00302E87" w:rsidRPr="00B06469" w:rsidRDefault="00302E87" w:rsidP="001F0139">
            <w:pPr>
              <w:pStyle w:val="aa"/>
            </w:pPr>
            <w:r w:rsidRPr="00B06469">
              <w:t>Удовлетворенность населения медицинской помощью</w:t>
            </w:r>
          </w:p>
        </w:tc>
        <w:tc>
          <w:tcPr>
            <w:tcW w:w="675" w:type="dxa"/>
            <w:vMerge w:val="restart"/>
          </w:tcPr>
          <w:p w:rsidR="00302E87" w:rsidRPr="00B06469" w:rsidRDefault="00302E87" w:rsidP="001F0139">
            <w:pPr>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73%</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83%</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90%</w:t>
            </w:r>
          </w:p>
        </w:tc>
      </w:tr>
      <w:tr w:rsidR="00302E87" w:rsidRPr="00B06469" w:rsidTr="00A722E5">
        <w:trPr>
          <w:jc w:val="center"/>
        </w:trPr>
        <w:tc>
          <w:tcPr>
            <w:tcW w:w="2509" w:type="dxa"/>
            <w:vMerge/>
          </w:tcPr>
          <w:p w:rsidR="00302E87" w:rsidRPr="00B06469" w:rsidRDefault="00302E87" w:rsidP="001F0139">
            <w:pPr>
              <w:pStyle w:val="aa"/>
            </w:pPr>
          </w:p>
        </w:tc>
        <w:tc>
          <w:tcPr>
            <w:tcW w:w="675" w:type="dxa"/>
            <w:vMerge/>
            <w:vAlign w:val="center"/>
          </w:tcPr>
          <w:p w:rsidR="00302E87" w:rsidRPr="00B06469" w:rsidRDefault="00302E87" w:rsidP="001F0139">
            <w:pPr>
              <w:jc w:val="center"/>
              <w:rPr>
                <w:rFonts w:ascii="Times New Roman" w:hAnsi="Times New Roman" w:cs="Times New Roman"/>
                <w:sz w:val="24"/>
                <w:szCs w:val="24"/>
              </w:rPr>
            </w:pP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75%</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85%</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95%</w:t>
            </w:r>
          </w:p>
        </w:tc>
      </w:tr>
      <w:tr w:rsidR="00302E87" w:rsidRPr="00B06469" w:rsidTr="00A722E5">
        <w:trPr>
          <w:trHeight w:val="413"/>
          <w:jc w:val="center"/>
        </w:trPr>
        <w:tc>
          <w:tcPr>
            <w:tcW w:w="2509" w:type="dxa"/>
            <w:vMerge w:val="restart"/>
          </w:tcPr>
          <w:p w:rsidR="00302E87" w:rsidRPr="00B06469" w:rsidRDefault="00302E87" w:rsidP="001F0139">
            <w:pPr>
              <w:rPr>
                <w:rFonts w:ascii="Times New Roman" w:hAnsi="Times New Roman" w:cs="Times New Roman"/>
                <w:sz w:val="24"/>
                <w:szCs w:val="24"/>
              </w:rPr>
            </w:pPr>
            <w:r w:rsidRPr="00B06469">
              <w:rPr>
                <w:rFonts w:ascii="Times New Roman" w:hAnsi="Times New Roman" w:cs="Times New Roman"/>
                <w:sz w:val="24"/>
                <w:szCs w:val="24"/>
              </w:rPr>
              <w:t>Ожидаемая продолжительность жизни</w:t>
            </w:r>
          </w:p>
        </w:tc>
        <w:tc>
          <w:tcPr>
            <w:tcW w:w="675" w:type="dxa"/>
            <w:vMerge w:val="restart"/>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лет</w:t>
            </w: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76</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77</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79</w:t>
            </w:r>
          </w:p>
        </w:tc>
      </w:tr>
      <w:tr w:rsidR="00302E87" w:rsidRPr="00B06469" w:rsidTr="00A722E5">
        <w:trPr>
          <w:trHeight w:val="412"/>
          <w:jc w:val="center"/>
        </w:trPr>
        <w:tc>
          <w:tcPr>
            <w:tcW w:w="2509" w:type="dxa"/>
            <w:vMerge/>
          </w:tcPr>
          <w:p w:rsidR="00302E87" w:rsidRPr="00B06469" w:rsidRDefault="00302E87" w:rsidP="001F0139">
            <w:pPr>
              <w:rPr>
                <w:rFonts w:ascii="Times New Roman" w:hAnsi="Times New Roman" w:cs="Times New Roman"/>
                <w:sz w:val="24"/>
                <w:szCs w:val="24"/>
              </w:rPr>
            </w:pPr>
          </w:p>
        </w:tc>
        <w:tc>
          <w:tcPr>
            <w:tcW w:w="675" w:type="dxa"/>
            <w:vMerge/>
            <w:vAlign w:val="center"/>
          </w:tcPr>
          <w:p w:rsidR="00302E87" w:rsidRPr="00B06469" w:rsidRDefault="00302E87" w:rsidP="001F0139">
            <w:pPr>
              <w:jc w:val="center"/>
              <w:rPr>
                <w:rFonts w:ascii="Times New Roman" w:hAnsi="Times New Roman" w:cs="Times New Roman"/>
                <w:sz w:val="24"/>
                <w:szCs w:val="24"/>
              </w:rPr>
            </w:pPr>
          </w:p>
        </w:tc>
        <w:tc>
          <w:tcPr>
            <w:tcW w:w="1630"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77</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78</w:t>
            </w:r>
          </w:p>
        </w:tc>
        <w:tc>
          <w:tcPr>
            <w:tcW w:w="865" w:type="dxa"/>
            <w:vAlign w:val="center"/>
          </w:tcPr>
          <w:p w:rsidR="00302E87" w:rsidRPr="00B06469" w:rsidRDefault="00302E87" w:rsidP="001F0139">
            <w:pPr>
              <w:jc w:val="center"/>
              <w:rPr>
                <w:rFonts w:ascii="Times New Roman" w:hAnsi="Times New Roman" w:cs="Times New Roman"/>
                <w:sz w:val="24"/>
                <w:szCs w:val="24"/>
              </w:rPr>
            </w:pPr>
            <w:r w:rsidRPr="00B06469">
              <w:rPr>
                <w:rFonts w:ascii="Times New Roman" w:hAnsi="Times New Roman" w:cs="Times New Roman"/>
                <w:sz w:val="24"/>
                <w:szCs w:val="24"/>
              </w:rPr>
              <w:t>80</w:t>
            </w:r>
          </w:p>
        </w:tc>
      </w:tr>
    </w:tbl>
    <w:p w:rsidR="008D1B35" w:rsidRPr="00B06469" w:rsidRDefault="008D1B35" w:rsidP="001F0139">
      <w:pPr>
        <w:spacing w:after="0" w:line="360" w:lineRule="auto"/>
        <w:ind w:firstLine="709"/>
        <w:jc w:val="both"/>
        <w:rPr>
          <w:rFonts w:ascii="Times New Roman" w:hAnsi="Times New Roman" w:cs="Times New Roman"/>
          <w:b/>
          <w:color w:val="365F91" w:themeColor="accent1" w:themeShade="BF"/>
          <w:sz w:val="24"/>
          <w:szCs w:val="24"/>
        </w:rPr>
      </w:pPr>
    </w:p>
    <w:p w:rsidR="008D1B35" w:rsidRPr="00B06469" w:rsidRDefault="008D1B35" w:rsidP="001F0139">
      <w:pPr>
        <w:spacing w:after="0" w:line="360" w:lineRule="auto"/>
        <w:ind w:firstLine="709"/>
        <w:jc w:val="both"/>
        <w:rPr>
          <w:rFonts w:ascii="Times New Roman" w:hAnsi="Times New Roman" w:cs="Times New Roman"/>
          <w:b/>
          <w:color w:val="365F91" w:themeColor="accent1" w:themeShade="BF"/>
          <w:sz w:val="24"/>
          <w:szCs w:val="24"/>
        </w:rPr>
      </w:pPr>
    </w:p>
    <w:p w:rsidR="002760F1" w:rsidRPr="00B06469" w:rsidRDefault="002760F1">
      <w:pPr>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br w:type="page"/>
      </w:r>
    </w:p>
    <w:p w:rsidR="00E74438" w:rsidRPr="00B06469" w:rsidRDefault="00E74438" w:rsidP="001F0139">
      <w:pPr>
        <w:widowControl w:val="0"/>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7. Создание комфортного пространства района</w:t>
      </w:r>
      <w:r w:rsidR="002760F1" w:rsidRPr="00B06469">
        <w:rPr>
          <w:rFonts w:ascii="Times New Roman" w:hAnsi="Times New Roman" w:cs="Times New Roman"/>
          <w:b/>
          <w:color w:val="365F91" w:themeColor="accent1" w:themeShade="BF"/>
          <w:sz w:val="24"/>
          <w:szCs w:val="24"/>
        </w:rPr>
        <w:t xml:space="preserve"> </w:t>
      </w:r>
      <w:r w:rsidRPr="00B06469">
        <w:rPr>
          <w:rFonts w:ascii="Times New Roman" w:hAnsi="Times New Roman" w:cs="Times New Roman"/>
          <w:b/>
          <w:color w:val="365F91" w:themeColor="accent1" w:themeShade="BF"/>
          <w:sz w:val="24"/>
          <w:szCs w:val="24"/>
        </w:rPr>
        <w:t>для гармоничного развития человеческого капитала</w:t>
      </w:r>
    </w:p>
    <w:p w:rsidR="00E74438"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7.1. Стратегическая диагностика</w:t>
      </w:r>
    </w:p>
    <w:p w:rsidR="00FA0047" w:rsidRPr="00B06469" w:rsidRDefault="00FA0047" w:rsidP="001F0139">
      <w:pPr>
        <w:shd w:val="clear" w:color="auto" w:fill="FFFFFF"/>
        <w:spacing w:after="0" w:line="360" w:lineRule="auto"/>
        <w:contextualSpacing/>
        <w:jc w:val="both"/>
        <w:rPr>
          <w:rFonts w:ascii="Times New Roman" w:eastAsia="Times New Roman" w:hAnsi="Times New Roman" w:cs="Times New Roman"/>
          <w:sz w:val="24"/>
          <w:szCs w:val="24"/>
        </w:rPr>
      </w:pP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25" w:name="_Toc520894847"/>
      <w:r w:rsidRPr="00B06469">
        <w:rPr>
          <w:rFonts w:ascii="Times New Roman" w:hAnsi="Times New Roman" w:cs="Times New Roman"/>
          <w:b/>
          <w:color w:val="365F91"/>
          <w:sz w:val="24"/>
          <w:szCs w:val="24"/>
        </w:rPr>
        <w:t>Жилье, градостроительство и комфортная среда</w:t>
      </w:r>
      <w:bookmarkEnd w:id="25"/>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Формирование комфортной среды проживания является приоритетной задачей развития муниципальных образований, важнейшим условием для закрепления в сельской местности молодежи, роста обеспеченности трудовыми ресурсами экономики муниципального района.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Зона комфорта определяется как оптимальное для человека соотношение и сочетание всех факторов среды, как природной, так и физической и социально-экономической. Среда же определяется как фон для конкретной деятельности.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Анализ развития жилищно–коммунального хозяйства и среды проживания Камышлинского района позволил выявить, как достоинства, так и недостатки в состоянии изучаемой проблемы. Одним из положительных моментов развития ЖКХ района является устойчивый рост обеспеченности жильем и общей площади вводимого в эксплуатацию жилья.</w:t>
      </w:r>
    </w:p>
    <w:p w:rsidR="00FA0047" w:rsidRPr="00B06469" w:rsidRDefault="00FA0047"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5AA2E821" wp14:editId="36B025A9">
            <wp:extent cx="5437632" cy="2865120"/>
            <wp:effectExtent l="0" t="0" r="0" b="0"/>
            <wp:docPr id="47"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A0047" w:rsidRPr="00B06469" w:rsidRDefault="00FA0047"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1.6.1 </w:t>
      </w:r>
      <w:r w:rsidRPr="00B06469">
        <w:rPr>
          <w:rFonts w:ascii="Times New Roman" w:hAnsi="Times New Roman" w:cs="Times New Roman"/>
          <w:b/>
          <w:sz w:val="24"/>
          <w:szCs w:val="24"/>
        </w:rPr>
        <w:t>– Жилой фонд Камышлинского района в 2012-2016 гг.</w:t>
      </w:r>
    </w:p>
    <w:p w:rsidR="00FA0047" w:rsidRPr="00B06469" w:rsidRDefault="00FA0047" w:rsidP="001F0139">
      <w:pPr>
        <w:widowControl w:val="0"/>
        <w:spacing w:after="0" w:line="240" w:lineRule="auto"/>
        <w:jc w:val="center"/>
        <w:rPr>
          <w:rFonts w:ascii="Times New Roman" w:hAnsi="Times New Roman" w:cs="Times New Roman"/>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Общая площадь жилищного фонда Камышлинского района в 2016 г. составила 276,5 тыс.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xml:space="preserve"> , по сравнению с 2012 годом она увеличилась на 15%. Жилой фонд увеличивается в среднем ежегодно на 4%, что выше, чем по Самарской области (1,7% в год). Доля многоквартирных домов района, в которых собственники помещений выбрали </w:t>
      </w:r>
      <w:r w:rsidRPr="00B06469">
        <w:rPr>
          <w:rFonts w:ascii="Times New Roman" w:hAnsi="Times New Roman" w:cs="Times New Roman"/>
          <w:sz w:val="24"/>
          <w:szCs w:val="24"/>
        </w:rPr>
        <w:lastRenderedPageBreak/>
        <w:t>и реализуют один из способов управления многоквартирными домами, в общем числе многоквартирных домов составляет 100%.</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силу того, что с 2014 года район включился в</w:t>
      </w:r>
      <w:r w:rsidRPr="00B06469">
        <w:rPr>
          <w:rFonts w:ascii="Times New Roman" w:hAnsi="Times New Roman" w:cs="Times New Roman"/>
          <w:b/>
          <w:sz w:val="24"/>
          <w:szCs w:val="24"/>
        </w:rPr>
        <w:t xml:space="preserve"> </w:t>
      </w:r>
      <w:r w:rsidRPr="00B06469">
        <w:rPr>
          <w:rFonts w:ascii="Times New Roman" w:hAnsi="Times New Roman" w:cs="Times New Roman"/>
          <w:sz w:val="24"/>
          <w:szCs w:val="24"/>
        </w:rPr>
        <w:t>областную программу «</w:t>
      </w:r>
      <w:r w:rsidRPr="00B06469">
        <w:rPr>
          <w:rFonts w:ascii="Times New Roman" w:eastAsia="Arial" w:hAnsi="Times New Roman" w:cs="Times New Roman"/>
          <w:sz w:val="24"/>
          <w:szCs w:val="24"/>
        </w:rPr>
        <w:t>Устойчивое развитие сельских территорий Самарской области</w:t>
      </w:r>
      <w:r w:rsidRPr="00B06469">
        <w:rPr>
          <w:rFonts w:ascii="Times New Roman" w:hAnsi="Times New Roman" w:cs="Times New Roman"/>
          <w:sz w:val="24"/>
          <w:szCs w:val="24"/>
        </w:rPr>
        <w:t xml:space="preserve"> на 2013-2017 гг. и на период до 2020 года», заметно выросло количество индивидуальных застройщиков. В 2016 году 8 жителей района построили и ввели в эксплуатацию свои дома общей площадью 787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w:t>
      </w:r>
      <w:r w:rsidRPr="00B06469">
        <w:rPr>
          <w:rFonts w:ascii="Times New Roman" w:hAnsi="Times New Roman" w:cs="Times New Roman"/>
          <w:kern w:val="2"/>
          <w:sz w:val="24"/>
          <w:szCs w:val="24"/>
        </w:rPr>
        <w:t xml:space="preserve">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color w:val="000000"/>
          <w:sz w:val="24"/>
          <w:szCs w:val="24"/>
        </w:rPr>
        <w:t xml:space="preserve"> В 2016 году для жилищного строительства, индивидуального жилищного строительства предоставлено 8 земельных участков общей площади 0,8 га. </w:t>
      </w:r>
      <w:r w:rsidRPr="00B06469">
        <w:rPr>
          <w:rFonts w:ascii="Times New Roman" w:hAnsi="Times New Roman" w:cs="Times New Roman"/>
          <w:sz w:val="24"/>
          <w:szCs w:val="24"/>
        </w:rPr>
        <w:t xml:space="preserve">Ввод в действие общей площади жилых помещений </w:t>
      </w:r>
      <w:r w:rsidRPr="00B06469">
        <w:rPr>
          <w:rFonts w:ascii="Times New Roman" w:hAnsi="Times New Roman" w:cs="Times New Roman"/>
          <w:sz w:val="24"/>
          <w:szCs w:val="24"/>
        </w:rPr>
        <w:br/>
        <w:t>в расчете на 1000 жителей, в 2016 году составил 232,1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xml:space="preserve"> , что в 2 раза меньше среднего значения по Самарской области (528,2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xml:space="preserve">). По данному показателю Камышлинский район находится на 20 месте среди сельских муниципальных образований Самарской области (рис. 1.6.2). </w:t>
      </w:r>
    </w:p>
    <w:p w:rsidR="00FA0047" w:rsidRPr="00B06469" w:rsidRDefault="00FA0047" w:rsidP="001F0139">
      <w:pPr>
        <w:spacing w:after="0" w:line="240" w:lineRule="auto"/>
        <w:jc w:val="center"/>
        <w:rPr>
          <w:rFonts w:ascii="Times New Roman" w:hAnsi="Times New Roman" w:cs="Times New Roman"/>
          <w:color w:val="000000"/>
          <w:sz w:val="24"/>
          <w:szCs w:val="24"/>
        </w:rPr>
      </w:pPr>
      <w:r w:rsidRPr="00B06469">
        <w:rPr>
          <w:rFonts w:ascii="Times New Roman" w:hAnsi="Times New Roman" w:cs="Times New Roman"/>
          <w:noProof/>
          <w:color w:val="000000"/>
          <w:sz w:val="24"/>
          <w:szCs w:val="24"/>
          <w:lang w:eastAsia="ru-RU"/>
        </w:rPr>
        <w:drawing>
          <wp:inline distT="0" distB="0" distL="0" distR="0" wp14:anchorId="1EA19EE9" wp14:editId="395A144E">
            <wp:extent cx="4395470" cy="3877310"/>
            <wp:effectExtent l="19050" t="0" r="5080" b="0"/>
            <wp:docPr id="48" name="Диаграмма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6"/>
                    <pic:cNvPicPr>
                      <a:picLocks noChangeArrowheads="1"/>
                    </pic:cNvPicPr>
                  </pic:nvPicPr>
                  <pic:blipFill>
                    <a:blip r:embed="rId41" cstate="print"/>
                    <a:srcRect/>
                    <a:stretch>
                      <a:fillRect/>
                    </a:stretch>
                  </pic:blipFill>
                  <pic:spPr bwMode="auto">
                    <a:xfrm>
                      <a:off x="0" y="0"/>
                      <a:ext cx="4395470" cy="3877310"/>
                    </a:xfrm>
                    <a:prstGeom prst="rect">
                      <a:avLst/>
                    </a:prstGeom>
                    <a:noFill/>
                    <a:ln w="9525">
                      <a:noFill/>
                      <a:miter lim="800000"/>
                      <a:headEnd/>
                      <a:tailEnd/>
                    </a:ln>
                  </pic:spPr>
                </pic:pic>
              </a:graphicData>
            </a:graphic>
          </wp:inline>
        </w:drawing>
      </w:r>
    </w:p>
    <w:p w:rsidR="00FA0047" w:rsidRPr="00B06469" w:rsidRDefault="00FA0047"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1.6.2</w:t>
      </w:r>
      <w:r w:rsidRPr="00B06469">
        <w:rPr>
          <w:rFonts w:ascii="Times New Roman" w:hAnsi="Times New Roman" w:cs="Times New Roman"/>
          <w:b/>
          <w:sz w:val="24"/>
          <w:szCs w:val="24"/>
        </w:rPr>
        <w:t xml:space="preserve"> – Ввод в действие общей площади жилых помещений </w:t>
      </w:r>
    </w:p>
    <w:p w:rsidR="00FA0047" w:rsidRPr="00B06469" w:rsidRDefault="00FA0047"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в расчете на 1000 жителей муниципальных районов</w:t>
      </w:r>
    </w:p>
    <w:p w:rsidR="00FA0047" w:rsidRPr="00B06469" w:rsidRDefault="00FA0047" w:rsidP="001F0139">
      <w:pPr>
        <w:widowControl w:val="0"/>
        <w:spacing w:after="0" w:line="240" w:lineRule="auto"/>
        <w:jc w:val="center"/>
        <w:rPr>
          <w:rFonts w:ascii="Times New Roman" w:hAnsi="Times New Roman" w:cs="Times New Roman"/>
          <w:b/>
          <w:sz w:val="24"/>
          <w:szCs w:val="24"/>
          <w:vertAlign w:val="superscript"/>
        </w:rPr>
      </w:pPr>
      <w:r w:rsidRPr="00B06469">
        <w:rPr>
          <w:rFonts w:ascii="Times New Roman" w:hAnsi="Times New Roman" w:cs="Times New Roman"/>
          <w:b/>
          <w:sz w:val="24"/>
          <w:szCs w:val="24"/>
        </w:rPr>
        <w:t>Самарской области за 2016 г., м</w:t>
      </w:r>
      <w:r w:rsidRPr="00B06469">
        <w:rPr>
          <w:rFonts w:ascii="Times New Roman" w:hAnsi="Times New Roman" w:cs="Times New Roman"/>
          <w:b/>
          <w:sz w:val="24"/>
          <w:szCs w:val="24"/>
          <w:vertAlign w:val="superscript"/>
        </w:rPr>
        <w:t>2</w:t>
      </w:r>
    </w:p>
    <w:p w:rsidR="00FA0047" w:rsidRPr="00B06469" w:rsidRDefault="00FA0047" w:rsidP="001F0139">
      <w:pPr>
        <w:widowControl w:val="0"/>
        <w:spacing w:after="0" w:line="240" w:lineRule="auto"/>
        <w:jc w:val="center"/>
        <w:rPr>
          <w:rFonts w:ascii="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 период 2012-2016 гг. в районе было введено в эксплуатацию около 15995 м² жилья. В 2016 году введено в эксплуатацию 2525 м² индивидуального жилья, в том числе индивидуальными застройщиками 2393 м². Доля семей и граждан, состоящих на учете по </w:t>
      </w:r>
      <w:r w:rsidRPr="00B06469">
        <w:rPr>
          <w:rFonts w:ascii="Times New Roman" w:hAnsi="Times New Roman" w:cs="Times New Roman"/>
          <w:sz w:val="24"/>
          <w:szCs w:val="24"/>
        </w:rPr>
        <w:lastRenderedPageBreak/>
        <w:t xml:space="preserve">улучшению жилищных условий в общем числе семей и граждан на конец года увеличилась с 2,7% в 2012г. до 3,1% в 2016 г.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Общая площадь ветхих и аварийных жилых помещений уменьшилась с 4,9 тыс.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xml:space="preserve"> в 2012 г. до 3 тыс. м</w:t>
      </w:r>
      <w:r w:rsidRPr="00B06469">
        <w:rPr>
          <w:rFonts w:ascii="Times New Roman" w:hAnsi="Times New Roman" w:cs="Times New Roman"/>
          <w:sz w:val="24"/>
          <w:szCs w:val="24"/>
          <w:vertAlign w:val="superscript"/>
        </w:rPr>
        <w:t xml:space="preserve">2 </w:t>
      </w:r>
      <w:r w:rsidRPr="00B06469">
        <w:rPr>
          <w:rFonts w:ascii="Times New Roman" w:hAnsi="Times New Roman" w:cs="Times New Roman"/>
          <w:sz w:val="24"/>
          <w:szCs w:val="24"/>
        </w:rPr>
        <w:t xml:space="preserve">в 2016 г.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Уровень обеспеченности жильем в 2016 г. составил 25,5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xml:space="preserve"> на одного жителя (Самарская область 25,0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что выше среднероссийского значения (23,4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и среднего по Приволжскому федеральному округу (23,6 м</w:t>
      </w:r>
      <w:r w:rsidRPr="00B06469">
        <w:rPr>
          <w:rFonts w:ascii="Times New Roman" w:hAnsi="Times New Roman" w:cs="Times New Roman"/>
          <w:sz w:val="24"/>
          <w:szCs w:val="24"/>
          <w:vertAlign w:val="superscript"/>
        </w:rPr>
        <w:t>2</w:t>
      </w:r>
      <w:r w:rsidRPr="00B06469">
        <w:rPr>
          <w:rFonts w:ascii="Times New Roman" w:hAnsi="Times New Roman" w:cs="Times New Roman"/>
          <w:sz w:val="24"/>
          <w:szCs w:val="24"/>
        </w:rPr>
        <w:t>). По этому показателю Камышлинский район занимает 16 место среди муниципальных районов Самарской области по итогам 2016 года. В период до 2019 года общую площадь жилых помещений, приходящихся в среднем на одного жителя планируется увеличить до 26,4 м</w:t>
      </w:r>
      <w:r w:rsidRPr="00B06469">
        <w:rPr>
          <w:rFonts w:ascii="Times New Roman" w:hAnsi="Times New Roman" w:cs="Times New Roman"/>
          <w:sz w:val="24"/>
          <w:szCs w:val="24"/>
          <w:vertAlign w:val="superscript"/>
        </w:rPr>
        <w:t xml:space="preserve">2 </w:t>
      </w:r>
      <w:r w:rsidRPr="00B06469">
        <w:rPr>
          <w:rFonts w:ascii="Times New Roman" w:hAnsi="Times New Roman" w:cs="Times New Roman"/>
          <w:sz w:val="24"/>
          <w:szCs w:val="24"/>
        </w:rPr>
        <w:t>за счет ввода нового жилья и реконструкции существующего жилья.</w:t>
      </w:r>
    </w:p>
    <w:p w:rsidR="00FA0047" w:rsidRPr="00B06469" w:rsidRDefault="00FA0047" w:rsidP="001F0139">
      <w:pPr>
        <w:spacing w:after="0" w:line="360" w:lineRule="auto"/>
        <w:ind w:firstLine="709"/>
        <w:jc w:val="both"/>
        <w:rPr>
          <w:rFonts w:ascii="Times New Roman" w:hAnsi="Times New Roman" w:cs="Times New Roman"/>
          <w:color w:val="000000"/>
          <w:sz w:val="24"/>
          <w:szCs w:val="24"/>
        </w:rPr>
      </w:pPr>
      <w:r w:rsidRPr="00B06469">
        <w:rPr>
          <w:rFonts w:ascii="Times New Roman" w:hAnsi="Times New Roman" w:cs="Times New Roman"/>
          <w:sz w:val="24"/>
          <w:szCs w:val="24"/>
        </w:rPr>
        <w:t xml:space="preserve">В 2017 г. началась реализация федерального проекта </w:t>
      </w:r>
      <w:r w:rsidRPr="00B06469">
        <w:rPr>
          <w:rFonts w:ascii="Times New Roman" w:hAnsi="Times New Roman" w:cs="Times New Roman"/>
          <w:color w:val="000000"/>
          <w:sz w:val="24"/>
          <w:szCs w:val="24"/>
        </w:rPr>
        <w:t xml:space="preserve">«Формирование комфортной </w:t>
      </w:r>
      <w:r w:rsidR="001F0139" w:rsidRPr="00B06469">
        <w:rPr>
          <w:rFonts w:ascii="Times New Roman" w:hAnsi="Times New Roman" w:cs="Times New Roman"/>
          <w:color w:val="000000"/>
          <w:sz w:val="24"/>
          <w:szCs w:val="24"/>
        </w:rPr>
        <w:t>район</w:t>
      </w:r>
      <w:r w:rsidR="0066536F">
        <w:rPr>
          <w:rFonts w:ascii="Times New Roman" w:hAnsi="Times New Roman" w:cs="Times New Roman"/>
          <w:color w:val="000000"/>
          <w:sz w:val="24"/>
          <w:szCs w:val="24"/>
        </w:rPr>
        <w:t>н</w:t>
      </w:r>
      <w:r w:rsidRPr="00B06469">
        <w:rPr>
          <w:rFonts w:ascii="Times New Roman" w:hAnsi="Times New Roman" w:cs="Times New Roman"/>
          <w:color w:val="000000"/>
          <w:sz w:val="24"/>
          <w:szCs w:val="24"/>
        </w:rPr>
        <w:t xml:space="preserve">ой среды». С 2018 г. Камышлинский район будет принимать участие в реализации данного проекта, который предусматривает два направления: </w:t>
      </w:r>
    </w:p>
    <w:p w:rsidR="00FA0047" w:rsidRPr="00B06469" w:rsidRDefault="00FA0047" w:rsidP="001F0139">
      <w:pPr>
        <w:numPr>
          <w:ilvl w:val="0"/>
          <w:numId w:val="42"/>
        </w:numPr>
        <w:spacing w:after="0" w:line="360" w:lineRule="auto"/>
        <w:ind w:left="0" w:firstLine="709"/>
        <w:jc w:val="both"/>
        <w:rPr>
          <w:rFonts w:ascii="Times New Roman" w:hAnsi="Times New Roman" w:cs="Times New Roman"/>
          <w:color w:val="000000"/>
          <w:sz w:val="24"/>
          <w:szCs w:val="24"/>
        </w:rPr>
      </w:pPr>
      <w:r w:rsidRPr="00B06469">
        <w:rPr>
          <w:rFonts w:ascii="Times New Roman" w:hAnsi="Times New Roman" w:cs="Times New Roman"/>
          <w:color w:val="000000"/>
          <w:sz w:val="24"/>
          <w:szCs w:val="24"/>
        </w:rPr>
        <w:t>благоустройство дворовых территорий;</w:t>
      </w:r>
    </w:p>
    <w:p w:rsidR="00FA0047" w:rsidRPr="00B06469" w:rsidRDefault="00FA0047" w:rsidP="001F0139">
      <w:pPr>
        <w:numPr>
          <w:ilvl w:val="0"/>
          <w:numId w:val="42"/>
        </w:numPr>
        <w:spacing w:after="0" w:line="360" w:lineRule="auto"/>
        <w:ind w:left="0" w:firstLine="709"/>
        <w:jc w:val="both"/>
        <w:rPr>
          <w:rFonts w:ascii="Times New Roman" w:hAnsi="Times New Roman" w:cs="Times New Roman"/>
          <w:color w:val="000000"/>
          <w:sz w:val="24"/>
          <w:szCs w:val="24"/>
        </w:rPr>
      </w:pPr>
      <w:r w:rsidRPr="00B06469">
        <w:rPr>
          <w:rFonts w:ascii="Times New Roman" w:hAnsi="Times New Roman" w:cs="Times New Roman"/>
          <w:color w:val="000000"/>
          <w:sz w:val="24"/>
          <w:szCs w:val="24"/>
        </w:rPr>
        <w:t>благоустройство муниципальных территорий общего пользования и мест массового отдыха населения.</w:t>
      </w:r>
    </w:p>
    <w:p w:rsidR="00FA0047" w:rsidRPr="00B06469" w:rsidRDefault="00FA0047" w:rsidP="001F0139">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sz w:val="24"/>
          <w:szCs w:val="24"/>
        </w:rPr>
        <w:t>В муниципальную программу, подготовленную управлением строительства, архитектуры и ЖКХ совместно с администрациями сельских поселений с учетом мнения жителей района, вошли все многоквартирные дома райцентра и ДРП-3. Кроме того, планируется благоустроить общественные пространства в трех сельских поселениях (программа предусматривает финансирование населенных пунктов, где проживает население более 1000 человек). Это территории административных центров Камышла, Новое Усманово и Старое Ермаково (площади вокруг памятников, учреждений культуры и т.д.). Приоритетными являются территории, определяющие «лицо» и внешний вид села. Данная программа</w:t>
      </w:r>
      <w:r w:rsidRPr="00B06469">
        <w:rPr>
          <w:rFonts w:ascii="Times New Roman" w:eastAsia="Times New Roman" w:hAnsi="Times New Roman" w:cs="Times New Roman"/>
          <w:color w:val="000000"/>
          <w:sz w:val="24"/>
          <w:szCs w:val="24"/>
          <w:lang w:eastAsia="ru-RU"/>
        </w:rPr>
        <w:t xml:space="preserve"> подразумевает собой благоустройство именно центральной части села, где ежедневно проходит наибольший поток людей.</w:t>
      </w:r>
    </w:p>
    <w:p w:rsidR="00FA0047" w:rsidRDefault="0066536F" w:rsidP="001F0139">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7223A6">
        <w:rPr>
          <w:rFonts w:ascii="Times New Roman" w:eastAsia="Times New Roman" w:hAnsi="Times New Roman" w:cs="Times New Roman"/>
          <w:color w:val="000000"/>
          <w:sz w:val="24"/>
          <w:szCs w:val="24"/>
          <w:lang w:eastAsia="ru-RU"/>
        </w:rPr>
        <w:t>С 2020 г начнет действовать  Государственная программа Российской Федерации «Комплексное развитие сельских территорий». Цели госпрограммы: сохранение доли сельского населения в общей численности населения РФ на  уровне не менее 25,3% в 2025г.; достижение соотношения среднемесячных</w:t>
      </w:r>
      <w:r w:rsidR="009F19E5" w:rsidRPr="007223A6">
        <w:rPr>
          <w:rFonts w:ascii="Times New Roman" w:eastAsia="Times New Roman" w:hAnsi="Times New Roman" w:cs="Times New Roman"/>
          <w:color w:val="000000"/>
          <w:sz w:val="24"/>
          <w:szCs w:val="24"/>
          <w:lang w:eastAsia="ru-RU"/>
        </w:rPr>
        <w:t xml:space="preserve"> </w:t>
      </w:r>
      <w:r w:rsidRPr="007223A6">
        <w:rPr>
          <w:rFonts w:ascii="Times New Roman" w:eastAsia="Times New Roman" w:hAnsi="Times New Roman" w:cs="Times New Roman"/>
          <w:color w:val="000000"/>
          <w:sz w:val="24"/>
          <w:szCs w:val="24"/>
          <w:lang w:eastAsia="ru-RU"/>
        </w:rPr>
        <w:t>располагаемых ресурсов сельского и городского домохозяйств до 80 % в 2025 г.</w:t>
      </w:r>
      <w:r w:rsidR="009F19E5" w:rsidRPr="007223A6">
        <w:rPr>
          <w:rFonts w:ascii="Times New Roman" w:eastAsia="Times New Roman" w:hAnsi="Times New Roman" w:cs="Times New Roman"/>
          <w:color w:val="000000"/>
          <w:sz w:val="24"/>
          <w:szCs w:val="24"/>
          <w:lang w:eastAsia="ru-RU"/>
        </w:rPr>
        <w:t>; повышение доли общей площади благоустроенных жилых помещений в сельских населенных пунктах до 50 % в 2025 г.</w:t>
      </w:r>
    </w:p>
    <w:p w:rsidR="0066536F" w:rsidRPr="00B06469" w:rsidRDefault="0066536F" w:rsidP="001F0139">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p>
    <w:p w:rsidR="00FA0047" w:rsidRPr="00B06469" w:rsidRDefault="00FA0047" w:rsidP="001F0139">
      <w:pPr>
        <w:spacing w:after="0" w:line="360" w:lineRule="auto"/>
        <w:contextualSpacing/>
        <w:outlineLvl w:val="2"/>
        <w:rPr>
          <w:rFonts w:ascii="Times New Roman" w:hAnsi="Times New Roman" w:cs="Times New Roman"/>
          <w:b/>
          <w:color w:val="365F91"/>
          <w:sz w:val="24"/>
          <w:szCs w:val="24"/>
        </w:rPr>
      </w:pPr>
      <w:bookmarkStart w:id="26" w:name="_Toc520894848"/>
      <w:r w:rsidRPr="00B06469">
        <w:rPr>
          <w:rFonts w:ascii="Times New Roman" w:hAnsi="Times New Roman" w:cs="Times New Roman"/>
          <w:b/>
          <w:color w:val="365F91"/>
          <w:sz w:val="24"/>
          <w:szCs w:val="24"/>
        </w:rPr>
        <w:lastRenderedPageBreak/>
        <w:t>Жилищно-коммунальное хозяйство</w:t>
      </w:r>
      <w:bookmarkEnd w:id="26"/>
    </w:p>
    <w:p w:rsidR="00FA0047" w:rsidRPr="00B06469" w:rsidRDefault="00FA0047" w:rsidP="001F0139">
      <w:pPr>
        <w:spacing w:after="0" w:line="360" w:lineRule="auto"/>
        <w:ind w:firstLine="709"/>
        <w:contextualSpacing/>
        <w:rPr>
          <w:rFonts w:ascii="Times New Roman" w:hAnsi="Times New Roman" w:cs="Times New Roman"/>
          <w:b/>
          <w:color w:val="0070C0"/>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Жилищно-коммунальные услуги в Камышлинском районе оказывают четыре предприятия. В сфере теплоснабжения – муниципальное унитарное предприятие «КомХоз», которому переданы в оперативное управление муниципальные объекты теплоснабжения (котельные и тепловые сети). В сфере водоснабжения населения и юридических лиц – ООО «Родник», МУП ЖКХ «Исток». Управлением и содержанием многоквартирных жилых домов, расположенных в селе Камышла, занимается управляющая компания ООО «Жилпром».</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pacing w:val="-20"/>
          <w:sz w:val="24"/>
          <w:szCs w:val="24"/>
        </w:rPr>
        <w:t>Данные по уровню благоустройства жилого фонда представлены на рис. 1.6.3.</w:t>
      </w:r>
    </w:p>
    <w:p w:rsidR="00FA0047" w:rsidRPr="00B06469" w:rsidRDefault="00FA0047" w:rsidP="001F0139">
      <w:pPr>
        <w:spacing w:after="0" w:line="240" w:lineRule="auto"/>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4FC9CF00" wp14:editId="0C17049A">
            <wp:extent cx="5953506" cy="3240151"/>
            <wp:effectExtent l="0" t="0" r="0" b="0"/>
            <wp:docPr id="49"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A0047" w:rsidRPr="00B06469" w:rsidRDefault="00FA0047"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1.6.3</w:t>
      </w:r>
      <w:r w:rsidRPr="00B06469">
        <w:rPr>
          <w:rFonts w:ascii="Times New Roman" w:hAnsi="Times New Roman" w:cs="Times New Roman"/>
          <w:b/>
          <w:sz w:val="24"/>
          <w:szCs w:val="24"/>
        </w:rPr>
        <w:t xml:space="preserve"> – Уровень благоустройства жилого фонда </w:t>
      </w:r>
    </w:p>
    <w:p w:rsidR="00FA0047" w:rsidRPr="00B06469" w:rsidRDefault="00FA0047"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Камышлинского района в 2012-2016 гг.</w:t>
      </w:r>
    </w:p>
    <w:p w:rsidR="00FA0047" w:rsidRPr="00B06469" w:rsidRDefault="00FA0047" w:rsidP="001F0139">
      <w:pPr>
        <w:widowControl w:val="0"/>
        <w:spacing w:after="0" w:line="240" w:lineRule="auto"/>
        <w:jc w:val="center"/>
        <w:rPr>
          <w:rFonts w:ascii="Times New Roman" w:hAnsi="Times New Roman" w:cs="Times New Roman"/>
          <w:b/>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2016 г. обеспеченность водопроводом составила 48,1%. Хотя по сравнению с 2012 г. уровень обеспеченности водопроводом увеличился в 1,7 раза, это значение гораздо ниже, чем в целом по Самарской области (89%). Мощность водопроводов на хозяйственно-питьевые цели района оставалась постоянной с 2012 г. и составила 876 тыс.м</w:t>
      </w:r>
      <w:r w:rsidRPr="00B06469">
        <w:rPr>
          <w:rFonts w:ascii="Times New Roman" w:hAnsi="Times New Roman" w:cs="Times New Roman"/>
          <w:sz w:val="24"/>
          <w:szCs w:val="24"/>
          <w:vertAlign w:val="superscript"/>
        </w:rPr>
        <w:t>3</w:t>
      </w:r>
      <w:r w:rsidRPr="00B06469">
        <w:rPr>
          <w:rFonts w:ascii="Times New Roman" w:hAnsi="Times New Roman" w:cs="Times New Roman"/>
          <w:sz w:val="24"/>
          <w:szCs w:val="24"/>
        </w:rPr>
        <w:t xml:space="preserve"> в год. Отпущено воды всем потребителям 227,8 тыс.м</w:t>
      </w:r>
      <w:r w:rsidRPr="00B06469">
        <w:rPr>
          <w:rFonts w:ascii="Times New Roman" w:hAnsi="Times New Roman" w:cs="Times New Roman"/>
          <w:sz w:val="24"/>
          <w:szCs w:val="24"/>
          <w:vertAlign w:val="superscript"/>
        </w:rPr>
        <w:t>3</w:t>
      </w:r>
      <w:r w:rsidRPr="00B06469">
        <w:rPr>
          <w:rFonts w:ascii="Times New Roman" w:hAnsi="Times New Roman" w:cs="Times New Roman"/>
          <w:sz w:val="24"/>
          <w:szCs w:val="24"/>
        </w:rPr>
        <w:t xml:space="preserve"> в год (в 2012 г. – 313,1 тыс.м</w:t>
      </w:r>
      <w:r w:rsidRPr="00B06469">
        <w:rPr>
          <w:rFonts w:ascii="Times New Roman" w:hAnsi="Times New Roman" w:cs="Times New Roman"/>
          <w:sz w:val="24"/>
          <w:szCs w:val="24"/>
          <w:vertAlign w:val="superscript"/>
        </w:rPr>
        <w:t>3</w:t>
      </w:r>
      <w:r w:rsidRPr="00B06469">
        <w:rPr>
          <w:rFonts w:ascii="Times New Roman" w:hAnsi="Times New Roman" w:cs="Times New Roman"/>
          <w:sz w:val="24"/>
          <w:szCs w:val="24"/>
        </w:rPr>
        <w:t xml:space="preserve"> в год) . Среднесуточное потребление воды в расчете на 1 жителя составляет 57,3 литров в сутки. Протяженность водопроводных сетей составляет 124,2 км (в 2012 г. – 118,7 км) при их высоком физическом износе 85%.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 счет строительства водоводов и водопроводных сетей, водозаборов, облагораживания природных родников большинство населения района пользуется чистой </w:t>
      </w:r>
      <w:r w:rsidRPr="00B06469">
        <w:rPr>
          <w:rFonts w:ascii="Times New Roman" w:hAnsi="Times New Roman" w:cs="Times New Roman"/>
          <w:sz w:val="24"/>
          <w:szCs w:val="24"/>
        </w:rPr>
        <w:lastRenderedPageBreak/>
        <w:t>родниковой водой. В целом по району дефицита по запасам подземных вод нет. Недостатки в водоснабжении в тех или иных населенных пунктах связаны с низким техническим обеспечением водопроводных систем и с сезонным летним использованием питьевой водопроводной воды для полива садов и о</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ов. Существующая сеть водопровода в основном построена в 50-е годы и частично обновлена в 1991-1995 гг. В 2010-2015 годах в селах Камышла и Новое Усманово проведена реконструкция водопроводных сетей общей протяженностью около 11,34 км. В связи с высокой степенью изношенности системы водоснабжения района утечка питьевой воды составляет более 13% от ее добычи. Необходима модернизация существующей системы водоснабжения. В 2003 году начато строительство новых очистных сооружений, финансирование которых в основном осуществляется за счет средств областного и местного бюджетов. На сегодняшний день освоено лишь 5% сметной стоимости строительства.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Уровень обеспеченности системой водоотведения (канализацией) в Камышлинском районе имеет положительную динамику (в 2012 г. – 28%, в 2016 г. – 36,8%), но отстает от среднеобластного уровня (87%). Степень износа систем водоотведения составляет 92%.</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Камышлинский район имеет высокий уровень газификация жилого фонда сетевым газом (98,3% в 2016 г. при среднем значении по РФ – 67% по Самарской области – 75%). </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настоящее время в районе работает 62 котельные мощностью 15,9 Гкал/час, которые обслуживают жилые объекты и объекты социальной сферы. Общая протяженность тепловых сетей Камышлинского района составляет 6,1 км.</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Общая протяженность линий электропередач на территории Камышлинского района составляет 470,6 км (в 2012 г. – 438 км). Потребление электроэнергии увеличилось за период 2012 – 2016 гг. с 28,7 до 42,4 млн. кВт·ч.</w:t>
      </w:r>
    </w:p>
    <w:p w:rsidR="00FA0047" w:rsidRPr="00B06469" w:rsidRDefault="00FA0047" w:rsidP="001F0139">
      <w:pPr>
        <w:tabs>
          <w:tab w:val="left" w:pos="1440"/>
        </w:tabs>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 сравнению с предыдущим годом удельная величина потребления электрической энергии в многоквартирных домах незначительно выросла вследствие введения нового многоквартирного дома. В последующие годы уровень показателя не должен увеличиться, возможно незначительное снижение потребления.</w:t>
      </w:r>
    </w:p>
    <w:p w:rsidR="00FA0047" w:rsidRPr="00B06469" w:rsidRDefault="00FA0047" w:rsidP="001F0139">
      <w:pPr>
        <w:tabs>
          <w:tab w:val="left" w:pos="1440"/>
        </w:tabs>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Расход тепловой энергии в МКД в 2016 году, приходящийся на 1 кв.м., стабилен и составил 0,3 Гкал на 1 кв.м. Динамика значения в последующие годы значительно не изменится.</w:t>
      </w:r>
    </w:p>
    <w:p w:rsidR="00FA0047" w:rsidRPr="00B06469" w:rsidRDefault="00FA0047" w:rsidP="001F0139">
      <w:pPr>
        <w:tabs>
          <w:tab w:val="left" w:pos="1440"/>
        </w:tabs>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Величина электрической энергии, потребленной муниципальными бюджетными учреждениями составила 60,5 кВт·ч на 1 человека населения, что выше уровня предыдущих лет. Данное увеличение вызвано отоплением ряда объектов электрическими приборами. В прогнозируемом периоде предполагается снижение потребления </w:t>
      </w:r>
      <w:r w:rsidRPr="00B06469">
        <w:rPr>
          <w:rFonts w:ascii="Times New Roman" w:hAnsi="Times New Roman" w:cs="Times New Roman"/>
          <w:sz w:val="24"/>
          <w:szCs w:val="24"/>
        </w:rPr>
        <w:lastRenderedPageBreak/>
        <w:t>электрической энергии муниципальными бюджетными учреждениями вследствие продолжения практики применения в муниципальных организациях энергосберегающих технологий (реализация Программы энергосбережения и повышения энергетической эффективности в муниципальном районе Камышлинский).</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Величина потребления холодной воды в муниципальных организациях составила 0,7 куб. м. на 1 человека населения в связи с установкой в учебных заведениях приборов учёта. В последующие годы значительных изменений данного показателя не предвидится.</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По показателям благоустройства территории не произошло изменений в 2012 – 2016 гг.: доля освещаемых частей улиц составляет 81,5%, площадь зеленых насаждений общего пользования – 17825 м</w:t>
      </w:r>
      <w:r w:rsidRPr="00B06469">
        <w:rPr>
          <w:rFonts w:ascii="Times New Roman" w:eastAsia="Times New Roman" w:hAnsi="Times New Roman" w:cs="Times New Roman"/>
          <w:color w:val="00000A"/>
          <w:kern w:val="2"/>
          <w:sz w:val="24"/>
          <w:szCs w:val="24"/>
          <w:vertAlign w:val="superscript"/>
          <w:lang w:eastAsia="hi-IN" w:bidi="hi-IN"/>
        </w:rPr>
        <w:t>2</w:t>
      </w:r>
      <w:r w:rsidRPr="00B06469">
        <w:rPr>
          <w:rFonts w:ascii="Times New Roman" w:eastAsia="Times New Roman" w:hAnsi="Times New Roman" w:cs="Times New Roman"/>
          <w:color w:val="00000A"/>
          <w:kern w:val="2"/>
          <w:sz w:val="24"/>
          <w:szCs w:val="24"/>
          <w:lang w:eastAsia="hi-IN" w:bidi="hi-IN"/>
        </w:rPr>
        <w:t>, или 1,6 м</w:t>
      </w:r>
      <w:r w:rsidRPr="00B06469">
        <w:rPr>
          <w:rFonts w:ascii="Times New Roman" w:eastAsia="Times New Roman" w:hAnsi="Times New Roman" w:cs="Times New Roman"/>
          <w:color w:val="00000A"/>
          <w:kern w:val="2"/>
          <w:sz w:val="24"/>
          <w:szCs w:val="24"/>
          <w:vertAlign w:val="superscript"/>
          <w:lang w:eastAsia="hi-IN" w:bidi="hi-IN"/>
        </w:rPr>
        <w:t>2</w:t>
      </w:r>
      <w:r w:rsidRPr="00B06469">
        <w:rPr>
          <w:rFonts w:ascii="Times New Roman" w:eastAsia="Times New Roman" w:hAnsi="Times New Roman" w:cs="Times New Roman"/>
          <w:color w:val="00000A"/>
          <w:kern w:val="2"/>
          <w:sz w:val="24"/>
          <w:szCs w:val="24"/>
          <w:lang w:eastAsia="hi-IN" w:bidi="hi-IN"/>
        </w:rPr>
        <w:t xml:space="preserve"> в расчете на одного жителя.</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В 2012 году за счет субсидий из областного бюджета и софинасирования из местного бюджета в размере 4,8 млн. рублей были отремонтированы теплотрассы, заменены котлы в котельной №3, установлено оборудование в котельных и насосных станциях, осуществлено обустройство водозаборов.</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В 2013 году проведено техническое перевооружение котельной №1 в селе Камышла на сумму 8,7 млн. рублей. Заменены и утеплены современными материалами более 2 км тепловых сетей. Осуществлено проектирование и строительство газопровода низкого давления в селе Камышла протяженностью 200 метров на сумму 352 тыс. рублей и газопровода высокого давления в селе Новое Усманово протяженностью 200 метров на сумму 488 тыс. рублей.</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В 2015 году МУП ЖКХ «Исток» (с привлечением инвестиционных средств ООО «БайТекс» (600 тыс. рублей) и средств бюджета поселения (750 тыс. рублей) отремонтировало 1322 метра водопроводных сетей села Новое Усманово. МУП «Комхоз» выполнил работы на сумму 940 тыс. рублей. ООО «Родник» произвел текущий ремонт водопроводных сетей, капитальные ремонты очистных (на общую сумму 920 тыс. рублей).</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В 2016 году работниками МУП ЖКХ «Исток» (с привлечением инвестиционных средств ООО «БайТекс») отремонтированы 196 м водопроводных сетей. ООО «Родник» произвел замену водопроводных сетей общей протяжённостью 1074 м. (в т.ч. 780 м в селе Камышла; 210 м в селе Старая Балыкла; 84 м в селе Старое Усманово). Данные мероприятия позволили снизить потери воды в сетях. Силами МУП «КомХоз» была произведена замена подземной теплотрассы, питающей школу села Старое Ермаково.</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 xml:space="preserve">В 2017 г. с целью предотвращения чрезвычайной ситуации, по ходатайству администрации района, из резервного фонда Правительства Самарской области были </w:t>
      </w:r>
      <w:r w:rsidRPr="00B06469">
        <w:rPr>
          <w:rFonts w:ascii="Times New Roman" w:eastAsia="Times New Roman" w:hAnsi="Times New Roman" w:cs="Times New Roman"/>
          <w:color w:val="00000A"/>
          <w:kern w:val="2"/>
          <w:sz w:val="24"/>
          <w:szCs w:val="24"/>
          <w:lang w:eastAsia="hi-IN" w:bidi="hi-IN"/>
        </w:rPr>
        <w:lastRenderedPageBreak/>
        <w:t>выделены субсидии и проведены работы по реконструкции водопроводной сети в селе Старое Ермаково. Сегодня проблема водоснабжения в этом селе решена.</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В перспективе для улучшения качества жизни населения с использованием федеральных и региональных средств планируется решить вопрос по строительству водозабора и водопроводных сетей в селе Камышла. На сегодняшний день изготовлена проектно-сметная документация, которая прошла экспертизу. Она предусматривает строительство водозабора №2 и водопроводных сетей на общую сумму 97 143 580 рублей. Проект включен в план мероприятий по Программе «Устойчивое развитие сельских территорий на 2014 – 2017 и на период до 2020 года».</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r w:rsidRPr="00B06469">
        <w:rPr>
          <w:rFonts w:ascii="Times New Roman" w:eastAsia="Times New Roman" w:hAnsi="Times New Roman" w:cs="Times New Roman"/>
          <w:color w:val="00000A"/>
          <w:kern w:val="2"/>
          <w:sz w:val="24"/>
          <w:szCs w:val="24"/>
          <w:lang w:eastAsia="hi-IN" w:bidi="hi-IN"/>
        </w:rPr>
        <w:t>Однако, несмотря на принимаемые меры, приходится признать тот факт, что отрасль ЖКХ, по-прежнему требует больших финансовых вливаний. Для ее поддержки в текущем году были направлены 5 млн. 554 тыс. рублей. Эти средства были необходимы для реконструкции объектов водоснабжения в селе Ермаково.</w:t>
      </w:r>
    </w:p>
    <w:p w:rsidR="00FA0047" w:rsidRPr="00B06469" w:rsidRDefault="00FA0047" w:rsidP="001F0139">
      <w:pPr>
        <w:tabs>
          <w:tab w:val="left" w:pos="1440"/>
        </w:tabs>
        <w:suppressAutoHyphens/>
        <w:snapToGrid w:val="0"/>
        <w:spacing w:after="0" w:line="360" w:lineRule="auto"/>
        <w:ind w:firstLine="709"/>
        <w:jc w:val="both"/>
        <w:rPr>
          <w:rFonts w:ascii="Times New Roman" w:eastAsia="Times New Roman" w:hAnsi="Times New Roman" w:cs="Times New Roman"/>
          <w:color w:val="00000A"/>
          <w:kern w:val="2"/>
          <w:sz w:val="24"/>
          <w:szCs w:val="24"/>
          <w:lang w:eastAsia="hi-IN" w:bidi="hi-IN"/>
        </w:rPr>
      </w:pPr>
    </w:p>
    <w:p w:rsidR="00FA0047" w:rsidRPr="00B06469" w:rsidRDefault="00FA0047" w:rsidP="001F0139">
      <w:pPr>
        <w:spacing w:after="0" w:line="360" w:lineRule="auto"/>
        <w:contextualSpacing/>
        <w:jc w:val="both"/>
        <w:outlineLvl w:val="2"/>
        <w:rPr>
          <w:rFonts w:ascii="Times New Roman" w:hAnsi="Times New Roman" w:cs="Times New Roman"/>
          <w:b/>
          <w:color w:val="365F91"/>
          <w:sz w:val="24"/>
          <w:szCs w:val="24"/>
        </w:rPr>
      </w:pPr>
      <w:bookmarkStart w:id="27" w:name="_Toc520894849"/>
      <w:r w:rsidRPr="00B06469">
        <w:rPr>
          <w:rFonts w:ascii="Times New Roman" w:hAnsi="Times New Roman" w:cs="Times New Roman"/>
          <w:b/>
          <w:color w:val="365F91"/>
          <w:sz w:val="24"/>
          <w:szCs w:val="24"/>
        </w:rPr>
        <w:t>Дорожно-транспортный комплекс</w:t>
      </w:r>
      <w:bookmarkEnd w:id="27"/>
      <w:r w:rsidRPr="00B06469">
        <w:rPr>
          <w:rFonts w:ascii="Times New Roman" w:hAnsi="Times New Roman" w:cs="Times New Roman"/>
          <w:b/>
          <w:color w:val="365F91"/>
          <w:sz w:val="24"/>
          <w:szCs w:val="24"/>
        </w:rPr>
        <w:t xml:space="preserve"> </w:t>
      </w:r>
    </w:p>
    <w:p w:rsidR="00FA0047" w:rsidRPr="00B06469" w:rsidRDefault="00FA0047" w:rsidP="001F0139">
      <w:pPr>
        <w:spacing w:after="0" w:line="360" w:lineRule="auto"/>
        <w:ind w:firstLine="709"/>
        <w:contextualSpacing/>
        <w:rPr>
          <w:rFonts w:ascii="Times New Roman" w:hAnsi="Times New Roman" w:cs="Times New Roman"/>
          <w:b/>
          <w:color w:val="0070C0"/>
          <w:sz w:val="24"/>
          <w:szCs w:val="24"/>
        </w:rPr>
      </w:pPr>
    </w:p>
    <w:p w:rsidR="00FA0047" w:rsidRPr="00B06469" w:rsidRDefault="00FA0047"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В Камышлинском районе асфальтированными дорогами с райцентром и магистральными дорогами связаны 20 из 22 населенных пунктов, кроме двух: с. Степановские Выселки и п. Красный Яр. В названных населенных пунктах зарегистрировано 2 человека, но фактически никто не проживает.</w:t>
      </w:r>
    </w:p>
    <w:p w:rsidR="00FA0047" w:rsidRPr="00B06469" w:rsidRDefault="00FA0047"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Все населенные пункты района соединены с районным центром дорогами с твердым покрытием, что позволило организовать пассажирское транспортное обслуживание внутри района. Сегодня автобусы курсируют по всем сельским поселениям. Число пассажиров, перевезенных автобусами за 2016 г. составило 16250 чел. По состоянию на 2017 г., удовлетворенность населения качеством автомобильных дорог составила 65,2%. Наблюдается положительная динамика и по обеспечению населения услугами транспорта — свыше 80%.</w:t>
      </w:r>
    </w:p>
    <w:p w:rsidR="00FA0047" w:rsidRPr="00B06469" w:rsidRDefault="00FA0047" w:rsidP="001F0139">
      <w:pPr>
        <w:tabs>
          <w:tab w:val="left" w:pos="709"/>
        </w:tabs>
        <w:suppressAutoHyphens/>
        <w:spacing w:after="0" w:line="360" w:lineRule="auto"/>
        <w:ind w:firstLine="709"/>
        <w:contextualSpacing/>
        <w:jc w:val="both"/>
        <w:rPr>
          <w:rFonts w:ascii="Times New Roman" w:eastAsia="Lucida Sans Unicode" w:hAnsi="Times New Roman" w:cs="Times New Roman"/>
          <w:color w:val="00000A"/>
          <w:kern w:val="2"/>
          <w:sz w:val="24"/>
          <w:szCs w:val="24"/>
          <w:lang w:eastAsia="hi-IN" w:bidi="hi-IN"/>
        </w:rPr>
      </w:pPr>
      <w:r w:rsidRPr="00B06469">
        <w:rPr>
          <w:rFonts w:ascii="Times New Roman" w:eastAsia="Lucida Sans Unicode" w:hAnsi="Times New Roman" w:cs="Times New Roman"/>
          <w:color w:val="00000A"/>
          <w:kern w:val="2"/>
          <w:sz w:val="24"/>
          <w:szCs w:val="24"/>
          <w:lang w:eastAsia="hi-IN" w:bidi="hi-IN"/>
        </w:rPr>
        <w:t xml:space="preserve">По состоянию на 01.01.2017 протяженность автомобильных дорог общего пользования местного значения составила 351,8 км, из них протяженность дорог с твердым покрытием составляет 27,0 км.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за 2016 год снизилась на 0,6 п.п. к 2015 году и составила 24,8%. Из 27 км асфальтовых дорог общего пользования местного значения нормативным требованиям не отвечают 6,7 км </w:t>
      </w:r>
      <w:r w:rsidRPr="00B06469">
        <w:rPr>
          <w:rFonts w:ascii="Times New Roman" w:eastAsia="Lucida Sans Unicode" w:hAnsi="Times New Roman" w:cs="Times New Roman"/>
          <w:color w:val="00000A"/>
          <w:kern w:val="2"/>
          <w:sz w:val="24"/>
          <w:szCs w:val="24"/>
          <w:lang w:eastAsia="hi-IN" w:bidi="hi-IN"/>
        </w:rPr>
        <w:lastRenderedPageBreak/>
        <w:t xml:space="preserve">дорог. В период 2017 – 2019 гг. доля автодорог общего пользования местного значения, не отвечающих нормативным требованиям должна снизиться до уровня 20,5%. </w:t>
      </w:r>
    </w:p>
    <w:p w:rsidR="00FA0047" w:rsidRPr="00B06469" w:rsidRDefault="00FA0047"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В 2015 г. производен капитальный ремонт автодороги местного значения с устройством твердого покрытия в сельских поселениях Байтуган протяженностью 0,9 км, Балыкла – 1,27, Ермаково – 0,43, Камышла – 5,7 кв.м. В райцентре выполнены работы по устройству тротуара протяженностью 2,4 км. Помимо этого приведены в порядок дороги по улицам райцентра, сел Старое и Новое Ермаково, Балыкла, Новое Усманово.</w:t>
      </w:r>
    </w:p>
    <w:p w:rsidR="00FA0047" w:rsidRPr="00B06469" w:rsidRDefault="00FA0047"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Сдан в эксплуатацию один из крупных объектов, возводимых на территории района за последние годы – южный обводной мостовой переход через реку Сок. Реализация масштабного проекта позволила решить проблему безопасности движения и весеннего паводка.</w:t>
      </w:r>
    </w:p>
    <w:p w:rsidR="00FA0047" w:rsidRPr="00B06469" w:rsidRDefault="00FA0047"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Важно отметить, что модернизация и развитие сельских дорог остается главной задачей для решения в ближайшие годы. В период 2017 – 2020 годы доля автодорог общего пользования местного значения, не отвечающих нормативным требованиям, должна снизиться, при условии софинансирования из областного бюджета, до уровня 28%. Преимущество Камышлинского района – это готовность всех документов, необходимых для градостроительного регулирования и территориального планирования. В свою очередь, в отношении отремонтированных участков дорог необходимо осуществлять работы по содержанию дорожной сети, что предотвратит преждевременное разрушение дорожного полотна.</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Факторами, способствующими повышению качества дорог местного значения, должны стать:</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ежегодное обследование автомобильных дорог местного значения, в том числе определение приоритетных участков дорог, подлежащих ремонту;</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участие в профильных государственных программах;</w:t>
      </w: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эффективное использование средств муниципального дорожного фонда;</w:t>
      </w:r>
    </w:p>
    <w:p w:rsidR="00FA0047" w:rsidRPr="00B06469" w:rsidRDefault="00FA0047" w:rsidP="001F0139">
      <w:pPr>
        <w:spacing w:after="0" w:line="360" w:lineRule="auto"/>
        <w:ind w:firstLine="709"/>
        <w:jc w:val="both"/>
        <w:rPr>
          <w:rFonts w:ascii="Times New Roman" w:hAnsi="Times New Roman" w:cs="Times New Roman"/>
          <w:b/>
          <w:color w:val="0070C0"/>
          <w:sz w:val="24"/>
          <w:szCs w:val="24"/>
        </w:rPr>
      </w:pPr>
      <w:r w:rsidRPr="00B06469">
        <w:rPr>
          <w:rFonts w:ascii="Times New Roman" w:hAnsi="Times New Roman" w:cs="Times New Roman"/>
          <w:sz w:val="24"/>
          <w:szCs w:val="24"/>
        </w:rPr>
        <w:t>эффективные контрактные взаимоотношения с подрядчиками, в том числе активное использование гарантийных механизмов.</w:t>
      </w:r>
      <w:r w:rsidRPr="00B06469">
        <w:rPr>
          <w:rFonts w:ascii="Times New Roman" w:hAnsi="Times New Roman" w:cs="Times New Roman"/>
          <w:sz w:val="24"/>
          <w:szCs w:val="24"/>
        </w:rPr>
        <w:br/>
      </w:r>
    </w:p>
    <w:p w:rsidR="00FA0047" w:rsidRPr="00B06469" w:rsidRDefault="00FA0047" w:rsidP="001F0139">
      <w:pPr>
        <w:spacing w:after="0" w:line="360" w:lineRule="auto"/>
        <w:contextualSpacing/>
        <w:jc w:val="both"/>
        <w:outlineLvl w:val="2"/>
        <w:rPr>
          <w:rFonts w:ascii="Times New Roman" w:hAnsi="Times New Roman" w:cs="Times New Roman"/>
          <w:b/>
          <w:color w:val="365F91"/>
          <w:sz w:val="24"/>
          <w:szCs w:val="24"/>
        </w:rPr>
      </w:pPr>
      <w:bookmarkStart w:id="28" w:name="_Toc520894850"/>
      <w:r w:rsidRPr="00B06469">
        <w:rPr>
          <w:rFonts w:ascii="Times New Roman" w:hAnsi="Times New Roman" w:cs="Times New Roman"/>
          <w:b/>
          <w:color w:val="365F91"/>
          <w:sz w:val="24"/>
          <w:szCs w:val="24"/>
        </w:rPr>
        <w:t>Информационно-коммуникационная инфраструктура</w:t>
      </w:r>
      <w:bookmarkEnd w:id="28"/>
      <w:r w:rsidRPr="00B06469">
        <w:rPr>
          <w:rFonts w:ascii="Times New Roman" w:hAnsi="Times New Roman" w:cs="Times New Roman"/>
          <w:b/>
          <w:color w:val="365F91"/>
          <w:sz w:val="24"/>
          <w:szCs w:val="24"/>
        </w:rPr>
        <w:t xml:space="preserve"> </w:t>
      </w:r>
    </w:p>
    <w:p w:rsidR="00FA0047" w:rsidRPr="00B06469" w:rsidRDefault="00FA0047" w:rsidP="001F0139">
      <w:pPr>
        <w:spacing w:after="0" w:line="360" w:lineRule="auto"/>
        <w:ind w:firstLine="709"/>
        <w:contextualSpacing/>
        <w:jc w:val="both"/>
        <w:rPr>
          <w:rFonts w:ascii="Times New Roman" w:hAnsi="Times New Roman" w:cs="Times New Roman"/>
          <w:b/>
          <w:color w:val="0070C0"/>
          <w:sz w:val="24"/>
          <w:szCs w:val="24"/>
        </w:rPr>
      </w:pPr>
    </w:p>
    <w:p w:rsidR="00FA0047" w:rsidRPr="00B06469" w:rsidRDefault="00FA0047"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Услуги электросвязи в районе оказываются ОАО «Ростелеком», так же развивающимися операторами сотовой связи, такими как «Мегафон» и «МТС». Общая монтированная емкость телефонной сети района составляет 1432 номера, все номера </w:t>
      </w:r>
      <w:r w:rsidRPr="00B06469">
        <w:rPr>
          <w:rFonts w:ascii="Times New Roman" w:hAnsi="Times New Roman" w:cs="Times New Roman"/>
          <w:sz w:val="24"/>
          <w:szCs w:val="24"/>
        </w:rPr>
        <w:lastRenderedPageBreak/>
        <w:t>принадлежат цифровым АТС. Число телефонных станций местной телефонной сети составляет 10 единиц, из них все цифровые. Телефонными аппаратами пользуются 5,7% населения. Число таксофонов составляет 23 единицы. Имеется один пункт коллективного доступа к сети Интернет. Отмечается низкое качество мобильной и Интернет- связи. Количество почтовых ящиков на 1000 чел. составляет 3,2. Существует потребность в банкоматах. Охват населения телевизионным вещанием составляет 100%.</w:t>
      </w:r>
    </w:p>
    <w:p w:rsidR="000320B3" w:rsidRPr="00B06469" w:rsidRDefault="000320B3" w:rsidP="001F0139">
      <w:pPr>
        <w:spacing w:after="0" w:line="360" w:lineRule="auto"/>
        <w:ind w:firstLine="709"/>
        <w:jc w:val="both"/>
        <w:rPr>
          <w:rFonts w:ascii="Times New Roman" w:hAnsi="Times New Roman" w:cs="Times New Roman"/>
          <w:b/>
          <w:color w:val="365F91" w:themeColor="accent1" w:themeShade="BF"/>
          <w:sz w:val="24"/>
          <w:szCs w:val="24"/>
        </w:rPr>
      </w:pPr>
    </w:p>
    <w:p w:rsidR="00E74438"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 xml:space="preserve">7.2.Стратегические цели, задачи и </w:t>
      </w:r>
      <w:r w:rsidR="00734560" w:rsidRPr="00734560">
        <w:rPr>
          <w:rFonts w:ascii="Times New Roman" w:hAnsi="Times New Roman" w:cs="Times New Roman"/>
          <w:b/>
          <w:color w:val="1F497D" w:themeColor="text2"/>
          <w:sz w:val="24"/>
          <w:szCs w:val="24"/>
        </w:rPr>
        <w:t>ожидаемые результаты направления «Создание комфортного пространства района для гармоничного развития</w:t>
      </w:r>
      <w:r w:rsidR="00734560" w:rsidRPr="00B06469">
        <w:rPr>
          <w:rFonts w:ascii="Times New Roman" w:hAnsi="Times New Roman" w:cs="Times New Roman"/>
          <w:sz w:val="24"/>
          <w:szCs w:val="24"/>
        </w:rPr>
        <w:t xml:space="preserve"> </w:t>
      </w:r>
      <w:r w:rsidRPr="00B06469">
        <w:rPr>
          <w:rFonts w:ascii="Times New Roman" w:hAnsi="Times New Roman" w:cs="Times New Roman"/>
          <w:b/>
          <w:color w:val="365F91" w:themeColor="accent1" w:themeShade="BF"/>
          <w:sz w:val="24"/>
          <w:szCs w:val="24"/>
        </w:rPr>
        <w:t>человеческого капитала».</w:t>
      </w:r>
    </w:p>
    <w:p w:rsidR="00E74438"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7.2.1.</w:t>
      </w:r>
      <w:r w:rsidR="00337AC4" w:rsidRPr="00B06469">
        <w:rPr>
          <w:rFonts w:ascii="Times New Roman" w:hAnsi="Times New Roman" w:cs="Times New Roman"/>
          <w:b/>
          <w:color w:val="365F91" w:themeColor="accent1" w:themeShade="BF"/>
          <w:sz w:val="24"/>
          <w:szCs w:val="24"/>
        </w:rPr>
        <w:t xml:space="preserve"> Повышение комфортности жилой среды, модернизация объектов социальной инфраструктуры</w:t>
      </w:r>
    </w:p>
    <w:p w:rsidR="00607703" w:rsidRPr="00B06469" w:rsidRDefault="00607703" w:rsidP="001F0139">
      <w:pPr>
        <w:spacing w:after="0" w:line="360" w:lineRule="auto"/>
        <w:ind w:firstLine="709"/>
        <w:jc w:val="both"/>
        <w:rPr>
          <w:rFonts w:ascii="Times New Roman" w:hAnsi="Times New Roman" w:cs="Times New Roman"/>
          <w:b/>
          <w:color w:val="365F91" w:themeColor="accent1" w:themeShade="BF"/>
          <w:sz w:val="24"/>
          <w:szCs w:val="24"/>
        </w:rPr>
      </w:pPr>
    </w:p>
    <w:p w:rsidR="00607703" w:rsidRPr="00B06469" w:rsidRDefault="00607703"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Мероприятия</w:t>
      </w:r>
    </w:p>
    <w:p w:rsidR="002760F1" w:rsidRPr="00B06469" w:rsidRDefault="00607703" w:rsidP="001F0139">
      <w:pPr>
        <w:spacing w:after="0" w:line="360" w:lineRule="auto"/>
        <w:ind w:firstLine="709"/>
        <w:jc w:val="both"/>
        <w:rPr>
          <w:rFonts w:ascii="Times New Roman" w:hAnsi="Times New Roman" w:cs="Times New Roman"/>
          <w:bCs/>
          <w:sz w:val="24"/>
          <w:szCs w:val="24"/>
        </w:rPr>
      </w:pPr>
      <w:r w:rsidRPr="00B06469">
        <w:rPr>
          <w:rFonts w:ascii="Times New Roman" w:hAnsi="Times New Roman" w:cs="Times New Roman"/>
          <w:bCs/>
          <w:sz w:val="24"/>
          <w:szCs w:val="24"/>
        </w:rPr>
        <w:t>Строительство</w:t>
      </w:r>
      <w:r w:rsidR="002760F1" w:rsidRPr="00B06469">
        <w:rPr>
          <w:rFonts w:ascii="Times New Roman" w:hAnsi="Times New Roman" w:cs="Times New Roman"/>
          <w:bCs/>
          <w:sz w:val="24"/>
          <w:szCs w:val="24"/>
        </w:rPr>
        <w:t>:</w:t>
      </w:r>
    </w:p>
    <w:p w:rsidR="00607703" w:rsidRPr="00B06469" w:rsidRDefault="00607703" w:rsidP="001F0139">
      <w:pPr>
        <w:spacing w:after="0" w:line="360" w:lineRule="auto"/>
        <w:ind w:firstLine="709"/>
        <w:jc w:val="both"/>
        <w:rPr>
          <w:rFonts w:ascii="Times New Roman" w:hAnsi="Times New Roman" w:cs="Times New Roman"/>
          <w:bCs/>
          <w:sz w:val="24"/>
          <w:szCs w:val="24"/>
        </w:rPr>
      </w:pPr>
      <w:r w:rsidRPr="00B06469">
        <w:rPr>
          <w:rFonts w:ascii="Times New Roman" w:hAnsi="Times New Roman" w:cs="Times New Roman"/>
          <w:bCs/>
          <w:sz w:val="24"/>
          <w:szCs w:val="24"/>
        </w:rPr>
        <w:t>автодороги с.Татарский Байтуган – п.Красный Яр (протяженность 10 км);</w:t>
      </w:r>
      <w:r w:rsidR="002760F1" w:rsidRPr="00B06469">
        <w:rPr>
          <w:rFonts w:ascii="Times New Roman" w:hAnsi="Times New Roman" w:cs="Times New Roman"/>
          <w:bCs/>
          <w:sz w:val="24"/>
          <w:szCs w:val="24"/>
        </w:rPr>
        <w:t xml:space="preserve"> </w:t>
      </w:r>
    </w:p>
    <w:p w:rsidR="00607703" w:rsidRPr="00B06469" w:rsidRDefault="00607703" w:rsidP="001F0139">
      <w:pPr>
        <w:spacing w:after="0" w:line="360" w:lineRule="auto"/>
        <w:ind w:firstLine="709"/>
        <w:jc w:val="both"/>
        <w:rPr>
          <w:rFonts w:ascii="Times New Roman" w:hAnsi="Times New Roman" w:cs="Times New Roman"/>
          <w:bCs/>
          <w:sz w:val="24"/>
          <w:szCs w:val="24"/>
        </w:rPr>
      </w:pPr>
      <w:r w:rsidRPr="00B06469">
        <w:rPr>
          <w:rFonts w:ascii="Times New Roman" w:hAnsi="Times New Roman" w:cs="Times New Roman"/>
          <w:bCs/>
          <w:sz w:val="24"/>
          <w:szCs w:val="24"/>
        </w:rPr>
        <w:t>автодороги с. Степановские Выселки - трасса «Степановка – Старая Балыкла» (протяженность 6 км);</w:t>
      </w:r>
    </w:p>
    <w:p w:rsidR="00607703" w:rsidRPr="00B06469" w:rsidRDefault="00607703" w:rsidP="001F0139">
      <w:pPr>
        <w:spacing w:after="0" w:line="360" w:lineRule="auto"/>
        <w:ind w:firstLine="709"/>
        <w:jc w:val="both"/>
        <w:rPr>
          <w:rFonts w:ascii="Times New Roman" w:hAnsi="Times New Roman" w:cs="Times New Roman"/>
          <w:bCs/>
          <w:sz w:val="24"/>
          <w:szCs w:val="24"/>
        </w:rPr>
      </w:pPr>
      <w:r w:rsidRPr="00B06469">
        <w:rPr>
          <w:rFonts w:ascii="Times New Roman" w:hAnsi="Times New Roman" w:cs="Times New Roman"/>
          <w:bCs/>
          <w:sz w:val="24"/>
          <w:szCs w:val="24"/>
        </w:rPr>
        <w:t>автодорога с. Старое Усманово – с. Никиткино (протяженность 4 км).</w:t>
      </w:r>
    </w:p>
    <w:p w:rsidR="002E2810" w:rsidRPr="00B06469" w:rsidRDefault="002E2810" w:rsidP="001F0139">
      <w:pPr>
        <w:spacing w:after="0" w:line="360" w:lineRule="auto"/>
        <w:ind w:firstLine="709"/>
        <w:jc w:val="both"/>
        <w:rPr>
          <w:rFonts w:ascii="Times New Roman" w:hAnsi="Times New Roman" w:cs="Times New Roman"/>
          <w:bCs/>
          <w:sz w:val="24"/>
          <w:szCs w:val="24"/>
        </w:rPr>
      </w:pPr>
      <w:r w:rsidRPr="00B06469">
        <w:rPr>
          <w:rFonts w:ascii="Times New Roman" w:hAnsi="Times New Roman" w:cs="Times New Roman"/>
          <w:bCs/>
          <w:sz w:val="24"/>
          <w:szCs w:val="24"/>
        </w:rPr>
        <w:t>Строительство фельдшерско-акушерских пунктов в селе Старая Балыкла и поселке Юлдуз.</w:t>
      </w:r>
    </w:p>
    <w:p w:rsidR="002E2810" w:rsidRPr="00B06469" w:rsidRDefault="002E2810" w:rsidP="001F0139">
      <w:pPr>
        <w:spacing w:after="0" w:line="360" w:lineRule="auto"/>
        <w:ind w:firstLine="709"/>
        <w:jc w:val="both"/>
        <w:rPr>
          <w:rFonts w:ascii="Times New Roman" w:hAnsi="Times New Roman" w:cs="Times New Roman"/>
          <w:bCs/>
          <w:sz w:val="24"/>
          <w:szCs w:val="24"/>
        </w:rPr>
      </w:pPr>
      <w:r w:rsidRPr="00B06469">
        <w:rPr>
          <w:rFonts w:ascii="Times New Roman" w:hAnsi="Times New Roman" w:cs="Times New Roman"/>
          <w:bCs/>
          <w:sz w:val="24"/>
          <w:szCs w:val="24"/>
        </w:rPr>
        <w:t>Строительство пунктов скорой помощи в селах Старое Усманово,</w:t>
      </w:r>
      <w:r w:rsidR="002760F1" w:rsidRPr="00B06469">
        <w:rPr>
          <w:rFonts w:ascii="Times New Roman" w:hAnsi="Times New Roman" w:cs="Times New Roman"/>
          <w:bCs/>
          <w:sz w:val="24"/>
          <w:szCs w:val="24"/>
        </w:rPr>
        <w:t xml:space="preserve"> </w:t>
      </w:r>
      <w:r w:rsidRPr="00B06469">
        <w:rPr>
          <w:rFonts w:ascii="Times New Roman" w:hAnsi="Times New Roman" w:cs="Times New Roman"/>
          <w:bCs/>
          <w:sz w:val="24"/>
          <w:szCs w:val="24"/>
        </w:rPr>
        <w:t>Старая Балыкла и в поселке Юлдуз.</w:t>
      </w:r>
    </w:p>
    <w:p w:rsidR="002E2810" w:rsidRPr="00B06469" w:rsidRDefault="002E2810" w:rsidP="001F0139">
      <w:pPr>
        <w:spacing w:after="0" w:line="360" w:lineRule="auto"/>
        <w:ind w:firstLine="709"/>
        <w:jc w:val="both"/>
        <w:rPr>
          <w:rFonts w:ascii="Times New Roman" w:hAnsi="Times New Roman" w:cs="Times New Roman"/>
          <w:bCs/>
          <w:sz w:val="24"/>
          <w:szCs w:val="24"/>
        </w:rPr>
      </w:pPr>
      <w:r w:rsidRPr="00B06469">
        <w:rPr>
          <w:rFonts w:ascii="Times New Roman" w:hAnsi="Times New Roman" w:cs="Times New Roman"/>
          <w:bCs/>
          <w:sz w:val="24"/>
          <w:szCs w:val="24"/>
        </w:rPr>
        <w:t>Реконструкция фельдшерско-акушерских пунктов в сёлах Степановка, Старая Балыкла, Русский Байтуган, Татарский Байтуган, Старое Ермаково, Новое Ермаково, Старое Усманово, Новое Усманово, Неклюдово, Никиткино и поселке Чулпан.</w:t>
      </w:r>
    </w:p>
    <w:p w:rsidR="00833A0F" w:rsidRPr="00B06469" w:rsidRDefault="00833A0F" w:rsidP="001F0139">
      <w:pPr>
        <w:spacing w:after="0" w:line="360" w:lineRule="auto"/>
        <w:ind w:firstLine="709"/>
        <w:jc w:val="both"/>
        <w:rPr>
          <w:rFonts w:ascii="Times New Roman" w:hAnsi="Times New Roman" w:cs="Times New Roman"/>
          <w:bCs/>
          <w:sz w:val="24"/>
          <w:szCs w:val="24"/>
        </w:rPr>
      </w:pPr>
      <w:r w:rsidRPr="00B06469">
        <w:rPr>
          <w:rFonts w:ascii="Times New Roman" w:hAnsi="Times New Roman" w:cs="Times New Roman"/>
          <w:bCs/>
          <w:sz w:val="24"/>
          <w:szCs w:val="24"/>
        </w:rPr>
        <w:t xml:space="preserve">Реконструкция общеобразовательных учреждений (начального общего, основного общего, среднего (полного) общего образования) в комплексы «учреждение (начального общего, основного общего, среднего (полного) общего образования) – дошкольное образовательное учреждение» в сёлах Неклюдово, Никиткино и Русский Байтуган. </w:t>
      </w:r>
    </w:p>
    <w:p w:rsidR="00A65CD4" w:rsidRPr="00B06469" w:rsidRDefault="00A65CD4" w:rsidP="001F0139">
      <w:pPr>
        <w:spacing w:after="0" w:line="360" w:lineRule="auto"/>
        <w:ind w:hanging="11"/>
        <w:jc w:val="both"/>
        <w:rPr>
          <w:rFonts w:ascii="Times New Roman" w:hAnsi="Times New Roman" w:cs="Times New Roman"/>
          <w:b/>
          <w:sz w:val="24"/>
          <w:szCs w:val="24"/>
        </w:rPr>
      </w:pPr>
      <w:r w:rsidRPr="00B06469">
        <w:rPr>
          <w:rFonts w:ascii="Times New Roman" w:hAnsi="Times New Roman" w:cs="Times New Roman"/>
          <w:b/>
          <w:sz w:val="24"/>
          <w:szCs w:val="24"/>
        </w:rPr>
        <w:t>Проекты и программы</w:t>
      </w:r>
    </w:p>
    <w:p w:rsidR="00A65CD4" w:rsidRDefault="00A65CD4"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Cs/>
          <w:sz w:val="24"/>
          <w:szCs w:val="24"/>
          <w:u w:val="single"/>
        </w:rPr>
        <w:t xml:space="preserve">Муниципальная программа </w:t>
      </w:r>
      <w:r w:rsidRPr="00B06469">
        <w:rPr>
          <w:rFonts w:ascii="Times New Roman" w:hAnsi="Times New Roman" w:cs="Times New Roman"/>
          <w:sz w:val="24"/>
          <w:szCs w:val="24"/>
        </w:rPr>
        <w:t xml:space="preserve">«Формирование комфортной </w:t>
      </w:r>
      <w:r w:rsidR="001F0139" w:rsidRPr="00B06469">
        <w:rPr>
          <w:rFonts w:ascii="Times New Roman" w:hAnsi="Times New Roman" w:cs="Times New Roman"/>
          <w:sz w:val="24"/>
          <w:szCs w:val="24"/>
        </w:rPr>
        <w:t>район</w:t>
      </w:r>
      <w:r w:rsidR="009F19E5">
        <w:rPr>
          <w:rFonts w:ascii="Times New Roman" w:hAnsi="Times New Roman" w:cs="Times New Roman"/>
          <w:sz w:val="24"/>
          <w:szCs w:val="24"/>
        </w:rPr>
        <w:t>н</w:t>
      </w:r>
      <w:r w:rsidRPr="00B06469">
        <w:rPr>
          <w:rFonts w:ascii="Times New Roman" w:hAnsi="Times New Roman" w:cs="Times New Roman"/>
          <w:sz w:val="24"/>
          <w:szCs w:val="24"/>
        </w:rPr>
        <w:t>ой среды муниципального района Камышлинский Самарской области» на 2018-2022 годы»</w:t>
      </w:r>
    </w:p>
    <w:p w:rsidR="009F19E5" w:rsidRPr="009F19E5" w:rsidRDefault="009F19E5" w:rsidP="001F0139">
      <w:pPr>
        <w:spacing w:after="0" w:line="360" w:lineRule="auto"/>
        <w:ind w:firstLine="709"/>
        <w:jc w:val="both"/>
        <w:rPr>
          <w:rFonts w:ascii="Times New Roman" w:hAnsi="Times New Roman" w:cs="Times New Roman"/>
          <w:sz w:val="24"/>
          <w:szCs w:val="24"/>
          <w:u w:val="single"/>
        </w:rPr>
      </w:pPr>
      <w:r w:rsidRPr="007223A6">
        <w:rPr>
          <w:rFonts w:ascii="Times New Roman" w:hAnsi="Times New Roman" w:cs="Times New Roman"/>
          <w:sz w:val="24"/>
          <w:szCs w:val="24"/>
          <w:u w:val="single"/>
        </w:rPr>
        <w:lastRenderedPageBreak/>
        <w:t>Государственная программа РФ «Комплексное развитие сельских территорий» на 2020-2025гг.</w:t>
      </w:r>
    </w:p>
    <w:p w:rsidR="00A65CD4" w:rsidRPr="00B06469" w:rsidRDefault="00A65CD4"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Cs/>
          <w:sz w:val="24"/>
          <w:szCs w:val="24"/>
          <w:u w:val="single"/>
        </w:rPr>
        <w:t>Разработка и реализация муниципальной программы</w:t>
      </w:r>
      <w:r w:rsidRPr="00B06469">
        <w:rPr>
          <w:rFonts w:ascii="Times New Roman" w:hAnsi="Times New Roman" w:cs="Times New Roman"/>
          <w:sz w:val="24"/>
          <w:szCs w:val="24"/>
          <w:u w:val="single"/>
        </w:rPr>
        <w:t xml:space="preserve"> </w:t>
      </w:r>
      <w:r w:rsidRPr="00B06469">
        <w:rPr>
          <w:rFonts w:ascii="Times New Roman" w:hAnsi="Times New Roman" w:cs="Times New Roman"/>
          <w:sz w:val="24"/>
          <w:szCs w:val="24"/>
        </w:rPr>
        <w:t>«Доступное жилье до 2030 г.»</w:t>
      </w:r>
    </w:p>
    <w:p w:rsidR="00A65CD4" w:rsidRPr="00B06469" w:rsidRDefault="00A65CD4"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«Поддержка местных инициатив граждан по созданию комфортной среды» на основе муниципально-частного партнерства </w:t>
      </w:r>
    </w:p>
    <w:p w:rsidR="00A65CD4" w:rsidRPr="00B06469" w:rsidRDefault="00A65CD4"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«Реконструкция школ района»</w:t>
      </w:r>
    </w:p>
    <w:p w:rsidR="00A65CD4" w:rsidRPr="00B06469" w:rsidRDefault="00A65CD4" w:rsidP="001F0139">
      <w:pPr>
        <w:spacing w:after="0" w:line="360" w:lineRule="auto"/>
        <w:ind w:firstLine="709"/>
        <w:jc w:val="both"/>
        <w:rPr>
          <w:rFonts w:ascii="Times New Roman" w:hAnsi="Times New Roman" w:cs="Times New Roman"/>
          <w:b/>
          <w:color w:val="365F91" w:themeColor="accent1" w:themeShade="BF"/>
          <w:sz w:val="24"/>
          <w:szCs w:val="24"/>
        </w:rPr>
      </w:pPr>
    </w:p>
    <w:p w:rsidR="00337AC4"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7.2.2.</w:t>
      </w:r>
      <w:r w:rsidR="00337AC4" w:rsidRPr="00B06469">
        <w:rPr>
          <w:rFonts w:ascii="Times New Roman" w:hAnsi="Times New Roman" w:cs="Times New Roman"/>
          <w:b/>
          <w:color w:val="365F91" w:themeColor="accent1" w:themeShade="BF"/>
          <w:sz w:val="24"/>
          <w:szCs w:val="24"/>
        </w:rPr>
        <w:t xml:space="preserve"> Поддержка и развитие экосреды района, повышение экологической грамотности населения</w:t>
      </w:r>
    </w:p>
    <w:p w:rsidR="000320B3" w:rsidRPr="00B06469" w:rsidRDefault="00805F04"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Мероприятия</w:t>
      </w:r>
    </w:p>
    <w:p w:rsidR="00805F04" w:rsidRPr="00B06469" w:rsidRDefault="00805F04" w:rsidP="001F0139">
      <w:pPr>
        <w:ind w:firstLine="720"/>
        <w:rPr>
          <w:sz w:val="24"/>
          <w:szCs w:val="24"/>
        </w:rPr>
      </w:pPr>
      <w:r w:rsidRPr="00B06469">
        <w:rPr>
          <w:sz w:val="24"/>
          <w:szCs w:val="24"/>
        </w:rPr>
        <w:t>повышение лесистости территорий Самарской области (увеличение объемов лесных насаждений за счет лесопосадочных работ), создание различных типов защитных лесных полос, колков, куртин, урочищ, а также плантаций из быстрорастущих пород, которые будут представлять собой новые самовозобновляющиеся экологические системы;</w:t>
      </w:r>
    </w:p>
    <w:p w:rsidR="00805F04" w:rsidRPr="00B06469" w:rsidRDefault="00805F04" w:rsidP="001F0139">
      <w:pPr>
        <w:ind w:firstLine="720"/>
        <w:rPr>
          <w:sz w:val="24"/>
          <w:szCs w:val="24"/>
        </w:rPr>
      </w:pPr>
      <w:r w:rsidRPr="00B06469">
        <w:rPr>
          <w:sz w:val="24"/>
          <w:szCs w:val="24"/>
        </w:rPr>
        <w:t>разработка проектов по реабилитации прибрежных территорий и долин малых рек (озеленение, залесение, рекультивация почвы, благоустройство) с учетом функционального назначения территорий;</w:t>
      </w:r>
    </w:p>
    <w:p w:rsidR="00805F04" w:rsidRPr="00B06469" w:rsidRDefault="00805F04" w:rsidP="001F0139">
      <w:pPr>
        <w:ind w:firstLine="720"/>
        <w:rPr>
          <w:sz w:val="24"/>
          <w:szCs w:val="24"/>
        </w:rPr>
      </w:pPr>
      <w:r w:rsidRPr="00B06469">
        <w:rPr>
          <w:sz w:val="24"/>
          <w:szCs w:val="24"/>
        </w:rPr>
        <w:t>разработка бассейновых схем охраны, реабилитации и рационального использования малых рек и прибрежных территорий;</w:t>
      </w:r>
    </w:p>
    <w:p w:rsidR="00805F04" w:rsidRPr="00B06469" w:rsidRDefault="00805F04" w:rsidP="001F0139">
      <w:pPr>
        <w:ind w:firstLine="720"/>
        <w:rPr>
          <w:sz w:val="24"/>
          <w:szCs w:val="24"/>
        </w:rPr>
      </w:pPr>
      <w:r w:rsidRPr="00B06469">
        <w:rPr>
          <w:sz w:val="24"/>
          <w:szCs w:val="24"/>
        </w:rPr>
        <w:t>инженерная подготовка и оборудование прибрежных территорий, включая мероприятия по организации рельефа, мелиорации, берегоукрепление, противоэрозионные, противооползневые и оврагоукрепительные работы;</w:t>
      </w:r>
    </w:p>
    <w:p w:rsidR="00805F04" w:rsidRPr="00B06469" w:rsidRDefault="002760F1" w:rsidP="001F0139">
      <w:pPr>
        <w:pStyle w:val="ab"/>
        <w:spacing w:line="360" w:lineRule="auto"/>
        <w:rPr>
          <w:sz w:val="24"/>
        </w:rPr>
      </w:pPr>
      <w:r w:rsidRPr="00B06469">
        <w:rPr>
          <w:sz w:val="24"/>
        </w:rPr>
        <w:t xml:space="preserve">  </w:t>
      </w:r>
      <w:r w:rsidR="00805F04" w:rsidRPr="00B06469">
        <w:rPr>
          <w:sz w:val="24"/>
        </w:rPr>
        <w:t xml:space="preserve"> строительство взлетно-посадочной площадки для малой авиации и вертолетов в селе Камышла.</w:t>
      </w:r>
    </w:p>
    <w:p w:rsidR="00607703" w:rsidRPr="00B06469" w:rsidRDefault="00607703" w:rsidP="001F0139">
      <w:pPr>
        <w:rPr>
          <w:sz w:val="24"/>
          <w:szCs w:val="24"/>
        </w:rPr>
      </w:pPr>
      <w:r w:rsidRPr="00B06469">
        <w:rPr>
          <w:sz w:val="24"/>
          <w:szCs w:val="24"/>
        </w:rPr>
        <w:t>технической реконструкции линейной части и компрессорных станций с применением энерго- и газосберегающих технологий;</w:t>
      </w:r>
    </w:p>
    <w:p w:rsidR="00607703" w:rsidRPr="00B06469" w:rsidRDefault="00607703" w:rsidP="001F0139">
      <w:pPr>
        <w:rPr>
          <w:sz w:val="24"/>
          <w:szCs w:val="24"/>
        </w:rPr>
      </w:pPr>
      <w:r w:rsidRPr="00B06469">
        <w:rPr>
          <w:sz w:val="24"/>
          <w:szCs w:val="24"/>
        </w:rPr>
        <w:t xml:space="preserve">развития газораспределительной системы с подключением максимально возможного количества потребителей; </w:t>
      </w:r>
    </w:p>
    <w:p w:rsidR="00607703" w:rsidRPr="00B06469" w:rsidRDefault="00607703" w:rsidP="001F0139">
      <w:pPr>
        <w:rPr>
          <w:sz w:val="24"/>
          <w:szCs w:val="24"/>
        </w:rPr>
      </w:pPr>
      <w:r w:rsidRPr="00B06469">
        <w:rPr>
          <w:sz w:val="24"/>
          <w:szCs w:val="24"/>
        </w:rPr>
        <w:t xml:space="preserve">строительства и реконструкции газопроводов высокого, среднего и низкого давления. </w:t>
      </w:r>
    </w:p>
    <w:p w:rsidR="00607703" w:rsidRPr="00B06469" w:rsidRDefault="00607703" w:rsidP="001F0139">
      <w:pPr>
        <w:rPr>
          <w:sz w:val="24"/>
          <w:szCs w:val="24"/>
        </w:rPr>
      </w:pPr>
      <w:r w:rsidRPr="00B06469">
        <w:rPr>
          <w:sz w:val="24"/>
          <w:szCs w:val="24"/>
        </w:rPr>
        <w:t>Проектирование и строительство газопроводов низкого давления в селах Камышла и Старое Ермаково.</w:t>
      </w:r>
    </w:p>
    <w:p w:rsidR="0010573D" w:rsidRPr="00B06469" w:rsidRDefault="0010573D" w:rsidP="001F0139">
      <w:pPr>
        <w:rPr>
          <w:sz w:val="24"/>
          <w:szCs w:val="24"/>
        </w:rPr>
      </w:pPr>
      <w:r w:rsidRPr="00B06469">
        <w:rPr>
          <w:sz w:val="24"/>
          <w:szCs w:val="24"/>
        </w:rPr>
        <w:t xml:space="preserve">Строительство и реконструкция канализационных очистных сооружений и сетей канализации межпоселенческого значения с применением безопасных методов </w:t>
      </w:r>
      <w:r w:rsidRPr="00B06469">
        <w:rPr>
          <w:sz w:val="24"/>
          <w:szCs w:val="24"/>
        </w:rPr>
        <w:lastRenderedPageBreak/>
        <w:t>обеззараживания воды (ультрафиолетовое облучение, озонирование) в селах Старое Ермаково, Новое Усманово.</w:t>
      </w:r>
    </w:p>
    <w:p w:rsidR="0010573D" w:rsidRPr="00B06469" w:rsidRDefault="0010573D" w:rsidP="001F0139">
      <w:pPr>
        <w:rPr>
          <w:sz w:val="24"/>
          <w:szCs w:val="24"/>
        </w:rPr>
      </w:pPr>
      <w:r w:rsidRPr="00B06469">
        <w:rPr>
          <w:sz w:val="24"/>
          <w:szCs w:val="24"/>
        </w:rPr>
        <w:t>Завершение строительства канализационных очистных сооружений в селе Камышла.</w:t>
      </w:r>
    </w:p>
    <w:p w:rsidR="0010573D" w:rsidRPr="00B06469" w:rsidRDefault="0010573D" w:rsidP="001F0139">
      <w:pPr>
        <w:rPr>
          <w:sz w:val="24"/>
          <w:szCs w:val="24"/>
        </w:rPr>
      </w:pPr>
      <w:r w:rsidRPr="00B06469">
        <w:rPr>
          <w:sz w:val="24"/>
          <w:szCs w:val="24"/>
        </w:rPr>
        <w:t>Ликвидация несанкционированных свалок с последующей рекультивацией занимаемых</w:t>
      </w:r>
      <w:r w:rsidR="002760F1" w:rsidRPr="00B06469">
        <w:rPr>
          <w:sz w:val="24"/>
          <w:szCs w:val="24"/>
        </w:rPr>
        <w:t xml:space="preserve"> </w:t>
      </w:r>
      <w:r w:rsidRPr="00B06469">
        <w:rPr>
          <w:sz w:val="24"/>
          <w:szCs w:val="24"/>
        </w:rPr>
        <w:t>ими территорий, расположенных (в том числе) в районе населенных пунктов: Старое Ермаково, Старая Балыкла, Новое Усманово, Старое Усманово, Татарский Байтуган, Никиткино.</w:t>
      </w:r>
    </w:p>
    <w:p w:rsidR="0010573D" w:rsidRPr="00B06469" w:rsidRDefault="0010573D" w:rsidP="001F0139">
      <w:pPr>
        <w:rPr>
          <w:sz w:val="24"/>
          <w:szCs w:val="24"/>
        </w:rPr>
      </w:pPr>
      <w:r w:rsidRPr="00B06469">
        <w:rPr>
          <w:sz w:val="24"/>
          <w:szCs w:val="24"/>
        </w:rPr>
        <w:t xml:space="preserve"> </w:t>
      </w:r>
      <w:r w:rsidRPr="00B06469">
        <w:rPr>
          <w:sz w:val="24"/>
          <w:szCs w:val="24"/>
        </w:rPr>
        <w:tab/>
      </w:r>
    </w:p>
    <w:p w:rsidR="0010573D" w:rsidRPr="00B06469" w:rsidRDefault="0010573D" w:rsidP="001F0139">
      <w:pPr>
        <w:rPr>
          <w:sz w:val="24"/>
          <w:szCs w:val="24"/>
        </w:rPr>
      </w:pPr>
      <w:r w:rsidRPr="00B06469">
        <w:rPr>
          <w:sz w:val="24"/>
          <w:szCs w:val="24"/>
        </w:rPr>
        <w:t xml:space="preserve"> </w:t>
      </w:r>
      <w:r w:rsidRPr="00B06469">
        <w:rPr>
          <w:sz w:val="24"/>
          <w:szCs w:val="24"/>
        </w:rPr>
        <w:tab/>
        <w:t>Приведение действующих скотомогильников, расположенных в районе сел Камышла, Старая Балыкла, в соответствие с требованиями «Ветеринарно-санитарных правил сбора, утилизации и уничтожения биологических отходов», утвержденных Минсельхозпродом РФ 04.12.1995 г. №13-7-2/469.</w:t>
      </w:r>
    </w:p>
    <w:p w:rsidR="0010573D" w:rsidRPr="00B06469" w:rsidRDefault="0010573D" w:rsidP="001F0139">
      <w:pPr>
        <w:rPr>
          <w:sz w:val="24"/>
          <w:szCs w:val="24"/>
        </w:rPr>
      </w:pPr>
      <w:r w:rsidRPr="00B06469">
        <w:rPr>
          <w:sz w:val="24"/>
          <w:szCs w:val="24"/>
        </w:rPr>
        <w:t>Проектирование и строительство ям Беккари в районе сел Новое Усманово, Русский Байтуган, Старое Усманово, Старое Ермаково.</w:t>
      </w:r>
    </w:p>
    <w:p w:rsidR="0010573D" w:rsidRPr="00B06469" w:rsidRDefault="0010573D" w:rsidP="001F0139">
      <w:pPr>
        <w:rPr>
          <w:sz w:val="24"/>
          <w:szCs w:val="24"/>
        </w:rPr>
      </w:pPr>
      <w:r w:rsidRPr="00B06469">
        <w:rPr>
          <w:sz w:val="24"/>
          <w:szCs w:val="24"/>
        </w:rPr>
        <w:t>Консервация скотомогильников в районе сел Камышла, Новое Усманово, Никиткино, Новое Ермаково, Старое Ермаково, Русский Байтуган, Старое Усманово.</w:t>
      </w:r>
    </w:p>
    <w:p w:rsidR="0010573D" w:rsidRPr="00B06469" w:rsidRDefault="0010573D" w:rsidP="001F0139">
      <w:pPr>
        <w:rPr>
          <w:sz w:val="24"/>
          <w:szCs w:val="24"/>
        </w:rPr>
      </w:pPr>
      <w:r w:rsidRPr="00B06469">
        <w:rPr>
          <w:sz w:val="24"/>
          <w:szCs w:val="24"/>
        </w:rPr>
        <w:t>Разработка генеральной схемы очистки территории муниципального района Камышлинский Самарской области.</w:t>
      </w:r>
    </w:p>
    <w:p w:rsidR="0010573D" w:rsidRPr="00B06469" w:rsidRDefault="0010573D" w:rsidP="001F0139">
      <w:pPr>
        <w:rPr>
          <w:sz w:val="24"/>
          <w:szCs w:val="24"/>
        </w:rPr>
      </w:pPr>
      <w:r w:rsidRPr="00B06469">
        <w:rPr>
          <w:sz w:val="24"/>
          <w:szCs w:val="24"/>
        </w:rPr>
        <w:t>Проведение мероприятий по укреплению береговой линии реки Сок в районе сел</w:t>
      </w:r>
      <w:r w:rsidR="002760F1" w:rsidRPr="00B06469">
        <w:rPr>
          <w:sz w:val="24"/>
          <w:szCs w:val="24"/>
        </w:rPr>
        <w:t xml:space="preserve"> </w:t>
      </w:r>
      <w:r w:rsidRPr="00B06469">
        <w:rPr>
          <w:sz w:val="24"/>
          <w:szCs w:val="24"/>
        </w:rPr>
        <w:t>Новое Усманово, Русский Байтуган, Камышла, в сельском поселении Ермаково.</w:t>
      </w:r>
    </w:p>
    <w:p w:rsidR="00805F04" w:rsidRPr="00B06469" w:rsidRDefault="00805F04" w:rsidP="001F0139">
      <w:pPr>
        <w:spacing w:after="0" w:line="360" w:lineRule="auto"/>
        <w:ind w:firstLine="709"/>
        <w:jc w:val="both"/>
        <w:rPr>
          <w:rFonts w:ascii="Times New Roman" w:hAnsi="Times New Roman" w:cs="Times New Roman"/>
          <w:b/>
          <w:color w:val="365F91" w:themeColor="accent1" w:themeShade="BF"/>
          <w:sz w:val="24"/>
          <w:szCs w:val="24"/>
        </w:rPr>
      </w:pPr>
    </w:p>
    <w:p w:rsidR="00337AC4" w:rsidRPr="00B06469" w:rsidRDefault="00337AC4"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7.2.3. Развитие культурного пространства и национальных традиций</w:t>
      </w:r>
    </w:p>
    <w:p w:rsidR="000320B3" w:rsidRPr="00B06469" w:rsidRDefault="00443650"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Мероприятия</w:t>
      </w:r>
    </w:p>
    <w:p w:rsidR="00443650" w:rsidRPr="00B06469" w:rsidRDefault="00443650" w:rsidP="001F0139">
      <w:pPr>
        <w:rPr>
          <w:sz w:val="24"/>
          <w:szCs w:val="24"/>
        </w:rPr>
      </w:pPr>
      <w:r w:rsidRPr="00B06469">
        <w:rPr>
          <w:sz w:val="24"/>
          <w:szCs w:val="24"/>
        </w:rPr>
        <w:t>2.7.1. Строительство культурно-досуговых центров в селах Камышла, Старое Ермаково и Новое Усманово.</w:t>
      </w:r>
    </w:p>
    <w:p w:rsidR="00443650" w:rsidRPr="00B06469" w:rsidRDefault="00443650" w:rsidP="001F0139">
      <w:pPr>
        <w:rPr>
          <w:sz w:val="24"/>
          <w:szCs w:val="24"/>
        </w:rPr>
      </w:pPr>
      <w:r w:rsidRPr="00B06469">
        <w:rPr>
          <w:sz w:val="24"/>
          <w:szCs w:val="24"/>
        </w:rPr>
        <w:t>2.7.2. Строительство молодежного клуба в селе Старое Усманово.</w:t>
      </w:r>
    </w:p>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p>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p>
    <w:p w:rsidR="002760F1" w:rsidRPr="00B06469" w:rsidRDefault="002760F1">
      <w:pPr>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br w:type="page"/>
      </w:r>
    </w:p>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Ожидаемые</w:t>
      </w:r>
      <w:r w:rsidR="002760F1" w:rsidRPr="00B06469">
        <w:rPr>
          <w:rFonts w:ascii="Times New Roman" w:hAnsi="Times New Roman" w:cs="Times New Roman"/>
          <w:b/>
          <w:color w:val="365F91" w:themeColor="accent1" w:themeShade="BF"/>
          <w:sz w:val="24"/>
          <w:szCs w:val="24"/>
        </w:rPr>
        <w:t xml:space="preserve"> </w:t>
      </w:r>
      <w:r w:rsidRPr="00B06469">
        <w:rPr>
          <w:rFonts w:ascii="Times New Roman" w:hAnsi="Times New Roman" w:cs="Times New Roman"/>
          <w:b/>
          <w:color w:val="365F91" w:themeColor="accent1" w:themeShade="BF"/>
          <w:sz w:val="24"/>
          <w:szCs w:val="24"/>
        </w:rPr>
        <w:t>результаты</w:t>
      </w:r>
    </w:p>
    <w:tbl>
      <w:tblPr>
        <w:tblStyle w:val="a9"/>
        <w:tblW w:w="0" w:type="auto"/>
        <w:jc w:val="center"/>
        <w:tblLook w:val="04A0" w:firstRow="1" w:lastRow="0" w:firstColumn="1" w:lastColumn="0" w:noHBand="0" w:noVBand="1"/>
      </w:tblPr>
      <w:tblGrid>
        <w:gridCol w:w="2509"/>
        <w:gridCol w:w="675"/>
        <w:gridCol w:w="1630"/>
        <w:gridCol w:w="865"/>
        <w:gridCol w:w="865"/>
        <w:gridCol w:w="1130"/>
      </w:tblGrid>
      <w:tr w:rsidR="00443650" w:rsidRPr="00B06469" w:rsidTr="00A722E5">
        <w:trPr>
          <w:jc w:val="center"/>
        </w:trPr>
        <w:tc>
          <w:tcPr>
            <w:tcW w:w="2509" w:type="dxa"/>
            <w:shd w:val="clear" w:color="auto" w:fill="C00000"/>
          </w:tcPr>
          <w:p w:rsidR="00443650" w:rsidRPr="00B06469" w:rsidRDefault="00443650" w:rsidP="001F0139">
            <w:pPr>
              <w:jc w:val="center"/>
              <w:rPr>
                <w:rFonts w:ascii="Times New Roman" w:hAnsi="Times New Roman" w:cs="Times New Roman"/>
                <w:b/>
                <w:sz w:val="24"/>
                <w:szCs w:val="24"/>
              </w:rPr>
            </w:pPr>
          </w:p>
          <w:p w:rsidR="00443650" w:rsidRPr="00B06469" w:rsidRDefault="00443650" w:rsidP="001F0139">
            <w:pPr>
              <w:jc w:val="center"/>
              <w:rPr>
                <w:rFonts w:ascii="Times New Roman" w:hAnsi="Times New Roman" w:cs="Times New Roman"/>
                <w:b/>
                <w:sz w:val="24"/>
                <w:szCs w:val="24"/>
              </w:rPr>
            </w:pPr>
          </w:p>
          <w:p w:rsidR="00443650" w:rsidRPr="00B06469" w:rsidRDefault="00443650" w:rsidP="001F0139">
            <w:pPr>
              <w:jc w:val="center"/>
              <w:rPr>
                <w:rFonts w:ascii="Times New Roman" w:hAnsi="Times New Roman" w:cs="Times New Roman"/>
                <w:b/>
                <w:sz w:val="24"/>
                <w:szCs w:val="24"/>
              </w:rPr>
            </w:pPr>
          </w:p>
          <w:p w:rsidR="00443650" w:rsidRPr="00B06469" w:rsidRDefault="00443650" w:rsidP="001F0139">
            <w:pPr>
              <w:jc w:val="center"/>
              <w:rPr>
                <w:rFonts w:ascii="Times New Roman" w:hAnsi="Times New Roman" w:cs="Times New Roman"/>
                <w:b/>
                <w:sz w:val="24"/>
                <w:szCs w:val="24"/>
              </w:rPr>
            </w:pPr>
          </w:p>
          <w:p w:rsidR="00443650" w:rsidRPr="00B06469" w:rsidRDefault="00443650" w:rsidP="001F0139">
            <w:pPr>
              <w:jc w:val="center"/>
              <w:rPr>
                <w:rFonts w:ascii="Times New Roman" w:hAnsi="Times New Roman" w:cs="Times New Roman"/>
                <w:b/>
                <w:sz w:val="24"/>
                <w:szCs w:val="24"/>
              </w:rPr>
            </w:pPr>
          </w:p>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Целевой показатель</w:t>
            </w:r>
          </w:p>
        </w:tc>
        <w:tc>
          <w:tcPr>
            <w:tcW w:w="675" w:type="dxa"/>
            <w:shd w:val="clear" w:color="auto" w:fill="C00000"/>
          </w:tcPr>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Ед. изм.</w:t>
            </w:r>
          </w:p>
        </w:tc>
        <w:tc>
          <w:tcPr>
            <w:tcW w:w="1630" w:type="dxa"/>
            <w:shd w:val="clear" w:color="auto" w:fill="C00000"/>
            <w:vAlign w:val="center"/>
          </w:tcPr>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Сценарий</w:t>
            </w:r>
          </w:p>
        </w:tc>
        <w:tc>
          <w:tcPr>
            <w:tcW w:w="865"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2020г.</w:t>
            </w:r>
          </w:p>
        </w:tc>
        <w:tc>
          <w:tcPr>
            <w:tcW w:w="865"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2025г.</w:t>
            </w:r>
          </w:p>
        </w:tc>
        <w:tc>
          <w:tcPr>
            <w:tcW w:w="1130"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2030г.</w:t>
            </w:r>
          </w:p>
        </w:tc>
      </w:tr>
      <w:tr w:rsidR="00443650" w:rsidRPr="00B06469" w:rsidTr="00A722E5">
        <w:trPr>
          <w:trHeight w:val="1767"/>
          <w:jc w:val="center"/>
        </w:trPr>
        <w:tc>
          <w:tcPr>
            <w:tcW w:w="2509" w:type="dxa"/>
            <w:vMerge w:val="restart"/>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увеличение объемов жилищного строительства с учетом социальной нормы </w:t>
            </w:r>
          </w:p>
        </w:tc>
        <w:tc>
          <w:tcPr>
            <w:tcW w:w="675" w:type="dxa"/>
            <w:vMerge w:val="restart"/>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кв.м на чел</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28</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29</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32</w:t>
            </w:r>
          </w:p>
        </w:tc>
      </w:tr>
      <w:tr w:rsidR="00443650" w:rsidRPr="00B06469" w:rsidTr="00A722E5">
        <w:trPr>
          <w:jc w:val="center"/>
        </w:trPr>
        <w:tc>
          <w:tcPr>
            <w:tcW w:w="2509" w:type="dxa"/>
            <w:vMerge/>
          </w:tcPr>
          <w:p w:rsidR="00443650" w:rsidRPr="00B06469" w:rsidRDefault="00443650" w:rsidP="001F0139">
            <w:pPr>
              <w:jc w:val="both"/>
              <w:rPr>
                <w:rFonts w:ascii="Times New Roman" w:hAnsi="Times New Roman" w:cs="Times New Roman"/>
                <w:sz w:val="24"/>
                <w:szCs w:val="24"/>
              </w:rPr>
            </w:pPr>
          </w:p>
        </w:tc>
        <w:tc>
          <w:tcPr>
            <w:tcW w:w="675" w:type="dxa"/>
            <w:vMerge/>
          </w:tcPr>
          <w:p w:rsidR="00443650" w:rsidRPr="00B06469" w:rsidRDefault="00443650" w:rsidP="001F0139">
            <w:pPr>
              <w:jc w:val="both"/>
              <w:rPr>
                <w:rFonts w:ascii="Times New Roman" w:hAnsi="Times New Roman" w:cs="Times New Roman"/>
                <w:sz w:val="24"/>
                <w:szCs w:val="24"/>
              </w:rPr>
            </w:pP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30</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32</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34</w:t>
            </w:r>
          </w:p>
        </w:tc>
      </w:tr>
      <w:tr w:rsidR="00443650" w:rsidRPr="00B06469" w:rsidTr="00A722E5">
        <w:trPr>
          <w:jc w:val="center"/>
        </w:trPr>
        <w:tc>
          <w:tcPr>
            <w:tcW w:w="2509" w:type="dxa"/>
            <w:vMerge w:val="restart"/>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проведение капитального ремонта к 2030 году в процентах от общей площади существующего жилищного фонда к 2030</w:t>
            </w:r>
          </w:p>
        </w:tc>
        <w:tc>
          <w:tcPr>
            <w:tcW w:w="675" w:type="dxa"/>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443650" w:rsidRPr="00B06469" w:rsidRDefault="00443650" w:rsidP="001F0139">
            <w:pPr>
              <w:jc w:val="both"/>
              <w:rPr>
                <w:rFonts w:ascii="Times New Roman" w:hAnsi="Times New Roman" w:cs="Times New Roman"/>
                <w:i/>
                <w:sz w:val="24"/>
                <w:szCs w:val="24"/>
              </w:rPr>
            </w:pPr>
            <w:r w:rsidRPr="00B06469">
              <w:rPr>
                <w:rFonts w:ascii="Times New Roman" w:hAnsi="Times New Roman" w:cs="Times New Roman"/>
                <w:i/>
                <w:sz w:val="24"/>
                <w:szCs w:val="24"/>
              </w:rPr>
              <w:t>20</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22</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25</w:t>
            </w:r>
          </w:p>
        </w:tc>
      </w:tr>
      <w:tr w:rsidR="00443650" w:rsidRPr="00B06469" w:rsidTr="00A722E5">
        <w:trPr>
          <w:jc w:val="center"/>
        </w:trPr>
        <w:tc>
          <w:tcPr>
            <w:tcW w:w="2509" w:type="dxa"/>
            <w:vMerge/>
          </w:tcPr>
          <w:p w:rsidR="00443650" w:rsidRPr="00B06469" w:rsidRDefault="00443650" w:rsidP="001F0139">
            <w:pPr>
              <w:jc w:val="both"/>
              <w:rPr>
                <w:rFonts w:ascii="Times New Roman" w:hAnsi="Times New Roman" w:cs="Times New Roman"/>
                <w:sz w:val="24"/>
                <w:szCs w:val="24"/>
              </w:rPr>
            </w:pPr>
          </w:p>
        </w:tc>
        <w:tc>
          <w:tcPr>
            <w:tcW w:w="675" w:type="dxa"/>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22</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25</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30</w:t>
            </w:r>
          </w:p>
        </w:tc>
      </w:tr>
      <w:tr w:rsidR="00443650" w:rsidRPr="00B06469" w:rsidTr="00A722E5">
        <w:trPr>
          <w:trHeight w:val="1433"/>
          <w:jc w:val="center"/>
        </w:trPr>
        <w:tc>
          <w:tcPr>
            <w:tcW w:w="2509" w:type="dxa"/>
            <w:vMerge w:val="restart"/>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удовлетворенность населения условиями среды проживания в населенных пунктах </w:t>
            </w:r>
          </w:p>
          <w:p w:rsidR="00443650" w:rsidRPr="00B06469" w:rsidRDefault="00443650" w:rsidP="001F0139">
            <w:pPr>
              <w:jc w:val="both"/>
              <w:rPr>
                <w:rFonts w:ascii="Times New Roman" w:hAnsi="Times New Roman" w:cs="Times New Roman"/>
                <w:sz w:val="24"/>
                <w:szCs w:val="24"/>
              </w:rPr>
            </w:pPr>
          </w:p>
        </w:tc>
        <w:tc>
          <w:tcPr>
            <w:tcW w:w="675" w:type="dxa"/>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60</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70</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80</w:t>
            </w:r>
          </w:p>
        </w:tc>
      </w:tr>
      <w:tr w:rsidR="00443650" w:rsidRPr="00B06469" w:rsidTr="00A722E5">
        <w:trPr>
          <w:jc w:val="center"/>
        </w:trPr>
        <w:tc>
          <w:tcPr>
            <w:tcW w:w="2509" w:type="dxa"/>
            <w:vMerge/>
          </w:tcPr>
          <w:p w:rsidR="00443650" w:rsidRPr="00B06469" w:rsidRDefault="00443650" w:rsidP="001F0139">
            <w:pPr>
              <w:jc w:val="both"/>
              <w:rPr>
                <w:rFonts w:ascii="Times New Roman" w:hAnsi="Times New Roman" w:cs="Times New Roman"/>
                <w:sz w:val="24"/>
                <w:szCs w:val="24"/>
              </w:rPr>
            </w:pPr>
          </w:p>
        </w:tc>
        <w:tc>
          <w:tcPr>
            <w:tcW w:w="675" w:type="dxa"/>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71</w:t>
            </w:r>
          </w:p>
        </w:tc>
        <w:tc>
          <w:tcPr>
            <w:tcW w:w="865"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89</w:t>
            </w:r>
          </w:p>
        </w:tc>
        <w:tc>
          <w:tcPr>
            <w:tcW w:w="11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90</w:t>
            </w:r>
          </w:p>
        </w:tc>
      </w:tr>
    </w:tbl>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p>
    <w:tbl>
      <w:tblPr>
        <w:tblStyle w:val="a9"/>
        <w:tblW w:w="0" w:type="auto"/>
        <w:jc w:val="center"/>
        <w:tblLook w:val="04A0" w:firstRow="1" w:lastRow="0" w:firstColumn="1" w:lastColumn="0" w:noHBand="0" w:noVBand="1"/>
      </w:tblPr>
      <w:tblGrid>
        <w:gridCol w:w="2509"/>
        <w:gridCol w:w="675"/>
        <w:gridCol w:w="1630"/>
        <w:gridCol w:w="865"/>
        <w:gridCol w:w="865"/>
        <w:gridCol w:w="1130"/>
      </w:tblGrid>
      <w:tr w:rsidR="00443650" w:rsidRPr="00B06469" w:rsidTr="00A722E5">
        <w:trPr>
          <w:jc w:val="center"/>
        </w:trPr>
        <w:tc>
          <w:tcPr>
            <w:tcW w:w="2509" w:type="dxa"/>
            <w:shd w:val="clear" w:color="auto" w:fill="C00000"/>
          </w:tcPr>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Целевой показатель</w:t>
            </w:r>
          </w:p>
        </w:tc>
        <w:tc>
          <w:tcPr>
            <w:tcW w:w="675" w:type="dxa"/>
            <w:shd w:val="clear" w:color="auto" w:fill="C00000"/>
          </w:tcPr>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Ед. изм.</w:t>
            </w:r>
          </w:p>
        </w:tc>
        <w:tc>
          <w:tcPr>
            <w:tcW w:w="1630" w:type="dxa"/>
            <w:shd w:val="clear" w:color="auto" w:fill="C00000"/>
            <w:vAlign w:val="center"/>
          </w:tcPr>
          <w:p w:rsidR="00443650" w:rsidRPr="00B06469" w:rsidRDefault="00443650" w:rsidP="001F0139">
            <w:pPr>
              <w:jc w:val="center"/>
              <w:rPr>
                <w:rFonts w:ascii="Times New Roman" w:hAnsi="Times New Roman" w:cs="Times New Roman"/>
                <w:b/>
                <w:sz w:val="24"/>
                <w:szCs w:val="24"/>
              </w:rPr>
            </w:pPr>
            <w:r w:rsidRPr="00B06469">
              <w:rPr>
                <w:rFonts w:ascii="Times New Roman" w:hAnsi="Times New Roman" w:cs="Times New Roman"/>
                <w:b/>
                <w:sz w:val="24"/>
                <w:szCs w:val="24"/>
              </w:rPr>
              <w:t>Сценарий</w:t>
            </w:r>
          </w:p>
        </w:tc>
        <w:tc>
          <w:tcPr>
            <w:tcW w:w="865"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2020г.</w:t>
            </w:r>
          </w:p>
        </w:tc>
        <w:tc>
          <w:tcPr>
            <w:tcW w:w="865"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2025г.</w:t>
            </w:r>
          </w:p>
        </w:tc>
        <w:tc>
          <w:tcPr>
            <w:tcW w:w="1130" w:type="dxa"/>
            <w:shd w:val="clear" w:color="auto" w:fill="C00000"/>
          </w:tcPr>
          <w:p w:rsidR="00443650" w:rsidRPr="00B06469" w:rsidRDefault="00443650" w:rsidP="001F0139">
            <w:pPr>
              <w:rPr>
                <w:rFonts w:ascii="Times New Roman" w:hAnsi="Times New Roman" w:cs="Times New Roman"/>
                <w:b/>
                <w:sz w:val="24"/>
                <w:szCs w:val="24"/>
              </w:rPr>
            </w:pPr>
            <w:r w:rsidRPr="00B06469">
              <w:rPr>
                <w:rFonts w:ascii="Times New Roman" w:hAnsi="Times New Roman" w:cs="Times New Roman"/>
                <w:b/>
                <w:sz w:val="24"/>
                <w:szCs w:val="24"/>
              </w:rPr>
              <w:t>2030г.</w:t>
            </w:r>
          </w:p>
        </w:tc>
      </w:tr>
      <w:tr w:rsidR="00443650" w:rsidRPr="00B06469" w:rsidTr="00A722E5">
        <w:trPr>
          <w:trHeight w:val="1767"/>
          <w:jc w:val="center"/>
        </w:trPr>
        <w:tc>
          <w:tcPr>
            <w:tcW w:w="2509" w:type="dxa"/>
            <w:vMerge w:val="restart"/>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Доля автомобильных дорог местного значения с асфальтобетонным покрытием в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е, находящихся в нормативном состоянии.</w:t>
            </w:r>
          </w:p>
        </w:tc>
        <w:tc>
          <w:tcPr>
            <w:tcW w:w="675" w:type="dxa"/>
            <w:vMerge w:val="restart"/>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w:t>
            </w: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инерционный</w:t>
            </w:r>
          </w:p>
        </w:tc>
        <w:tc>
          <w:tcPr>
            <w:tcW w:w="865"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75</w:t>
            </w:r>
          </w:p>
        </w:tc>
        <w:tc>
          <w:tcPr>
            <w:tcW w:w="865"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80</w:t>
            </w:r>
          </w:p>
        </w:tc>
        <w:tc>
          <w:tcPr>
            <w:tcW w:w="1130"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90</w:t>
            </w:r>
          </w:p>
        </w:tc>
      </w:tr>
      <w:tr w:rsidR="00443650" w:rsidRPr="00B06469" w:rsidTr="00A722E5">
        <w:trPr>
          <w:jc w:val="center"/>
        </w:trPr>
        <w:tc>
          <w:tcPr>
            <w:tcW w:w="2509" w:type="dxa"/>
            <w:vMerge/>
          </w:tcPr>
          <w:p w:rsidR="00443650" w:rsidRPr="00B06469" w:rsidRDefault="00443650" w:rsidP="001F0139">
            <w:pPr>
              <w:jc w:val="both"/>
              <w:rPr>
                <w:rFonts w:ascii="Times New Roman" w:hAnsi="Times New Roman" w:cs="Times New Roman"/>
                <w:sz w:val="24"/>
                <w:szCs w:val="24"/>
              </w:rPr>
            </w:pPr>
          </w:p>
        </w:tc>
        <w:tc>
          <w:tcPr>
            <w:tcW w:w="675" w:type="dxa"/>
            <w:vMerge/>
          </w:tcPr>
          <w:p w:rsidR="00443650" w:rsidRPr="00B06469" w:rsidRDefault="00443650" w:rsidP="001F0139">
            <w:pPr>
              <w:jc w:val="both"/>
              <w:rPr>
                <w:rFonts w:ascii="Times New Roman" w:hAnsi="Times New Roman" w:cs="Times New Roman"/>
                <w:sz w:val="24"/>
                <w:szCs w:val="24"/>
              </w:rPr>
            </w:pPr>
          </w:p>
        </w:tc>
        <w:tc>
          <w:tcPr>
            <w:tcW w:w="1630" w:type="dxa"/>
            <w:vAlign w:val="center"/>
          </w:tcPr>
          <w:p w:rsidR="00443650" w:rsidRPr="00B06469" w:rsidRDefault="00443650" w:rsidP="001F0139">
            <w:pPr>
              <w:jc w:val="both"/>
              <w:rPr>
                <w:rFonts w:ascii="Times New Roman" w:hAnsi="Times New Roman" w:cs="Times New Roman"/>
                <w:sz w:val="24"/>
                <w:szCs w:val="24"/>
              </w:rPr>
            </w:pPr>
            <w:r w:rsidRPr="00B06469">
              <w:rPr>
                <w:rFonts w:ascii="Times New Roman" w:hAnsi="Times New Roman" w:cs="Times New Roman"/>
                <w:sz w:val="24"/>
                <w:szCs w:val="24"/>
              </w:rPr>
              <w:t xml:space="preserve">целевой </w:t>
            </w:r>
          </w:p>
        </w:tc>
        <w:tc>
          <w:tcPr>
            <w:tcW w:w="865"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76</w:t>
            </w:r>
          </w:p>
        </w:tc>
        <w:tc>
          <w:tcPr>
            <w:tcW w:w="865"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 xml:space="preserve">85 </w:t>
            </w:r>
          </w:p>
        </w:tc>
        <w:tc>
          <w:tcPr>
            <w:tcW w:w="1130" w:type="dxa"/>
          </w:tcPr>
          <w:p w:rsidR="00443650" w:rsidRPr="00B06469" w:rsidRDefault="00443650" w:rsidP="001F0139">
            <w:pPr>
              <w:rPr>
                <w:rFonts w:ascii="Times New Roman" w:hAnsi="Times New Roman" w:cs="Times New Roman"/>
                <w:sz w:val="24"/>
                <w:szCs w:val="24"/>
              </w:rPr>
            </w:pPr>
            <w:r w:rsidRPr="00B06469">
              <w:rPr>
                <w:rFonts w:ascii="Times New Roman" w:hAnsi="Times New Roman" w:cs="Times New Roman"/>
                <w:sz w:val="24"/>
                <w:szCs w:val="24"/>
              </w:rPr>
              <w:t xml:space="preserve">95 </w:t>
            </w:r>
          </w:p>
        </w:tc>
      </w:tr>
    </w:tbl>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p>
    <w:p w:rsidR="00443650" w:rsidRPr="00B06469" w:rsidRDefault="00443650" w:rsidP="001F0139">
      <w:pPr>
        <w:spacing w:after="0" w:line="360" w:lineRule="auto"/>
        <w:jc w:val="both"/>
        <w:rPr>
          <w:rFonts w:ascii="Times New Roman" w:hAnsi="Times New Roman" w:cs="Times New Roman"/>
          <w:b/>
          <w:color w:val="365F91" w:themeColor="accent1" w:themeShade="BF"/>
          <w:sz w:val="24"/>
          <w:szCs w:val="24"/>
        </w:rPr>
      </w:pPr>
    </w:p>
    <w:p w:rsidR="00E74438" w:rsidRPr="00B06469" w:rsidRDefault="00E74438" w:rsidP="001F0139">
      <w:pPr>
        <w:spacing w:after="0" w:line="360" w:lineRule="auto"/>
        <w:ind w:firstLine="709"/>
        <w:jc w:val="both"/>
        <w:rPr>
          <w:rFonts w:ascii="Times New Roman" w:hAnsi="Times New Roman" w:cs="Times New Roman"/>
          <w:b/>
          <w:color w:val="365F91" w:themeColor="accent1" w:themeShade="BF"/>
          <w:sz w:val="24"/>
          <w:szCs w:val="24"/>
        </w:rPr>
      </w:pPr>
    </w:p>
    <w:p w:rsidR="002760F1" w:rsidRPr="00B06469" w:rsidRDefault="002760F1">
      <w:pPr>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br w:type="page"/>
      </w:r>
    </w:p>
    <w:p w:rsidR="00CB5772" w:rsidRPr="00B06469" w:rsidRDefault="00CB5772"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8. Создание инновационной экономики, в которой человеческий капитал востребован, успешно функционирует и развивается.</w:t>
      </w:r>
    </w:p>
    <w:p w:rsidR="00CB5772" w:rsidRPr="00B06469" w:rsidRDefault="00CB5772"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8.1. Стратегическая диагностика</w:t>
      </w:r>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numPr>
          <w:ilvl w:val="1"/>
          <w:numId w:val="4"/>
        </w:numPr>
        <w:spacing w:after="0" w:line="360" w:lineRule="auto"/>
        <w:ind w:left="0" w:hanging="425"/>
        <w:contextualSpacing/>
        <w:jc w:val="both"/>
        <w:outlineLvl w:val="1"/>
        <w:rPr>
          <w:rFonts w:ascii="Times New Roman" w:hAnsi="Times New Roman" w:cs="Times New Roman"/>
          <w:b/>
          <w:color w:val="365F91"/>
          <w:sz w:val="24"/>
          <w:szCs w:val="24"/>
        </w:rPr>
      </w:pPr>
      <w:bookmarkStart w:id="29" w:name="_Toc520894837"/>
      <w:r w:rsidRPr="00B06469">
        <w:rPr>
          <w:rFonts w:ascii="Times New Roman" w:hAnsi="Times New Roman" w:cs="Times New Roman"/>
          <w:b/>
          <w:color w:val="365F91"/>
          <w:sz w:val="24"/>
          <w:szCs w:val="24"/>
        </w:rPr>
        <w:t>Экономическое развитие и управление</w:t>
      </w:r>
      <w:bookmarkEnd w:id="29"/>
    </w:p>
    <w:p w:rsidR="00F51B81" w:rsidRPr="00B06469" w:rsidRDefault="00F51B81" w:rsidP="001F0139">
      <w:pPr>
        <w:spacing w:after="0" w:line="360" w:lineRule="auto"/>
        <w:contextualSpacing/>
        <w:jc w:val="both"/>
        <w:outlineLvl w:val="1"/>
        <w:rPr>
          <w:rFonts w:ascii="Times New Roman" w:hAnsi="Times New Roman" w:cs="Times New Roman"/>
          <w:b/>
          <w:color w:val="365F91"/>
          <w:sz w:val="24"/>
          <w:szCs w:val="24"/>
        </w:rPr>
      </w:pPr>
      <w:bookmarkStart w:id="30" w:name="_Toc520894838"/>
      <w:r w:rsidRPr="00B06469">
        <w:rPr>
          <w:rFonts w:ascii="Times New Roman" w:hAnsi="Times New Roman" w:cs="Times New Roman"/>
          <w:b/>
          <w:color w:val="365F91"/>
          <w:sz w:val="24"/>
          <w:szCs w:val="24"/>
        </w:rPr>
        <w:t>1.5.1 Промышленность</w:t>
      </w:r>
      <w:bookmarkEnd w:id="30"/>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сводном рейтинге социально-экономического развития муниципальных районов Самарской области в период 2013-2017 гг. Камышлинский район </w:t>
      </w:r>
      <w:r w:rsidRPr="007223A6">
        <w:rPr>
          <w:rFonts w:ascii="Times New Roman" w:hAnsi="Times New Roman" w:cs="Times New Roman"/>
          <w:sz w:val="24"/>
          <w:szCs w:val="24"/>
        </w:rPr>
        <w:t>занима</w:t>
      </w:r>
      <w:r w:rsidR="00546B28" w:rsidRPr="007223A6">
        <w:rPr>
          <w:rFonts w:ascii="Times New Roman" w:hAnsi="Times New Roman" w:cs="Times New Roman"/>
          <w:sz w:val="24"/>
          <w:szCs w:val="24"/>
        </w:rPr>
        <w:t>л</w:t>
      </w:r>
      <w:r w:rsidRPr="007223A6">
        <w:rPr>
          <w:rFonts w:ascii="Times New Roman" w:hAnsi="Times New Roman" w:cs="Times New Roman"/>
          <w:sz w:val="24"/>
          <w:szCs w:val="24"/>
        </w:rPr>
        <w:t xml:space="preserve"> 23-26 места</w:t>
      </w:r>
      <w:r w:rsidR="00731B4E" w:rsidRPr="007223A6">
        <w:rPr>
          <w:rFonts w:ascii="Times New Roman" w:hAnsi="Times New Roman" w:cs="Times New Roman"/>
          <w:sz w:val="24"/>
          <w:szCs w:val="24"/>
        </w:rPr>
        <w:t xml:space="preserve"> по уровню развития</w:t>
      </w:r>
      <w:r w:rsidRPr="007223A6">
        <w:rPr>
          <w:rFonts w:ascii="Times New Roman" w:hAnsi="Times New Roman" w:cs="Times New Roman"/>
          <w:sz w:val="24"/>
          <w:szCs w:val="24"/>
        </w:rPr>
        <w:t>,</w:t>
      </w:r>
      <w:r w:rsidR="00731B4E" w:rsidRPr="007223A6">
        <w:rPr>
          <w:rFonts w:ascii="Times New Roman" w:hAnsi="Times New Roman" w:cs="Times New Roman"/>
          <w:sz w:val="24"/>
          <w:szCs w:val="24"/>
        </w:rPr>
        <w:t xml:space="preserve"> тогда как динамика (темпы) развития в рассматриваемом периоде была нестабильной и колебалась от низкого уровня до высокого</w:t>
      </w:r>
      <w:r w:rsidR="004C5BB9" w:rsidRPr="007223A6">
        <w:rPr>
          <w:rFonts w:ascii="Times New Roman" w:hAnsi="Times New Roman" w:cs="Times New Roman"/>
          <w:sz w:val="24"/>
          <w:szCs w:val="24"/>
        </w:rPr>
        <w:t>.</w:t>
      </w:r>
      <w:r w:rsidRPr="007223A6">
        <w:rPr>
          <w:rFonts w:ascii="Times New Roman" w:hAnsi="Times New Roman" w:cs="Times New Roman"/>
          <w:sz w:val="24"/>
          <w:szCs w:val="24"/>
        </w:rPr>
        <w:t xml:space="preserve"> Индекс промышленного</w:t>
      </w:r>
      <w:r w:rsidRPr="00B06469">
        <w:rPr>
          <w:rFonts w:ascii="Times New Roman" w:hAnsi="Times New Roman" w:cs="Times New Roman"/>
          <w:sz w:val="24"/>
          <w:szCs w:val="24"/>
        </w:rPr>
        <w:t xml:space="preserve"> производства снизился за рассматриваемый период с 9 места в 2013 г. до 19 места в 2017 г. (наилучший результат – 4 место – был зафиксирован в 2014 году). Район характеризуется неустойчивой динамикой промышленного производства, стабильно малым объемом отгруженной продукции (19 место за весь рассматриваемый период). Кроме того, стабильно низкие значения наблюдаются по такому показателю, как бюджетная обеспеченность за счет налоговых и неналоговых доходов на душу населения (лучший результат за рассматриваемый период – 20 место в 2015 году). По данным за 2017 год бюджетная обеспеченность населения Камышлинского района составила 4928 руб./чел., что является одним из самых низких значений по муниципальным районам Самарской области.</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 инвестициям в основной капитал на душу населения Камышлинский район поднялся в рейтинге СЭР с 12 места в 2013 г. на 7 место в 2017 г. (рис. 1.5.1)</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6A183400" wp14:editId="3D8FDCB6">
            <wp:extent cx="5401691" cy="3529584"/>
            <wp:effectExtent l="19050" t="0" r="27559" b="0"/>
            <wp:docPr id="2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Источники: Рейтинг социально-экономического развития муниципальных образований Самарской области МЭРИТ </w:t>
      </w:r>
      <w:r w:rsidRPr="00B06469">
        <w:rPr>
          <w:rFonts w:ascii="Times New Roman" w:hAnsi="Times New Roman" w:cs="Times New Roman"/>
          <w:sz w:val="24"/>
          <w:szCs w:val="24"/>
          <w:lang w:eastAsia="ru-RU"/>
        </w:rPr>
        <w:t xml:space="preserve">– Режим доступа: </w:t>
      </w:r>
      <w:hyperlink r:id="rId44" w:history="1">
        <w:r w:rsidRPr="00B06469">
          <w:rPr>
            <w:rFonts w:ascii="Times New Roman" w:hAnsi="Times New Roman" w:cs="Times New Roman"/>
            <w:color w:val="0000FF"/>
            <w:sz w:val="24"/>
            <w:szCs w:val="24"/>
            <w:u w:val="single"/>
          </w:rPr>
          <w:t>http://economy.samregion.ru/</w:t>
        </w:r>
      </w:hyperlink>
      <w:r w:rsidRPr="00B06469">
        <w:rPr>
          <w:rFonts w:ascii="Times New Roman" w:hAnsi="Times New Roman" w:cs="Times New Roman"/>
          <w:sz w:val="24"/>
          <w:szCs w:val="24"/>
        </w:rPr>
        <w:t>; аналитика ФГБОУ ВО «СГЭУ»</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Рисунок 1.5.1 - Позиции Камышлинского района в рейтинге</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социально-экономического развития муниципальных районов</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Самарской области в 2013-2017 гг.</w:t>
      </w:r>
    </w:p>
    <w:p w:rsidR="00F51B81" w:rsidRPr="00B06469" w:rsidRDefault="00F51B81" w:rsidP="001F0139">
      <w:pPr>
        <w:spacing w:after="0" w:line="240" w:lineRule="auto"/>
        <w:jc w:val="center"/>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color w:val="000000"/>
          <w:sz w:val="24"/>
          <w:szCs w:val="24"/>
          <w:shd w:val="clear" w:color="auto" w:fill="FFFFFF"/>
        </w:rPr>
      </w:pPr>
      <w:r w:rsidRPr="00B06469">
        <w:rPr>
          <w:rFonts w:ascii="Times New Roman" w:hAnsi="Times New Roman" w:cs="Times New Roman"/>
          <w:color w:val="000000"/>
          <w:sz w:val="24"/>
          <w:szCs w:val="24"/>
          <w:shd w:val="clear" w:color="auto" w:fill="FFFFFF"/>
        </w:rPr>
        <w:t xml:space="preserve">К предприятиям, стабильно работающим на территории района и характеризующимся устойчивыми темпами промышленного производства относятся: ОАО Камышлинский Промкомбинат (специализируется на пошиве </w:t>
      </w:r>
      <w:hyperlink r:id="rId45" w:history="1">
        <w:r w:rsidRPr="00B06469">
          <w:rPr>
            <w:rFonts w:ascii="Times New Roman" w:hAnsi="Times New Roman" w:cs="Times New Roman"/>
            <w:color w:val="000000"/>
            <w:sz w:val="24"/>
            <w:szCs w:val="24"/>
            <w:shd w:val="clear" w:color="auto" w:fill="FFFFFF"/>
          </w:rPr>
          <w:t>постельного</w:t>
        </w:r>
      </w:hyperlink>
      <w:r w:rsidRPr="00B06469">
        <w:rPr>
          <w:rFonts w:ascii="Times New Roman" w:hAnsi="Times New Roman" w:cs="Times New Roman"/>
          <w:color w:val="000000"/>
          <w:sz w:val="24"/>
          <w:szCs w:val="24"/>
          <w:shd w:val="clear" w:color="auto" w:fill="FFFFFF"/>
        </w:rPr>
        <w:t xml:space="preserve"> белья, одежды и др.), ООО «Байтекс» (нефтедобыча), МУП «КомХоз» (производство пара и горячей воды (тепловой энергии). Разработкой Буз-Башского месторождения с.п. Камышла (известняковый щебень) занимается ОАО «Клявлинский завод строительных материалов». </w:t>
      </w:r>
    </w:p>
    <w:p w:rsidR="00F51B81" w:rsidRPr="00B06469" w:rsidRDefault="00F51B81" w:rsidP="001F0139">
      <w:pPr>
        <w:spacing w:after="0" w:line="360" w:lineRule="auto"/>
        <w:ind w:firstLine="709"/>
        <w:jc w:val="both"/>
        <w:rPr>
          <w:rFonts w:ascii="Times New Roman" w:hAnsi="Times New Roman" w:cs="Times New Roman"/>
          <w:color w:val="000000"/>
          <w:sz w:val="24"/>
          <w:szCs w:val="24"/>
          <w:shd w:val="clear" w:color="auto" w:fill="FFFFFF"/>
        </w:rPr>
      </w:pPr>
      <w:r w:rsidRPr="00B06469">
        <w:rPr>
          <w:rFonts w:ascii="Times New Roman" w:hAnsi="Times New Roman" w:cs="Times New Roman"/>
          <w:color w:val="000000"/>
          <w:sz w:val="24"/>
          <w:szCs w:val="24"/>
          <w:shd w:val="clear" w:color="auto" w:fill="FFFFFF"/>
        </w:rPr>
        <w:t>За период с 2012 по 2016 гг. по показателям работы организаций Камышлинского района наблюдается нестабильная отрицательная динамика сальдированного финансового результата (рис. 1.5.2) (с 8,3 млн. руб. в 2012 г. до 1,5 млн. руб. в 2016 г. с наибольшим значением 11,4 млн. руб. в 2014 г.), что значительно ниже среднеобластных значений. Одновременно наблюдается увеличение доли убыточных предприятий в районе с 15% в 2013 г. до 28,6% в 2016 г.</w:t>
      </w:r>
    </w:p>
    <w:p w:rsidR="00F51B81" w:rsidRPr="00B06469" w:rsidRDefault="00F51B81" w:rsidP="001F0139">
      <w:pPr>
        <w:spacing w:after="0" w:line="240" w:lineRule="auto"/>
        <w:jc w:val="center"/>
        <w:rPr>
          <w:rFonts w:ascii="Times New Roman" w:hAnsi="Times New Roman" w:cs="Times New Roman"/>
          <w:noProof/>
          <w:sz w:val="24"/>
          <w:szCs w:val="24"/>
          <w:lang w:eastAsia="ru-RU"/>
        </w:rPr>
      </w:pPr>
      <w:r w:rsidRPr="00B06469">
        <w:rPr>
          <w:rFonts w:ascii="Times New Roman" w:hAnsi="Times New Roman" w:cs="Times New Roman"/>
          <w:noProof/>
          <w:sz w:val="24"/>
          <w:szCs w:val="24"/>
          <w:lang w:eastAsia="ru-RU"/>
        </w:rPr>
        <w:lastRenderedPageBreak/>
        <w:drawing>
          <wp:inline distT="0" distB="0" distL="0" distR="0" wp14:anchorId="5312FD7F" wp14:editId="1A93C0A3">
            <wp:extent cx="5227955" cy="3041904"/>
            <wp:effectExtent l="6096" t="6096" r="8509" b="6350"/>
            <wp:docPr id="2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Муниципальные районы Самарской области, 2017. Статистический сборник</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b/>
          <w:sz w:val="24"/>
          <w:szCs w:val="24"/>
        </w:rPr>
        <w:t>Рисунок 1.5.2 - Сальдированный финансовый результат по всем видам деятельности, млн. рублей</w:t>
      </w:r>
      <w:r w:rsidRPr="00B06469">
        <w:rPr>
          <w:rFonts w:ascii="Times New Roman" w:hAnsi="Times New Roman" w:cs="Times New Roman"/>
          <w:sz w:val="24"/>
          <w:szCs w:val="24"/>
        </w:rPr>
        <w:t xml:space="preserve"> </w:t>
      </w:r>
      <w:r w:rsidRPr="00B06469">
        <w:rPr>
          <w:rFonts w:ascii="Times New Roman" w:hAnsi="Times New Roman" w:cs="Times New Roman"/>
          <w:b/>
          <w:sz w:val="24"/>
          <w:szCs w:val="24"/>
        </w:rPr>
        <w:t>по Самарской области в 2012-2016 гг.</w:t>
      </w:r>
    </w:p>
    <w:p w:rsidR="00F51B81" w:rsidRPr="00B06469" w:rsidRDefault="00F51B81" w:rsidP="001F0139">
      <w:pPr>
        <w:spacing w:after="0" w:line="240" w:lineRule="auto"/>
        <w:jc w:val="center"/>
        <w:rPr>
          <w:rFonts w:ascii="Times New Roman" w:hAnsi="Times New Roman" w:cs="Times New Roman"/>
          <w:color w:val="000000"/>
          <w:sz w:val="24"/>
          <w:szCs w:val="24"/>
          <w:shd w:val="clear" w:color="auto" w:fill="FFFFFF"/>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Основные фонды крупных и средних предприятий Камышлинского района изношены. Значения показателя износа основных фондов коммерческих организаций в районе увеличился с 38,4% в 2012 г. до 50,8% в 2016. Аналогичный показатель для некоммерческих организаций увеличился с 73,7% в 2012 г. до 86,5% в 2016 г. В последнем случае показатель значительно отстает от средних значений по области (53,3-57,6%). Коэффициент обновления основных фондов составляет по итогам 2015 г. 11,8% для коммерческих организаций и 0,9% для некоммерческих организаций. </w:t>
      </w:r>
    </w:p>
    <w:p w:rsidR="00F51B81" w:rsidRPr="00B06469" w:rsidRDefault="00F51B81" w:rsidP="001F0139">
      <w:pPr>
        <w:spacing w:after="0" w:line="360" w:lineRule="auto"/>
        <w:ind w:firstLine="709"/>
        <w:jc w:val="both"/>
        <w:rPr>
          <w:rFonts w:ascii="Times New Roman" w:hAnsi="Times New Roman" w:cs="Times New Roman"/>
          <w:color w:val="000000"/>
          <w:sz w:val="24"/>
          <w:szCs w:val="24"/>
          <w:shd w:val="clear" w:color="auto" w:fill="FFFFFF"/>
        </w:rPr>
      </w:pPr>
      <w:r w:rsidRPr="00B06469">
        <w:rPr>
          <w:rFonts w:ascii="Times New Roman" w:hAnsi="Times New Roman" w:cs="Times New Roman"/>
          <w:color w:val="000000"/>
          <w:sz w:val="24"/>
          <w:szCs w:val="24"/>
          <w:shd w:val="clear" w:color="auto" w:fill="FFFFFF"/>
        </w:rPr>
        <w:t xml:space="preserve">В Камышлинском районе развита добывающая промышленность: на территории района превалируют месторождения полезных ископаемых осадочного происхождения, являющихся сырьем для производства строительных материалов – разведаны месторождения бутового камня, галечника, красной глины для производства керамического кирпича, </w:t>
      </w:r>
      <w:hyperlink r:id="rId47" w:history="1">
        <w:r w:rsidRPr="00B06469">
          <w:rPr>
            <w:rFonts w:ascii="Times New Roman" w:hAnsi="Times New Roman" w:cs="Times New Roman"/>
            <w:color w:val="000000"/>
            <w:sz w:val="24"/>
            <w:szCs w:val="24"/>
            <w:shd w:val="clear" w:color="auto" w:fill="FFFFFF"/>
          </w:rPr>
          <w:t>голубой</w:t>
        </w:r>
      </w:hyperlink>
      <w:r w:rsidRPr="00B06469">
        <w:rPr>
          <w:rFonts w:ascii="Times New Roman" w:hAnsi="Times New Roman" w:cs="Times New Roman"/>
          <w:color w:val="000000"/>
          <w:sz w:val="24"/>
          <w:szCs w:val="24"/>
          <w:shd w:val="clear" w:color="auto" w:fill="FFFFFF"/>
        </w:rPr>
        <w:t xml:space="preserve"> и </w:t>
      </w:r>
      <w:hyperlink r:id="rId48" w:history="1">
        <w:r w:rsidRPr="00B06469">
          <w:rPr>
            <w:rFonts w:ascii="Times New Roman" w:hAnsi="Times New Roman" w:cs="Times New Roman"/>
            <w:color w:val="000000"/>
            <w:sz w:val="24"/>
            <w:szCs w:val="24"/>
            <w:shd w:val="clear" w:color="auto" w:fill="FFFFFF"/>
          </w:rPr>
          <w:t>зеленой</w:t>
        </w:r>
      </w:hyperlink>
      <w:r w:rsidRPr="00B06469">
        <w:rPr>
          <w:rFonts w:ascii="Times New Roman" w:hAnsi="Times New Roman" w:cs="Times New Roman"/>
          <w:color w:val="000000"/>
          <w:sz w:val="24"/>
          <w:szCs w:val="24"/>
          <w:shd w:val="clear" w:color="auto" w:fill="FFFFFF"/>
        </w:rPr>
        <w:t xml:space="preserve"> глины, горного песка; добывается горная масса для выработки алебастра, гипса, извести, щебня. В районе ведется добыча нефти. В структуре обрабатывающего производства преобладает обработка древесины и производство изделий из дерева. Одной из главных отраслей промышленности в районе является производство и распределение электроэнергии, газа и воды.</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 позитивным изменениям можно отнести тот факт, что по итогам 2017 г. объем отгруженной продукции товаров собственного производства увеличился более чем в 1,5 раза по сравнению с аналогичным показателем 2014 г. и составил 96,6 млн. рублей. </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Сравнение динамики промышленного производства м.р. Камышлинский и Самарской области показывает, что тренд индекса промышленного производства в районе превосходит областную динамику за период с 2013 по 2016 гг. (рис.1.5.3).</w:t>
      </w:r>
    </w:p>
    <w:p w:rsidR="00F51B81" w:rsidRPr="00B06469" w:rsidRDefault="00F51B81" w:rsidP="001F0139">
      <w:pPr>
        <w:spacing w:after="0" w:line="240" w:lineRule="auto"/>
        <w:jc w:val="center"/>
        <w:rPr>
          <w:rFonts w:ascii="Times New Roman" w:hAnsi="Times New Roman" w:cs="Times New Roman"/>
          <w:color w:val="000000"/>
          <w:sz w:val="24"/>
          <w:szCs w:val="24"/>
          <w:shd w:val="clear" w:color="auto" w:fill="FFFFFF"/>
        </w:rPr>
      </w:pPr>
      <w:r w:rsidRPr="00B06469">
        <w:rPr>
          <w:rFonts w:ascii="Times New Roman" w:hAnsi="Times New Roman" w:cs="Times New Roman"/>
          <w:noProof/>
          <w:color w:val="000000"/>
          <w:sz w:val="24"/>
          <w:szCs w:val="24"/>
          <w:shd w:val="clear" w:color="auto" w:fill="FFFFFF"/>
          <w:lang w:eastAsia="ru-RU"/>
        </w:rPr>
        <w:drawing>
          <wp:inline distT="0" distB="0" distL="0" distR="0" wp14:anchorId="3151FC57" wp14:editId="314A6841">
            <wp:extent cx="4929759" cy="3389122"/>
            <wp:effectExtent l="6096" t="6096" r="8255" b="6477"/>
            <wp:docPr id="2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Источники: Самарский статистический ежегодник; Муниципальные районы Самарской области, 2017. Статистический сборник</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Рисунок 1.5.3 – Индексы промышленного производства</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в Камышлинском районе и в Самарской области в 2012-2016 гг.</w:t>
      </w:r>
    </w:p>
    <w:p w:rsidR="00F51B81" w:rsidRPr="00B06469" w:rsidRDefault="00F51B81" w:rsidP="001F0139">
      <w:pPr>
        <w:spacing w:after="0" w:line="240" w:lineRule="auto"/>
        <w:jc w:val="center"/>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shd w:val="clear" w:color="auto" w:fill="FFFFFF"/>
        </w:rPr>
      </w:pPr>
      <w:r w:rsidRPr="00B06469">
        <w:rPr>
          <w:rFonts w:ascii="Times New Roman" w:hAnsi="Times New Roman" w:cs="Times New Roman"/>
          <w:color w:val="000000"/>
          <w:sz w:val="24"/>
          <w:szCs w:val="24"/>
          <w:shd w:val="clear" w:color="auto" w:fill="FFFFFF"/>
        </w:rPr>
        <w:t xml:space="preserve">Отраслевая структура Камышлинского района представлена сельским хозяйством, промышленными предприятиями по переработке сельскохозяйственной продукции, строительством, транспортом и связью, торговлей и общественным питанием, отраслями непроизводственной сферы. Промышленность Камышлинского района занимает малую часть в отраслевой структуре занятости населения и характеризуется рядом проблем: изношенность основных фондов, ассортимент производимой продукции беден; </w:t>
      </w:r>
      <w:r w:rsidRPr="00B06469">
        <w:rPr>
          <w:rFonts w:ascii="Times New Roman" w:hAnsi="Times New Roman" w:cs="Times New Roman"/>
          <w:sz w:val="24"/>
          <w:szCs w:val="24"/>
          <w:shd w:val="clear" w:color="auto" w:fill="FFFFFF"/>
        </w:rPr>
        <w:t xml:space="preserve">неустойчивость динамики промышленного производства; нестабильная отрицательная динамика сальдированного финансового результата. </w:t>
      </w:r>
    </w:p>
    <w:p w:rsidR="00F51B81" w:rsidRPr="00B06469" w:rsidRDefault="00F51B81" w:rsidP="001F0139">
      <w:pPr>
        <w:spacing w:after="0" w:line="360" w:lineRule="auto"/>
        <w:ind w:firstLine="709"/>
        <w:jc w:val="center"/>
        <w:rPr>
          <w:rFonts w:ascii="Times New Roman" w:hAnsi="Times New Roman" w:cs="Times New Roman"/>
          <w:b/>
          <w:sz w:val="24"/>
          <w:szCs w:val="24"/>
        </w:rPr>
      </w:pPr>
    </w:p>
    <w:p w:rsidR="00F51B81" w:rsidRPr="00B06469" w:rsidRDefault="00F51B81" w:rsidP="001F0139">
      <w:pPr>
        <w:spacing w:after="0" w:line="360" w:lineRule="auto"/>
        <w:contextualSpacing/>
        <w:outlineLvl w:val="2"/>
        <w:rPr>
          <w:rFonts w:ascii="Times New Roman" w:hAnsi="Times New Roman" w:cs="Times New Roman"/>
          <w:b/>
          <w:color w:val="365F91"/>
          <w:sz w:val="24"/>
          <w:szCs w:val="24"/>
        </w:rPr>
      </w:pPr>
      <w:bookmarkStart w:id="31" w:name="_Toc520894839"/>
      <w:r w:rsidRPr="00B06469">
        <w:rPr>
          <w:rFonts w:ascii="Times New Roman" w:hAnsi="Times New Roman" w:cs="Times New Roman"/>
          <w:b/>
          <w:color w:val="365F91"/>
          <w:sz w:val="24"/>
          <w:szCs w:val="24"/>
        </w:rPr>
        <w:t>1.5.2 Сельское хозяйство</w:t>
      </w:r>
      <w:bookmarkEnd w:id="31"/>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Экономика Камышлинского района имеет преимущественно сельскохозяйственную ориентацию.</w:t>
      </w:r>
      <w:r w:rsidRPr="00B06469">
        <w:rPr>
          <w:rFonts w:ascii="Times New Roman" w:hAnsi="Times New Roman" w:cs="Times New Roman"/>
          <w:color w:val="FF0000"/>
          <w:sz w:val="24"/>
          <w:szCs w:val="24"/>
        </w:rPr>
        <w:t xml:space="preserve"> </w:t>
      </w:r>
      <w:r w:rsidRPr="00B06469">
        <w:rPr>
          <w:rFonts w:ascii="Times New Roman" w:hAnsi="Times New Roman" w:cs="Times New Roman"/>
          <w:sz w:val="24"/>
          <w:szCs w:val="24"/>
        </w:rPr>
        <w:t xml:space="preserve">В рейтинге муниципальных районов Самарской области по показателям развития сельского хозяйства в 2013-2017гг. район показал стабильно низкие результаты по валовому сбору и урожайности зерновых и зернобобовых </w:t>
      </w:r>
      <w:r w:rsidRPr="00B06469">
        <w:rPr>
          <w:rFonts w:ascii="Times New Roman" w:hAnsi="Times New Roman" w:cs="Times New Roman"/>
          <w:sz w:val="24"/>
          <w:szCs w:val="24"/>
        </w:rPr>
        <w:lastRenderedPageBreak/>
        <w:t>культур и по производству мяса. Немного выше рейтинг района по производству молока (рис.1.5.4).</w:t>
      </w:r>
    </w:p>
    <w:p w:rsidR="00F51B81" w:rsidRPr="00B06469" w:rsidRDefault="00F51B81" w:rsidP="001F0139">
      <w:pPr>
        <w:spacing w:after="0" w:line="36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0E8E4681" wp14:editId="033381E2">
            <wp:extent cx="5643499" cy="2840736"/>
            <wp:effectExtent l="19050" t="0" r="14351" b="0"/>
            <wp:docPr id="2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Источники: Рейтинг социально-экономического развития муниципальных образований Самарской области МЭРИТ – Режим доступа: </w:t>
      </w:r>
      <w:hyperlink r:id="rId51" w:history="1">
        <w:r w:rsidRPr="00B06469">
          <w:rPr>
            <w:rFonts w:ascii="Times New Roman" w:hAnsi="Times New Roman" w:cs="Times New Roman"/>
            <w:sz w:val="24"/>
            <w:szCs w:val="24"/>
          </w:rPr>
          <w:t>http://economy.samregion.ru/</w:t>
        </w:r>
      </w:hyperlink>
      <w:r w:rsidRPr="00B06469">
        <w:rPr>
          <w:rFonts w:ascii="Times New Roman" w:hAnsi="Times New Roman" w:cs="Times New Roman"/>
          <w:sz w:val="24"/>
          <w:szCs w:val="24"/>
        </w:rPr>
        <w:t>; аналитика ФГБОУ ВО «СГЭУ»</w:t>
      </w:r>
    </w:p>
    <w:p w:rsidR="00F51B81" w:rsidRPr="00B06469" w:rsidRDefault="00F51B81" w:rsidP="001F0139">
      <w:pPr>
        <w:spacing w:after="0" w:line="240" w:lineRule="auto"/>
        <w:ind w:firstLine="709"/>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1.5.4- Позиции Камышлинского района в рейтинге </w:t>
      </w:r>
    </w:p>
    <w:p w:rsidR="00F51B81" w:rsidRPr="00B06469" w:rsidRDefault="00F51B81" w:rsidP="001F0139">
      <w:pPr>
        <w:spacing w:after="0" w:line="240" w:lineRule="auto"/>
        <w:ind w:firstLine="709"/>
        <w:jc w:val="center"/>
        <w:rPr>
          <w:rFonts w:ascii="Times New Roman" w:hAnsi="Times New Roman" w:cs="Times New Roman"/>
          <w:b/>
          <w:sz w:val="24"/>
          <w:szCs w:val="24"/>
        </w:rPr>
      </w:pPr>
      <w:r w:rsidRPr="00B06469">
        <w:rPr>
          <w:rFonts w:ascii="Times New Roman" w:hAnsi="Times New Roman" w:cs="Times New Roman"/>
          <w:b/>
          <w:sz w:val="24"/>
          <w:szCs w:val="24"/>
        </w:rPr>
        <w:t>социально- экономического развития муниципальных районов Самарской области в 2014-2017 гг. по показателям</w:t>
      </w:r>
    </w:p>
    <w:p w:rsidR="00F51B81" w:rsidRPr="00B06469" w:rsidRDefault="00F51B81" w:rsidP="001F0139">
      <w:pPr>
        <w:spacing w:after="0" w:line="240" w:lineRule="auto"/>
        <w:ind w:firstLine="709"/>
        <w:jc w:val="center"/>
        <w:rPr>
          <w:rFonts w:ascii="Times New Roman" w:hAnsi="Times New Roman" w:cs="Times New Roman"/>
          <w:sz w:val="24"/>
          <w:szCs w:val="24"/>
        </w:rPr>
      </w:pPr>
      <w:r w:rsidRPr="00B06469">
        <w:rPr>
          <w:rFonts w:ascii="Times New Roman" w:hAnsi="Times New Roman" w:cs="Times New Roman"/>
          <w:b/>
          <w:sz w:val="24"/>
          <w:szCs w:val="24"/>
        </w:rPr>
        <w:t xml:space="preserve"> сельскохозяйственного производства</w:t>
      </w:r>
    </w:p>
    <w:p w:rsidR="00F51B81" w:rsidRPr="00B06469" w:rsidRDefault="00F51B81" w:rsidP="001F0139">
      <w:pPr>
        <w:spacing w:after="0" w:line="240" w:lineRule="auto"/>
        <w:ind w:firstLine="709"/>
        <w:jc w:val="center"/>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целом, валовая продукция сельского хозяйства имеет устойчивую тенденцию к росту (439,1 млн. руб. в 2012 г., 596,8 млн. руб. в 2016 г.). Индекс физического объема продукции сельского хозяйства во всех категориях хозяйств в целом соответствует областному индексу, а в 2016 г. опережает его (рис. 1.5.5).</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6A0A655C" wp14:editId="2BDF6559">
            <wp:extent cx="4459351" cy="3078480"/>
            <wp:effectExtent l="0" t="0" r="0" b="0"/>
            <wp:docPr id="3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lastRenderedPageBreak/>
        <w:t>Источники: ФСГС; Муниципальные районы Самарской области, 2017. Статистический сборник</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Рисунок 1.5.5 - Индекс физического объема продукции сельского</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хозяйства во всех категориях хозяйств в текущих ценах (%)</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b/>
          <w:sz w:val="24"/>
          <w:szCs w:val="24"/>
        </w:rPr>
        <w:t>в Камышлинском районе и в Самарской области в 2012-2016 гг.</w:t>
      </w:r>
    </w:p>
    <w:p w:rsidR="00F51B81" w:rsidRPr="00B06469" w:rsidRDefault="00F51B81" w:rsidP="001F0139">
      <w:pPr>
        <w:spacing w:after="0" w:line="240" w:lineRule="auto"/>
        <w:jc w:val="center"/>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iCs/>
          <w:color w:val="000000"/>
          <w:sz w:val="24"/>
          <w:szCs w:val="24"/>
        </w:rPr>
        <w:t xml:space="preserve">В структуре </w:t>
      </w:r>
      <w:r w:rsidRPr="00B06469">
        <w:rPr>
          <w:rFonts w:ascii="Times New Roman" w:hAnsi="Times New Roman" w:cs="Times New Roman"/>
          <w:sz w:val="24"/>
          <w:szCs w:val="24"/>
        </w:rPr>
        <w:t xml:space="preserve">производства продукции сельского хозяйства во всех категориях хозяйств Камышлинского района преобладает растениеводческая специализация (рис. 1.5.6), доля продукции растениеводства увеличилась с 41,6% в 2012г. до 57,8% в 2016г. При этом, размер обрабатываемой пашни за 2012-2016 гг. не изменился и составил 34,8 тыс. га, а размер посевных площадей уменьшился с 15956 га в 2012 г. до 15080 га в 2016 г. Кроме того, количество внесенных минеральных удобрений на 1 га посевной площади увеличилось в 6,4 раза в 2016 г. по сравнению с 2012 г. Количество единиц техники в сельскохозяйственных предприятиях (тракторы, комбайны, плуги, культиваторы и др.) не изменилось или уменьшилось за рассматриваемый период. </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noProof/>
          <w:color w:val="FF0000"/>
          <w:sz w:val="24"/>
          <w:szCs w:val="24"/>
          <w:lang w:eastAsia="ru-RU"/>
        </w:rPr>
        <w:drawing>
          <wp:inline distT="0" distB="0" distL="0" distR="0" wp14:anchorId="343FD988" wp14:editId="1088F3DA">
            <wp:extent cx="5474208" cy="2676144"/>
            <wp:effectExtent l="0" t="0" r="0" b="0"/>
            <wp:docPr id="3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Источники: Муниципальные районы Самарской области, 2017. Статистический сборник</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Рисунок 1.5.6 - Продукция сельского хозяйства во всех категориях</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хозяйств Камышлинского района в 2012-2016 гг.</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(в фактически действующих ценах, млн. руб.)</w:t>
      </w:r>
    </w:p>
    <w:p w:rsidR="00F51B81" w:rsidRPr="00B06469" w:rsidRDefault="00F51B81" w:rsidP="001F0139">
      <w:pPr>
        <w:spacing w:after="0" w:line="240" w:lineRule="auto"/>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Основными продуктами растениеводства в Камышлинском районе являются зерновые культуры, подсолнечник и картофель (табл. 1.5.1). Основные производители данных растениеводческих культур - крестьянские (фермерские) хозяйства района. Производство зерновых культур увеличилось за рассматриваемый период в 2 раза, подсолнечника – в 1,4 раза, производство картофеля и других овощей снизилось. </w:t>
      </w:r>
    </w:p>
    <w:p w:rsidR="00F51B81" w:rsidRPr="00B06469" w:rsidRDefault="00F51B81" w:rsidP="001F0139">
      <w:pPr>
        <w:spacing w:after="0" w:line="240" w:lineRule="auto"/>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 xml:space="preserve">Таблица 1.5.1 - Производство основных продуктов растениеводства </w:t>
      </w:r>
    </w:p>
    <w:p w:rsidR="00F51B81" w:rsidRPr="00B06469" w:rsidRDefault="002760F1" w:rsidP="001F0139">
      <w:pPr>
        <w:spacing w:after="0" w:line="240" w:lineRule="auto"/>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 xml:space="preserve"> </w:t>
      </w:r>
      <w:r w:rsidR="00F51B81" w:rsidRPr="00B06469">
        <w:rPr>
          <w:rFonts w:ascii="Times New Roman" w:hAnsi="Times New Roman" w:cs="Times New Roman"/>
          <w:b/>
          <w:color w:val="000000"/>
          <w:sz w:val="24"/>
          <w:szCs w:val="24"/>
          <w:shd w:val="clear" w:color="auto" w:fill="FFFFFF"/>
        </w:rPr>
        <w:t xml:space="preserve"> Камышлинского района в 2012-2016 гг. (тонн)</w:t>
      </w:r>
    </w:p>
    <w:tbl>
      <w:tblPr>
        <w:tblW w:w="9560" w:type="dxa"/>
        <w:tblInd w:w="93" w:type="dxa"/>
        <w:tblLook w:val="04A0" w:firstRow="1" w:lastRow="0" w:firstColumn="1" w:lastColumn="0" w:noHBand="0" w:noVBand="1"/>
      </w:tblPr>
      <w:tblGrid>
        <w:gridCol w:w="4760"/>
        <w:gridCol w:w="960"/>
        <w:gridCol w:w="960"/>
        <w:gridCol w:w="960"/>
        <w:gridCol w:w="960"/>
        <w:gridCol w:w="960"/>
      </w:tblGrid>
      <w:tr w:rsidR="00F51B81" w:rsidRPr="00B06469" w:rsidTr="002760F1">
        <w:trPr>
          <w:trHeight w:val="315"/>
        </w:trPr>
        <w:tc>
          <w:tcPr>
            <w:tcW w:w="4760" w:type="dxa"/>
            <w:vMerge w:val="restart"/>
            <w:tcBorders>
              <w:top w:val="single" w:sz="8" w:space="0" w:color="000000"/>
              <w:left w:val="single" w:sz="8" w:space="0" w:color="000000"/>
              <w:bottom w:val="single" w:sz="4" w:space="0" w:color="000000"/>
              <w:right w:val="single" w:sz="4" w:space="0" w:color="000000"/>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Наименование показателей</w:t>
            </w:r>
          </w:p>
        </w:tc>
        <w:tc>
          <w:tcPr>
            <w:tcW w:w="4800" w:type="dxa"/>
            <w:gridSpan w:val="5"/>
            <w:tcBorders>
              <w:top w:val="single" w:sz="8" w:space="0" w:color="000000"/>
              <w:left w:val="nil"/>
              <w:bottom w:val="single" w:sz="4" w:space="0" w:color="000000"/>
              <w:right w:val="single" w:sz="4" w:space="0" w:color="000000"/>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Годы</w:t>
            </w:r>
          </w:p>
        </w:tc>
      </w:tr>
      <w:tr w:rsidR="00F51B81" w:rsidRPr="00B06469" w:rsidTr="002760F1">
        <w:trPr>
          <w:trHeight w:val="345"/>
        </w:trPr>
        <w:tc>
          <w:tcPr>
            <w:tcW w:w="0" w:type="auto"/>
            <w:vMerge/>
            <w:tcBorders>
              <w:top w:val="single" w:sz="8" w:space="0" w:color="000000"/>
              <w:left w:val="single" w:sz="8" w:space="0" w:color="000000"/>
              <w:bottom w:val="single" w:sz="4" w:space="0" w:color="000000"/>
              <w:right w:val="single" w:sz="4" w:space="0" w:color="000000"/>
            </w:tcBorders>
            <w:vAlign w:val="center"/>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2012</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2013</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2014</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2015</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2016</w:t>
            </w:r>
          </w:p>
        </w:tc>
      </w:tr>
      <w:tr w:rsidR="00F51B81" w:rsidRPr="00B06469" w:rsidTr="002760F1">
        <w:trPr>
          <w:trHeight w:val="489"/>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lastRenderedPageBreak/>
              <w:t xml:space="preserve">Зерновые культуры </w:t>
            </w:r>
            <w:r w:rsidRPr="00B06469">
              <w:rPr>
                <w:rFonts w:ascii="Times New Roman" w:eastAsia="Times New Roman" w:hAnsi="Times New Roman" w:cs="Times New Roman"/>
                <w:color w:val="000000"/>
                <w:sz w:val="24"/>
                <w:szCs w:val="24"/>
                <w:lang w:eastAsia="ru-RU"/>
              </w:rPr>
              <w:t>(в весе после доработки) - всего</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6480</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10550</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13816</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11332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13641</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в т.ч. сельскохозяйственные предприятия</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2404</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3703</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3978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3391</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4900</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4076</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6847</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9838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7940</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8741</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Подсолнечник </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1814</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5540</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2075</w:t>
            </w:r>
          </w:p>
        </w:tc>
        <w:tc>
          <w:tcPr>
            <w:tcW w:w="960" w:type="dxa"/>
            <w:tcBorders>
              <w:top w:val="nil"/>
              <w:left w:val="nil"/>
              <w:bottom w:val="single" w:sz="4" w:space="0" w:color="000000"/>
              <w:right w:val="single" w:sz="4" w:space="0" w:color="000000"/>
            </w:tcBorders>
            <w:noWrap/>
            <w:vAlign w:val="bottom"/>
            <w:hideMark/>
          </w:tcPr>
          <w:p w:rsidR="00F51B81" w:rsidRPr="007223A6" w:rsidRDefault="00151B9C" w:rsidP="001F0139">
            <w:pPr>
              <w:spacing w:after="0" w:line="240" w:lineRule="auto"/>
              <w:jc w:val="right"/>
              <w:rPr>
                <w:rFonts w:ascii="Times New Roman" w:eastAsia="Times New Roman" w:hAnsi="Times New Roman" w:cs="Times New Roman"/>
                <w:iCs/>
                <w:color w:val="000000"/>
                <w:sz w:val="24"/>
                <w:szCs w:val="24"/>
                <w:lang w:eastAsia="ru-RU"/>
              </w:rPr>
            </w:pPr>
            <w:r w:rsidRPr="007223A6">
              <w:rPr>
                <w:rFonts w:ascii="Times New Roman" w:eastAsia="Times New Roman" w:hAnsi="Times New Roman" w:cs="Times New Roman"/>
                <w:iCs/>
                <w:color w:val="000000"/>
                <w:sz w:val="24"/>
                <w:szCs w:val="24"/>
                <w:lang w:eastAsia="ru-RU"/>
              </w:rPr>
              <w:t>1875</w:t>
            </w:r>
          </w:p>
        </w:tc>
        <w:tc>
          <w:tcPr>
            <w:tcW w:w="960" w:type="dxa"/>
            <w:tcBorders>
              <w:top w:val="nil"/>
              <w:left w:val="nil"/>
              <w:bottom w:val="single" w:sz="4" w:space="0" w:color="000000"/>
              <w:right w:val="single" w:sz="4" w:space="0" w:color="000000"/>
            </w:tcBorders>
            <w:noWrap/>
            <w:vAlign w:val="bottom"/>
            <w:hideMark/>
          </w:tcPr>
          <w:p w:rsidR="00F51B81" w:rsidRPr="007223A6" w:rsidRDefault="00151B9C" w:rsidP="001F0139">
            <w:pPr>
              <w:spacing w:after="0" w:line="240" w:lineRule="auto"/>
              <w:jc w:val="right"/>
              <w:rPr>
                <w:rFonts w:ascii="Times New Roman" w:eastAsia="Times New Roman" w:hAnsi="Times New Roman" w:cs="Times New Roman"/>
                <w:iCs/>
                <w:color w:val="000000"/>
                <w:sz w:val="24"/>
                <w:szCs w:val="24"/>
                <w:lang w:eastAsia="ru-RU"/>
              </w:rPr>
            </w:pPr>
            <w:r w:rsidRPr="007223A6">
              <w:rPr>
                <w:rFonts w:ascii="Times New Roman" w:eastAsia="Times New Roman" w:hAnsi="Times New Roman" w:cs="Times New Roman"/>
                <w:iCs/>
                <w:color w:val="000000"/>
                <w:sz w:val="24"/>
                <w:szCs w:val="24"/>
                <w:lang w:eastAsia="ru-RU"/>
              </w:rPr>
              <w:t>2275</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в т.ч. сельскохозяйственные предприятия</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806</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3355</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518</w:t>
            </w:r>
          </w:p>
        </w:tc>
        <w:tc>
          <w:tcPr>
            <w:tcW w:w="960" w:type="dxa"/>
            <w:tcBorders>
              <w:top w:val="nil"/>
              <w:left w:val="nil"/>
              <w:bottom w:val="single" w:sz="4" w:space="0" w:color="000000"/>
              <w:right w:val="single" w:sz="4" w:space="0" w:color="000000"/>
            </w:tcBorders>
            <w:noWrap/>
            <w:vAlign w:val="bottom"/>
            <w:hideMark/>
          </w:tcPr>
          <w:p w:rsidR="00F51B81" w:rsidRPr="007223A6" w:rsidRDefault="008B3A08" w:rsidP="001F0139">
            <w:pPr>
              <w:spacing w:after="0" w:line="240" w:lineRule="auto"/>
              <w:jc w:val="right"/>
              <w:rPr>
                <w:rFonts w:ascii="Times New Roman" w:eastAsia="Times New Roman" w:hAnsi="Times New Roman" w:cs="Times New Roman"/>
                <w:iCs/>
                <w:color w:val="000000"/>
                <w:sz w:val="24"/>
                <w:szCs w:val="24"/>
                <w:lang w:eastAsia="ru-RU"/>
              </w:rPr>
            </w:pPr>
            <w:r w:rsidRPr="007223A6">
              <w:rPr>
                <w:rFonts w:ascii="Times New Roman" w:eastAsia="Times New Roman" w:hAnsi="Times New Roman" w:cs="Times New Roman"/>
                <w:iCs/>
                <w:color w:val="000000"/>
                <w:sz w:val="24"/>
                <w:szCs w:val="24"/>
                <w:lang w:eastAsia="ru-RU"/>
              </w:rPr>
              <w:t>488</w:t>
            </w:r>
            <w:r w:rsidR="00F51B81" w:rsidRPr="007223A6">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7223A6" w:rsidRDefault="00F51B81" w:rsidP="00FD29E4">
            <w:pPr>
              <w:spacing w:after="0" w:line="240" w:lineRule="auto"/>
              <w:jc w:val="right"/>
              <w:rPr>
                <w:rFonts w:ascii="Times New Roman" w:eastAsia="Times New Roman" w:hAnsi="Times New Roman" w:cs="Times New Roman"/>
                <w:iCs/>
                <w:color w:val="000000"/>
                <w:sz w:val="24"/>
                <w:szCs w:val="24"/>
                <w:lang w:eastAsia="ru-RU"/>
              </w:rPr>
            </w:pPr>
            <w:r w:rsidRPr="007223A6">
              <w:rPr>
                <w:rFonts w:ascii="Times New Roman" w:eastAsia="Times New Roman" w:hAnsi="Times New Roman" w:cs="Times New Roman"/>
                <w:iCs/>
                <w:color w:val="000000"/>
                <w:sz w:val="24"/>
                <w:szCs w:val="24"/>
                <w:lang w:eastAsia="ru-RU"/>
              </w:rPr>
              <w:t>4</w:t>
            </w:r>
            <w:r w:rsidR="00FD29E4" w:rsidRPr="007223A6">
              <w:rPr>
                <w:rFonts w:ascii="Times New Roman" w:eastAsia="Times New Roman" w:hAnsi="Times New Roman" w:cs="Times New Roman"/>
                <w:iCs/>
                <w:color w:val="000000"/>
                <w:sz w:val="24"/>
                <w:szCs w:val="24"/>
                <w:lang w:eastAsia="ru-RU"/>
              </w:rPr>
              <w:t>3</w:t>
            </w:r>
            <w:r w:rsidRPr="007223A6">
              <w:rPr>
                <w:rFonts w:ascii="Times New Roman" w:eastAsia="Times New Roman" w:hAnsi="Times New Roman" w:cs="Times New Roman"/>
                <w:iCs/>
                <w:color w:val="000000"/>
                <w:sz w:val="24"/>
                <w:szCs w:val="24"/>
                <w:lang w:eastAsia="ru-RU"/>
              </w:rPr>
              <w:t>7</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1008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2185</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1557</w:t>
            </w:r>
          </w:p>
        </w:tc>
        <w:tc>
          <w:tcPr>
            <w:tcW w:w="960" w:type="dxa"/>
            <w:tcBorders>
              <w:top w:val="nil"/>
              <w:left w:val="nil"/>
              <w:bottom w:val="single" w:sz="4" w:space="0" w:color="000000"/>
              <w:right w:val="single" w:sz="4" w:space="0" w:color="000000"/>
            </w:tcBorders>
            <w:noWrap/>
            <w:vAlign w:val="bottom"/>
            <w:hideMark/>
          </w:tcPr>
          <w:p w:rsidR="00FD29E4" w:rsidRPr="007223A6" w:rsidRDefault="008B3A08" w:rsidP="00FD29E4">
            <w:pPr>
              <w:spacing w:after="0" w:line="240" w:lineRule="auto"/>
              <w:jc w:val="right"/>
              <w:rPr>
                <w:rFonts w:ascii="Times New Roman" w:eastAsia="Times New Roman" w:hAnsi="Times New Roman" w:cs="Times New Roman"/>
                <w:iCs/>
                <w:color w:val="000000"/>
                <w:sz w:val="24"/>
                <w:szCs w:val="24"/>
                <w:lang w:eastAsia="ru-RU"/>
              </w:rPr>
            </w:pPr>
            <w:r w:rsidRPr="007223A6">
              <w:rPr>
                <w:rFonts w:ascii="Times New Roman" w:eastAsia="Times New Roman" w:hAnsi="Times New Roman" w:cs="Times New Roman"/>
                <w:iCs/>
                <w:color w:val="000000"/>
                <w:sz w:val="24"/>
                <w:szCs w:val="24"/>
                <w:lang w:eastAsia="ru-RU"/>
              </w:rPr>
              <w:t>1387</w:t>
            </w:r>
          </w:p>
        </w:tc>
        <w:tc>
          <w:tcPr>
            <w:tcW w:w="960" w:type="dxa"/>
            <w:tcBorders>
              <w:top w:val="nil"/>
              <w:left w:val="nil"/>
              <w:bottom w:val="single" w:sz="4" w:space="0" w:color="000000"/>
              <w:right w:val="single" w:sz="4" w:space="0" w:color="000000"/>
            </w:tcBorders>
            <w:noWrap/>
            <w:vAlign w:val="bottom"/>
            <w:hideMark/>
          </w:tcPr>
          <w:p w:rsidR="00F51B81" w:rsidRPr="007223A6" w:rsidRDefault="00FD29E4" w:rsidP="001F0139">
            <w:pPr>
              <w:spacing w:after="0" w:line="240" w:lineRule="auto"/>
              <w:jc w:val="right"/>
              <w:rPr>
                <w:rFonts w:ascii="Times New Roman" w:eastAsia="Times New Roman" w:hAnsi="Times New Roman" w:cs="Times New Roman"/>
                <w:iCs/>
                <w:color w:val="000000"/>
                <w:sz w:val="24"/>
                <w:szCs w:val="24"/>
                <w:lang w:eastAsia="ru-RU"/>
              </w:rPr>
            </w:pPr>
            <w:r w:rsidRPr="007223A6">
              <w:rPr>
                <w:rFonts w:ascii="Times New Roman" w:eastAsia="Times New Roman" w:hAnsi="Times New Roman" w:cs="Times New Roman"/>
                <w:iCs/>
                <w:color w:val="000000"/>
                <w:sz w:val="24"/>
                <w:szCs w:val="24"/>
                <w:lang w:eastAsia="ru-RU"/>
              </w:rPr>
              <w:t>1838</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Картофель </w:t>
            </w:r>
            <w:r w:rsidRPr="00B06469">
              <w:rPr>
                <w:rFonts w:ascii="Times New Roman" w:eastAsia="Times New Roman" w:hAnsi="Times New Roman" w:cs="Times New Roman"/>
                <w:color w:val="000000"/>
                <w:sz w:val="24"/>
                <w:szCs w:val="24"/>
                <w:lang w:eastAsia="ru-RU"/>
              </w:rPr>
              <w:t>во всех категориях хозяйств</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4817</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4482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4682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4463</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4309</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4817</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4482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4682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4433</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4309</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 </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30</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0</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Овощи </w:t>
            </w:r>
            <w:r w:rsidRPr="00B06469">
              <w:rPr>
                <w:rFonts w:ascii="Times New Roman" w:eastAsia="Times New Roman" w:hAnsi="Times New Roman" w:cs="Times New Roman"/>
                <w:color w:val="000000"/>
                <w:sz w:val="24"/>
                <w:szCs w:val="24"/>
                <w:lang w:eastAsia="ru-RU"/>
              </w:rPr>
              <w:t>во всех категориях хозяйств</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1495</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1332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1348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1304</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1249</w:t>
            </w:r>
          </w:p>
        </w:tc>
      </w:tr>
      <w:tr w:rsidR="00F51B81" w:rsidRPr="00B06469" w:rsidTr="002760F1">
        <w:trPr>
          <w:trHeight w:val="330"/>
        </w:trPr>
        <w:tc>
          <w:tcPr>
            <w:tcW w:w="476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jc w:val="center"/>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1495</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1332</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1348</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1304</w:t>
            </w:r>
          </w:p>
        </w:tc>
        <w:tc>
          <w:tcPr>
            <w:tcW w:w="960" w:type="dxa"/>
            <w:tcBorders>
              <w:top w:val="nil"/>
              <w:left w:val="nil"/>
              <w:bottom w:val="single" w:sz="4" w:space="0" w:color="000000"/>
              <w:right w:val="single" w:sz="4" w:space="0" w:color="000000"/>
            </w:tcBorders>
            <w:noWrap/>
            <w:vAlign w:val="bottom"/>
            <w:hideMark/>
          </w:tcPr>
          <w:p w:rsidR="00F51B81" w:rsidRPr="00B06469" w:rsidRDefault="00F51B81" w:rsidP="001F0139">
            <w:pPr>
              <w:spacing w:after="0" w:line="240" w:lineRule="auto"/>
              <w:jc w:val="right"/>
              <w:rPr>
                <w:rFonts w:ascii="Times New Roman" w:eastAsia="Times New Roman" w:hAnsi="Times New Roman" w:cs="Times New Roman"/>
                <w:iCs/>
                <w:color w:val="000000"/>
                <w:sz w:val="24"/>
                <w:szCs w:val="24"/>
                <w:lang w:eastAsia="ru-RU"/>
              </w:rPr>
            </w:pPr>
            <w:r w:rsidRPr="00B06469">
              <w:rPr>
                <w:rFonts w:ascii="Times New Roman" w:eastAsia="Times New Roman" w:hAnsi="Times New Roman" w:cs="Times New Roman"/>
                <w:iCs/>
                <w:color w:val="000000"/>
                <w:sz w:val="24"/>
                <w:szCs w:val="24"/>
                <w:lang w:eastAsia="ru-RU"/>
              </w:rPr>
              <w:t>1249</w:t>
            </w:r>
          </w:p>
        </w:tc>
      </w:tr>
    </w:tbl>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Источник: Паспорт социально-экономического развития Камышлинского района, форма № 5</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Положительная динамика наблюдается по урожайности зерновых и зернобобовых культур, подсолнечника и картофеля. Урожайность овощей в районе за рассматриваемый период уменьшилась (табл.1.5.2).</w:t>
      </w:r>
    </w:p>
    <w:p w:rsidR="00F51B81" w:rsidRPr="00B06469" w:rsidRDefault="00F51B81" w:rsidP="001F0139">
      <w:pPr>
        <w:spacing w:after="0" w:line="240" w:lineRule="auto"/>
        <w:jc w:val="both"/>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 xml:space="preserve">Таблица 1.5.2 – Урожайность сельскохозяйственных культур </w:t>
      </w:r>
    </w:p>
    <w:p w:rsidR="00F51B81" w:rsidRPr="00B06469" w:rsidRDefault="00F51B81" w:rsidP="001F0139">
      <w:pPr>
        <w:spacing w:after="0" w:line="240" w:lineRule="auto"/>
        <w:jc w:val="both"/>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Камышлинского района в 2012-2016 гг., ц/га</w:t>
      </w:r>
    </w:p>
    <w:tbl>
      <w:tblPr>
        <w:tblW w:w="9359" w:type="dxa"/>
        <w:jc w:val="center"/>
        <w:tblInd w:w="93" w:type="dxa"/>
        <w:tblLook w:val="04A0" w:firstRow="1" w:lastRow="0" w:firstColumn="1" w:lastColumn="0" w:noHBand="0" w:noVBand="1"/>
      </w:tblPr>
      <w:tblGrid>
        <w:gridCol w:w="4925"/>
        <w:gridCol w:w="992"/>
        <w:gridCol w:w="993"/>
        <w:gridCol w:w="850"/>
        <w:gridCol w:w="851"/>
        <w:gridCol w:w="748"/>
      </w:tblGrid>
      <w:tr w:rsidR="00F51B81" w:rsidRPr="00B06469" w:rsidTr="002760F1">
        <w:trPr>
          <w:trHeight w:val="300"/>
          <w:jc w:val="center"/>
        </w:trPr>
        <w:tc>
          <w:tcPr>
            <w:tcW w:w="4925" w:type="dxa"/>
            <w:tcBorders>
              <w:top w:val="single" w:sz="4" w:space="0" w:color="auto"/>
              <w:left w:val="single" w:sz="4" w:space="0" w:color="auto"/>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Сельскохозяйственная культура </w:t>
            </w:r>
          </w:p>
        </w:tc>
        <w:tc>
          <w:tcPr>
            <w:tcW w:w="992"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2012</w:t>
            </w:r>
          </w:p>
        </w:tc>
        <w:tc>
          <w:tcPr>
            <w:tcW w:w="993"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2013</w:t>
            </w:r>
          </w:p>
        </w:tc>
        <w:tc>
          <w:tcPr>
            <w:tcW w:w="85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2014</w:t>
            </w:r>
          </w:p>
        </w:tc>
        <w:tc>
          <w:tcPr>
            <w:tcW w:w="851"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2015</w:t>
            </w:r>
          </w:p>
        </w:tc>
        <w:tc>
          <w:tcPr>
            <w:tcW w:w="748"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2016</w:t>
            </w:r>
          </w:p>
        </w:tc>
      </w:tr>
      <w:tr w:rsidR="00F51B81" w:rsidRPr="00B06469" w:rsidTr="002760F1">
        <w:trPr>
          <w:trHeight w:val="540"/>
          <w:jc w:val="center"/>
        </w:trPr>
        <w:tc>
          <w:tcPr>
            <w:tcW w:w="4925"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Зерновые и зернобобовые культуры (в весе после доработки)</w:t>
            </w:r>
          </w:p>
        </w:tc>
        <w:tc>
          <w:tcPr>
            <w:tcW w:w="992"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11,4</w:t>
            </w:r>
          </w:p>
        </w:tc>
        <w:tc>
          <w:tcPr>
            <w:tcW w:w="993"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16,1</w:t>
            </w:r>
          </w:p>
        </w:tc>
        <w:tc>
          <w:tcPr>
            <w:tcW w:w="85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16,5</w:t>
            </w:r>
          </w:p>
        </w:tc>
        <w:tc>
          <w:tcPr>
            <w:tcW w:w="851"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14,8</w:t>
            </w:r>
          </w:p>
        </w:tc>
        <w:tc>
          <w:tcPr>
            <w:tcW w:w="748"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16,5</w:t>
            </w:r>
          </w:p>
        </w:tc>
      </w:tr>
      <w:tr w:rsidR="00F51B81" w:rsidRPr="00B06469" w:rsidTr="002760F1">
        <w:trPr>
          <w:trHeight w:val="315"/>
          <w:jc w:val="center"/>
        </w:trPr>
        <w:tc>
          <w:tcPr>
            <w:tcW w:w="4925"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Подсолнечник (в весе после доработки)</w:t>
            </w:r>
          </w:p>
        </w:tc>
        <w:tc>
          <w:tcPr>
            <w:tcW w:w="992"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5,5</w:t>
            </w:r>
          </w:p>
        </w:tc>
        <w:tc>
          <w:tcPr>
            <w:tcW w:w="993" w:type="dxa"/>
            <w:tcBorders>
              <w:top w:val="nil"/>
              <w:left w:val="nil"/>
              <w:bottom w:val="single" w:sz="4" w:space="0" w:color="auto"/>
              <w:right w:val="single" w:sz="4" w:space="0" w:color="auto"/>
            </w:tcBorders>
            <w:vAlign w:val="bottom"/>
            <w:hideMark/>
          </w:tcPr>
          <w:p w:rsidR="00F51B81" w:rsidRPr="007223A6" w:rsidRDefault="00FD29E4" w:rsidP="001F0139">
            <w:pPr>
              <w:spacing w:after="0" w:line="240" w:lineRule="auto"/>
              <w:jc w:val="center"/>
              <w:rPr>
                <w:rFonts w:ascii="Times New Roman" w:eastAsia="Times New Roman" w:hAnsi="Times New Roman" w:cs="Times New Roman"/>
                <w:color w:val="000000"/>
                <w:sz w:val="24"/>
                <w:szCs w:val="24"/>
                <w:lang w:eastAsia="ru-RU"/>
              </w:rPr>
            </w:pPr>
            <w:r w:rsidRPr="007223A6">
              <w:rPr>
                <w:rFonts w:ascii="Times New Roman" w:eastAsia="Times New Roman" w:hAnsi="Times New Roman" w:cs="Times New Roman"/>
                <w:color w:val="000000"/>
                <w:sz w:val="24"/>
                <w:szCs w:val="24"/>
                <w:lang w:eastAsia="ru-RU"/>
              </w:rPr>
              <w:t>7,5</w:t>
            </w:r>
          </w:p>
        </w:tc>
        <w:tc>
          <w:tcPr>
            <w:tcW w:w="850" w:type="dxa"/>
            <w:tcBorders>
              <w:top w:val="nil"/>
              <w:left w:val="nil"/>
              <w:bottom w:val="single" w:sz="4" w:space="0" w:color="auto"/>
              <w:right w:val="single" w:sz="4" w:space="0" w:color="auto"/>
            </w:tcBorders>
            <w:vAlign w:val="bottom"/>
            <w:hideMark/>
          </w:tcPr>
          <w:p w:rsidR="00FD29E4" w:rsidRPr="007223A6" w:rsidRDefault="00FD29E4" w:rsidP="00FD29E4">
            <w:pPr>
              <w:spacing w:after="0" w:line="240" w:lineRule="auto"/>
              <w:jc w:val="center"/>
              <w:rPr>
                <w:rFonts w:ascii="Times New Roman" w:eastAsia="Times New Roman" w:hAnsi="Times New Roman" w:cs="Times New Roman"/>
                <w:color w:val="000000"/>
                <w:sz w:val="24"/>
                <w:szCs w:val="24"/>
                <w:lang w:eastAsia="ru-RU"/>
              </w:rPr>
            </w:pPr>
            <w:r w:rsidRPr="007223A6">
              <w:rPr>
                <w:rFonts w:ascii="Times New Roman" w:eastAsia="Times New Roman" w:hAnsi="Times New Roman" w:cs="Times New Roman"/>
                <w:color w:val="000000"/>
                <w:sz w:val="24"/>
                <w:szCs w:val="24"/>
                <w:lang w:eastAsia="ru-RU"/>
              </w:rPr>
              <w:t>9,1</w:t>
            </w:r>
          </w:p>
        </w:tc>
        <w:tc>
          <w:tcPr>
            <w:tcW w:w="851"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11,6</w:t>
            </w:r>
          </w:p>
        </w:tc>
        <w:tc>
          <w:tcPr>
            <w:tcW w:w="748"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7,4</w:t>
            </w:r>
          </w:p>
        </w:tc>
      </w:tr>
      <w:tr w:rsidR="00F51B81" w:rsidRPr="00B06469" w:rsidTr="002760F1">
        <w:trPr>
          <w:trHeight w:val="300"/>
          <w:jc w:val="center"/>
        </w:trPr>
        <w:tc>
          <w:tcPr>
            <w:tcW w:w="4925"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Картофель</w:t>
            </w:r>
          </w:p>
        </w:tc>
        <w:tc>
          <w:tcPr>
            <w:tcW w:w="992"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130,2</w:t>
            </w:r>
          </w:p>
        </w:tc>
        <w:tc>
          <w:tcPr>
            <w:tcW w:w="993"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130,3</w:t>
            </w:r>
          </w:p>
        </w:tc>
        <w:tc>
          <w:tcPr>
            <w:tcW w:w="85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132,3</w:t>
            </w:r>
          </w:p>
        </w:tc>
        <w:tc>
          <w:tcPr>
            <w:tcW w:w="851"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127,2</w:t>
            </w:r>
          </w:p>
        </w:tc>
        <w:tc>
          <w:tcPr>
            <w:tcW w:w="748"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133</w:t>
            </w:r>
          </w:p>
        </w:tc>
      </w:tr>
      <w:tr w:rsidR="00F51B81" w:rsidRPr="00B06469" w:rsidTr="002760F1">
        <w:trPr>
          <w:trHeight w:val="300"/>
          <w:jc w:val="center"/>
        </w:trPr>
        <w:tc>
          <w:tcPr>
            <w:tcW w:w="4925"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Овощи</w:t>
            </w:r>
          </w:p>
        </w:tc>
        <w:tc>
          <w:tcPr>
            <w:tcW w:w="992"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262,3</w:t>
            </w:r>
          </w:p>
        </w:tc>
        <w:tc>
          <w:tcPr>
            <w:tcW w:w="993"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251,3</w:t>
            </w:r>
          </w:p>
        </w:tc>
        <w:tc>
          <w:tcPr>
            <w:tcW w:w="85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249,6</w:t>
            </w:r>
          </w:p>
        </w:tc>
        <w:tc>
          <w:tcPr>
            <w:tcW w:w="851"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241,5</w:t>
            </w:r>
          </w:p>
        </w:tc>
        <w:tc>
          <w:tcPr>
            <w:tcW w:w="748"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245</w:t>
            </w:r>
          </w:p>
        </w:tc>
      </w:tr>
    </w:tbl>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 xml:space="preserve"> Источники: Муниципальные районы Самарской области, 2017. Статистический сборник</w:t>
      </w:r>
    </w:p>
    <w:p w:rsidR="00F51B81" w:rsidRPr="00B06469" w:rsidRDefault="00F51B81" w:rsidP="001F0139">
      <w:pPr>
        <w:spacing w:after="0" w:line="240" w:lineRule="auto"/>
        <w:ind w:firstLine="426"/>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Основными продуктами животноводства в Камышлинском районе являются мясо, молоко, яйца и шерсть (табл. 1.5.3). Основными производителями данных продуктов являются личные подсобные хозяйства населения. По всем видам продуктов (кроме шерсти, объем производства которой не изменился) наблюдается сокращение объемов производства: мясо и яйцо – в 1,7 раза, молоко – в 1,2 раза. </w:t>
      </w:r>
    </w:p>
    <w:p w:rsidR="00F51B81" w:rsidRPr="00B06469" w:rsidRDefault="00F51B81" w:rsidP="001F0139">
      <w:pPr>
        <w:spacing w:after="0" w:line="240" w:lineRule="auto"/>
        <w:ind w:firstLine="709"/>
        <w:jc w:val="both"/>
        <w:rPr>
          <w:rFonts w:ascii="Times New Roman" w:hAnsi="Times New Roman" w:cs="Times New Roman"/>
          <w:sz w:val="24"/>
          <w:szCs w:val="24"/>
        </w:rPr>
      </w:pPr>
    </w:p>
    <w:p w:rsidR="00F51B81" w:rsidRPr="00B06469" w:rsidRDefault="00F51B81" w:rsidP="001F0139">
      <w:pPr>
        <w:spacing w:after="0" w:line="240" w:lineRule="auto"/>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Таблица 1.5.3 - Производство основных продуктов животноводства</w:t>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Камышлинского района в 2012-2016 гг. (тонн)</w:t>
      </w:r>
    </w:p>
    <w:tbl>
      <w:tblPr>
        <w:tblW w:w="9640" w:type="dxa"/>
        <w:tblInd w:w="93" w:type="dxa"/>
        <w:tblLook w:val="04A0" w:firstRow="1" w:lastRow="0" w:firstColumn="1" w:lastColumn="0" w:noHBand="0" w:noVBand="1"/>
      </w:tblPr>
      <w:tblGrid>
        <w:gridCol w:w="4840"/>
        <w:gridCol w:w="960"/>
        <w:gridCol w:w="960"/>
        <w:gridCol w:w="960"/>
        <w:gridCol w:w="960"/>
        <w:gridCol w:w="960"/>
      </w:tblGrid>
      <w:tr w:rsidR="00F51B81" w:rsidRPr="00B06469" w:rsidTr="002760F1">
        <w:trPr>
          <w:trHeight w:hRule="exact" w:val="340"/>
          <w:tblHeader/>
        </w:trPr>
        <w:tc>
          <w:tcPr>
            <w:tcW w:w="4840" w:type="dxa"/>
            <w:vMerge w:val="restart"/>
            <w:tcBorders>
              <w:top w:val="single" w:sz="8" w:space="0" w:color="000000"/>
              <w:left w:val="single" w:sz="8" w:space="0" w:color="000000"/>
              <w:bottom w:val="single" w:sz="4" w:space="0" w:color="000000"/>
              <w:right w:val="single" w:sz="4" w:space="0" w:color="000000"/>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Наименование показателей</w:t>
            </w:r>
          </w:p>
        </w:tc>
        <w:tc>
          <w:tcPr>
            <w:tcW w:w="4800" w:type="dxa"/>
            <w:gridSpan w:val="5"/>
            <w:tcBorders>
              <w:top w:val="single" w:sz="8" w:space="0" w:color="000000"/>
              <w:left w:val="nil"/>
              <w:bottom w:val="single" w:sz="4" w:space="0" w:color="000000"/>
              <w:right w:val="single" w:sz="4" w:space="0" w:color="000000"/>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Годы</w:t>
            </w:r>
          </w:p>
        </w:tc>
      </w:tr>
      <w:tr w:rsidR="00F51B81" w:rsidRPr="00B06469" w:rsidTr="002760F1">
        <w:trPr>
          <w:trHeight w:hRule="exact" w:val="340"/>
          <w:tblHeader/>
        </w:trPr>
        <w:tc>
          <w:tcPr>
            <w:tcW w:w="0" w:type="auto"/>
            <w:vMerge/>
            <w:tcBorders>
              <w:top w:val="single" w:sz="8" w:space="0" w:color="000000"/>
              <w:left w:val="single" w:sz="8" w:space="0" w:color="000000"/>
              <w:bottom w:val="single" w:sz="4" w:space="0" w:color="000000"/>
              <w:right w:val="single" w:sz="4" w:space="0" w:color="000000"/>
            </w:tcBorders>
            <w:vAlign w:val="center"/>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2012</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2013</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2014</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2015</w:t>
            </w:r>
          </w:p>
        </w:tc>
        <w:tc>
          <w:tcPr>
            <w:tcW w:w="960" w:type="dxa"/>
            <w:tcBorders>
              <w:top w:val="nil"/>
              <w:left w:val="nil"/>
              <w:bottom w:val="single" w:sz="4" w:space="0" w:color="000000"/>
              <w:right w:val="single" w:sz="4" w:space="0" w:color="000000"/>
            </w:tcBorders>
            <w:shd w:val="clear" w:color="auto" w:fill="1F497D"/>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2016</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Мясо (</w:t>
            </w:r>
            <w:r w:rsidRPr="00B06469">
              <w:rPr>
                <w:rFonts w:ascii="Times New Roman" w:eastAsia="Times New Roman" w:hAnsi="Times New Roman" w:cs="Times New Roman"/>
                <w:color w:val="000000"/>
                <w:sz w:val="24"/>
                <w:szCs w:val="24"/>
                <w:lang w:eastAsia="ru-RU"/>
              </w:rPr>
              <w:t>в живом весе) - всего</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1043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574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634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707</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618</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в т.ч. сельскохозяйственные предприятия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34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20</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0</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921</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533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578</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604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590</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88</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69</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28</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Молоко </w:t>
            </w:r>
            <w:r w:rsidRPr="00B06469">
              <w:rPr>
                <w:rFonts w:ascii="Times New Roman" w:eastAsia="Times New Roman" w:hAnsi="Times New Roman" w:cs="Times New Roman"/>
                <w:color w:val="000000"/>
                <w:sz w:val="24"/>
                <w:szCs w:val="24"/>
                <w:lang w:eastAsia="ru-RU"/>
              </w:rPr>
              <w:t>- всего</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5090,4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5284</w:t>
            </w:r>
          </w:p>
        </w:tc>
        <w:tc>
          <w:tcPr>
            <w:tcW w:w="960" w:type="dxa"/>
            <w:tcBorders>
              <w:top w:val="nil"/>
              <w:left w:val="nil"/>
              <w:bottom w:val="single" w:sz="4" w:space="0" w:color="000000"/>
              <w:right w:val="single" w:sz="4" w:space="0" w:color="000000"/>
            </w:tcBorders>
            <w:noWrap/>
            <w:vAlign w:val="center"/>
            <w:hideMark/>
          </w:tcPr>
          <w:p w:rsidR="00F51B81" w:rsidRPr="007223A6" w:rsidRDefault="00151B9C"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4539,3</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51B9C">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41</w:t>
            </w:r>
            <w:r w:rsidR="00151B9C" w:rsidRPr="007223A6">
              <w:rPr>
                <w:rFonts w:ascii="Times New Roman" w:eastAsia="Times New Roman" w:hAnsi="Times New Roman" w:cs="Times New Roman"/>
                <w:sz w:val="24"/>
                <w:szCs w:val="24"/>
                <w:lang w:eastAsia="ru-RU"/>
              </w:rPr>
              <w:t>80,6</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4123</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lastRenderedPageBreak/>
              <w:t>в т.ч. сельскохозяйственные предприятия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503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409</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262</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137</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0</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3753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3977</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51B9C">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31</w:t>
            </w:r>
            <w:r w:rsidR="00151B9C" w:rsidRPr="007223A6">
              <w:rPr>
                <w:rFonts w:ascii="Times New Roman" w:eastAsia="Times New Roman" w:hAnsi="Times New Roman" w:cs="Times New Roman"/>
                <w:sz w:val="24"/>
                <w:szCs w:val="24"/>
                <w:lang w:eastAsia="ru-RU"/>
              </w:rPr>
              <w:t>27,3</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51B9C">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297</w:t>
            </w:r>
            <w:r w:rsidR="00151B9C" w:rsidRPr="007223A6">
              <w:rPr>
                <w:rFonts w:ascii="Times New Roman" w:eastAsia="Times New Roman" w:hAnsi="Times New Roman" w:cs="Times New Roman"/>
                <w:sz w:val="24"/>
                <w:szCs w:val="24"/>
                <w:lang w:eastAsia="ru-RU"/>
              </w:rPr>
              <w:t>9</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3150</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крестьянские (фермерские) хозяйства</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834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898</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1150</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1064</w:t>
            </w:r>
            <w:r w:rsidR="00151B9C" w:rsidRPr="007223A6">
              <w:rPr>
                <w:rFonts w:ascii="Times New Roman" w:eastAsia="Times New Roman" w:hAnsi="Times New Roman" w:cs="Times New Roman"/>
                <w:sz w:val="24"/>
                <w:szCs w:val="24"/>
                <w:lang w:eastAsia="ru-RU"/>
              </w:rPr>
              <w:t>,6</w:t>
            </w:r>
          </w:p>
          <w:p w:rsidR="00151B9C" w:rsidRPr="007223A6" w:rsidRDefault="00151B9C" w:rsidP="001F0139">
            <w:pPr>
              <w:spacing w:after="0" w:line="240" w:lineRule="auto"/>
              <w:jc w:val="center"/>
              <w:rPr>
                <w:rFonts w:ascii="Times New Roman" w:eastAsia="Times New Roman" w:hAnsi="Times New Roman" w:cs="Times New Roman"/>
                <w:sz w:val="24"/>
                <w:szCs w:val="24"/>
                <w:lang w:eastAsia="ru-RU"/>
              </w:rPr>
            </w:pP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973</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Яйца - </w:t>
            </w:r>
            <w:r w:rsidRPr="00B06469">
              <w:rPr>
                <w:rFonts w:ascii="Times New Roman" w:eastAsia="Times New Roman" w:hAnsi="Times New Roman" w:cs="Times New Roman"/>
                <w:color w:val="000000"/>
                <w:sz w:val="24"/>
                <w:szCs w:val="24"/>
                <w:lang w:eastAsia="ru-RU"/>
              </w:rPr>
              <w:t>всего</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2252</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1904</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1563</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1589</w:t>
            </w:r>
          </w:p>
        </w:tc>
        <w:tc>
          <w:tcPr>
            <w:tcW w:w="960" w:type="dxa"/>
            <w:tcBorders>
              <w:top w:val="nil"/>
              <w:left w:val="nil"/>
              <w:bottom w:val="single" w:sz="4" w:space="0" w:color="000000"/>
              <w:right w:val="single" w:sz="4" w:space="0" w:color="000000"/>
            </w:tcBorders>
            <w:noWrap/>
            <w:vAlign w:val="center"/>
            <w:hideMark/>
          </w:tcPr>
          <w:p w:rsidR="00F51B81" w:rsidRPr="007223A6" w:rsidRDefault="00F51B81" w:rsidP="001F0139">
            <w:pPr>
              <w:spacing w:after="0" w:line="240" w:lineRule="auto"/>
              <w:jc w:val="center"/>
              <w:rPr>
                <w:rFonts w:ascii="Times New Roman" w:eastAsia="Times New Roman" w:hAnsi="Times New Roman" w:cs="Times New Roman"/>
                <w:sz w:val="24"/>
                <w:szCs w:val="24"/>
                <w:lang w:eastAsia="ru-RU"/>
              </w:rPr>
            </w:pPr>
            <w:r w:rsidRPr="007223A6">
              <w:rPr>
                <w:rFonts w:ascii="Times New Roman" w:eastAsia="Times New Roman" w:hAnsi="Times New Roman" w:cs="Times New Roman"/>
                <w:sz w:val="24"/>
                <w:szCs w:val="24"/>
                <w:lang w:eastAsia="ru-RU"/>
              </w:rPr>
              <w:t>1309</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2252</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1904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1563</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1589</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1309</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i/>
                <w:iCs/>
                <w:color w:val="000000"/>
                <w:sz w:val="24"/>
                <w:szCs w:val="24"/>
                <w:lang w:eastAsia="ru-RU"/>
              </w:rPr>
            </w:pPr>
            <w:r w:rsidRPr="00B06469">
              <w:rPr>
                <w:rFonts w:ascii="Times New Roman" w:eastAsia="Times New Roman" w:hAnsi="Times New Roman" w:cs="Times New Roman"/>
                <w:i/>
                <w:iCs/>
                <w:color w:val="000000"/>
                <w:sz w:val="24"/>
                <w:szCs w:val="24"/>
                <w:lang w:eastAsia="ru-RU"/>
              </w:rPr>
              <w:t xml:space="preserve">Шерсть </w:t>
            </w:r>
            <w:r w:rsidRPr="00B06469">
              <w:rPr>
                <w:rFonts w:ascii="Times New Roman" w:eastAsia="Times New Roman" w:hAnsi="Times New Roman" w:cs="Times New Roman"/>
                <w:color w:val="000000"/>
                <w:sz w:val="24"/>
                <w:szCs w:val="24"/>
                <w:lang w:eastAsia="ru-RU"/>
              </w:rPr>
              <w:t>(в физическом весе) – всего:</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r>
      <w:tr w:rsidR="00F51B81" w:rsidRPr="00B06469" w:rsidTr="002760F1">
        <w:trPr>
          <w:trHeight w:hRule="exact" w:val="340"/>
        </w:trPr>
        <w:tc>
          <w:tcPr>
            <w:tcW w:w="4840" w:type="dxa"/>
            <w:tcBorders>
              <w:top w:val="nil"/>
              <w:left w:val="single" w:sz="4" w:space="0" w:color="000000"/>
              <w:bottom w:val="single" w:sz="4" w:space="0" w:color="000000"/>
              <w:right w:val="single" w:sz="4" w:space="0" w:color="000000"/>
            </w:tcBorders>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личные подсобные хозяйства населения</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5</w:t>
            </w:r>
          </w:p>
        </w:tc>
        <w:tc>
          <w:tcPr>
            <w:tcW w:w="960" w:type="dxa"/>
            <w:tcBorders>
              <w:top w:val="nil"/>
              <w:left w:val="nil"/>
              <w:bottom w:val="single" w:sz="4" w:space="0" w:color="000000"/>
              <w:right w:val="single" w:sz="4" w:space="0" w:color="000000"/>
            </w:tcBorders>
            <w:noWrap/>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4</w:t>
            </w:r>
          </w:p>
        </w:tc>
      </w:tr>
    </w:tbl>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Источник: Паспорт социально-экономического развития Камышлинского района, форма № 5</w:t>
      </w:r>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Поголовье крупного рогатого скота уменьшилось на 1000 голов за период с 2012 по 2016 гг. Поголовье свиней не изменилось, а поголовье овец и коз увеличилось на 500 голов (табл.1.5.4)</w:t>
      </w:r>
    </w:p>
    <w:p w:rsidR="00F51B81" w:rsidRPr="00B06469" w:rsidRDefault="00F51B81" w:rsidP="001F0139">
      <w:pPr>
        <w:spacing w:after="0" w:line="240" w:lineRule="auto"/>
        <w:jc w:val="both"/>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Таблица 1.5.4 – Поголовье скота в хозяйствах всех категорий</w:t>
      </w:r>
    </w:p>
    <w:p w:rsidR="00F51B81" w:rsidRPr="00B06469" w:rsidRDefault="00F51B81" w:rsidP="001F0139">
      <w:pPr>
        <w:spacing w:after="0" w:line="240" w:lineRule="auto"/>
        <w:jc w:val="both"/>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Камышлинского района в 2012-2016 гг. (тысяч голов)</w:t>
      </w:r>
    </w:p>
    <w:tbl>
      <w:tblPr>
        <w:tblW w:w="8560" w:type="dxa"/>
        <w:jc w:val="center"/>
        <w:tblInd w:w="93" w:type="dxa"/>
        <w:tblLook w:val="04A0" w:firstRow="1" w:lastRow="0" w:firstColumn="1" w:lastColumn="0" w:noHBand="0" w:noVBand="1"/>
      </w:tblPr>
      <w:tblGrid>
        <w:gridCol w:w="3760"/>
        <w:gridCol w:w="960"/>
        <w:gridCol w:w="960"/>
        <w:gridCol w:w="960"/>
        <w:gridCol w:w="960"/>
        <w:gridCol w:w="960"/>
      </w:tblGrid>
      <w:tr w:rsidR="00F51B81" w:rsidRPr="00B06469" w:rsidTr="002760F1">
        <w:trPr>
          <w:trHeight w:val="315"/>
          <w:jc w:val="center"/>
        </w:trPr>
        <w:tc>
          <w:tcPr>
            <w:tcW w:w="3760" w:type="dxa"/>
            <w:tcBorders>
              <w:top w:val="single" w:sz="4" w:space="0" w:color="auto"/>
              <w:left w:val="single" w:sz="4" w:space="0" w:color="auto"/>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 </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2012</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2013</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2014</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2015</w:t>
            </w:r>
          </w:p>
        </w:tc>
        <w:tc>
          <w:tcPr>
            <w:tcW w:w="960" w:type="dxa"/>
            <w:tcBorders>
              <w:top w:val="single" w:sz="4" w:space="0" w:color="auto"/>
              <w:left w:val="nil"/>
              <w:bottom w:val="single" w:sz="4" w:space="0" w:color="auto"/>
              <w:right w:val="single" w:sz="4" w:space="0" w:color="auto"/>
            </w:tcBorders>
            <w:shd w:val="clear" w:color="auto" w:fill="1F497D"/>
            <w:vAlign w:val="bottom"/>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2016</w:t>
            </w:r>
          </w:p>
        </w:tc>
      </w:tr>
      <w:tr w:rsidR="00F51B81" w:rsidRPr="00B0646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Крупный рогатый скот</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3</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2,7</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2,2</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w:t>
            </w:r>
          </w:p>
        </w:tc>
      </w:tr>
      <w:tr w:rsidR="00F51B81" w:rsidRPr="00B0646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из них коровы</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1,3</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1,2</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0,9</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0,9</w:t>
            </w:r>
          </w:p>
        </w:tc>
      </w:tr>
      <w:tr w:rsidR="00F51B81" w:rsidRPr="00B0646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Свиньи</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0,1</w:t>
            </w:r>
          </w:p>
        </w:tc>
      </w:tr>
      <w:tr w:rsidR="00F51B81" w:rsidRPr="00B06469" w:rsidTr="002760F1">
        <w:trPr>
          <w:trHeight w:val="315"/>
          <w:jc w:val="center"/>
        </w:trPr>
        <w:tc>
          <w:tcPr>
            <w:tcW w:w="3760" w:type="dxa"/>
            <w:tcBorders>
              <w:top w:val="nil"/>
              <w:left w:val="single" w:sz="4" w:space="0" w:color="auto"/>
              <w:bottom w:val="single" w:sz="4" w:space="0" w:color="auto"/>
              <w:right w:val="single" w:sz="4" w:space="0" w:color="auto"/>
            </w:tcBorders>
            <w:vAlign w:val="bottom"/>
            <w:hideMark/>
          </w:tcPr>
          <w:p w:rsidR="00F51B81" w:rsidRPr="00B06469" w:rsidRDefault="00F51B81" w:rsidP="001F0139">
            <w:pPr>
              <w:spacing w:after="0" w:line="240" w:lineRule="auto"/>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Овцы и козы</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1,8</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2,3</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2,1</w:t>
            </w:r>
          </w:p>
        </w:tc>
        <w:tc>
          <w:tcPr>
            <w:tcW w:w="960" w:type="dxa"/>
            <w:tcBorders>
              <w:top w:val="nil"/>
              <w:left w:val="nil"/>
              <w:bottom w:val="single" w:sz="4" w:space="0" w:color="auto"/>
              <w:right w:val="single" w:sz="4" w:space="0" w:color="auto"/>
            </w:tcBorders>
            <w:vAlign w:val="bottom"/>
            <w:hideMark/>
          </w:tcPr>
          <w:p w:rsidR="00F51B81" w:rsidRPr="00B06469" w:rsidRDefault="00F51B81" w:rsidP="001F0139">
            <w:pPr>
              <w:spacing w:after="0" w:line="240" w:lineRule="auto"/>
              <w:jc w:val="center"/>
              <w:rPr>
                <w:rFonts w:ascii="Times New Roman" w:eastAsia="Times New Roman" w:hAnsi="Times New Roman" w:cs="Times New Roman"/>
                <w:color w:val="000000"/>
                <w:sz w:val="24"/>
                <w:szCs w:val="24"/>
                <w:lang w:eastAsia="ru-RU"/>
              </w:rPr>
            </w:pPr>
            <w:r w:rsidRPr="00B06469">
              <w:rPr>
                <w:rFonts w:ascii="Times New Roman" w:eastAsia="Times New Roman" w:hAnsi="Times New Roman" w:cs="Times New Roman"/>
                <w:color w:val="000000"/>
                <w:sz w:val="24"/>
                <w:szCs w:val="24"/>
                <w:lang w:eastAsia="ru-RU"/>
              </w:rPr>
              <w:t>2,3</w:t>
            </w:r>
          </w:p>
        </w:tc>
      </w:tr>
    </w:tbl>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Источники: Муниципальные районы Самарской области, 2017. Статистический сборник</w:t>
      </w:r>
    </w:p>
    <w:p w:rsidR="00F51B81" w:rsidRPr="00B06469" w:rsidRDefault="00F51B81" w:rsidP="001F0139">
      <w:pPr>
        <w:spacing w:after="0" w:line="360" w:lineRule="auto"/>
        <w:ind w:firstLine="709"/>
        <w:jc w:val="center"/>
        <w:rPr>
          <w:rFonts w:ascii="Times New Roman" w:hAnsi="Times New Roman" w:cs="Times New Roman"/>
          <w:b/>
          <w:color w:val="000000"/>
          <w:sz w:val="24"/>
          <w:szCs w:val="24"/>
          <w:shd w:val="clear" w:color="auto" w:fill="FFFFFF"/>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Сельскохозяйственные организации района в подавляющем большинстве работают с прибылью. По итогам работы за 2012-2016 гг. сельскохозяйственные предприятия имеют положительный финансовый результат (прибыль в 2016г. – 4902 тыс. руб.). Однако, динамика роста прибыли неустойчива (рис. 1.5.7). Резкое снижение значения данного показателя наблюдалось в 2015 г. (почти в 3 раза по сравнению с 2014 г.). </w:t>
      </w:r>
      <w:r w:rsidR="003F34BB" w:rsidRPr="007223A6">
        <w:rPr>
          <w:rFonts w:ascii="Times New Roman" w:hAnsi="Times New Roman" w:cs="Times New Roman"/>
          <w:sz w:val="24"/>
          <w:szCs w:val="24"/>
        </w:rPr>
        <w:t xml:space="preserve">Рентабельность от всей хозяйственной деятельности в 2012 году составляла ‒ 18,9%, в 2015 году ‒ 11,6%,  2016 году ‒ 36,9%. </w:t>
      </w:r>
      <w:r w:rsidRPr="007223A6">
        <w:rPr>
          <w:rFonts w:ascii="Times New Roman" w:hAnsi="Times New Roman" w:cs="Times New Roman"/>
          <w:sz w:val="24"/>
          <w:szCs w:val="24"/>
        </w:rPr>
        <w:t>увеличение с 1% в 2012 г. до 11,8% в 2016 г. с резким снижением до 6,1% в 2015 г.).</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noProof/>
          <w:color w:val="FF0000"/>
          <w:sz w:val="24"/>
          <w:szCs w:val="24"/>
          <w:lang w:eastAsia="ru-RU"/>
        </w:rPr>
        <w:lastRenderedPageBreak/>
        <w:drawing>
          <wp:inline distT="0" distB="0" distL="0" distR="0" wp14:anchorId="70FFA392" wp14:editId="1A330CC8">
            <wp:extent cx="5258054" cy="2682240"/>
            <wp:effectExtent l="19050" t="0" r="18796" b="3810"/>
            <wp:docPr id="3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Рисунок 1.5.7 - Прибыль (убыток) сельскохозяйственных предприятий Камышлинского района в 2012-2016 гг. (тыс. руб.)</w:t>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К положительным изменениям за рассматриваемый период стоит отнести уменьшение степени износа основных фондов (с 59% в 2012 г. до 49% в 2016 г.), увеличение показателей продуктивности (надой молока на одну фуражную корову увеличился в 2016 г. в 1,5 раз по сравнению с 2012 г., среднесуточный привес крупного рогатого скота в 2012 г. составлял 632 грамма, а в 2016 г. – 707 грамм).</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Важным направлением развития агропромышленного комплекса является стимулирование развития малых форм хозяйствования и личных подсобных хозяйств. С 2012 по 2017 годы получателями гранта стали 10 начинающих фермеров, участвовавших в областном мероприятии «Развитие малых форм хозяйствования»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2014–2020 годы.</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Камышлинском районе продолжается субсидирование процентных ставок по краткосрочным, среднесрочным и долгосрочным кредитам малым формам хозяйствования – КФХ и ЛПХ. Благодаря субсидированию семян элиты зерновых и зернобобовых культур из областного и федерального бюджетов за последние годы хозяйства района значительно улучшили качество и репродуктивный состав высеваемых семян. Это стало одним из главных факторов в деле увеличения урожайности сельскохозяйственных культур последних лет в районе.</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Важный вклад в развитие сельского хозяйства вносят личные подсобные хозяйства. Всего в Камышлинском районе насчитывается 4400 подворий. За последние годы многие семьи района не только создали, но и приумножили свои хозяйства. </w:t>
      </w:r>
    </w:p>
    <w:p w:rsidR="00F51B81" w:rsidRPr="00B06469" w:rsidRDefault="00F51B81" w:rsidP="001F0139">
      <w:pPr>
        <w:spacing w:after="0" w:line="360" w:lineRule="auto"/>
        <w:ind w:firstLine="709"/>
        <w:contextualSpacing/>
        <w:rPr>
          <w:rFonts w:ascii="Times New Roman" w:hAnsi="Times New Roman" w:cs="Times New Roman"/>
          <w:sz w:val="24"/>
          <w:szCs w:val="24"/>
        </w:rPr>
      </w:pPr>
      <w:r w:rsidRPr="00B06469">
        <w:rPr>
          <w:rFonts w:ascii="Times New Roman" w:hAnsi="Times New Roman" w:cs="Times New Roman"/>
          <w:sz w:val="24"/>
          <w:szCs w:val="24"/>
        </w:rPr>
        <w:lastRenderedPageBreak/>
        <w:br w:type="page"/>
      </w:r>
    </w:p>
    <w:p w:rsidR="00F51B81" w:rsidRPr="00B06469" w:rsidRDefault="00F51B81" w:rsidP="001F0139">
      <w:pPr>
        <w:spacing w:after="0" w:line="360" w:lineRule="auto"/>
        <w:contextualSpacing/>
        <w:outlineLvl w:val="2"/>
        <w:rPr>
          <w:rFonts w:ascii="Times New Roman" w:hAnsi="Times New Roman" w:cs="Times New Roman"/>
          <w:b/>
          <w:color w:val="365F91"/>
          <w:sz w:val="24"/>
          <w:szCs w:val="24"/>
        </w:rPr>
      </w:pPr>
      <w:bookmarkStart w:id="32" w:name="_Toc520894840"/>
      <w:r w:rsidRPr="00B06469">
        <w:rPr>
          <w:rFonts w:ascii="Times New Roman" w:hAnsi="Times New Roman" w:cs="Times New Roman"/>
          <w:b/>
          <w:color w:val="365F91"/>
          <w:sz w:val="24"/>
          <w:szCs w:val="24"/>
        </w:rPr>
        <w:lastRenderedPageBreak/>
        <w:t>1.5.3 Развитие малого и среднего бизнеса</w:t>
      </w:r>
      <w:bookmarkEnd w:id="32"/>
    </w:p>
    <w:p w:rsidR="00F51B81" w:rsidRPr="00B06469" w:rsidRDefault="00F51B81" w:rsidP="001F0139">
      <w:pPr>
        <w:spacing w:after="0" w:line="360" w:lineRule="auto"/>
        <w:ind w:firstLine="709"/>
        <w:contextualSpacing/>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eastAsia="Times New Roman" w:hAnsi="Times New Roman" w:cs="Times New Roman"/>
          <w:color w:val="000000"/>
          <w:kern w:val="2"/>
          <w:sz w:val="24"/>
          <w:szCs w:val="24"/>
        </w:rPr>
      </w:pPr>
      <w:r w:rsidRPr="00B06469">
        <w:rPr>
          <w:rFonts w:ascii="Times New Roman" w:eastAsia="Times New Roman" w:hAnsi="Times New Roman" w:cs="Times New Roman"/>
          <w:color w:val="000000"/>
          <w:kern w:val="2"/>
          <w:sz w:val="24"/>
          <w:szCs w:val="24"/>
        </w:rPr>
        <w:t xml:space="preserve">По состоянию на 1 января 2018 года на территории района действуют 19 малых предприятий и 211 индивидуальных предпринимателей. В структуре субъектов малого предпринимательства наибольший удельный вес занимают оптовая и розничная торговля и услуги по ремонту (50%), с большим отрывом отстает сельскохозяйственное производство (15%), транспорт и связь (9%), гостиницы и рестораны и обрабатывающие производства (по 7%) и т.д. (рис. 1.5.8). </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b/>
          <w:noProof/>
          <w:sz w:val="24"/>
          <w:szCs w:val="24"/>
          <w:lang w:eastAsia="ru-RU"/>
        </w:rPr>
        <w:drawing>
          <wp:inline distT="0" distB="0" distL="0" distR="0" wp14:anchorId="337E07FC" wp14:editId="05051249">
            <wp:extent cx="5703697" cy="3517392"/>
            <wp:effectExtent l="0" t="0" r="0" b="0"/>
            <wp:docPr id="33"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51B81" w:rsidRPr="00B06469" w:rsidRDefault="00F51B81"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Источники: Муниципальные районы Самарской области, 2017. Статистический сборник</w:t>
      </w:r>
    </w:p>
    <w:p w:rsidR="00F51B81" w:rsidRPr="00B06469" w:rsidRDefault="00F51B81" w:rsidP="001F0139">
      <w:pPr>
        <w:spacing w:after="0" w:line="240" w:lineRule="auto"/>
        <w:jc w:val="center"/>
        <w:rPr>
          <w:rFonts w:ascii="Times New Roman" w:hAnsi="Times New Roman" w:cs="Times New Roman"/>
          <w:b/>
          <w:bCs/>
          <w:color w:val="000000"/>
          <w:sz w:val="24"/>
          <w:szCs w:val="24"/>
          <w:shd w:val="clear" w:color="auto" w:fill="FFFFFF"/>
        </w:rPr>
      </w:pPr>
      <w:r w:rsidRPr="00B06469">
        <w:rPr>
          <w:rFonts w:ascii="Times New Roman" w:hAnsi="Times New Roman" w:cs="Times New Roman"/>
          <w:b/>
          <w:color w:val="000000"/>
          <w:sz w:val="24"/>
          <w:szCs w:val="24"/>
          <w:shd w:val="clear" w:color="auto" w:fill="FFFFFF"/>
        </w:rPr>
        <w:t xml:space="preserve">Рисунок 1.5.8 - </w:t>
      </w:r>
      <w:r w:rsidRPr="00B06469">
        <w:rPr>
          <w:rFonts w:ascii="Times New Roman" w:hAnsi="Times New Roman" w:cs="Times New Roman"/>
          <w:b/>
          <w:bCs/>
          <w:color w:val="000000"/>
          <w:sz w:val="24"/>
          <w:szCs w:val="24"/>
          <w:shd w:val="clear" w:color="auto" w:fill="FFFFFF"/>
        </w:rPr>
        <w:t>Распределение индивидуальных предпринимателей по видам экономической деятельности Камышлинского района, %</w:t>
      </w:r>
    </w:p>
    <w:p w:rsidR="00F51B81" w:rsidRPr="00B06469" w:rsidRDefault="00F51B81" w:rsidP="001F0139">
      <w:pPr>
        <w:spacing w:after="0" w:line="240" w:lineRule="auto"/>
        <w:jc w:val="center"/>
        <w:rPr>
          <w:rFonts w:ascii="Times New Roman" w:hAnsi="Times New Roman" w:cs="Times New Roman"/>
          <w:b/>
          <w:bCs/>
          <w:color w:val="000000"/>
          <w:sz w:val="24"/>
          <w:szCs w:val="24"/>
          <w:shd w:val="clear" w:color="auto" w:fill="FFFFFF"/>
        </w:rPr>
      </w:pPr>
    </w:p>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Cs/>
          <w:sz w:val="24"/>
          <w:szCs w:val="24"/>
          <w:shd w:val="clear" w:color="auto" w:fill="FFFFFF"/>
          <w:lang w:eastAsia="ru-RU"/>
        </w:rPr>
      </w:pPr>
      <w:r w:rsidRPr="00B06469">
        <w:rPr>
          <w:rFonts w:ascii="Times New Roman" w:eastAsia="Times New Roman" w:hAnsi="Times New Roman" w:cs="Times New Roman"/>
          <w:bCs/>
          <w:sz w:val="24"/>
          <w:szCs w:val="24"/>
          <w:shd w:val="clear" w:color="auto" w:fill="FFFFFF"/>
          <w:lang w:eastAsia="ru-RU"/>
        </w:rPr>
        <w:t xml:space="preserve">По результатам мониторинга эффективности деятельности органов местного самоуправления </w:t>
      </w:r>
      <w:r w:rsidR="001F0139" w:rsidRPr="00B06469">
        <w:rPr>
          <w:rFonts w:ascii="Times New Roman" w:eastAsia="Times New Roman" w:hAnsi="Times New Roman" w:cs="Times New Roman"/>
          <w:bCs/>
          <w:sz w:val="24"/>
          <w:szCs w:val="24"/>
          <w:shd w:val="clear" w:color="auto" w:fill="FFFFFF"/>
          <w:lang w:eastAsia="ru-RU"/>
        </w:rPr>
        <w:t>район</w:t>
      </w:r>
      <w:r w:rsidRPr="00B06469">
        <w:rPr>
          <w:rFonts w:ascii="Times New Roman" w:eastAsia="Times New Roman" w:hAnsi="Times New Roman" w:cs="Times New Roman"/>
          <w:bCs/>
          <w:sz w:val="24"/>
          <w:szCs w:val="24"/>
          <w:shd w:val="clear" w:color="auto" w:fill="FFFFFF"/>
          <w:lang w:eastAsia="ru-RU"/>
        </w:rPr>
        <w:t>ских округов и муниципальных районов в Самарской области за 2016 г. Камышлинский район по показателю плотности субъектов малого и среднего предпринимательства (МСП) отстает от среднеобластных значений (283,85 ед. на 10 тыс. человек) и характеризуется значением 252 ед. на 10 тыс. человек. Это больше значения 2015 г. (248 ед.), но восстановить значения 2012 года (292 ед.) пока не удается (рис. 1.5.9).</w:t>
      </w:r>
    </w:p>
    <w:p w:rsidR="00F51B81" w:rsidRPr="00B06469" w:rsidRDefault="00F51B81" w:rsidP="001F0139">
      <w:pPr>
        <w:shd w:val="clear" w:color="auto" w:fill="FFFFFF"/>
        <w:spacing w:after="0" w:line="240" w:lineRule="auto"/>
        <w:jc w:val="center"/>
        <w:rPr>
          <w:rFonts w:ascii="Times New Roman" w:eastAsia="Times New Roman" w:hAnsi="Times New Roman" w:cs="Times New Roman"/>
          <w:bCs/>
          <w:sz w:val="24"/>
          <w:szCs w:val="24"/>
          <w:shd w:val="clear" w:color="auto" w:fill="FFFFFF"/>
          <w:lang w:eastAsia="ru-RU"/>
        </w:rPr>
      </w:pPr>
      <w:r w:rsidRPr="00B06469">
        <w:rPr>
          <w:rFonts w:ascii="Times New Roman" w:eastAsia="Times New Roman" w:hAnsi="Times New Roman" w:cs="Times New Roman"/>
          <w:noProof/>
          <w:sz w:val="24"/>
          <w:szCs w:val="24"/>
          <w:shd w:val="clear" w:color="auto" w:fill="FFFFFF"/>
          <w:lang w:eastAsia="ru-RU"/>
        </w:rPr>
        <w:lastRenderedPageBreak/>
        <w:drawing>
          <wp:inline distT="0" distB="0" distL="0" distR="0" wp14:anchorId="2E9B35CA" wp14:editId="136B53DD">
            <wp:extent cx="5711952" cy="2359152"/>
            <wp:effectExtent l="0" t="0" r="0" b="0"/>
            <wp:docPr id="3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Источник: Доклад Главы Администрации муниципального района Камышлинский «О достигнутых значениях показателей для оценки эффективности деятельности органов местного самоуправления за 2016 год и их планируемых значениях на 3-х летний период (до 2019 года)</w:t>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Рисунок 1.5.9 - Число субъектов малого и среднего предпринимательства в расчете на 10 тыс. человек населения в Камышлинском районе</w:t>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r w:rsidRPr="00B06469">
        <w:rPr>
          <w:rFonts w:ascii="Times New Roman" w:hAnsi="Times New Roman" w:cs="Times New Roman"/>
          <w:b/>
          <w:color w:val="000000"/>
          <w:sz w:val="24"/>
          <w:szCs w:val="24"/>
          <w:shd w:val="clear" w:color="auto" w:fill="FFFFFF"/>
        </w:rPr>
        <w:t>в 2012-2016 гг.</w:t>
      </w:r>
    </w:p>
    <w:p w:rsidR="00F51B81" w:rsidRPr="00B06469" w:rsidRDefault="00F51B81" w:rsidP="001F0139">
      <w:pPr>
        <w:spacing w:after="0" w:line="240" w:lineRule="auto"/>
        <w:jc w:val="center"/>
        <w:rPr>
          <w:rFonts w:ascii="Times New Roman" w:hAnsi="Times New Roman" w:cs="Times New Roman"/>
          <w:b/>
          <w:color w:val="000000"/>
          <w:sz w:val="24"/>
          <w:szCs w:val="24"/>
          <w:shd w:val="clear" w:color="auto" w:fill="FFFFFF"/>
        </w:rPr>
      </w:pPr>
    </w:p>
    <w:p w:rsidR="00F51B81" w:rsidRPr="00B06469" w:rsidRDefault="00F51B81" w:rsidP="001F0139">
      <w:pPr>
        <w:shd w:val="clear" w:color="auto" w:fill="FFFFFF"/>
        <w:spacing w:after="0" w:line="360" w:lineRule="auto"/>
        <w:ind w:firstLine="709"/>
        <w:jc w:val="both"/>
        <w:rPr>
          <w:rFonts w:ascii="Times New Roman" w:hAnsi="Times New Roman" w:cs="Times New Roman"/>
          <w:b/>
          <w:color w:val="000000"/>
          <w:sz w:val="24"/>
          <w:szCs w:val="24"/>
          <w:shd w:val="clear" w:color="auto" w:fill="FFFFFF"/>
        </w:rPr>
      </w:pPr>
      <w:r w:rsidRPr="00B06469">
        <w:rPr>
          <w:rFonts w:ascii="Times New Roman" w:eastAsia="Times New Roman" w:hAnsi="Times New Roman" w:cs="Times New Roman"/>
          <w:bCs/>
          <w:sz w:val="24"/>
          <w:szCs w:val="24"/>
          <w:shd w:val="clear" w:color="auto" w:fill="FFFFFF"/>
          <w:lang w:eastAsia="ru-RU"/>
        </w:rPr>
        <w:t>Аналогичная ситуация наблюдается по показателю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 2012 г. значение данного показателя уменьшилось более чем в 2 раза (рис. 1.5.10).</w:t>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noProof/>
          <w:color w:val="000000"/>
          <w:sz w:val="24"/>
          <w:szCs w:val="24"/>
          <w:shd w:val="clear" w:color="auto" w:fill="FFFFFF"/>
          <w:lang w:eastAsia="ru-RU"/>
        </w:rPr>
        <w:drawing>
          <wp:inline distT="0" distB="0" distL="0" distR="0" wp14:anchorId="177CF1B8" wp14:editId="2F51EEAB">
            <wp:extent cx="5689346" cy="2244979"/>
            <wp:effectExtent l="0" t="0" r="0" b="0"/>
            <wp:docPr id="35"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51B81" w:rsidRPr="00B06469" w:rsidRDefault="00F51B81"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Источник: Доклад Главы Администрации муниципального района Камышлинский «О достигнутых значениях показателей для оценки эффективности деятельности органов местного самоуправления за 2016 год и их планируемых значениях на 3-х летний период (до 2019 года)</w:t>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color w:val="000000"/>
          <w:sz w:val="24"/>
          <w:szCs w:val="24"/>
          <w:shd w:val="clear" w:color="auto" w:fill="FFFFFF"/>
          <w:lang w:eastAsia="ru-RU"/>
        </w:rPr>
        <w:t xml:space="preserve">Рисунок 1.5.10 - Доля среднесписочной численности малых и средних предприятий в среднесписочной численности работников </w:t>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color w:val="000000"/>
          <w:sz w:val="24"/>
          <w:szCs w:val="24"/>
          <w:shd w:val="clear" w:color="auto" w:fill="FFFFFF"/>
          <w:lang w:eastAsia="ru-RU"/>
        </w:rPr>
        <w:t>всех предприятий и организаций м.р. Камышлинский</w:t>
      </w:r>
    </w:p>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Cs/>
          <w:sz w:val="24"/>
          <w:szCs w:val="24"/>
          <w:shd w:val="clear" w:color="auto" w:fill="FFFFFF"/>
          <w:lang w:eastAsia="ru-RU"/>
        </w:rPr>
      </w:pPr>
      <w:r w:rsidRPr="00B06469">
        <w:rPr>
          <w:rFonts w:ascii="Times New Roman" w:eastAsia="Times New Roman" w:hAnsi="Times New Roman" w:cs="Times New Roman"/>
          <w:bCs/>
          <w:sz w:val="24"/>
          <w:szCs w:val="24"/>
          <w:shd w:val="clear" w:color="auto" w:fill="FFFFFF"/>
          <w:lang w:eastAsia="ru-RU"/>
        </w:rPr>
        <w:t>По итогам 2012-2016 гг. по основным показателям развития субъектов МСП наблюдается тенденция снижения (табл. 1.5.5).</w:t>
      </w:r>
    </w:p>
    <w:p w:rsidR="00F51B81" w:rsidRPr="00B06469" w:rsidRDefault="00F51B81" w:rsidP="001F0139">
      <w:pPr>
        <w:shd w:val="clear" w:color="auto" w:fill="FFFFFF"/>
        <w:spacing w:after="0" w:line="240" w:lineRule="auto"/>
        <w:ind w:firstLine="709"/>
        <w:rPr>
          <w:rFonts w:ascii="Times New Roman" w:eastAsia="Times New Roman" w:hAnsi="Times New Roman" w:cs="Times New Roman"/>
          <w:b/>
          <w:sz w:val="24"/>
          <w:szCs w:val="24"/>
          <w:lang w:eastAsia="ru-RU"/>
        </w:rPr>
      </w:pPr>
    </w:p>
    <w:p w:rsidR="00F51B81" w:rsidRPr="00B06469" w:rsidRDefault="00F51B81" w:rsidP="001F0139">
      <w:pPr>
        <w:shd w:val="clear" w:color="auto" w:fill="FFFFFF"/>
        <w:spacing w:after="0" w:line="240" w:lineRule="auto"/>
        <w:rPr>
          <w:rFonts w:ascii="Times New Roman" w:eastAsia="Times New Roman" w:hAnsi="Times New Roman" w:cs="Times New Roman"/>
          <w:b/>
          <w:sz w:val="24"/>
          <w:szCs w:val="24"/>
          <w:lang w:eastAsia="ru-RU"/>
        </w:rPr>
      </w:pPr>
      <w:r w:rsidRPr="00B06469">
        <w:rPr>
          <w:rFonts w:ascii="Times New Roman" w:eastAsia="Times New Roman" w:hAnsi="Times New Roman" w:cs="Times New Roman"/>
          <w:b/>
          <w:sz w:val="24"/>
          <w:szCs w:val="24"/>
          <w:lang w:eastAsia="ru-RU"/>
        </w:rPr>
        <w:t xml:space="preserve">Таблица </w:t>
      </w:r>
      <w:r w:rsidRPr="00B06469">
        <w:rPr>
          <w:rFonts w:ascii="Times New Roman" w:eastAsia="Times New Roman" w:hAnsi="Times New Roman" w:cs="Times New Roman"/>
          <w:b/>
          <w:color w:val="000000"/>
          <w:sz w:val="24"/>
          <w:szCs w:val="24"/>
          <w:shd w:val="clear" w:color="auto" w:fill="FFFFFF"/>
          <w:lang w:eastAsia="ru-RU"/>
        </w:rPr>
        <w:t>1.5.5</w:t>
      </w:r>
      <w:r w:rsidRPr="00B06469">
        <w:rPr>
          <w:rFonts w:ascii="Times New Roman" w:eastAsia="Times New Roman" w:hAnsi="Times New Roman" w:cs="Times New Roman"/>
          <w:b/>
          <w:sz w:val="24"/>
          <w:szCs w:val="24"/>
          <w:lang w:eastAsia="ru-RU"/>
        </w:rPr>
        <w:t xml:space="preserve">- Основные показатели развития субъектов малого и </w:t>
      </w:r>
    </w:p>
    <w:p w:rsidR="00F51B81" w:rsidRPr="00B06469" w:rsidRDefault="00F51B81" w:rsidP="001F0139">
      <w:pPr>
        <w:shd w:val="clear" w:color="auto" w:fill="FFFFFF"/>
        <w:spacing w:after="0" w:line="240" w:lineRule="auto"/>
        <w:rPr>
          <w:rFonts w:ascii="Times New Roman" w:eastAsia="Times New Roman" w:hAnsi="Times New Roman" w:cs="Times New Roman"/>
          <w:b/>
          <w:bCs/>
          <w:sz w:val="24"/>
          <w:szCs w:val="24"/>
          <w:shd w:val="clear" w:color="auto" w:fill="FFFFFF"/>
          <w:lang w:eastAsia="ru-RU"/>
        </w:rPr>
      </w:pPr>
      <w:r w:rsidRPr="00B06469">
        <w:rPr>
          <w:rFonts w:ascii="Times New Roman" w:eastAsia="Times New Roman" w:hAnsi="Times New Roman" w:cs="Times New Roman"/>
          <w:b/>
          <w:sz w:val="24"/>
          <w:szCs w:val="24"/>
          <w:lang w:eastAsia="ru-RU"/>
        </w:rPr>
        <w:t>среднего предпринимательства</w:t>
      </w:r>
    </w:p>
    <w:tbl>
      <w:tblPr>
        <w:tblW w:w="9527" w:type="dxa"/>
        <w:tblInd w:w="103" w:type="dxa"/>
        <w:tblLook w:val="04A0" w:firstRow="1" w:lastRow="0" w:firstColumn="1" w:lastColumn="0" w:noHBand="0" w:noVBand="1"/>
      </w:tblPr>
      <w:tblGrid>
        <w:gridCol w:w="5817"/>
        <w:gridCol w:w="734"/>
        <w:gridCol w:w="708"/>
        <w:gridCol w:w="709"/>
        <w:gridCol w:w="741"/>
        <w:gridCol w:w="818"/>
      </w:tblGrid>
      <w:tr w:rsidR="00F51B81" w:rsidRPr="00B06469" w:rsidTr="002760F1">
        <w:trPr>
          <w:trHeight w:val="414"/>
          <w:tblHeader/>
        </w:trPr>
        <w:tc>
          <w:tcPr>
            <w:tcW w:w="5817" w:type="dxa"/>
            <w:vMerge w:val="restart"/>
            <w:tcBorders>
              <w:top w:val="single" w:sz="4" w:space="0" w:color="auto"/>
              <w:left w:val="single" w:sz="4" w:space="0" w:color="auto"/>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Наименование показателей</w:t>
            </w:r>
          </w:p>
        </w:tc>
        <w:tc>
          <w:tcPr>
            <w:tcW w:w="3710" w:type="dxa"/>
            <w:gridSpan w:val="5"/>
            <w:vMerge w:val="restart"/>
            <w:tcBorders>
              <w:top w:val="single" w:sz="4" w:space="0" w:color="auto"/>
              <w:left w:val="single" w:sz="4" w:space="0" w:color="auto"/>
              <w:bottom w:val="single" w:sz="4" w:space="0" w:color="000000"/>
              <w:right w:val="single" w:sz="4" w:space="0" w:color="000000"/>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Годы</w:t>
            </w:r>
          </w:p>
        </w:tc>
      </w:tr>
      <w:tr w:rsidR="00F51B81" w:rsidRPr="00B06469" w:rsidTr="002760F1">
        <w:trPr>
          <w:trHeight w:val="299"/>
          <w:tblHeader/>
        </w:trPr>
        <w:tc>
          <w:tcPr>
            <w:tcW w:w="5817" w:type="dxa"/>
            <w:vMerge/>
            <w:tcBorders>
              <w:top w:val="single" w:sz="4" w:space="0" w:color="auto"/>
              <w:left w:val="single" w:sz="4" w:space="0" w:color="auto"/>
              <w:bottom w:val="single" w:sz="4" w:space="0" w:color="auto"/>
              <w:right w:val="single" w:sz="4" w:space="0" w:color="auto"/>
            </w:tcBorders>
            <w:vAlign w:val="center"/>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3710" w:type="dxa"/>
            <w:gridSpan w:val="5"/>
            <w:vMerge/>
            <w:tcBorders>
              <w:top w:val="single" w:sz="4" w:space="0" w:color="auto"/>
              <w:left w:val="single" w:sz="4" w:space="0" w:color="auto"/>
              <w:bottom w:val="single" w:sz="4" w:space="0" w:color="000000"/>
              <w:right w:val="single" w:sz="4" w:space="0" w:color="000000"/>
            </w:tcBorders>
            <w:vAlign w:val="center"/>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p>
        </w:tc>
      </w:tr>
      <w:tr w:rsidR="00F51B81" w:rsidRPr="00B06469" w:rsidTr="002760F1">
        <w:trPr>
          <w:trHeight w:val="480"/>
          <w:tblHeader/>
        </w:trPr>
        <w:tc>
          <w:tcPr>
            <w:tcW w:w="5817" w:type="dxa"/>
            <w:vMerge/>
            <w:tcBorders>
              <w:top w:val="single" w:sz="4" w:space="0" w:color="auto"/>
              <w:left w:val="single" w:sz="4" w:space="0" w:color="auto"/>
              <w:bottom w:val="single" w:sz="4" w:space="0" w:color="auto"/>
              <w:right w:val="single" w:sz="4" w:space="0" w:color="auto"/>
            </w:tcBorders>
            <w:vAlign w:val="center"/>
            <w:hideMark/>
          </w:tcPr>
          <w:p w:rsidR="00F51B81" w:rsidRPr="00B06469" w:rsidRDefault="00F51B81" w:rsidP="001F0139">
            <w:pPr>
              <w:spacing w:after="0" w:line="240" w:lineRule="auto"/>
              <w:rPr>
                <w:rFonts w:ascii="Times New Roman" w:eastAsia="Times New Roman" w:hAnsi="Times New Roman" w:cs="Times New Roman"/>
                <w:b/>
                <w:bCs/>
                <w:color w:val="FFFFFF"/>
                <w:sz w:val="24"/>
                <w:szCs w:val="24"/>
                <w:lang w:eastAsia="ru-RU"/>
              </w:rPr>
            </w:pPr>
          </w:p>
        </w:tc>
        <w:tc>
          <w:tcPr>
            <w:tcW w:w="734" w:type="dxa"/>
            <w:tcBorders>
              <w:top w:val="nil"/>
              <w:left w:val="nil"/>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2012</w:t>
            </w:r>
          </w:p>
        </w:tc>
        <w:tc>
          <w:tcPr>
            <w:tcW w:w="708" w:type="dxa"/>
            <w:tcBorders>
              <w:top w:val="nil"/>
              <w:left w:val="nil"/>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2013</w:t>
            </w:r>
          </w:p>
        </w:tc>
        <w:tc>
          <w:tcPr>
            <w:tcW w:w="709" w:type="dxa"/>
            <w:tcBorders>
              <w:top w:val="nil"/>
              <w:left w:val="nil"/>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2014</w:t>
            </w:r>
          </w:p>
        </w:tc>
        <w:tc>
          <w:tcPr>
            <w:tcW w:w="741" w:type="dxa"/>
            <w:tcBorders>
              <w:top w:val="nil"/>
              <w:left w:val="nil"/>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2015</w:t>
            </w:r>
          </w:p>
        </w:tc>
        <w:tc>
          <w:tcPr>
            <w:tcW w:w="818" w:type="dxa"/>
            <w:tcBorders>
              <w:top w:val="nil"/>
              <w:left w:val="nil"/>
              <w:bottom w:val="single" w:sz="4" w:space="0" w:color="auto"/>
              <w:right w:val="single" w:sz="4" w:space="0" w:color="auto"/>
            </w:tcBorders>
            <w:shd w:val="clear" w:color="auto" w:fill="1F497D"/>
            <w:vAlign w:val="center"/>
            <w:hideMark/>
          </w:tcPr>
          <w:p w:rsidR="00F51B81" w:rsidRPr="00B06469" w:rsidRDefault="00F51B81" w:rsidP="001F0139">
            <w:pPr>
              <w:spacing w:after="0" w:line="240" w:lineRule="auto"/>
              <w:jc w:val="center"/>
              <w:rPr>
                <w:rFonts w:ascii="Times New Roman" w:eastAsia="Times New Roman" w:hAnsi="Times New Roman" w:cs="Times New Roman"/>
                <w:b/>
                <w:bCs/>
                <w:color w:val="FFFFFF"/>
                <w:sz w:val="24"/>
                <w:szCs w:val="24"/>
                <w:lang w:eastAsia="ru-RU"/>
              </w:rPr>
            </w:pPr>
            <w:r w:rsidRPr="00B06469">
              <w:rPr>
                <w:rFonts w:ascii="Times New Roman" w:eastAsia="Times New Roman" w:hAnsi="Times New Roman" w:cs="Times New Roman"/>
                <w:b/>
                <w:bCs/>
                <w:color w:val="FFFFFF"/>
                <w:sz w:val="24"/>
                <w:szCs w:val="24"/>
                <w:lang w:eastAsia="ru-RU"/>
              </w:rPr>
              <w:t>2016</w:t>
            </w:r>
          </w:p>
        </w:tc>
      </w:tr>
      <w:tr w:rsidR="00F51B81" w:rsidRPr="00B06469" w:rsidTr="002760F1">
        <w:trPr>
          <w:trHeight w:val="330"/>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Количество малых предприятий</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w:t>
            </w:r>
          </w:p>
        </w:tc>
      </w:tr>
      <w:tr w:rsidR="00F51B81" w:rsidRPr="00B06469" w:rsidTr="002760F1">
        <w:trPr>
          <w:trHeight w:val="775"/>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Численность предпринимателей без образования юридического лица (индивидуальные предприниматели)</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255</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216</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211</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210</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196</w:t>
            </w:r>
          </w:p>
        </w:tc>
      </w:tr>
      <w:tr w:rsidR="00F51B81" w:rsidRPr="00B06469" w:rsidTr="002760F1">
        <w:trPr>
          <w:trHeight w:val="787"/>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Плотность субъектов малого предпринимательства (малые предприятия и индивидуальные предприниматели), на 1000 жителей</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24,6</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21,2</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20,8</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20,9</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19,8</w:t>
            </w:r>
          </w:p>
        </w:tc>
      </w:tr>
      <w:tr w:rsidR="00F51B81" w:rsidRPr="00B06469" w:rsidTr="002760F1">
        <w:trPr>
          <w:trHeight w:val="549"/>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Среднесписочная численность занятых на малых предприятиях</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184</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180</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174</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157</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159</w:t>
            </w:r>
          </w:p>
        </w:tc>
      </w:tr>
      <w:tr w:rsidR="00F51B81" w:rsidRPr="00B06469" w:rsidTr="002760F1">
        <w:trPr>
          <w:trHeight w:val="510"/>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Расходы местного бюджета на программу поддержки и развития малого предпринимательства, тыс. руб.</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1000</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2333</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0</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0</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0</w:t>
            </w:r>
          </w:p>
        </w:tc>
      </w:tr>
      <w:tr w:rsidR="00F51B81" w:rsidRPr="00B06469" w:rsidTr="002760F1">
        <w:trPr>
          <w:trHeight w:val="1099"/>
        </w:trPr>
        <w:tc>
          <w:tcPr>
            <w:tcW w:w="5817" w:type="dxa"/>
            <w:tcBorders>
              <w:top w:val="nil"/>
              <w:left w:val="single" w:sz="4" w:space="0" w:color="auto"/>
              <w:bottom w:val="single" w:sz="4" w:space="0" w:color="auto"/>
              <w:right w:val="single" w:sz="4" w:space="0" w:color="auto"/>
            </w:tcBorders>
            <w:hideMark/>
          </w:tcPr>
          <w:p w:rsidR="00F51B81" w:rsidRPr="00B06469" w:rsidRDefault="00F51B81" w:rsidP="001F0139">
            <w:pPr>
              <w:spacing w:after="0" w:line="240" w:lineRule="auto"/>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Поступление единого налога от применения специальных режимов налогообложения (упрощенная система налогообложения, единый налог на вмененный доход), тыс. руб.</w:t>
            </w:r>
          </w:p>
        </w:tc>
        <w:tc>
          <w:tcPr>
            <w:tcW w:w="734"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2628</w:t>
            </w:r>
          </w:p>
        </w:tc>
        <w:tc>
          <w:tcPr>
            <w:tcW w:w="70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2006</w:t>
            </w:r>
          </w:p>
        </w:tc>
        <w:tc>
          <w:tcPr>
            <w:tcW w:w="709"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2112</w:t>
            </w:r>
          </w:p>
        </w:tc>
        <w:tc>
          <w:tcPr>
            <w:tcW w:w="741"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2320</w:t>
            </w:r>
          </w:p>
        </w:tc>
        <w:tc>
          <w:tcPr>
            <w:tcW w:w="818" w:type="dxa"/>
            <w:tcBorders>
              <w:top w:val="nil"/>
              <w:left w:val="nil"/>
              <w:bottom w:val="single" w:sz="4" w:space="0" w:color="auto"/>
              <w:right w:val="single" w:sz="4" w:space="0" w:color="auto"/>
            </w:tcBorders>
            <w:vAlign w:val="center"/>
            <w:hideMark/>
          </w:tcPr>
          <w:p w:rsidR="00F51B81" w:rsidRPr="00B06469" w:rsidRDefault="00F51B81" w:rsidP="001F0139">
            <w:pPr>
              <w:spacing w:after="0" w:line="240" w:lineRule="auto"/>
              <w:jc w:val="center"/>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2168</w:t>
            </w:r>
          </w:p>
        </w:tc>
      </w:tr>
    </w:tbl>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Cs/>
          <w:sz w:val="24"/>
          <w:szCs w:val="24"/>
          <w:shd w:val="clear" w:color="auto" w:fill="FFFFFF"/>
          <w:lang w:eastAsia="ru-RU"/>
        </w:rPr>
      </w:pPr>
    </w:p>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Cs/>
          <w:sz w:val="24"/>
          <w:szCs w:val="24"/>
          <w:shd w:val="clear" w:color="auto" w:fill="FFFFFF"/>
          <w:lang w:eastAsia="ru-RU"/>
        </w:rPr>
      </w:pPr>
      <w:r w:rsidRPr="00B06469">
        <w:rPr>
          <w:rFonts w:ascii="Times New Roman" w:eastAsia="Times New Roman" w:hAnsi="Times New Roman" w:cs="Times New Roman"/>
          <w:bCs/>
          <w:sz w:val="24"/>
          <w:szCs w:val="24"/>
          <w:shd w:val="clear" w:color="auto" w:fill="FFFFFF"/>
          <w:lang w:eastAsia="ru-RU"/>
        </w:rPr>
        <w:t xml:space="preserve">В целях создания благоприятных условий для развития и устойчивой деятельности субъектов малого предпринимательства администрацией района разработана и реализуется программа «Развитие малого и среднего предпринимательства в Камышлинском районе на 2015 – 2017 годы». В 2013-2016 гг. на реализацию вышеуказанной программы денежные средства не выделялись. Результатом могло стать сокращение </w:t>
      </w:r>
      <w:r w:rsidRPr="00B06469">
        <w:rPr>
          <w:rFonts w:ascii="Times New Roman" w:eastAsia="Times New Roman" w:hAnsi="Times New Roman" w:cs="Times New Roman"/>
          <w:sz w:val="24"/>
          <w:szCs w:val="24"/>
          <w:lang w:eastAsia="ru-RU"/>
        </w:rPr>
        <w:t xml:space="preserve">среднесписочной численности занятых на малых предприятиях, численности индивидуальных предпринимателей, </w:t>
      </w:r>
      <w:r w:rsidRPr="00B06469">
        <w:rPr>
          <w:rFonts w:ascii="Times New Roman" w:eastAsia="Times New Roman" w:hAnsi="Times New Roman" w:cs="Times New Roman"/>
          <w:bCs/>
          <w:sz w:val="24"/>
          <w:szCs w:val="24"/>
          <w:shd w:val="clear" w:color="auto" w:fill="FFFFFF"/>
          <w:lang w:eastAsia="ru-RU"/>
        </w:rPr>
        <w:t>сокращение объема поступлений налогов от применения специальных режимов налогообложения в муниципальный бюджет, и др. Тем не менее, микрозаймами районного фонда микрофинансирования субъектов малого и среднего предпринимательства в 2011-2016 гг. воспользовались 83 предпринимателя на общую сумму более 23 млн. рублей.</w:t>
      </w:r>
    </w:p>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Cs/>
          <w:sz w:val="24"/>
          <w:szCs w:val="24"/>
          <w:shd w:val="clear" w:color="auto" w:fill="FFFFFF"/>
          <w:lang w:eastAsia="ru-RU"/>
        </w:rPr>
      </w:pPr>
      <w:r w:rsidRPr="00B06469">
        <w:rPr>
          <w:rFonts w:ascii="Times New Roman" w:eastAsia="Times New Roman" w:hAnsi="Times New Roman" w:cs="Times New Roman"/>
          <w:bCs/>
          <w:sz w:val="24"/>
          <w:szCs w:val="24"/>
          <w:shd w:val="clear" w:color="auto" w:fill="FFFFFF"/>
          <w:lang w:eastAsia="ru-RU"/>
        </w:rPr>
        <w:t xml:space="preserve">По программе самозанятости населения было оказано содействие в организации собственного дела в период с 2012 по сегодняшний день 22 индивидуальным предпринимателям на сумму более 1 млн. 293 тыс. руб. Дополнительно 11 жителям района оказано содействие в оформлении документов при открытии собственного дела. </w:t>
      </w:r>
    </w:p>
    <w:p w:rsidR="00F51B81" w:rsidRPr="00B06469" w:rsidRDefault="00F51B81" w:rsidP="001F0139">
      <w:pPr>
        <w:shd w:val="clear" w:color="auto" w:fill="FFFFFF"/>
        <w:spacing w:after="0" w:line="360" w:lineRule="auto"/>
        <w:ind w:firstLine="709"/>
        <w:jc w:val="both"/>
        <w:rPr>
          <w:rFonts w:ascii="Times New Roman" w:eastAsia="Times New Roman" w:hAnsi="Times New Roman" w:cs="Times New Roman"/>
          <w:b/>
          <w:sz w:val="24"/>
          <w:szCs w:val="24"/>
          <w:lang w:eastAsia="ru-RU"/>
        </w:rPr>
      </w:pPr>
    </w:p>
    <w:p w:rsidR="00F51B81" w:rsidRPr="00B06469" w:rsidRDefault="00F51B81" w:rsidP="001F0139">
      <w:pPr>
        <w:spacing w:after="0" w:line="360" w:lineRule="auto"/>
        <w:contextualSpacing/>
        <w:outlineLvl w:val="2"/>
        <w:rPr>
          <w:rFonts w:ascii="Times New Roman" w:hAnsi="Times New Roman" w:cs="Times New Roman"/>
          <w:b/>
          <w:color w:val="365F91"/>
          <w:sz w:val="24"/>
          <w:szCs w:val="24"/>
        </w:rPr>
      </w:pPr>
      <w:bookmarkStart w:id="33" w:name="_Toc520894841"/>
      <w:r w:rsidRPr="00B06469">
        <w:rPr>
          <w:rFonts w:ascii="Times New Roman" w:hAnsi="Times New Roman" w:cs="Times New Roman"/>
          <w:b/>
          <w:color w:val="365F91"/>
          <w:sz w:val="24"/>
          <w:szCs w:val="24"/>
        </w:rPr>
        <w:t>1.5.4 Потребительский рынок и сфера услуг</w:t>
      </w:r>
      <w:bookmarkEnd w:id="33"/>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sz w:val="24"/>
          <w:szCs w:val="24"/>
        </w:rPr>
        <w:lastRenderedPageBreak/>
        <w:t xml:space="preserve">Сфера услуг Камышлинского района представлена услугами: кредитно-финансовых организаций, розничной торговли, жилищно-коммунального хозяйства, общественного питания, бытового обслуживания, транспортного обслуживания. К концу 2016 г. в районе услуги розничной торговли оказывали 109 предприятий, организаций и индивидуальных предпринимателей. Структура сектора розничной торговли представлена на рис. 1.5.11. </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noProof/>
          <w:sz w:val="24"/>
          <w:szCs w:val="24"/>
          <w:lang w:eastAsia="ru-RU"/>
        </w:rPr>
        <w:drawing>
          <wp:inline distT="0" distB="0" distL="0" distR="0" wp14:anchorId="753DF341" wp14:editId="64A9FC59">
            <wp:extent cx="5863590" cy="3090672"/>
            <wp:effectExtent l="0" t="0" r="0" b="0"/>
            <wp:docPr id="36"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color w:val="000000"/>
          <w:sz w:val="24"/>
          <w:szCs w:val="24"/>
          <w:shd w:val="clear" w:color="auto" w:fill="FFFFFF"/>
          <w:lang w:eastAsia="ru-RU"/>
        </w:rPr>
        <w:t>Рисунок 1.5.11 – Количество объектов розничной торговли и общественного питания в Камышлинском районе, ед.</w:t>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2016 г. фактическая обеспеченность населения площадью стационарных торговых объектов (суммарная) составила 350,7 кв. метров на 1 тыс. чел. Фактическая обеспеченность населения площадью нестационарных торговых объектов (павильонов и киосков) по продаже продовольственных товаров и сельскохозяйственной продукции составила 6,4 единицы на 10000 человек, по продаже продукции общественного питания - 0,9 единиц на 10000 человек. </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Оборот розничной торговли является одним из целевых показателей для расчета величины стимулирующих выплат. В период 2012-2016 гг. оборот розничной торговли в абсолютном выражении увеличился на 233 млн. рублей и в 2016 году составил 566 млн. рублей. В районе совершенно не развита потребительская кооперация по розничной торговле. Среднедушевой оборот розничной торговли в Камышлинском районе немного превышает среднее значение по области (52070,5 руб./чел. при среднеобластном значении 51798,3 руб./чел.) (рис.1.5.12).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858"/>
      </w:tblGrid>
      <w:tr w:rsidR="00F51B81" w:rsidRPr="00B06469" w:rsidTr="002760F1">
        <w:trPr>
          <w:trHeight w:val="7361"/>
        </w:trPr>
        <w:tc>
          <w:tcPr>
            <w:tcW w:w="2463" w:type="pct"/>
            <w:tcBorders>
              <w:top w:val="single" w:sz="4" w:space="0" w:color="auto"/>
              <w:left w:val="single" w:sz="4" w:space="0" w:color="auto"/>
              <w:bottom w:val="single" w:sz="4" w:space="0" w:color="auto"/>
              <w:right w:val="single" w:sz="4" w:space="0" w:color="auto"/>
            </w:tcBorders>
            <w:shd w:val="clear" w:color="auto" w:fill="auto"/>
            <w:hideMark/>
          </w:tcPr>
          <w:p w:rsidR="00F51B81" w:rsidRPr="00B06469" w:rsidRDefault="00F51B81" w:rsidP="001F0139">
            <w:pPr>
              <w:spacing w:after="0" w:line="360" w:lineRule="auto"/>
              <w:jc w:val="both"/>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6842C636" wp14:editId="64BAE453">
                  <wp:extent cx="2922524" cy="4671822"/>
                  <wp:effectExtent l="19050" t="0" r="11176" b="0"/>
                  <wp:docPr id="37"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2537" w:type="pct"/>
            <w:tcBorders>
              <w:top w:val="single" w:sz="4" w:space="0" w:color="auto"/>
              <w:left w:val="single" w:sz="4" w:space="0" w:color="auto"/>
              <w:bottom w:val="single" w:sz="4" w:space="0" w:color="auto"/>
              <w:right w:val="single" w:sz="4" w:space="0" w:color="auto"/>
            </w:tcBorders>
            <w:shd w:val="clear" w:color="auto" w:fill="auto"/>
            <w:hideMark/>
          </w:tcPr>
          <w:p w:rsidR="00F51B81" w:rsidRPr="00B06469" w:rsidRDefault="00F51B81" w:rsidP="001F0139">
            <w:pPr>
              <w:spacing w:after="0" w:line="360" w:lineRule="auto"/>
              <w:jc w:val="both"/>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70D634C4" wp14:editId="64B343A1">
                  <wp:extent cx="3012059" cy="4661408"/>
                  <wp:effectExtent l="19050" t="0" r="16891" b="5842"/>
                  <wp:docPr id="38"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rsidR="00F51B81" w:rsidRPr="00B06469" w:rsidRDefault="00F51B81" w:rsidP="001F0139">
      <w:pPr>
        <w:spacing w:after="0" w:line="240" w:lineRule="auto"/>
        <w:ind w:firstLine="709"/>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1.5.12 </w:t>
      </w:r>
      <w:r w:rsidRPr="00B06469">
        <w:rPr>
          <w:rFonts w:ascii="Times New Roman" w:hAnsi="Times New Roman" w:cs="Times New Roman"/>
          <w:b/>
          <w:sz w:val="24"/>
          <w:szCs w:val="24"/>
        </w:rPr>
        <w:t>- Оборот розничной торговли и общественного питания на душу населения в муниципальных районах Самарской области в 2016 г., руб./чел.</w:t>
      </w:r>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Основной составляющей сферы услуг Камышлинского района является общественное питание. За период 2012-2016 гг. значение оборота общественного питания увеличилось на 17,5 млн. руб. Потребкооперация по общественному питанию в районе существует, но ее обороты снизились за рассматриваемые 5 лет с 6,6 млн. руб. до 2,2 млн. руб. По итогам 2016 г. район занимает 1 место среди муниципальных районов Самарской области по показателю оборота общественного питания на душу населения (10480,1 руб./чел.). На территории муниципального района в 2016 г. действовало 27 объектов общественного питания. Из них 23 объекта это общедоступные с</w:t>
      </w:r>
      <w:r w:rsidRPr="00B06469">
        <w:rPr>
          <w:rFonts w:ascii="Times New Roman" w:eastAsia="Times New Roman" w:hAnsi="Times New Roman" w:cs="Times New Roman"/>
          <w:sz w:val="24"/>
          <w:szCs w:val="24"/>
          <w:lang w:eastAsia="ru-RU"/>
        </w:rPr>
        <w:t xml:space="preserve">толовые и закусочные, </w:t>
      </w:r>
      <w:r w:rsidRPr="00B06469">
        <w:rPr>
          <w:rFonts w:ascii="Times New Roman" w:hAnsi="Times New Roman" w:cs="Times New Roman"/>
          <w:sz w:val="24"/>
          <w:szCs w:val="24"/>
        </w:rPr>
        <w:t>4 объекта – рестораны, кафе, бары.</w:t>
      </w: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Камышлинский район характеризуется сравнительно низким уровнем обеспеченности населения платными услугами. По данным 2016 г. объем платных услуг на душу населения в районе составлял 4536 руб./чел и существенно отставал от других муниципальных районов Самарской области. </w:t>
      </w:r>
    </w:p>
    <w:p w:rsidR="00F51B81" w:rsidRPr="00B06469" w:rsidRDefault="00F51B81"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В районе недостаточно развит рынок бытовых услуг (рис. 1.5.13). </w:t>
      </w:r>
    </w:p>
    <w:p w:rsidR="00F51B81" w:rsidRPr="00B06469" w:rsidRDefault="00F51B81" w:rsidP="001F0139">
      <w:pPr>
        <w:spacing w:after="0" w:line="240" w:lineRule="auto"/>
        <w:contextualSpacing/>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4C365E11" wp14:editId="5CC37F33">
            <wp:extent cx="5669280" cy="3011424"/>
            <wp:effectExtent l="0" t="0" r="0" b="0"/>
            <wp:docPr id="39"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color w:val="000000"/>
          <w:sz w:val="24"/>
          <w:szCs w:val="24"/>
          <w:shd w:val="clear" w:color="auto" w:fill="FFFFFF"/>
          <w:lang w:eastAsia="ru-RU"/>
        </w:rPr>
        <w:t>Рисунок 1.5.13 – Число объектов бытового обслуживания</w:t>
      </w:r>
    </w:p>
    <w:p w:rsidR="00F51B81" w:rsidRPr="00B06469" w:rsidRDefault="00F51B81" w:rsidP="001F0139">
      <w:pPr>
        <w:tabs>
          <w:tab w:val="left" w:pos="0"/>
        </w:tabs>
        <w:autoSpaceDE w:val="0"/>
        <w:autoSpaceDN w:val="0"/>
        <w:adjustRightInd w:val="0"/>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B06469">
        <w:rPr>
          <w:rFonts w:ascii="Times New Roman" w:eastAsia="Times New Roman" w:hAnsi="Times New Roman" w:cs="Times New Roman"/>
          <w:b/>
          <w:color w:val="000000"/>
          <w:sz w:val="24"/>
          <w:szCs w:val="24"/>
          <w:shd w:val="clear" w:color="auto" w:fill="FFFFFF"/>
          <w:lang w:eastAsia="ru-RU"/>
        </w:rPr>
        <w:t>населения Камышлинского района на конец 2016 г., ед.</w:t>
      </w:r>
    </w:p>
    <w:p w:rsidR="00F51B81" w:rsidRPr="00B06469" w:rsidRDefault="00F51B81" w:rsidP="001F0139">
      <w:pPr>
        <w:spacing w:after="0" w:line="240" w:lineRule="auto"/>
        <w:ind w:firstLine="709"/>
        <w:contextualSpacing/>
        <w:jc w:val="both"/>
        <w:rPr>
          <w:rFonts w:ascii="Times New Roman" w:hAnsi="Times New Roman" w:cs="Times New Roman"/>
          <w:sz w:val="24"/>
          <w:szCs w:val="24"/>
        </w:rPr>
      </w:pPr>
    </w:p>
    <w:p w:rsidR="00F51B81" w:rsidRPr="00B06469" w:rsidRDefault="00F51B81" w:rsidP="001F0139">
      <w:pPr>
        <w:spacing w:after="0" w:line="360" w:lineRule="auto"/>
        <w:ind w:firstLine="709"/>
        <w:contextualSpacing/>
        <w:jc w:val="both"/>
        <w:rPr>
          <w:rFonts w:ascii="Times New Roman" w:hAnsi="Times New Roman" w:cs="Times New Roman"/>
          <w:sz w:val="24"/>
          <w:szCs w:val="24"/>
        </w:rPr>
      </w:pPr>
      <w:r w:rsidRPr="00B06469">
        <w:rPr>
          <w:rFonts w:ascii="Times New Roman" w:hAnsi="Times New Roman" w:cs="Times New Roman"/>
          <w:sz w:val="24"/>
          <w:szCs w:val="24"/>
        </w:rPr>
        <w:t xml:space="preserve">Отсутствуют клининговые компании, предоставляющие услуги по уборке помещений, химчистки, услуги по ремонту и </w:t>
      </w:r>
      <w:r w:rsidRPr="00B06469">
        <w:rPr>
          <w:rFonts w:ascii="Times New Roman" w:hAnsi="Times New Roman" w:cs="Times New Roman"/>
          <w:sz w:val="24"/>
          <w:szCs w:val="24"/>
        </w:rPr>
        <w:br/>
        <w:t>техническому обслуживанию бытовой техники, бани, душевые и сауны, а также услуги по благоустройству территорий, садово-дачных участков, ландшафтному дизайну и т.п. Дальнейший рост рынка бытовых услуг связан в том числе и с этими видами деятельности.</w:t>
      </w:r>
    </w:p>
    <w:p w:rsidR="00F51B81" w:rsidRPr="00B06469" w:rsidRDefault="00F51B81" w:rsidP="001F0139">
      <w:pPr>
        <w:spacing w:after="0" w:line="360" w:lineRule="auto"/>
        <w:ind w:firstLine="709"/>
        <w:contextualSpacing/>
        <w:jc w:val="both"/>
        <w:rPr>
          <w:rFonts w:ascii="Times New Roman" w:hAnsi="Times New Roman" w:cs="Times New Roman"/>
          <w:sz w:val="24"/>
          <w:szCs w:val="24"/>
        </w:rPr>
      </w:pPr>
    </w:p>
    <w:p w:rsidR="00F51B81" w:rsidRPr="00B06469" w:rsidRDefault="00F51B81" w:rsidP="001F0139">
      <w:pPr>
        <w:spacing w:after="0" w:line="360" w:lineRule="auto"/>
        <w:contextualSpacing/>
        <w:outlineLvl w:val="2"/>
        <w:rPr>
          <w:rFonts w:ascii="Times New Roman" w:hAnsi="Times New Roman" w:cs="Times New Roman"/>
          <w:b/>
          <w:color w:val="365F91"/>
          <w:sz w:val="24"/>
          <w:szCs w:val="24"/>
        </w:rPr>
      </w:pPr>
      <w:bookmarkStart w:id="34" w:name="_Toc520894842"/>
      <w:r w:rsidRPr="00B06469">
        <w:rPr>
          <w:rFonts w:ascii="Times New Roman" w:hAnsi="Times New Roman" w:cs="Times New Roman"/>
          <w:b/>
          <w:color w:val="365F91"/>
          <w:sz w:val="24"/>
          <w:szCs w:val="24"/>
        </w:rPr>
        <w:t>1.5.5 Инвестиции</w:t>
      </w:r>
      <w:bookmarkEnd w:id="34"/>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Важнейшим экономическим показателем для социально-экономического развития является объем вовлекаемых в экономику инвестиционных ресурсов, которые во многом определяют будущее муниципального образования, его конкурентоспособность и перспективы развития. По объему инвестиций в основной капитал на душу населения Камышлинский район занимает 12 место и незначительно отстает от среднеобластного значения - 79,8 тыс. руб./чел. (рис. 1.5.14). </w:t>
      </w:r>
    </w:p>
    <w:p w:rsidR="00F51B81" w:rsidRPr="00B06469" w:rsidRDefault="00F51B81" w:rsidP="001F0139">
      <w:pPr>
        <w:spacing w:after="0" w:line="240" w:lineRule="auto"/>
        <w:jc w:val="center"/>
        <w:rPr>
          <w:rFonts w:ascii="Times New Roman" w:hAnsi="Times New Roman" w:cs="Times New Roman"/>
          <w:color w:val="FF0000"/>
          <w:sz w:val="24"/>
          <w:szCs w:val="24"/>
        </w:rPr>
      </w:pPr>
      <w:r w:rsidRPr="00B06469">
        <w:rPr>
          <w:rFonts w:ascii="Times New Roman" w:hAnsi="Times New Roman" w:cs="Times New Roman"/>
          <w:noProof/>
          <w:color w:val="FF0000"/>
          <w:sz w:val="24"/>
          <w:szCs w:val="24"/>
          <w:lang w:eastAsia="ru-RU"/>
        </w:rPr>
        <w:lastRenderedPageBreak/>
        <w:drawing>
          <wp:inline distT="0" distB="0" distL="0" distR="0" wp14:anchorId="52F3BD3D" wp14:editId="6BAFB4B5">
            <wp:extent cx="4978783" cy="4263646"/>
            <wp:effectExtent l="19050" t="0" r="12317" b="22604"/>
            <wp:docPr id="40"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1.5.14 </w:t>
      </w:r>
      <w:r w:rsidRPr="00B06469">
        <w:rPr>
          <w:rFonts w:ascii="Times New Roman" w:hAnsi="Times New Roman" w:cs="Times New Roman"/>
          <w:b/>
          <w:sz w:val="24"/>
          <w:szCs w:val="24"/>
        </w:rPr>
        <w:t xml:space="preserve">– Инвестиции в основной капитал на душу населения </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в муниципальных районах Самарской области в 2016 г., тыс. руб./чел.</w:t>
      </w:r>
    </w:p>
    <w:p w:rsidR="00F51B81" w:rsidRPr="00B06469" w:rsidRDefault="00F51B81" w:rsidP="001F0139">
      <w:pPr>
        <w:spacing w:after="0" w:line="240" w:lineRule="auto"/>
        <w:jc w:val="center"/>
        <w:rPr>
          <w:rFonts w:ascii="Times New Roman" w:hAnsi="Times New Roman" w:cs="Times New Roman"/>
          <w:b/>
          <w:sz w:val="24"/>
          <w:szCs w:val="24"/>
        </w:rPr>
      </w:pPr>
    </w:p>
    <w:p w:rsidR="00F51B81" w:rsidRPr="00B06469" w:rsidRDefault="00F51B81"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Для района характерна положительная динамика темпов роста инвестиционных вложений (рис. 1.5.15). С 2012 года наблюдается устойчивый рост объемов инвестиций в основной капитал в расчете на душу населения. В 2016 г. года значение данного показателя увеличилось в 2,7 раза по сравнению с предыдущим годом. Вместе с тем, инвестиции в основной капитал за счет средств муниципального бюджета сократились с 14 млн. руб. в 2012 г. до 8,4 млн. руб. в 2016 г., то есть на 40%.</w:t>
      </w:r>
    </w:p>
    <w:p w:rsidR="00F51B81" w:rsidRPr="00B06469" w:rsidRDefault="00F51B81" w:rsidP="001F0139">
      <w:pPr>
        <w:spacing w:after="0" w:line="240" w:lineRule="auto"/>
        <w:jc w:val="center"/>
        <w:rPr>
          <w:rFonts w:ascii="Times New Roman" w:hAnsi="Times New Roman" w:cs="Times New Roman"/>
          <w:color w:val="FF0000"/>
          <w:sz w:val="24"/>
          <w:szCs w:val="24"/>
        </w:rPr>
      </w:pPr>
      <w:r w:rsidRPr="00B06469">
        <w:rPr>
          <w:rFonts w:ascii="Times New Roman" w:hAnsi="Times New Roman" w:cs="Times New Roman"/>
          <w:noProof/>
          <w:color w:val="FF0000"/>
          <w:sz w:val="24"/>
          <w:szCs w:val="24"/>
          <w:lang w:eastAsia="ru-RU"/>
        </w:rPr>
        <w:lastRenderedPageBreak/>
        <w:drawing>
          <wp:inline distT="0" distB="0" distL="0" distR="0" wp14:anchorId="4EB48501" wp14:editId="7E5F5DF0">
            <wp:extent cx="5695569" cy="3876167"/>
            <wp:effectExtent l="19050" t="0" r="381" b="0"/>
            <wp:docPr id="41" name="Рисунок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51B81" w:rsidRPr="00B06469" w:rsidRDefault="00F51B81" w:rsidP="001F0139">
      <w:pPr>
        <w:spacing w:after="0" w:line="240" w:lineRule="auto"/>
        <w:jc w:val="both"/>
        <w:rPr>
          <w:rFonts w:ascii="Times New Roman" w:hAnsi="Times New Roman" w:cs="Times New Roman"/>
          <w:sz w:val="24"/>
          <w:szCs w:val="24"/>
        </w:rPr>
      </w:pPr>
      <w:r w:rsidRPr="00B06469">
        <w:rPr>
          <w:rFonts w:ascii="Times New Roman" w:hAnsi="Times New Roman" w:cs="Times New Roman"/>
          <w:sz w:val="24"/>
          <w:szCs w:val="24"/>
        </w:rPr>
        <w:t>Источник: ФСГС; Доклад Главы Администрации муниципального района Камышлинский «О достигнутых значениях показателей для оценки эффективности деятельности органов местного самоуправления за 2016 год и их планируемых значениях на 3-х летний период (до 2019 года)</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1.5.15 </w:t>
      </w:r>
      <w:r w:rsidRPr="00B06469">
        <w:rPr>
          <w:rFonts w:ascii="Times New Roman" w:hAnsi="Times New Roman" w:cs="Times New Roman"/>
          <w:b/>
          <w:sz w:val="24"/>
          <w:szCs w:val="24"/>
        </w:rPr>
        <w:t xml:space="preserve">– Объем инвестиционных вложений </w:t>
      </w:r>
    </w:p>
    <w:p w:rsidR="00F51B81" w:rsidRPr="00B06469" w:rsidRDefault="00F51B81" w:rsidP="001F0139">
      <w:pPr>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в экономику Камышлинского района в 2012-2016 гг.</w:t>
      </w:r>
    </w:p>
    <w:p w:rsidR="00F51B81" w:rsidRPr="00B06469" w:rsidRDefault="00F51B81" w:rsidP="001F0139">
      <w:pPr>
        <w:spacing w:after="0" w:line="240" w:lineRule="auto"/>
        <w:jc w:val="both"/>
        <w:rPr>
          <w:rFonts w:ascii="Times New Roman" w:hAnsi="Times New Roman" w:cs="Times New Roman"/>
          <w:sz w:val="24"/>
          <w:szCs w:val="24"/>
        </w:rPr>
      </w:pP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увеличились в 2016 г. по сравнению с 2012 г. более, чем на 40%. Инвестиции в основной капитал организаций муниципальной формы собственности, также увеличились в 3 раза (в 2013 г. объем инвестиций составлял 7,7 млн. руб., а в 2016 г. – 24,8 млн. руб.).</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Важную роль в развитии муниципального образования играют бюджетные инвестиции в инфраструктуру района, привлекаемые через участие в федеральных и областных программах. В Камышлинском районе имеются свободные производственные площади, пригодные к размещению инвестиционных проектов.</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Советом по инвестициям муниципального района Камышлинский определены основные направления инвестиционного развития: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создание новых рабочих мест в агропромышленном комплексе;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развитие социальной сферы;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 развитие туризма на основе использования особенностей рельефа территории, ландшафта, благоприятных климатических и экологических условий, культурного наследия: создание объектов туристско-рекреационной сферы.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Значительные объемы капитальных вложений прогнозируются в отраслях, имеющих традиционно высокую долю в общем объеме инвестиций в целом по району: «Добыча полезных ископаемых», «Транспорт и связь», «Сельское хозяйство», «Обрабатывающие производства», «Социальная сфера». Именно эти отрасли будут оказывать определяющее воздействие на развитие промышленности и сельского хозяйства района, составлять базу экономического роста и обеспечат выполнение главной стратегической цели политики муниципального района – повышение качества жизни населения района.</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целях создания благоприятных условий для развития и устойчивой деятельности субъектов малого и среднего предпринимательства администрацией района разработана и реализуется программа «Развитие малого и среднего предпринимательства в Камышлинском районе на 2015-2017 годы». К наиболее значимым инвестиционным проектам, реализуемым за счет внебюджетных средств на территории муниципального района Камышлинский относятся: создание предприятия по выращиванию сельскохозяйственных культур (инвестор ГК «СИНКО»); финансирование сортировального и сушильного комплекса, ремонтных мастерских и линий по очистке семян (инвестор ООО «БайкомСервис»).</w:t>
      </w:r>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ind w:firstLine="709"/>
        <w:contextualSpacing/>
        <w:jc w:val="both"/>
        <w:outlineLvl w:val="2"/>
        <w:rPr>
          <w:rFonts w:ascii="Times New Roman" w:hAnsi="Times New Roman" w:cs="Times New Roman"/>
          <w:b/>
          <w:color w:val="365F91"/>
          <w:sz w:val="24"/>
          <w:szCs w:val="24"/>
        </w:rPr>
      </w:pPr>
      <w:bookmarkStart w:id="35" w:name="_Toc520894843"/>
      <w:r w:rsidRPr="00B06469">
        <w:rPr>
          <w:rFonts w:ascii="Times New Roman" w:hAnsi="Times New Roman" w:cs="Times New Roman"/>
          <w:b/>
          <w:color w:val="365F91"/>
          <w:sz w:val="24"/>
          <w:szCs w:val="24"/>
        </w:rPr>
        <w:t>1.5.6 Финансовое обеспечение развития МО и межбюджетные</w:t>
      </w:r>
      <w:bookmarkStart w:id="36" w:name="_Toc520894844"/>
      <w:bookmarkEnd w:id="35"/>
      <w:r w:rsidRPr="00B06469">
        <w:rPr>
          <w:rFonts w:ascii="Times New Roman" w:hAnsi="Times New Roman" w:cs="Times New Roman"/>
          <w:b/>
          <w:color w:val="365F91"/>
          <w:sz w:val="24"/>
          <w:szCs w:val="24"/>
        </w:rPr>
        <w:t xml:space="preserve"> отношения</w:t>
      </w:r>
      <w:bookmarkEnd w:id="36"/>
    </w:p>
    <w:p w:rsidR="00F51B81" w:rsidRPr="00B06469" w:rsidRDefault="00F51B81" w:rsidP="001F0139">
      <w:pPr>
        <w:spacing w:after="0" w:line="360" w:lineRule="auto"/>
        <w:ind w:firstLine="709"/>
        <w:jc w:val="both"/>
        <w:rPr>
          <w:rFonts w:ascii="Times New Roman" w:hAnsi="Times New Roman" w:cs="Times New Roman"/>
          <w:sz w:val="24"/>
          <w:szCs w:val="24"/>
        </w:rPr>
      </w:pP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Для Камышлинского района основными приоритетами в реализации бюджетной и налоговой политики в 2017 году были: увеличение доходной части бюджета, оптимизация действующих расходных обязательств и повышение эффективности использования финансовых ресурсов.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 период 2012-2016 гг. наблюдалось уменьшение доходов бюджета. Поступление в 2012 г. в консолидированный бюджет района составило 262177 тыс. руб., а в 2016 г. – 204397 тыс. руб. (наибольшее значение показателя за рассматриваемый период наблюдалось в 2014 г. – 336549 тыс. руб.). </w:t>
      </w:r>
    </w:p>
    <w:p w:rsidR="00F51B81" w:rsidRPr="00B06469" w:rsidRDefault="00F51B81"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По показателю бюджетной обеспеченности за счет налоговых и неналоговых доходов на душу населения Камышлинский район в рейтинге сельских муниципальных образований занимал в 2016 г. и в 2017 г. соответственно 23 и 27 место. В те же годы по </w:t>
      </w:r>
      <w:r w:rsidRPr="00B06469">
        <w:rPr>
          <w:rFonts w:ascii="Times New Roman" w:hAnsi="Times New Roman" w:cs="Times New Roman"/>
          <w:sz w:val="24"/>
          <w:szCs w:val="24"/>
        </w:rPr>
        <w:lastRenderedPageBreak/>
        <w:t>показателю «Бюджетная обеспеченность с учетом безвозмездных перечислений на душу населения» район занимал соответственно 10 и 21 место.</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Камышлинский район демонстрирует достаточно низкий уровень бюджетного обеспечения, но в положительной динамике: по показателю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в 2012 г. значение составило 17,2%, а в 2016 г. – 29,3%.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В структуре доходов (кроме 2012 г.) наибольшую долю составляют безвозмездные поступления. В 2016 г. доля безвозмездных поступлений составила 66%. Налоговые доходы в 2016 г. выросли по отношению к 2012 г. почти в 2 раза и составили 45979 тыс. руб. неналоговые доходы снизились в 3,5 раза (рис. 1.5.16). Удельный вес налоговых и неналоговых поступлений в общей сумме доходов составил 29,8% (в 2012 г. – 29,3%).</w:t>
      </w:r>
    </w:p>
    <w:p w:rsidR="00F51B81" w:rsidRPr="00B06469" w:rsidRDefault="00F51B81" w:rsidP="001F0139">
      <w:pPr>
        <w:widowControl w:val="0"/>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2BA3B394" wp14:editId="422D041D">
            <wp:extent cx="5754626" cy="3140583"/>
            <wp:effectExtent l="0" t="0" r="0" b="0"/>
            <wp:docPr id="42"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1.5.16 </w:t>
      </w:r>
      <w:r w:rsidRPr="00B06469">
        <w:rPr>
          <w:rFonts w:ascii="Times New Roman" w:hAnsi="Times New Roman" w:cs="Times New Roman"/>
          <w:b/>
          <w:sz w:val="24"/>
          <w:szCs w:val="24"/>
        </w:rPr>
        <w:t>- Структура доходов консолидированного бюджета Камышлинского района за 2012-2016 гг., тыс. руб.</w:t>
      </w:r>
    </w:p>
    <w:p w:rsidR="00F51B81" w:rsidRPr="00B06469" w:rsidRDefault="00F51B81" w:rsidP="001F0139">
      <w:pPr>
        <w:widowControl w:val="0"/>
        <w:spacing w:after="0" w:line="240" w:lineRule="auto"/>
        <w:jc w:val="center"/>
        <w:rPr>
          <w:rFonts w:ascii="Times New Roman" w:hAnsi="Times New Roman" w:cs="Times New Roman"/>
          <w:sz w:val="24"/>
          <w:szCs w:val="24"/>
        </w:rPr>
      </w:pP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структуре налоговой части доходов наибольшая доля приходится на налоги на доходы физических лиц (33,5%), на единый налог на вмененный доход (31,5%) и на прочие налоговые доходы (23,8%) (рис. 1.5.17). </w:t>
      </w:r>
    </w:p>
    <w:p w:rsidR="00F51B81" w:rsidRPr="00B06469" w:rsidRDefault="00F51B81" w:rsidP="001F0139">
      <w:pPr>
        <w:widowControl w:val="0"/>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5403B416" wp14:editId="2D208AE2">
            <wp:extent cx="5128389" cy="2573403"/>
            <wp:effectExtent l="0" t="0" r="0" b="0"/>
            <wp:docPr id="43"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1.5.17 </w:t>
      </w:r>
      <w:r w:rsidRPr="00B06469">
        <w:rPr>
          <w:rFonts w:ascii="Times New Roman" w:hAnsi="Times New Roman" w:cs="Times New Roman"/>
          <w:b/>
          <w:sz w:val="24"/>
          <w:szCs w:val="24"/>
        </w:rPr>
        <w:t>- Состав налоговой части доходов консолидированного бюджета Камышлинского района за 2016 г., тыс. руб.</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За период 2012-2016 гг. динамика величины дохода от большинства налогов имела устойчивую тенденцию роста. В частности, за рассматриваемый период доход от земельного налога увеличился в 3 раза, от прочих налоговых доходов – в 7 раз, от единого налога на вмененный доход – в 10 раз.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Безвозмездные поступления в 2016 г. составили 135 млн. руб., что на 27% меньше по сравнению с 2012 г. сократились на 25%, это может означать, что район стал в большей мере развиваться благодаря собственным источникам дохода.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Структура безвозмездных поступлений следующая:</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дотации составили 37134 тыс.руб. (в 2012 г. – 38564 тыс. руб.);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субсидии составили 37049 тыс. руб. (в 1,7 раз меньше, чем в 2012 г.);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w:t>
      </w:r>
      <w:r w:rsidRPr="00B06469">
        <w:rPr>
          <w:rFonts w:ascii="Times New Roman" w:hAnsi="Times New Roman" w:cs="Times New Roman"/>
          <w:spacing w:val="-20"/>
          <w:sz w:val="24"/>
          <w:szCs w:val="24"/>
        </w:rPr>
        <w:t>субвенции составили 26443 тыс. руб. (в 2,5 раза меньше, чем в 2012 г.);</w:t>
      </w:r>
      <w:r w:rsidRPr="00B06469">
        <w:rPr>
          <w:rFonts w:ascii="Times New Roman" w:hAnsi="Times New Roman" w:cs="Times New Roman"/>
          <w:sz w:val="24"/>
          <w:szCs w:val="24"/>
        </w:rPr>
        <w:t xml:space="preserve">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иные межбюджетные трансферты составили 204 тыс. руб. (в 72 раза меньше, чем в 2012 г.).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По показателю дохода местного бюджета на душу населения муниципальный район Камышлинский в рейтинге муниципальных образований в 2016 году занимает достаточно высокое 10 место с суммой средств 18144,6 руб. при среднеобластном значении 19181,4 руб. (рис. 1.5.18).</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Расходная часть консолидированного бюджета Камышлинского района уменьшилась с 251756 тыс. руб. в 2012 г. до 202613 тыс. руб. в 2016 г. Положительным моментом является профицит бюджета в 2016 г. в сумме 1784 тыс. руб. Значительный удельный вес в расходной части бюджета занимают расходы на функционирование местных администраций – 25% (в 2012 г. – 14,5%), на национальную экономику – 19,8% </w:t>
      </w:r>
      <w:r w:rsidRPr="00B06469">
        <w:rPr>
          <w:rFonts w:ascii="Times New Roman" w:hAnsi="Times New Roman" w:cs="Times New Roman"/>
          <w:sz w:val="24"/>
          <w:szCs w:val="24"/>
        </w:rPr>
        <w:lastRenderedPageBreak/>
        <w:t xml:space="preserve">(в 2012 г. – 6,5%), на культуру – 16,7% (в 2012 г. – 12,5%), на социальную политику – 14,9% (в 2012 г. – 13,5%). </w:t>
      </w:r>
    </w:p>
    <w:p w:rsidR="00F51B81" w:rsidRPr="00B06469" w:rsidRDefault="00F51B81" w:rsidP="001F0139">
      <w:pPr>
        <w:widowControl w:val="0"/>
        <w:spacing w:after="0" w:line="36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547CC03D" wp14:editId="50E7D095">
            <wp:extent cx="4438015" cy="3834130"/>
            <wp:effectExtent l="19050" t="0" r="635" b="0"/>
            <wp:docPr id="44" name="Диаграмма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0"/>
                    <pic:cNvPicPr>
                      <a:picLocks noChangeArrowheads="1"/>
                    </pic:cNvPicPr>
                  </pic:nvPicPr>
                  <pic:blipFill>
                    <a:blip r:embed="rId66" cstate="print"/>
                    <a:srcRect/>
                    <a:stretch>
                      <a:fillRect/>
                    </a:stretch>
                  </pic:blipFill>
                  <pic:spPr bwMode="auto">
                    <a:xfrm>
                      <a:off x="0" y="0"/>
                      <a:ext cx="4438015" cy="3834130"/>
                    </a:xfrm>
                    <a:prstGeom prst="rect">
                      <a:avLst/>
                    </a:prstGeom>
                    <a:noFill/>
                    <a:ln w="9525">
                      <a:noFill/>
                      <a:miter lim="800000"/>
                      <a:headEnd/>
                      <a:tailEnd/>
                    </a:ln>
                  </pic:spPr>
                </pic:pic>
              </a:graphicData>
            </a:graphic>
          </wp:inline>
        </w:drawing>
      </w:r>
    </w:p>
    <w:p w:rsidR="00F51B81" w:rsidRPr="00B06469" w:rsidRDefault="00F51B81" w:rsidP="001F0139">
      <w:pPr>
        <w:spacing w:after="0" w:line="240" w:lineRule="auto"/>
        <w:ind w:firstLine="426"/>
        <w:jc w:val="both"/>
        <w:rPr>
          <w:rFonts w:ascii="Times New Roman" w:hAnsi="Times New Roman" w:cs="Times New Roman"/>
          <w:sz w:val="24"/>
          <w:szCs w:val="24"/>
        </w:rPr>
      </w:pPr>
      <w:r w:rsidRPr="00B06469">
        <w:rPr>
          <w:rFonts w:ascii="Times New Roman" w:hAnsi="Times New Roman" w:cs="Times New Roman"/>
          <w:sz w:val="24"/>
          <w:szCs w:val="24"/>
        </w:rPr>
        <w:t xml:space="preserve">Источник: ФСГС: Социально-экономические показатели муниципальных районов и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ских округов Самарской области, 2016</w:t>
      </w:r>
    </w:p>
    <w:p w:rsidR="00F51B81" w:rsidRPr="00B06469" w:rsidRDefault="00F51B81" w:rsidP="001F0139">
      <w:pPr>
        <w:widowControl w:val="0"/>
        <w:spacing w:after="0" w:line="240" w:lineRule="auto"/>
        <w:ind w:firstLine="709"/>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1.5.18 </w:t>
      </w:r>
      <w:r w:rsidRPr="00B06469">
        <w:rPr>
          <w:rFonts w:ascii="Times New Roman" w:hAnsi="Times New Roman" w:cs="Times New Roman"/>
          <w:b/>
          <w:sz w:val="24"/>
          <w:szCs w:val="24"/>
        </w:rPr>
        <w:t xml:space="preserve">– Доходы местного бюджета на душу населения </w:t>
      </w:r>
    </w:p>
    <w:p w:rsidR="00F51B81" w:rsidRPr="00B06469" w:rsidRDefault="00F51B81" w:rsidP="001F0139">
      <w:pPr>
        <w:widowControl w:val="0"/>
        <w:spacing w:after="0" w:line="240" w:lineRule="auto"/>
        <w:ind w:firstLine="709"/>
        <w:jc w:val="center"/>
        <w:rPr>
          <w:rFonts w:ascii="Times New Roman" w:hAnsi="Times New Roman" w:cs="Times New Roman"/>
          <w:b/>
          <w:sz w:val="24"/>
          <w:szCs w:val="24"/>
        </w:rPr>
      </w:pPr>
      <w:r w:rsidRPr="00B06469">
        <w:rPr>
          <w:rFonts w:ascii="Times New Roman" w:hAnsi="Times New Roman" w:cs="Times New Roman"/>
          <w:b/>
          <w:sz w:val="24"/>
          <w:szCs w:val="24"/>
        </w:rPr>
        <w:t>муниципальных районов Самарской области за 2016 г., руб.</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Расходы на жилищно-коммунальное хозяйство занимают 8,9% (в 2012 г. – 25,6%), на образование – 7,9 % (в 2012г. – 8,1%), на прочие расходы – 6,4% (в 2012 г. – 8,4%), на функционирование представительных органов муниципальных образований – 0,4% (в 2012 г. – 0,7%). На физическую культуру и спорт было потрачено 0,1% бюджета 2016 г. при отсутствии финансирования в 2012 г. Здравоохранение не финансировалось в 2016 г. из средств бюджета района, хотя в 2012 г. доля расходов на него составляла 10,3% (рис. 1.5.19).</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p>
    <w:p w:rsidR="00F51B81" w:rsidRPr="00B06469" w:rsidRDefault="00F51B81" w:rsidP="001F0139">
      <w:pPr>
        <w:widowControl w:val="0"/>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lastRenderedPageBreak/>
        <w:drawing>
          <wp:inline distT="0" distB="0" distL="0" distR="0" wp14:anchorId="6839B799" wp14:editId="09454FC3">
            <wp:extent cx="5207891" cy="3149984"/>
            <wp:effectExtent l="0" t="0" r="0" b="0"/>
            <wp:docPr id="45"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1.5.19 </w:t>
      </w:r>
      <w:r w:rsidRPr="00B06469">
        <w:rPr>
          <w:rFonts w:ascii="Times New Roman" w:hAnsi="Times New Roman" w:cs="Times New Roman"/>
          <w:b/>
          <w:sz w:val="24"/>
          <w:szCs w:val="24"/>
        </w:rPr>
        <w:t xml:space="preserve">- Структура расходной части бюджета </w:t>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Камышлинского района в 2012 и 2016годах, тыс. руб. </w:t>
      </w:r>
    </w:p>
    <w:p w:rsidR="00F51B81" w:rsidRPr="00B06469" w:rsidRDefault="00F51B81" w:rsidP="001F0139">
      <w:pPr>
        <w:widowControl w:val="0"/>
        <w:spacing w:after="0" w:line="240" w:lineRule="auto"/>
        <w:jc w:val="both"/>
        <w:rPr>
          <w:rFonts w:ascii="Times New Roman" w:hAnsi="Times New Roman" w:cs="Times New Roman"/>
          <w:sz w:val="24"/>
          <w:szCs w:val="24"/>
        </w:rPr>
      </w:pP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рейтинге сельских муниципальных образований по расходам местного бюджета на душу населения Камышлинский район занимает 11 место (при среднем значении по области – 18637,1 руб.) (рис. 1.5.20). </w:t>
      </w:r>
    </w:p>
    <w:p w:rsidR="00F51B81" w:rsidRPr="00B06469" w:rsidRDefault="00F51B81" w:rsidP="001F0139">
      <w:pPr>
        <w:widowControl w:val="0"/>
        <w:spacing w:after="0" w:line="240" w:lineRule="auto"/>
        <w:jc w:val="center"/>
        <w:rPr>
          <w:rFonts w:ascii="Times New Roman" w:hAnsi="Times New Roman" w:cs="Times New Roman"/>
          <w:sz w:val="24"/>
          <w:szCs w:val="24"/>
        </w:rPr>
      </w:pPr>
      <w:r w:rsidRPr="00B06469">
        <w:rPr>
          <w:rFonts w:ascii="Times New Roman" w:hAnsi="Times New Roman" w:cs="Times New Roman"/>
          <w:noProof/>
          <w:sz w:val="24"/>
          <w:szCs w:val="24"/>
          <w:lang w:eastAsia="ru-RU"/>
        </w:rPr>
        <w:drawing>
          <wp:inline distT="0" distB="0" distL="0" distR="0" wp14:anchorId="4311A3E3" wp14:editId="16C91036">
            <wp:extent cx="4583684" cy="3755136"/>
            <wp:effectExtent l="19050" t="0" r="26416" b="0"/>
            <wp:docPr id="46"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Источник: ФСГС: Социально-экономические показатели муниципальных районов </w:t>
      </w:r>
    </w:p>
    <w:p w:rsidR="00F51B81" w:rsidRPr="00B06469" w:rsidRDefault="00F51B81" w:rsidP="001F0139">
      <w:pPr>
        <w:spacing w:after="0" w:line="240" w:lineRule="auto"/>
        <w:jc w:val="center"/>
        <w:rPr>
          <w:rFonts w:ascii="Times New Roman" w:hAnsi="Times New Roman" w:cs="Times New Roman"/>
          <w:sz w:val="24"/>
          <w:szCs w:val="24"/>
        </w:rPr>
      </w:pPr>
      <w:r w:rsidRPr="00B06469">
        <w:rPr>
          <w:rFonts w:ascii="Times New Roman" w:hAnsi="Times New Roman" w:cs="Times New Roman"/>
          <w:sz w:val="24"/>
          <w:szCs w:val="24"/>
        </w:rPr>
        <w:t xml:space="preserve">и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ских округов Самарской области, 2016</w:t>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 xml:space="preserve">Рисунок </w:t>
      </w:r>
      <w:r w:rsidRPr="00B06469">
        <w:rPr>
          <w:rFonts w:ascii="Times New Roman" w:hAnsi="Times New Roman" w:cs="Times New Roman"/>
          <w:b/>
          <w:color w:val="000000"/>
          <w:sz w:val="24"/>
          <w:szCs w:val="24"/>
          <w:shd w:val="clear" w:color="auto" w:fill="FFFFFF"/>
        </w:rPr>
        <w:t xml:space="preserve">1.5.20 </w:t>
      </w:r>
      <w:r w:rsidRPr="00B06469">
        <w:rPr>
          <w:rFonts w:ascii="Times New Roman" w:hAnsi="Times New Roman" w:cs="Times New Roman"/>
          <w:b/>
          <w:sz w:val="24"/>
          <w:szCs w:val="24"/>
        </w:rPr>
        <w:t>– Расходы местного бюджета на душу населения</w:t>
      </w:r>
    </w:p>
    <w:p w:rsidR="00F51B81" w:rsidRPr="00B06469" w:rsidRDefault="00F51B81" w:rsidP="001F0139">
      <w:pPr>
        <w:widowControl w:val="0"/>
        <w:spacing w:after="0" w:line="240" w:lineRule="auto"/>
        <w:jc w:val="center"/>
        <w:rPr>
          <w:rFonts w:ascii="Times New Roman" w:hAnsi="Times New Roman" w:cs="Times New Roman"/>
          <w:b/>
          <w:sz w:val="24"/>
          <w:szCs w:val="24"/>
        </w:rPr>
      </w:pPr>
      <w:r w:rsidRPr="00B06469">
        <w:rPr>
          <w:rFonts w:ascii="Times New Roman" w:hAnsi="Times New Roman" w:cs="Times New Roman"/>
          <w:b/>
          <w:sz w:val="24"/>
          <w:szCs w:val="24"/>
        </w:rPr>
        <w:t>муниципальных районов Самарской области за 2016 г., руб.</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2017 году объём дотаций на выравнивание бюджетной обеспеченности </w:t>
      </w:r>
      <w:r w:rsidRPr="00B06469">
        <w:rPr>
          <w:rFonts w:ascii="Times New Roman" w:hAnsi="Times New Roman" w:cs="Times New Roman"/>
          <w:sz w:val="24"/>
          <w:szCs w:val="24"/>
        </w:rPr>
        <w:lastRenderedPageBreak/>
        <w:t xml:space="preserve">муниципальных районов по сравнению с 2016 годом уменьшилась. Однако в связи со структурными изменениями в распределении, прежде всего, налогового потенциала по земельному налогу (его сокращение по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 xml:space="preserve">ским округам и увеличение по муниципальным районам) произошло перераспределение дотаций от бюджетов муниципальных районов в пользу бюджетов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 xml:space="preserve">ских округов.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Указанные перераспределения частично нивелируются за счёт другой формы финансовой поддержки – стимулирующих субсидий, в составе которых в 2017 году бюджетам муниципальных районов была предусмотрена компенсация сокращения дотаций на выравнивание в виде возмещения выпадающих доходов.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Кроме того, в составе бюджета министерства сельского хозяйства и продовольствия Самарской области с 2017 года бюджетам муниципальных районов была перечислена дотация на стимулирование роста налогового потенциала территории муниципального образования в связи с созданием условий органами местного самоуправления муниципальных образований в Самарской области для развития сельскохозяйственного производства.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 2017 года появился ещё один новый вид дотации – на стимулирование предоставления государственных услуг через МФЦ (объём этих дотаций будет определяться исходя из 50%-ного уровня платы за предоставление федеральными органами сведений через МФЦ за отчётный период).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 2017 года из состава стимулирующих субсидий (исключительно в части бюджетов муниципальных районов) выведены средства на поддержку сельскохозяйственного производства. Данная поддержка с 2017 года осуществлялась напрямую с министерством сельского хозяйства и продовольствия Самарской области. При этом данные изменения не затрагивают бюджеты поселений (у них сохранится составляющая, связанная с развитием сельского хозяйства). </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 2017 года изменилась ситуация, связанная с оперативным расходованием узкоцелевых субсидий. В соответствии с новыми общими условиями предоставления и расходования субсидий для главных распорядителей бюджетных средств устанавливаются жёсткие сроки их распределения между местными бюджетами – до 1 марта, в случае если субсидии были изначально предусмотрены в областном бюджете, и в течение 45 дней при внесении изменений в бюджет. Кроме того, главные распорядители бюджетных средств обязаны в течение 15 рабочих дней со дня распределения субсидий заключить с органами местного самоуправления соглашения, если их заключение предполагает порядок расходования субсидий. Также должны будут устанавливаться </w:t>
      </w:r>
      <w:r w:rsidRPr="00B06469">
        <w:rPr>
          <w:rFonts w:ascii="Times New Roman" w:hAnsi="Times New Roman" w:cs="Times New Roman"/>
          <w:sz w:val="24"/>
          <w:szCs w:val="24"/>
        </w:rPr>
        <w:lastRenderedPageBreak/>
        <w:t>конкретные сроки, связанные с процедурой расходования средств органами местного самоуправления (начало конкурсных процедур, принятие необходимых муниципальных нормативных правовых актов и т.п.). Всё это позволит сократить сроки нахождения финансовых ресурсов на счетах областного и местных бюджетов, а, значит, повысит эффективность расходования бюджетных средств.</w:t>
      </w:r>
    </w:p>
    <w:p w:rsidR="00F51B81" w:rsidRPr="00B06469" w:rsidRDefault="00F51B81" w:rsidP="001F0139">
      <w:pPr>
        <w:widowControl w:val="0"/>
        <w:spacing w:after="0" w:line="360" w:lineRule="auto"/>
        <w:ind w:firstLine="709"/>
        <w:jc w:val="both"/>
        <w:rPr>
          <w:rFonts w:ascii="Times New Roman" w:hAnsi="Times New Roman" w:cs="Times New Roman"/>
          <w:sz w:val="24"/>
          <w:szCs w:val="24"/>
        </w:rPr>
      </w:pPr>
    </w:p>
    <w:p w:rsidR="00F51B81" w:rsidRPr="00B06469" w:rsidRDefault="00F51B81" w:rsidP="001F0139">
      <w:pPr>
        <w:spacing w:after="0" w:line="360" w:lineRule="auto"/>
        <w:contextualSpacing/>
        <w:outlineLvl w:val="2"/>
        <w:rPr>
          <w:rFonts w:ascii="Times New Roman" w:hAnsi="Times New Roman" w:cs="Times New Roman"/>
          <w:b/>
          <w:color w:val="365F91"/>
          <w:sz w:val="24"/>
          <w:szCs w:val="24"/>
        </w:rPr>
      </w:pPr>
      <w:bookmarkStart w:id="37" w:name="_Toc520894845"/>
      <w:r w:rsidRPr="00B06469">
        <w:rPr>
          <w:rFonts w:ascii="Times New Roman" w:hAnsi="Times New Roman" w:cs="Times New Roman"/>
          <w:b/>
          <w:color w:val="365F91"/>
          <w:sz w:val="24"/>
          <w:szCs w:val="24"/>
        </w:rPr>
        <w:t>1.5.7 Муниципальное управление</w:t>
      </w:r>
      <w:bookmarkEnd w:id="37"/>
    </w:p>
    <w:p w:rsidR="00F51B81" w:rsidRPr="00B06469" w:rsidRDefault="00F51B81" w:rsidP="001F0139">
      <w:pPr>
        <w:spacing w:after="0"/>
        <w:rPr>
          <w:rFonts w:ascii="Times New Roman" w:hAnsi="Times New Roman" w:cs="Times New Roman"/>
          <w:sz w:val="24"/>
          <w:szCs w:val="24"/>
        </w:rPr>
      </w:pP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Большое внимание в районе уделяется вопросам выполнения Указа Президента РФ от 07.05.2012 N 601 «Об основных направлениях совершенствования системы государственного управления». В целях совершенствования системы оказания государственных и муниципальных услуг населению сформирован реестр муниципальных услуг, предоставляемых на территории района. Данный реестр включает в себя 27 видов услуг, в том числе 4 услуги, оказываемые в электронной форме.</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С конца 2011 года на территории района работает многофункциональный центр предоставления государственных и муниципальных услуг. По итогам 2016 года на базе центра организовано предоставление 185 услуг, федеральных, региональных и муниципальных органов власти.</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В 2013 году были открыты и оборудованы два стационарных удаленных, и три выездных пункта приема в населенных пунктах района. Это позволило достичь показателя – доля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 до 100 процентов.</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В целях оценки гражданами качества и доступности предоставления государственных (муниципальных) услуг многофункциональный центр подключен к Информационно–аналитической системе мониторинга качества (ИАС МКГУ «Вашконтроль.ру»). По данным мониторинга уровень удовлетворенности граждан качеством предоставления государственных и муниципальных за 2016 года составляет 100%.</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Дополнительно мотивировать сельчан к совместному выполнению работ по решению вопросов местного значения призван областной проект поддержки местных инициатив граждан, благодаря которому все сельские поселения района смогут улучшить уровень благоустройства. Участие в нем — отличная возможность для населения решать именно те проблемы, которые являются наиболее важными для их территорий.</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lastRenderedPageBreak/>
        <w:t>Проект поддержки местных инициатив осуществляется за счет областного бюджета через предоставление субсидии на реализацию конкретного проекта муниципалитета на условиях софинансирования из местного бюджета, средств населения и организаций. На сегодня все шесть сельских поселений района подали заявки на участие в конкурсном отборе программы по поддержке и реализации местных инициатив. Это проекты, инициированные гражданами, по самым различным направлениям.</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Государственная программа Самарской области «Поддержка инициатив населения муниципальных образований» на 2017-2025 годы разработана правительством Самарской области, ее цель — вовлечение жителей муниципальных образований в развитие их территорий, увеличение средств муниципалитетов, расходуемых на решение проблем, которые волнуют граждан. Поддержка общественных проектов из регионального бюджета будет осуществляться на конкурсной основе. Минимальная доля самофинансирования за счет средств граждан и организаций — 7%. Также обязательно софинансирование за счет средств местного бюджета. Оно станет одним из критериев отбора. Инициировать проекты могут общественные советы, органы самоуправления, непосредственно сами граждане.</w:t>
      </w:r>
    </w:p>
    <w:p w:rsidR="00F51B81" w:rsidRPr="00B06469" w:rsidRDefault="00F51B81" w:rsidP="001F0139">
      <w:pPr>
        <w:shd w:val="clear" w:color="auto" w:fill="FFFFFF"/>
        <w:spacing w:after="0" w:line="360" w:lineRule="auto"/>
        <w:ind w:firstLine="709"/>
        <w:contextualSpacing/>
        <w:jc w:val="both"/>
        <w:textAlignment w:val="baseline"/>
        <w:rPr>
          <w:rFonts w:ascii="Times New Roman" w:eastAsia="Times New Roman" w:hAnsi="Times New Roman" w:cs="Times New Roman"/>
          <w:sz w:val="24"/>
          <w:szCs w:val="24"/>
        </w:rPr>
      </w:pPr>
      <w:r w:rsidRPr="00B06469">
        <w:rPr>
          <w:rFonts w:ascii="Times New Roman" w:eastAsia="Times New Roman" w:hAnsi="Times New Roman" w:cs="Times New Roman"/>
          <w:sz w:val="24"/>
          <w:szCs w:val="24"/>
        </w:rPr>
        <w:t>В Камышлинском районе на сайте Органов местного самоуправления сельского поселения Камышла действует интернет-приемная для принятия и обработки обращений граждан (Режим доступа: http://kamyshla.ru/sv_rezultati_raboti.php?blok=priemnaya&amp;razdel=rezultati_raboti&amp;cs=6). В 2016 г. Камышлинский район демонстрировал уровень удовлетворенности населения деятельностью органов местного самоуправления, равный 76%, при среднем значении по муниципальным районам (77,5%).</w:t>
      </w:r>
    </w:p>
    <w:p w:rsidR="00F51B81" w:rsidRPr="00B06469" w:rsidRDefault="00F51B81" w:rsidP="001F0139">
      <w:pPr>
        <w:spacing w:after="0" w:line="360" w:lineRule="auto"/>
        <w:ind w:firstLine="709"/>
        <w:jc w:val="both"/>
        <w:rPr>
          <w:rFonts w:ascii="Times New Roman" w:hAnsi="Times New Roman" w:cs="Times New Roman"/>
          <w:b/>
          <w:color w:val="365F91" w:themeColor="accent1" w:themeShade="BF"/>
          <w:sz w:val="24"/>
          <w:szCs w:val="24"/>
        </w:rPr>
      </w:pPr>
    </w:p>
    <w:p w:rsidR="00CB5772" w:rsidRDefault="00CB5772"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8.2.Стратегические цели, задачи и проектно-программный комплекс</w:t>
      </w:r>
      <w:r w:rsidR="002760F1" w:rsidRPr="00B06469">
        <w:rPr>
          <w:rFonts w:ascii="Times New Roman" w:hAnsi="Times New Roman" w:cs="Times New Roman"/>
          <w:b/>
          <w:color w:val="365F91" w:themeColor="accent1" w:themeShade="BF"/>
          <w:sz w:val="24"/>
          <w:szCs w:val="24"/>
        </w:rPr>
        <w:t xml:space="preserve"> </w:t>
      </w:r>
      <w:r w:rsidRPr="00B06469">
        <w:rPr>
          <w:rFonts w:ascii="Times New Roman" w:hAnsi="Times New Roman" w:cs="Times New Roman"/>
          <w:b/>
          <w:color w:val="365F91" w:themeColor="accent1" w:themeShade="BF"/>
          <w:sz w:val="24"/>
          <w:szCs w:val="24"/>
        </w:rPr>
        <w:t>направления «Формирование, совершенствование и накопление человеческого капитала».</w:t>
      </w:r>
    </w:p>
    <w:p w:rsidR="00F23598" w:rsidRPr="00B06469" w:rsidRDefault="00337AC4"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 xml:space="preserve">8.2.1.Развитие и модернизация производства сельскохозяйственной продукции </w:t>
      </w:r>
    </w:p>
    <w:p w:rsidR="00077D58" w:rsidRPr="00B06469" w:rsidRDefault="00443650"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Мероприятия</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Строительство свинокомплексов в селе Никиткино на 3000 голов и в селе Степановка на 1000 голов.</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xml:space="preserve">Строительство ферм КРС в населенных пунктах муниципального района Камышлинский Самарской области: </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с. Старое Усманово на 1000 голов;</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lastRenderedPageBreak/>
        <w:t>с. Новое Усманово на 2000 голов;</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с. Татарский Байтуган на 1000 голов;</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с. Камышла на 600 голов;</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п. Чулпан на 600 голов;</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п. Юлдуз на 500 голов.</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xml:space="preserve">Реконструкция ферм КРС в населенных пунктах муниципального района Камышлинский Самарской области: </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с. Старое Ермаково на 800 голов;</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с. Старая Балыкла на 600 голов.</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 Строительство овцеводческих ферм в п. Неклюдово на 5000 голов и п. Юлдуз на 600 голов.</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Строительство птицефермы в п. Юлдуз на 1500 птиц.</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Реконструкция птицефермы в с. Новое Ермаково на 1500 птиц.</w:t>
      </w:r>
    </w:p>
    <w:p w:rsidR="00443650" w:rsidRPr="00B06469" w:rsidRDefault="00443650"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sz w:val="24"/>
          <w:szCs w:val="24"/>
        </w:rPr>
        <w:t>Строительство конезавода в п. Юлдуз.</w:t>
      </w:r>
    </w:p>
    <w:p w:rsidR="00077D58" w:rsidRPr="00B06469" w:rsidRDefault="00077D58" w:rsidP="001F0139">
      <w:pPr>
        <w:spacing w:after="0" w:line="360" w:lineRule="auto"/>
        <w:ind w:firstLine="709"/>
        <w:jc w:val="both"/>
        <w:rPr>
          <w:rFonts w:ascii="Times New Roman" w:hAnsi="Times New Roman" w:cs="Times New Roman"/>
          <w:b/>
          <w:sz w:val="24"/>
          <w:szCs w:val="24"/>
        </w:rPr>
      </w:pPr>
      <w:r w:rsidRPr="00B06469">
        <w:rPr>
          <w:rFonts w:ascii="Times New Roman" w:hAnsi="Times New Roman" w:cs="Times New Roman"/>
          <w:b/>
          <w:sz w:val="24"/>
          <w:szCs w:val="24"/>
        </w:rPr>
        <w:t>Проекты и программы</w:t>
      </w:r>
    </w:p>
    <w:p w:rsidR="00077D58" w:rsidRPr="007223A6" w:rsidRDefault="00077D58"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Действующая муниципальная программа </w:t>
      </w:r>
      <w:r w:rsidRPr="00B06469">
        <w:rPr>
          <w:rFonts w:ascii="Times New Roman" w:hAnsi="Times New Roman" w:cs="Times New Roman"/>
          <w:sz w:val="24"/>
          <w:szCs w:val="24"/>
        </w:rPr>
        <w:t xml:space="preserve">«Развитие сельского хозяйства и регулирования рынков с/х продукции, сырья и продовольствия муниципального района Камышлинский </w:t>
      </w:r>
      <w:r w:rsidRPr="007223A6">
        <w:rPr>
          <w:rFonts w:ascii="Times New Roman" w:hAnsi="Times New Roman" w:cs="Times New Roman"/>
          <w:sz w:val="24"/>
          <w:szCs w:val="24"/>
        </w:rPr>
        <w:t>на 201</w:t>
      </w:r>
      <w:r w:rsidR="009F4FA6" w:rsidRPr="007223A6">
        <w:rPr>
          <w:rFonts w:ascii="Times New Roman" w:hAnsi="Times New Roman" w:cs="Times New Roman"/>
          <w:sz w:val="24"/>
          <w:szCs w:val="24"/>
        </w:rPr>
        <w:t>4</w:t>
      </w:r>
      <w:r w:rsidRPr="007223A6">
        <w:rPr>
          <w:rFonts w:ascii="Times New Roman" w:hAnsi="Times New Roman" w:cs="Times New Roman"/>
          <w:sz w:val="24"/>
          <w:szCs w:val="24"/>
        </w:rPr>
        <w:t xml:space="preserve"> - 202</w:t>
      </w:r>
      <w:r w:rsidR="009F4FA6" w:rsidRPr="007223A6">
        <w:rPr>
          <w:rFonts w:ascii="Times New Roman" w:hAnsi="Times New Roman" w:cs="Times New Roman"/>
          <w:sz w:val="24"/>
          <w:szCs w:val="24"/>
        </w:rPr>
        <w:t>1</w:t>
      </w:r>
      <w:r w:rsidRPr="007223A6">
        <w:rPr>
          <w:rFonts w:ascii="Times New Roman" w:hAnsi="Times New Roman" w:cs="Times New Roman"/>
          <w:sz w:val="24"/>
          <w:szCs w:val="24"/>
        </w:rPr>
        <w:t xml:space="preserve"> гг.</w:t>
      </w:r>
      <w:r w:rsidR="007223A6">
        <w:rPr>
          <w:rFonts w:ascii="Times New Roman" w:hAnsi="Times New Roman" w:cs="Times New Roman"/>
          <w:sz w:val="24"/>
          <w:szCs w:val="24"/>
        </w:rPr>
        <w:t>»</w:t>
      </w:r>
    </w:p>
    <w:p w:rsidR="00077D58" w:rsidRPr="00B06469" w:rsidRDefault="00077D58"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Действующая муниципальная программа </w:t>
      </w:r>
      <w:r w:rsidRPr="00B06469">
        <w:rPr>
          <w:rFonts w:ascii="Times New Roman" w:hAnsi="Times New Roman" w:cs="Times New Roman"/>
          <w:sz w:val="24"/>
          <w:szCs w:val="24"/>
        </w:rPr>
        <w:t>«Развитие малого и среднего предпринимательства в муниципальном районе Камышлинский Самарской области на 2018-2020 годы»</w:t>
      </w:r>
      <w:r w:rsidRPr="00B06469">
        <w:rPr>
          <w:rFonts w:ascii="Times New Roman" w:hAnsi="Times New Roman" w:cs="Times New Roman"/>
          <w:bCs/>
          <w:sz w:val="24"/>
          <w:szCs w:val="24"/>
          <w:u w:val="single"/>
        </w:rPr>
        <w:t xml:space="preserve"> </w:t>
      </w:r>
    </w:p>
    <w:p w:rsidR="00077D58" w:rsidRPr="00B06469" w:rsidRDefault="00077D58"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«Мясомолочный комплекс». </w:t>
      </w:r>
    </w:p>
    <w:p w:rsidR="00077D58" w:rsidRPr="00B06469" w:rsidRDefault="00077D58" w:rsidP="001F0139">
      <w:pPr>
        <w:numPr>
          <w:ilvl w:val="0"/>
          <w:numId w:val="22"/>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«Развитие тепличного овощеводства»</w:t>
      </w:r>
    </w:p>
    <w:p w:rsidR="00077D58" w:rsidRPr="00B06469" w:rsidRDefault="00077D58" w:rsidP="001F0139">
      <w:pPr>
        <w:spacing w:after="0" w:line="360" w:lineRule="auto"/>
        <w:ind w:firstLine="709"/>
        <w:jc w:val="both"/>
        <w:rPr>
          <w:rFonts w:ascii="Times New Roman" w:hAnsi="Times New Roman" w:cs="Times New Roman"/>
          <w:b/>
          <w:color w:val="365F91" w:themeColor="accent1" w:themeShade="BF"/>
          <w:sz w:val="24"/>
          <w:szCs w:val="24"/>
        </w:rPr>
      </w:pPr>
    </w:p>
    <w:p w:rsidR="00337AC4" w:rsidRPr="00B06469" w:rsidRDefault="00337AC4"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8.2.2. Развитие перерабатывающих производств</w:t>
      </w:r>
    </w:p>
    <w:p w:rsidR="00337AC4" w:rsidRPr="00B06469" w:rsidRDefault="00337AC4"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Проекты и программы</w:t>
      </w:r>
    </w:p>
    <w:p w:rsidR="00077D58" w:rsidRPr="00B06469" w:rsidRDefault="00077D58" w:rsidP="001F0139">
      <w:pPr>
        <w:numPr>
          <w:ilvl w:val="0"/>
          <w:numId w:val="21"/>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Действующая муниципальная программа </w:t>
      </w:r>
      <w:r w:rsidRPr="00B06469">
        <w:rPr>
          <w:rFonts w:ascii="Times New Roman" w:hAnsi="Times New Roman" w:cs="Times New Roman"/>
          <w:sz w:val="24"/>
          <w:szCs w:val="24"/>
        </w:rPr>
        <w:t>«Развитие малого и среднего предпринимательства в муниципальном районе Камышлинский Самарской области на 2018-2020 годы»</w:t>
      </w:r>
      <w:r w:rsidRPr="00B06469">
        <w:rPr>
          <w:rFonts w:ascii="Times New Roman" w:hAnsi="Times New Roman" w:cs="Times New Roman"/>
          <w:bCs/>
          <w:sz w:val="24"/>
          <w:szCs w:val="24"/>
          <w:u w:val="single"/>
        </w:rPr>
        <w:t xml:space="preserve"> </w:t>
      </w:r>
    </w:p>
    <w:p w:rsidR="00077D58" w:rsidRPr="00B06469" w:rsidRDefault="00077D58" w:rsidP="001F0139">
      <w:pPr>
        <w:numPr>
          <w:ilvl w:val="0"/>
          <w:numId w:val="21"/>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«Гипсовый завод». </w:t>
      </w:r>
    </w:p>
    <w:p w:rsidR="00077D58" w:rsidRPr="00B06469" w:rsidRDefault="00077D58" w:rsidP="001F0139">
      <w:pPr>
        <w:numPr>
          <w:ilvl w:val="0"/>
          <w:numId w:val="21"/>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«Цех по переработке молока»</w:t>
      </w:r>
    </w:p>
    <w:p w:rsidR="00077D58" w:rsidRPr="00B06469" w:rsidRDefault="00077D58" w:rsidP="001F0139">
      <w:pPr>
        <w:numPr>
          <w:ilvl w:val="0"/>
          <w:numId w:val="21"/>
        </w:numPr>
        <w:spacing w:after="0" w:line="360" w:lineRule="auto"/>
        <w:ind w:left="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u w:val="single"/>
        </w:rPr>
        <w:t xml:space="preserve"> </w:t>
      </w:r>
      <w:r w:rsidRPr="00B06469">
        <w:rPr>
          <w:rFonts w:ascii="Times New Roman" w:hAnsi="Times New Roman" w:cs="Times New Roman"/>
          <w:sz w:val="24"/>
          <w:szCs w:val="24"/>
        </w:rPr>
        <w:t>«</w:t>
      </w:r>
      <w:r w:rsidRPr="007223A6">
        <w:rPr>
          <w:rFonts w:ascii="Times New Roman" w:hAnsi="Times New Roman" w:cs="Times New Roman"/>
          <w:sz w:val="24"/>
          <w:szCs w:val="24"/>
        </w:rPr>
        <w:t xml:space="preserve">Создание </w:t>
      </w:r>
      <w:r w:rsidR="009F4FA6" w:rsidRPr="007223A6">
        <w:rPr>
          <w:rFonts w:ascii="Times New Roman" w:hAnsi="Times New Roman" w:cs="Times New Roman"/>
          <w:sz w:val="24"/>
          <w:szCs w:val="24"/>
        </w:rPr>
        <w:t>сельскохозяйственных потребительских</w:t>
      </w:r>
      <w:r w:rsidRPr="00B06469">
        <w:rPr>
          <w:rFonts w:ascii="Times New Roman" w:hAnsi="Times New Roman" w:cs="Times New Roman"/>
          <w:sz w:val="24"/>
          <w:szCs w:val="24"/>
        </w:rPr>
        <w:t xml:space="preserve"> кооперативов»</w:t>
      </w:r>
    </w:p>
    <w:p w:rsidR="00337AC4" w:rsidRPr="00B06469" w:rsidRDefault="00337AC4" w:rsidP="001F0139">
      <w:pPr>
        <w:spacing w:after="0" w:line="360" w:lineRule="auto"/>
        <w:ind w:firstLine="709"/>
        <w:jc w:val="both"/>
        <w:rPr>
          <w:rFonts w:ascii="Times New Roman" w:hAnsi="Times New Roman" w:cs="Times New Roman"/>
          <w:b/>
          <w:color w:val="365F91" w:themeColor="accent1" w:themeShade="BF"/>
          <w:sz w:val="24"/>
          <w:szCs w:val="24"/>
        </w:rPr>
      </w:pPr>
    </w:p>
    <w:p w:rsidR="00CB5772" w:rsidRPr="00B06469" w:rsidRDefault="00337AC4"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8.2.3. Развитие сферы услуг</w:t>
      </w:r>
    </w:p>
    <w:p w:rsidR="00337AC4" w:rsidRPr="00B06469" w:rsidRDefault="00337AC4"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Проекты и программы</w:t>
      </w:r>
    </w:p>
    <w:p w:rsidR="00077D58" w:rsidRPr="00B06469" w:rsidRDefault="00077D58" w:rsidP="001F0139">
      <w:pPr>
        <w:numPr>
          <w:ilvl w:val="6"/>
          <w:numId w:val="20"/>
        </w:numPr>
        <w:tabs>
          <w:tab w:val="clear" w:pos="5040"/>
          <w:tab w:val="num" w:pos="567"/>
        </w:tabs>
        <w:spacing w:after="0" w:line="360" w:lineRule="auto"/>
        <w:ind w:left="0" w:firstLine="0"/>
        <w:rPr>
          <w:rFonts w:ascii="Times New Roman" w:hAnsi="Times New Roman" w:cs="Times New Roman"/>
          <w:sz w:val="24"/>
          <w:szCs w:val="24"/>
        </w:rPr>
      </w:pPr>
      <w:r w:rsidRPr="00B06469">
        <w:rPr>
          <w:rFonts w:ascii="Times New Roman" w:hAnsi="Times New Roman" w:cs="Times New Roman"/>
          <w:bCs/>
          <w:sz w:val="24"/>
          <w:szCs w:val="24"/>
          <w:u w:val="single"/>
        </w:rPr>
        <w:t xml:space="preserve">Действующая </w:t>
      </w:r>
      <w:r w:rsidRPr="00B06469">
        <w:rPr>
          <w:rFonts w:ascii="Times New Roman" w:hAnsi="Times New Roman" w:cs="Times New Roman"/>
          <w:sz w:val="24"/>
          <w:szCs w:val="24"/>
        </w:rPr>
        <w:t>м</w:t>
      </w:r>
      <w:r w:rsidRPr="00B06469">
        <w:rPr>
          <w:rFonts w:ascii="Times New Roman" w:hAnsi="Times New Roman" w:cs="Times New Roman"/>
          <w:bCs/>
          <w:sz w:val="24"/>
          <w:szCs w:val="24"/>
          <w:u w:val="single"/>
        </w:rPr>
        <w:t xml:space="preserve">униципальная программа </w:t>
      </w:r>
      <w:r w:rsidRPr="00B06469">
        <w:rPr>
          <w:rFonts w:ascii="Times New Roman" w:hAnsi="Times New Roman" w:cs="Times New Roman"/>
          <w:sz w:val="24"/>
          <w:szCs w:val="24"/>
        </w:rPr>
        <w:t>«Развитие малого и среднего предпринимательства в муниципальном районе Камышлинский Самарской области на 2018-2020 годы»</w:t>
      </w:r>
      <w:r w:rsidRPr="00B06469">
        <w:rPr>
          <w:rFonts w:ascii="Times New Roman" w:hAnsi="Times New Roman" w:cs="Times New Roman"/>
          <w:bCs/>
          <w:sz w:val="24"/>
          <w:szCs w:val="24"/>
          <w:u w:val="single"/>
        </w:rPr>
        <w:t xml:space="preserve"> </w:t>
      </w:r>
    </w:p>
    <w:p w:rsidR="00077D58" w:rsidRPr="00B06469" w:rsidRDefault="00077D58" w:rsidP="001F0139">
      <w:pPr>
        <w:numPr>
          <w:ilvl w:val="6"/>
          <w:numId w:val="20"/>
        </w:numPr>
        <w:tabs>
          <w:tab w:val="clear" w:pos="5040"/>
          <w:tab w:val="num" w:pos="567"/>
        </w:tabs>
        <w:spacing w:after="0" w:line="360" w:lineRule="auto"/>
        <w:ind w:left="0" w:firstLine="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«Развитие инфраструктуры туризма» (2018-2025)</w:t>
      </w:r>
    </w:p>
    <w:p w:rsidR="00077D58" w:rsidRPr="00B06469" w:rsidRDefault="00077D58" w:rsidP="001F0139">
      <w:pPr>
        <w:numPr>
          <w:ilvl w:val="6"/>
          <w:numId w:val="20"/>
        </w:numPr>
        <w:tabs>
          <w:tab w:val="clear" w:pos="5040"/>
          <w:tab w:val="num" w:pos="567"/>
        </w:tabs>
        <w:spacing w:after="0" w:line="360" w:lineRule="auto"/>
        <w:ind w:left="0" w:firstLine="0"/>
        <w:rPr>
          <w:rFonts w:ascii="Times New Roman" w:hAnsi="Times New Roman" w:cs="Times New Roman"/>
          <w:sz w:val="24"/>
          <w:szCs w:val="24"/>
        </w:rPr>
      </w:pPr>
      <w:r w:rsidRPr="00B06469">
        <w:rPr>
          <w:rFonts w:ascii="Times New Roman" w:hAnsi="Times New Roman" w:cs="Times New Roman"/>
          <w:bCs/>
          <w:sz w:val="24"/>
          <w:szCs w:val="24"/>
          <w:u w:val="single"/>
        </w:rPr>
        <w:t>Проект</w:t>
      </w:r>
      <w:r w:rsidRPr="00B06469">
        <w:rPr>
          <w:rFonts w:ascii="Times New Roman" w:hAnsi="Times New Roman" w:cs="Times New Roman"/>
          <w:sz w:val="24"/>
          <w:szCs w:val="24"/>
        </w:rPr>
        <w:t xml:space="preserve"> «Развитие придорожных услуг и торговли» (2018-2020)</w:t>
      </w:r>
    </w:p>
    <w:p w:rsidR="00337AC4" w:rsidRDefault="00337AC4" w:rsidP="001F0139">
      <w:pPr>
        <w:tabs>
          <w:tab w:val="num" w:pos="567"/>
        </w:tabs>
        <w:spacing w:after="0" w:line="360" w:lineRule="auto"/>
        <w:jc w:val="both"/>
        <w:rPr>
          <w:rFonts w:ascii="Times New Roman" w:hAnsi="Times New Roman" w:cs="Times New Roman"/>
          <w:sz w:val="24"/>
          <w:szCs w:val="24"/>
        </w:rPr>
      </w:pPr>
      <w:r w:rsidRPr="00B06469">
        <w:rPr>
          <w:rFonts w:ascii="Times New Roman" w:hAnsi="Times New Roman" w:cs="Times New Roman"/>
          <w:bCs/>
          <w:sz w:val="24"/>
          <w:szCs w:val="24"/>
          <w:u w:val="single"/>
        </w:rPr>
        <w:t xml:space="preserve">Проект </w:t>
      </w:r>
      <w:r w:rsidRPr="00B06469">
        <w:rPr>
          <w:rFonts w:ascii="Times New Roman" w:hAnsi="Times New Roman" w:cs="Times New Roman"/>
          <w:sz w:val="24"/>
          <w:szCs w:val="24"/>
        </w:rPr>
        <w:t>«Создание инвест-портала Камышлинского района» (2018-2019</w:t>
      </w:r>
      <w:r w:rsidR="004E14EE">
        <w:rPr>
          <w:rFonts w:ascii="Times New Roman" w:hAnsi="Times New Roman" w:cs="Times New Roman"/>
          <w:sz w:val="24"/>
          <w:szCs w:val="24"/>
        </w:rPr>
        <w:t>)</w:t>
      </w:r>
    </w:p>
    <w:p w:rsidR="00CC3FC2" w:rsidRPr="00CC3FC2" w:rsidRDefault="004E14EE" w:rsidP="004E14EE">
      <w:pPr>
        <w:tabs>
          <w:tab w:val="num" w:pos="567"/>
        </w:tabs>
        <w:spacing w:after="0" w:line="360" w:lineRule="auto"/>
        <w:jc w:val="center"/>
        <w:rPr>
          <w:rFonts w:ascii="Times New Roman" w:hAnsi="Times New Roman" w:cs="Times New Roman"/>
          <w:b/>
          <w:color w:val="1F497D" w:themeColor="text2"/>
          <w:sz w:val="24"/>
          <w:szCs w:val="24"/>
        </w:rPr>
      </w:pPr>
      <w:r w:rsidRPr="00CC3FC2">
        <w:rPr>
          <w:rFonts w:ascii="Times New Roman" w:hAnsi="Times New Roman" w:cs="Times New Roman"/>
          <w:b/>
          <w:color w:val="1F497D" w:themeColor="text2"/>
          <w:sz w:val="24"/>
          <w:szCs w:val="24"/>
        </w:rPr>
        <w:t xml:space="preserve">Прогнозные значения  показателей производства основных видов </w:t>
      </w:r>
    </w:p>
    <w:p w:rsidR="00F51B81" w:rsidRPr="00B06469" w:rsidRDefault="004E14EE" w:rsidP="00CC3FC2">
      <w:pPr>
        <w:tabs>
          <w:tab w:val="num" w:pos="567"/>
        </w:tabs>
        <w:spacing w:after="0" w:line="360" w:lineRule="auto"/>
        <w:jc w:val="center"/>
        <w:rPr>
          <w:rFonts w:ascii="Times New Roman" w:hAnsi="Times New Roman" w:cs="Times New Roman"/>
          <w:b/>
          <w:color w:val="365F91" w:themeColor="accent1" w:themeShade="BF"/>
          <w:sz w:val="24"/>
          <w:szCs w:val="24"/>
        </w:rPr>
      </w:pPr>
      <w:r w:rsidRPr="00CC3FC2">
        <w:rPr>
          <w:rFonts w:ascii="Times New Roman" w:hAnsi="Times New Roman" w:cs="Times New Roman"/>
          <w:b/>
          <w:color w:val="1F497D" w:themeColor="text2"/>
          <w:sz w:val="24"/>
          <w:szCs w:val="24"/>
        </w:rPr>
        <w:t>сельскохозяйственной продукции</w:t>
      </w:r>
    </w:p>
    <w:tbl>
      <w:tblPr>
        <w:tblW w:w="10771" w:type="dxa"/>
        <w:tblInd w:w="-1591" w:type="dxa"/>
        <w:tblLayout w:type="fixed"/>
        <w:tblLook w:val="04A0" w:firstRow="1" w:lastRow="0" w:firstColumn="1" w:lastColumn="0" w:noHBand="0" w:noVBand="1"/>
      </w:tblPr>
      <w:tblGrid>
        <w:gridCol w:w="1557"/>
        <w:gridCol w:w="2410"/>
        <w:gridCol w:w="993"/>
        <w:gridCol w:w="841"/>
        <w:gridCol w:w="1285"/>
        <w:gridCol w:w="1247"/>
        <w:gridCol w:w="1163"/>
        <w:gridCol w:w="1275"/>
      </w:tblGrid>
      <w:tr w:rsidR="00B00596" w:rsidRPr="00E66F7F" w:rsidTr="004E14EE">
        <w:trPr>
          <w:gridAfter w:val="7"/>
          <w:wAfter w:w="9214" w:type="dxa"/>
          <w:trHeight w:val="315"/>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r>
      <w:tr w:rsidR="004E14EE" w:rsidRPr="00E66F7F" w:rsidTr="004E14EE">
        <w:trPr>
          <w:trHeight w:val="1686"/>
        </w:trPr>
        <w:tc>
          <w:tcPr>
            <w:tcW w:w="1557" w:type="dxa"/>
            <w:tcBorders>
              <w:top w:val="nil"/>
              <w:left w:val="nil"/>
              <w:bottom w:val="nil"/>
              <w:right w:val="nil"/>
            </w:tcBorders>
            <w:shd w:val="clear" w:color="auto" w:fill="auto"/>
            <w:noWrap/>
            <w:vAlign w:val="bottom"/>
            <w:hideMark/>
          </w:tcPr>
          <w:p w:rsidR="004E14EE" w:rsidRPr="00E66F7F" w:rsidRDefault="004E14EE" w:rsidP="00E66F7F">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 xml:space="preserve">     </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14EE" w:rsidRPr="00E66F7F" w:rsidRDefault="004E14EE"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Показатели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14EE" w:rsidRPr="00E66F7F" w:rsidRDefault="004E14EE"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Единица измерения</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14EE" w:rsidRPr="00E66F7F" w:rsidRDefault="004E14EE"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2017 г</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14EE" w:rsidRPr="00E66F7F" w:rsidRDefault="004E14EE"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2018 г</w:t>
            </w:r>
          </w:p>
        </w:tc>
        <w:tc>
          <w:tcPr>
            <w:tcW w:w="1247" w:type="dxa"/>
            <w:vMerge w:val="restart"/>
            <w:tcBorders>
              <w:top w:val="single" w:sz="4" w:space="0" w:color="auto"/>
              <w:left w:val="single" w:sz="4" w:space="0" w:color="auto"/>
              <w:right w:val="single" w:sz="4" w:space="0" w:color="auto"/>
            </w:tcBorders>
            <w:shd w:val="clear" w:color="auto" w:fill="auto"/>
            <w:vAlign w:val="center"/>
            <w:hideMark/>
          </w:tcPr>
          <w:p w:rsidR="004E14EE" w:rsidRDefault="004E14EE" w:rsidP="00E66F7F">
            <w:pPr>
              <w:spacing w:after="0" w:line="240" w:lineRule="auto"/>
              <w:jc w:val="center"/>
              <w:rPr>
                <w:rFonts w:ascii="Times New Roman" w:eastAsia="Times New Roman" w:hAnsi="Times New Roman" w:cs="Times New Roman"/>
                <w:color w:val="000000"/>
                <w:sz w:val="20"/>
                <w:szCs w:val="20"/>
                <w:lang w:eastAsia="ru-RU"/>
              </w:rPr>
            </w:pPr>
          </w:p>
          <w:p w:rsidR="004E14EE" w:rsidRPr="00E66F7F" w:rsidRDefault="004E14EE"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 xml:space="preserve">19 </w:t>
            </w:r>
            <w:r w:rsidRPr="00E66F7F">
              <w:rPr>
                <w:rFonts w:ascii="Times New Roman" w:eastAsia="Times New Roman" w:hAnsi="Times New Roman" w:cs="Times New Roman"/>
                <w:color w:val="000000"/>
                <w:sz w:val="20"/>
                <w:szCs w:val="20"/>
                <w:lang w:eastAsia="ru-RU"/>
              </w:rPr>
              <w:t>г</w:t>
            </w:r>
          </w:p>
          <w:p w:rsidR="004E14EE" w:rsidRPr="00E66F7F" w:rsidRDefault="004E14EE"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vMerge w:val="restart"/>
            <w:tcBorders>
              <w:top w:val="single" w:sz="4" w:space="0" w:color="auto"/>
              <w:right w:val="single" w:sz="4" w:space="0" w:color="auto"/>
            </w:tcBorders>
            <w:shd w:val="clear" w:color="auto" w:fill="auto"/>
            <w:vAlign w:val="center"/>
          </w:tcPr>
          <w:p w:rsidR="004E14EE" w:rsidRDefault="004E14EE" w:rsidP="004E14EE">
            <w:pPr>
              <w:jc w:val="center"/>
              <w:rPr>
                <w:rFonts w:ascii="Times New Roman" w:eastAsia="Times New Roman" w:hAnsi="Times New Roman" w:cs="Times New Roman"/>
                <w:sz w:val="20"/>
                <w:szCs w:val="20"/>
                <w:lang w:eastAsia="ru-RU"/>
              </w:rPr>
            </w:pPr>
          </w:p>
          <w:p w:rsidR="004E14EE" w:rsidRDefault="004E14EE" w:rsidP="004E14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2020 г</w:t>
            </w:r>
          </w:p>
          <w:p w:rsidR="004E14EE" w:rsidRPr="00E66F7F" w:rsidRDefault="004E14EE" w:rsidP="004E14EE">
            <w:pPr>
              <w:jc w:val="center"/>
              <w:rPr>
                <w:rFonts w:ascii="Times New Roman" w:eastAsia="Times New Roman" w:hAnsi="Times New Roman" w:cs="Times New Roman"/>
                <w:sz w:val="20"/>
                <w:szCs w:val="20"/>
                <w:lang w:eastAsia="ru-RU"/>
              </w:rPr>
            </w:pPr>
          </w:p>
        </w:tc>
        <w:tc>
          <w:tcPr>
            <w:tcW w:w="1275" w:type="dxa"/>
            <w:vMerge w:val="restart"/>
            <w:tcBorders>
              <w:top w:val="single" w:sz="4" w:space="0" w:color="auto"/>
              <w:right w:val="single" w:sz="4" w:space="0" w:color="auto"/>
            </w:tcBorders>
            <w:shd w:val="clear" w:color="auto" w:fill="auto"/>
            <w:vAlign w:val="center"/>
          </w:tcPr>
          <w:p w:rsidR="004E14EE" w:rsidRPr="00E66F7F" w:rsidRDefault="004E14EE" w:rsidP="004E14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2021 г</w:t>
            </w:r>
          </w:p>
        </w:tc>
      </w:tr>
      <w:tr w:rsidR="004E14EE" w:rsidRPr="00E66F7F" w:rsidTr="004E14EE">
        <w:trPr>
          <w:trHeight w:val="30"/>
        </w:trPr>
        <w:tc>
          <w:tcPr>
            <w:tcW w:w="1557" w:type="dxa"/>
            <w:tcBorders>
              <w:top w:val="nil"/>
              <w:left w:val="nil"/>
              <w:bottom w:val="nil"/>
              <w:right w:val="nil"/>
            </w:tcBorders>
            <w:shd w:val="clear" w:color="auto" w:fill="auto"/>
            <w:noWrap/>
            <w:vAlign w:val="bottom"/>
            <w:hideMark/>
          </w:tcPr>
          <w:p w:rsidR="004E14EE" w:rsidRPr="00E66F7F" w:rsidRDefault="004E14EE" w:rsidP="00E66F7F">
            <w:pPr>
              <w:spacing w:after="0" w:line="240" w:lineRule="auto"/>
              <w:rPr>
                <w:rFonts w:ascii="Calibri" w:eastAsia="Times New Roman" w:hAnsi="Calibri" w:cs="Calibri"/>
                <w:color w:val="000000"/>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4E14EE" w:rsidRPr="00E66F7F" w:rsidRDefault="004E14EE" w:rsidP="00E66F7F">
            <w:pPr>
              <w:spacing w:after="0" w:line="240" w:lineRule="auto"/>
              <w:rPr>
                <w:rFonts w:ascii="Times New Roman" w:eastAsia="Times New Roman" w:hAnsi="Times New Roman" w:cs="Times New Roman"/>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E14EE" w:rsidRPr="00E66F7F" w:rsidRDefault="004E14EE" w:rsidP="00E66F7F">
            <w:pPr>
              <w:spacing w:after="0" w:line="240" w:lineRule="auto"/>
              <w:rPr>
                <w:rFonts w:ascii="Times New Roman" w:eastAsia="Times New Roman" w:hAnsi="Times New Roman" w:cs="Times New Roman"/>
                <w:color w:val="000000"/>
                <w:sz w:val="20"/>
                <w:szCs w:val="20"/>
                <w:lang w:eastAsia="ru-RU"/>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rsidR="004E14EE" w:rsidRPr="00E66F7F" w:rsidRDefault="004E14EE" w:rsidP="00E66F7F">
            <w:pPr>
              <w:spacing w:after="0" w:line="240" w:lineRule="auto"/>
              <w:rPr>
                <w:rFonts w:ascii="Times New Roman" w:eastAsia="Times New Roman" w:hAnsi="Times New Roman" w:cs="Times New Roman"/>
                <w:color w:val="000000"/>
                <w:sz w:val="20"/>
                <w:szCs w:val="20"/>
                <w:lang w:eastAsia="ru-RU"/>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rsidR="004E14EE" w:rsidRPr="00E66F7F" w:rsidRDefault="004E14EE" w:rsidP="00E66F7F">
            <w:pPr>
              <w:spacing w:after="0" w:line="240" w:lineRule="auto"/>
              <w:rPr>
                <w:rFonts w:ascii="Times New Roman" w:eastAsia="Times New Roman" w:hAnsi="Times New Roman" w:cs="Times New Roman"/>
                <w:color w:val="000000"/>
                <w:sz w:val="20"/>
                <w:szCs w:val="20"/>
                <w:lang w:eastAsia="ru-RU"/>
              </w:rPr>
            </w:pPr>
          </w:p>
        </w:tc>
        <w:tc>
          <w:tcPr>
            <w:tcW w:w="1247" w:type="dxa"/>
            <w:vMerge/>
            <w:tcBorders>
              <w:left w:val="single" w:sz="4" w:space="0" w:color="auto"/>
              <w:bottom w:val="single" w:sz="4" w:space="0" w:color="auto"/>
              <w:right w:val="single" w:sz="4" w:space="0" w:color="auto"/>
            </w:tcBorders>
            <w:shd w:val="clear" w:color="auto" w:fill="auto"/>
            <w:hideMark/>
          </w:tcPr>
          <w:p w:rsidR="004E14EE" w:rsidRPr="00E66F7F" w:rsidRDefault="004E14EE" w:rsidP="00E66F7F">
            <w:pPr>
              <w:spacing w:after="0" w:line="240" w:lineRule="auto"/>
              <w:jc w:val="center"/>
              <w:rPr>
                <w:rFonts w:ascii="Times New Roman" w:eastAsia="Times New Roman" w:hAnsi="Times New Roman" w:cs="Times New Roman"/>
                <w:color w:val="000000"/>
                <w:sz w:val="20"/>
                <w:szCs w:val="20"/>
                <w:lang w:eastAsia="ru-RU"/>
              </w:rPr>
            </w:pPr>
          </w:p>
        </w:tc>
        <w:tc>
          <w:tcPr>
            <w:tcW w:w="1163" w:type="dxa"/>
            <w:vMerge/>
            <w:tcBorders>
              <w:bottom w:val="single" w:sz="4" w:space="0" w:color="auto"/>
              <w:right w:val="single" w:sz="4" w:space="0" w:color="auto"/>
            </w:tcBorders>
            <w:shd w:val="clear" w:color="auto" w:fill="auto"/>
          </w:tcPr>
          <w:p w:rsidR="004E14EE" w:rsidRPr="00E66F7F" w:rsidRDefault="004E14EE">
            <w:pPr>
              <w:rPr>
                <w:rFonts w:ascii="Times New Roman" w:eastAsia="Times New Roman" w:hAnsi="Times New Roman" w:cs="Times New Roman"/>
                <w:sz w:val="20"/>
                <w:szCs w:val="20"/>
                <w:lang w:eastAsia="ru-RU"/>
              </w:rPr>
            </w:pPr>
          </w:p>
        </w:tc>
        <w:tc>
          <w:tcPr>
            <w:tcW w:w="1275" w:type="dxa"/>
            <w:vMerge/>
            <w:tcBorders>
              <w:bottom w:val="single" w:sz="4" w:space="0" w:color="auto"/>
              <w:right w:val="single" w:sz="4" w:space="0" w:color="auto"/>
            </w:tcBorders>
            <w:shd w:val="clear" w:color="auto" w:fill="auto"/>
          </w:tcPr>
          <w:p w:rsidR="004E14EE" w:rsidRPr="00E66F7F" w:rsidRDefault="004E14EE">
            <w:pPr>
              <w:rPr>
                <w:rFonts w:ascii="Times New Roman" w:eastAsia="Times New Roman" w:hAnsi="Times New Roman" w:cs="Times New Roman"/>
                <w:sz w:val="20"/>
                <w:szCs w:val="20"/>
                <w:lang w:eastAsia="ru-RU"/>
              </w:rPr>
            </w:pPr>
          </w:p>
        </w:tc>
      </w:tr>
      <w:tr w:rsidR="00B00596" w:rsidRPr="00E66F7F" w:rsidTr="004E14EE">
        <w:trPr>
          <w:trHeight w:val="1275"/>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Валовая продукция сельского хозяйства в хозяйствах всех категорий – всего</w:t>
            </w:r>
          </w:p>
        </w:tc>
        <w:tc>
          <w:tcPr>
            <w:tcW w:w="993" w:type="dxa"/>
            <w:tcBorders>
              <w:top w:val="single" w:sz="4" w:space="0" w:color="auto"/>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млн.рублей в ценах соотв. лет</w:t>
            </w:r>
          </w:p>
        </w:tc>
        <w:tc>
          <w:tcPr>
            <w:tcW w:w="841" w:type="dxa"/>
            <w:tcBorders>
              <w:top w:val="single" w:sz="4" w:space="0" w:color="auto"/>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lang w:eastAsia="ru-RU"/>
              </w:rPr>
            </w:pPr>
            <w:r w:rsidRPr="00E66F7F">
              <w:rPr>
                <w:rFonts w:ascii="Times New Roman" w:eastAsia="Times New Roman" w:hAnsi="Times New Roman" w:cs="Times New Roman"/>
                <w:lang w:eastAsia="ru-RU"/>
              </w:rPr>
              <w:t>634,1</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lang w:eastAsia="ru-RU"/>
              </w:rPr>
            </w:pPr>
            <w:r w:rsidRPr="00E66F7F">
              <w:rPr>
                <w:rFonts w:ascii="Times New Roman" w:eastAsia="Times New Roman" w:hAnsi="Times New Roman" w:cs="Times New Roman"/>
                <w:color w:val="000000"/>
                <w:lang w:eastAsia="ru-RU"/>
              </w:rPr>
              <w:t>680,4</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lang w:eastAsia="ru-RU"/>
              </w:rPr>
            </w:pPr>
            <w:r w:rsidRPr="00E66F7F">
              <w:rPr>
                <w:rFonts w:ascii="Times New Roman" w:eastAsia="Times New Roman" w:hAnsi="Times New Roman" w:cs="Times New Roman"/>
                <w:color w:val="000000"/>
                <w:lang w:eastAsia="ru-RU"/>
              </w:rPr>
              <w:t>740,8</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B00596" w:rsidRPr="00E66F7F" w:rsidRDefault="004E14EE" w:rsidP="00E66F7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792,8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lang w:eastAsia="ru-RU"/>
              </w:rPr>
            </w:pPr>
            <w:r w:rsidRPr="00E66F7F">
              <w:rPr>
                <w:rFonts w:ascii="Times New Roman" w:eastAsia="Times New Roman" w:hAnsi="Times New Roman" w:cs="Times New Roman"/>
                <w:color w:val="000000"/>
                <w:lang w:eastAsia="ru-RU"/>
              </w:rPr>
              <w:t>850,9</w:t>
            </w:r>
          </w:p>
        </w:tc>
      </w:tr>
      <w:tr w:rsidR="00B00596" w:rsidRPr="00E66F7F" w:rsidTr="004E14EE">
        <w:trPr>
          <w:trHeight w:val="765"/>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lang w:eastAsia="ru-RU"/>
              </w:rPr>
            </w:pPr>
            <w:r w:rsidRPr="00E66F7F">
              <w:rPr>
                <w:rFonts w:ascii="Times New Roman" w:eastAsia="Times New Roman" w:hAnsi="Times New Roman" w:cs="Times New Roman"/>
                <w:color w:val="000000"/>
                <w:lang w:eastAsia="ru-RU"/>
              </w:rPr>
              <w:t> </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в % к пред. году</w:t>
            </w:r>
          </w:p>
        </w:tc>
        <w:tc>
          <w:tcPr>
            <w:tcW w:w="841"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lang w:eastAsia="ru-RU"/>
              </w:rPr>
            </w:pPr>
            <w:r w:rsidRPr="00E66F7F">
              <w:rPr>
                <w:rFonts w:ascii="Times New Roman" w:eastAsia="Times New Roman" w:hAnsi="Times New Roman" w:cs="Times New Roman"/>
                <w:lang w:eastAsia="ru-RU"/>
              </w:rPr>
              <w:t>104,6</w:t>
            </w:r>
          </w:p>
        </w:tc>
        <w:tc>
          <w:tcPr>
            <w:tcW w:w="128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lang w:eastAsia="ru-RU"/>
              </w:rPr>
            </w:pPr>
            <w:r w:rsidRPr="00E66F7F">
              <w:rPr>
                <w:rFonts w:ascii="Times New Roman" w:eastAsia="Times New Roman" w:hAnsi="Times New Roman" w:cs="Times New Roman"/>
                <w:lang w:eastAsia="ru-RU"/>
              </w:rPr>
              <w:t>102,0</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lang w:eastAsia="ru-RU"/>
              </w:rPr>
            </w:pPr>
            <w:r w:rsidRPr="00E66F7F">
              <w:rPr>
                <w:rFonts w:ascii="Times New Roman" w:eastAsia="Times New Roman" w:hAnsi="Times New Roman" w:cs="Times New Roman"/>
                <w:lang w:eastAsia="ru-RU"/>
              </w:rPr>
              <w:t>104,2</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lang w:eastAsia="ru-RU"/>
              </w:rPr>
            </w:pPr>
            <w:r w:rsidRPr="00E66F7F">
              <w:rPr>
                <w:rFonts w:ascii="Times New Roman" w:eastAsia="Times New Roman" w:hAnsi="Times New Roman" w:cs="Times New Roman"/>
                <w:lang w:eastAsia="ru-RU"/>
              </w:rPr>
              <w:t>102,5</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lang w:eastAsia="ru-RU"/>
              </w:rPr>
            </w:pPr>
            <w:r w:rsidRPr="00E66F7F">
              <w:rPr>
                <w:rFonts w:ascii="Times New Roman" w:eastAsia="Times New Roman" w:hAnsi="Times New Roman" w:cs="Times New Roman"/>
                <w:lang w:eastAsia="ru-RU"/>
              </w:rPr>
              <w:t>103,0</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Индекс-дефлятор, %</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841"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sz w:val="20"/>
                <w:szCs w:val="20"/>
                <w:lang w:eastAsia="ru-RU"/>
              </w:rPr>
            </w:pPr>
            <w:r w:rsidRPr="00E66F7F">
              <w:rPr>
                <w:rFonts w:ascii="Times New Roman" w:eastAsia="Times New Roman" w:hAnsi="Times New Roman" w:cs="Times New Roman"/>
                <w:sz w:val="20"/>
                <w:szCs w:val="20"/>
                <w:lang w:eastAsia="ru-RU"/>
              </w:rPr>
              <w:t> </w:t>
            </w:r>
          </w:p>
        </w:tc>
        <w:tc>
          <w:tcPr>
            <w:tcW w:w="128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lang w:eastAsia="ru-RU"/>
              </w:rPr>
            </w:pPr>
            <w:r w:rsidRPr="00E66F7F">
              <w:rPr>
                <w:rFonts w:ascii="Times New Roman" w:eastAsia="Times New Roman" w:hAnsi="Times New Roman" w:cs="Times New Roman"/>
                <w:color w:val="000000"/>
                <w:lang w:eastAsia="ru-RU"/>
              </w:rPr>
              <w:t>105,2</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i/>
                <w:iCs/>
                <w:sz w:val="20"/>
                <w:szCs w:val="20"/>
                <w:lang w:eastAsia="ru-RU"/>
              </w:rPr>
            </w:pPr>
            <w:r w:rsidRPr="00E66F7F">
              <w:rPr>
                <w:rFonts w:ascii="Times New Roman" w:eastAsia="Times New Roman" w:hAnsi="Times New Roman" w:cs="Times New Roman"/>
                <w:i/>
                <w:iCs/>
                <w:sz w:val="20"/>
                <w:szCs w:val="20"/>
                <w:lang w:eastAsia="ru-RU"/>
              </w:rPr>
              <w:t>104,5</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i/>
                <w:iCs/>
                <w:sz w:val="20"/>
                <w:szCs w:val="20"/>
                <w:lang w:eastAsia="ru-RU"/>
              </w:rPr>
            </w:pPr>
            <w:r w:rsidRPr="00E66F7F">
              <w:rPr>
                <w:rFonts w:ascii="Times New Roman" w:eastAsia="Times New Roman" w:hAnsi="Times New Roman" w:cs="Times New Roman"/>
                <w:i/>
                <w:iCs/>
                <w:sz w:val="20"/>
                <w:szCs w:val="20"/>
                <w:lang w:eastAsia="ru-RU"/>
              </w:rPr>
              <w:t>104,4</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i/>
                <w:iCs/>
                <w:sz w:val="20"/>
                <w:szCs w:val="20"/>
                <w:lang w:eastAsia="ru-RU"/>
              </w:rPr>
            </w:pPr>
            <w:r w:rsidRPr="00E66F7F">
              <w:rPr>
                <w:rFonts w:ascii="Times New Roman" w:eastAsia="Times New Roman" w:hAnsi="Times New Roman" w:cs="Times New Roman"/>
                <w:i/>
                <w:iCs/>
                <w:sz w:val="20"/>
                <w:szCs w:val="20"/>
                <w:lang w:eastAsia="ru-RU"/>
              </w:rPr>
              <w:t>104,2</w:t>
            </w:r>
          </w:p>
        </w:tc>
      </w:tr>
      <w:tr w:rsidR="00B00596" w:rsidRPr="00E66F7F" w:rsidTr="004E14EE">
        <w:trPr>
          <w:trHeight w:val="102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b/>
                <w:bCs/>
                <w:color w:val="000000"/>
                <w:sz w:val="20"/>
                <w:szCs w:val="20"/>
                <w:lang w:eastAsia="ru-RU"/>
              </w:rPr>
            </w:pPr>
            <w:r w:rsidRPr="00E66F7F">
              <w:rPr>
                <w:rFonts w:ascii="Times New Roman" w:eastAsia="Times New Roman" w:hAnsi="Times New Roman" w:cs="Times New Roman"/>
                <w:b/>
                <w:bCs/>
                <w:color w:val="000000"/>
                <w:sz w:val="20"/>
                <w:szCs w:val="20"/>
                <w:lang w:eastAsia="ru-RU"/>
              </w:rPr>
              <w:t>Производство основных видов сельскохозяйственной продукции</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54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b/>
                <w:bCs/>
                <w:i/>
                <w:iCs/>
                <w:color w:val="000000"/>
                <w:sz w:val="20"/>
                <w:szCs w:val="20"/>
                <w:lang w:eastAsia="ru-RU"/>
              </w:rPr>
            </w:pPr>
            <w:r w:rsidRPr="00E66F7F">
              <w:rPr>
                <w:rFonts w:ascii="Times New Roman" w:eastAsia="Times New Roman" w:hAnsi="Times New Roman" w:cs="Times New Roman"/>
                <w:b/>
                <w:bCs/>
                <w:i/>
                <w:iCs/>
                <w:color w:val="000000"/>
                <w:sz w:val="20"/>
                <w:szCs w:val="20"/>
                <w:lang w:eastAsia="ru-RU"/>
              </w:rPr>
              <w:t>Зерно (в весе после доработки)</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51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Все категории хозяйств</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тыс.тонн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18,4</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18,5</w:t>
            </w:r>
          </w:p>
        </w:tc>
        <w:tc>
          <w:tcPr>
            <w:tcW w:w="1247"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19,5</w:t>
            </w:r>
          </w:p>
        </w:tc>
        <w:tc>
          <w:tcPr>
            <w:tcW w:w="1163"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20,4</w:t>
            </w:r>
          </w:p>
        </w:tc>
        <w:tc>
          <w:tcPr>
            <w:tcW w:w="127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21,7</w:t>
            </w:r>
          </w:p>
        </w:tc>
      </w:tr>
      <w:tr w:rsidR="00B00596" w:rsidRPr="00E66F7F" w:rsidTr="004E14EE">
        <w:trPr>
          <w:trHeight w:val="645"/>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в том числе сельхозорганизации</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тыс.тонн</w:t>
            </w:r>
          </w:p>
        </w:tc>
        <w:tc>
          <w:tcPr>
            <w:tcW w:w="841"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6,9</w:t>
            </w:r>
          </w:p>
        </w:tc>
        <w:tc>
          <w:tcPr>
            <w:tcW w:w="1285"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7,8</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8,4</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8,8</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9,3</w:t>
            </w:r>
          </w:p>
        </w:tc>
      </w:tr>
      <w:tr w:rsidR="00B00596" w:rsidRPr="00E66F7F" w:rsidTr="004E14EE">
        <w:trPr>
          <w:trHeight w:val="51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фермерские хозяйства</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тыс.тонн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11,5</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10,7</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11,2</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11,8</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12,4</w:t>
            </w:r>
          </w:p>
        </w:tc>
      </w:tr>
      <w:tr w:rsidR="00B00596" w:rsidRPr="00E66F7F" w:rsidTr="004E14EE">
        <w:trPr>
          <w:trHeight w:val="51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хозяйства населения</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тыс.тонн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66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b/>
                <w:bCs/>
                <w:i/>
                <w:iCs/>
                <w:color w:val="000000"/>
                <w:sz w:val="20"/>
                <w:szCs w:val="20"/>
                <w:lang w:eastAsia="ru-RU"/>
              </w:rPr>
            </w:pPr>
            <w:r w:rsidRPr="00E66F7F">
              <w:rPr>
                <w:rFonts w:ascii="Times New Roman" w:eastAsia="Times New Roman" w:hAnsi="Times New Roman" w:cs="Times New Roman"/>
                <w:b/>
                <w:bCs/>
                <w:i/>
                <w:iCs/>
                <w:color w:val="000000"/>
                <w:sz w:val="20"/>
                <w:szCs w:val="20"/>
                <w:lang w:eastAsia="ru-RU"/>
              </w:rPr>
              <w:t>Подсолнечник</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FFFFFF"/>
                <w:sz w:val="20"/>
                <w:szCs w:val="20"/>
                <w:lang w:eastAsia="ru-RU"/>
              </w:rPr>
            </w:pPr>
            <w:r w:rsidRPr="00E66F7F">
              <w:rPr>
                <w:rFonts w:ascii="Times New Roman" w:eastAsia="Times New Roman" w:hAnsi="Times New Roman" w:cs="Times New Roman"/>
                <w:color w:val="FFFFFF"/>
                <w:sz w:val="20"/>
                <w:szCs w:val="20"/>
                <w:lang w:eastAsia="ru-RU"/>
              </w:rPr>
              <w:t>1,023115789</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FFFFFF"/>
                <w:sz w:val="20"/>
                <w:szCs w:val="20"/>
                <w:lang w:eastAsia="ru-RU"/>
              </w:rPr>
            </w:pPr>
            <w:r w:rsidRPr="00E66F7F">
              <w:rPr>
                <w:rFonts w:ascii="Times New Roman" w:eastAsia="Times New Roman" w:hAnsi="Times New Roman" w:cs="Times New Roman"/>
                <w:color w:val="FFFFFF"/>
                <w:sz w:val="20"/>
                <w:szCs w:val="20"/>
                <w:lang w:eastAsia="ru-RU"/>
              </w:rPr>
              <w:t>1,023115789</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FFFFFF"/>
                <w:sz w:val="20"/>
                <w:szCs w:val="20"/>
                <w:lang w:eastAsia="ru-RU"/>
              </w:rPr>
            </w:pPr>
            <w:r w:rsidRPr="00E66F7F">
              <w:rPr>
                <w:rFonts w:ascii="Times New Roman" w:eastAsia="Times New Roman" w:hAnsi="Times New Roman" w:cs="Times New Roman"/>
                <w:color w:val="FFFFFF"/>
                <w:sz w:val="20"/>
                <w:szCs w:val="20"/>
                <w:lang w:eastAsia="ru-RU"/>
              </w:rPr>
              <w:t>1,01937413</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Все категории хозяйств</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4472,6</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4696</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5015,7</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5281,6</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5572,3</w:t>
            </w:r>
          </w:p>
        </w:tc>
      </w:tr>
      <w:tr w:rsidR="00B00596" w:rsidRPr="00E66F7F" w:rsidTr="004E14EE">
        <w:trPr>
          <w:trHeight w:val="66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в том числе сельхозорганизации</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3131,8</w:t>
            </w:r>
          </w:p>
        </w:tc>
        <w:tc>
          <w:tcPr>
            <w:tcW w:w="1285"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2112</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2232,1</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2375,4</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2506,1</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фермерские хозяйства</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1340,8</w:t>
            </w:r>
          </w:p>
        </w:tc>
        <w:tc>
          <w:tcPr>
            <w:tcW w:w="1285"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2584</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2783,7</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2906,2</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3066,2</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хозяйства населения</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66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b/>
                <w:bCs/>
                <w:i/>
                <w:iCs/>
                <w:color w:val="000000"/>
                <w:sz w:val="20"/>
                <w:szCs w:val="20"/>
                <w:lang w:eastAsia="ru-RU"/>
              </w:rPr>
            </w:pPr>
            <w:r w:rsidRPr="00E66F7F">
              <w:rPr>
                <w:rFonts w:ascii="Times New Roman" w:eastAsia="Times New Roman" w:hAnsi="Times New Roman" w:cs="Times New Roman"/>
                <w:b/>
                <w:bCs/>
                <w:i/>
                <w:iCs/>
                <w:color w:val="000000"/>
                <w:sz w:val="20"/>
                <w:szCs w:val="20"/>
                <w:lang w:eastAsia="ru-RU"/>
              </w:rPr>
              <w:t>Картофель</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Все категории хозяйств</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4096,2</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4260</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4589,2</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4791,2</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5055,0</w:t>
            </w:r>
          </w:p>
        </w:tc>
      </w:tr>
      <w:tr w:rsidR="00B00596" w:rsidRPr="00E66F7F" w:rsidTr="004E14EE">
        <w:trPr>
          <w:trHeight w:val="66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в том числе сельхозорганизации</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фермерские хозяйства</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хозяйства населения</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4096,2</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4260</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4589,2</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4791,2</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5055,0</w:t>
            </w:r>
          </w:p>
        </w:tc>
      </w:tr>
      <w:tr w:rsidR="00B00596" w:rsidRPr="00E66F7F" w:rsidTr="004E14EE">
        <w:trPr>
          <w:trHeight w:val="645"/>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b/>
                <w:bCs/>
                <w:i/>
                <w:iCs/>
                <w:color w:val="000000"/>
                <w:sz w:val="20"/>
                <w:szCs w:val="20"/>
                <w:lang w:eastAsia="ru-RU"/>
              </w:rPr>
            </w:pPr>
            <w:r w:rsidRPr="00E66F7F">
              <w:rPr>
                <w:rFonts w:ascii="Times New Roman" w:eastAsia="Times New Roman" w:hAnsi="Times New Roman" w:cs="Times New Roman"/>
                <w:b/>
                <w:bCs/>
                <w:i/>
                <w:iCs/>
                <w:color w:val="000000"/>
                <w:sz w:val="20"/>
                <w:szCs w:val="20"/>
                <w:lang w:eastAsia="ru-RU"/>
              </w:rPr>
              <w:t>Овощи</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Все категории хозяйств</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1208,5</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1243,0</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1339,1</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1398,0</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1475,0</w:t>
            </w:r>
          </w:p>
        </w:tc>
      </w:tr>
      <w:tr w:rsidR="00B00596" w:rsidRPr="00E66F7F" w:rsidTr="004E14EE">
        <w:trPr>
          <w:trHeight w:val="645"/>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в том числе сельхозорганизации</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фермерские хозяйства</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хозяйства населения</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1208,5</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1243,0</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1339,1</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1398,0</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1475,0</w:t>
            </w:r>
          </w:p>
        </w:tc>
      </w:tr>
      <w:tr w:rsidR="00B00596" w:rsidRPr="00E66F7F" w:rsidTr="004E14EE">
        <w:trPr>
          <w:trHeight w:val="66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b/>
                <w:bCs/>
                <w:i/>
                <w:iCs/>
                <w:color w:val="000000"/>
                <w:sz w:val="20"/>
                <w:szCs w:val="20"/>
                <w:lang w:eastAsia="ru-RU"/>
              </w:rPr>
            </w:pPr>
            <w:r w:rsidRPr="00E66F7F">
              <w:rPr>
                <w:rFonts w:ascii="Times New Roman" w:eastAsia="Times New Roman" w:hAnsi="Times New Roman" w:cs="Times New Roman"/>
                <w:b/>
                <w:bCs/>
                <w:i/>
                <w:iCs/>
                <w:color w:val="000000"/>
                <w:sz w:val="20"/>
                <w:szCs w:val="20"/>
                <w:lang w:eastAsia="ru-RU"/>
              </w:rPr>
              <w:t>Скот и птица на убой (в жив.весе)</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Все категории хозяйств</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631,1</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667</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718,6</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750,2</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791,5</w:t>
            </w:r>
          </w:p>
        </w:tc>
      </w:tr>
      <w:tr w:rsidR="00B00596" w:rsidRPr="00E66F7F" w:rsidTr="004E14EE">
        <w:trPr>
          <w:trHeight w:val="66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в том числе сельхозорганизации</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FFFFFF"/>
                <w:sz w:val="20"/>
                <w:szCs w:val="20"/>
                <w:lang w:eastAsia="ru-RU"/>
              </w:rPr>
            </w:pPr>
            <w:r w:rsidRPr="00E66F7F">
              <w:rPr>
                <w:rFonts w:ascii="Times New Roman" w:eastAsia="Times New Roman" w:hAnsi="Times New Roman" w:cs="Times New Roman"/>
                <w:color w:val="FFFFFF"/>
                <w:sz w:val="20"/>
                <w:szCs w:val="20"/>
                <w:lang w:eastAsia="ru-RU"/>
              </w:rPr>
              <w:t>19,5</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FFFFFF"/>
                <w:sz w:val="20"/>
                <w:szCs w:val="20"/>
                <w:lang w:eastAsia="ru-RU"/>
              </w:rPr>
            </w:pPr>
            <w:r w:rsidRPr="00E66F7F">
              <w:rPr>
                <w:rFonts w:ascii="Times New Roman" w:eastAsia="Times New Roman" w:hAnsi="Times New Roman" w:cs="Times New Roman"/>
                <w:color w:val="FFFFFF"/>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FFFFFF"/>
                <w:sz w:val="20"/>
                <w:szCs w:val="20"/>
                <w:lang w:eastAsia="ru-RU"/>
              </w:rPr>
            </w:pPr>
            <w:r w:rsidRPr="00E66F7F">
              <w:rPr>
                <w:rFonts w:ascii="Times New Roman" w:eastAsia="Times New Roman" w:hAnsi="Times New Roman" w:cs="Times New Roman"/>
                <w:color w:val="FFFFFF"/>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FFFFFF"/>
                <w:sz w:val="20"/>
                <w:szCs w:val="20"/>
                <w:lang w:eastAsia="ru-RU"/>
              </w:rPr>
            </w:pPr>
            <w:r w:rsidRPr="00E66F7F">
              <w:rPr>
                <w:rFonts w:ascii="Times New Roman" w:eastAsia="Times New Roman" w:hAnsi="Times New Roman" w:cs="Times New Roman"/>
                <w:color w:val="FFFFFF"/>
                <w:sz w:val="20"/>
                <w:szCs w:val="20"/>
                <w:lang w:eastAsia="ru-RU"/>
              </w:rPr>
              <w:t> </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фермерские хозяйства</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20,1</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33,6</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36,2</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37,8</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39,9</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хозяйства населения</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611,0</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633,4</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682,4</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712,4</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751,6</w:t>
            </w:r>
          </w:p>
        </w:tc>
      </w:tr>
      <w:tr w:rsidR="00B00596" w:rsidRPr="00E66F7F" w:rsidTr="004E14EE">
        <w:trPr>
          <w:trHeight w:val="645"/>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b/>
                <w:bCs/>
                <w:i/>
                <w:iCs/>
                <w:color w:val="000000"/>
                <w:sz w:val="20"/>
                <w:szCs w:val="20"/>
                <w:lang w:eastAsia="ru-RU"/>
              </w:rPr>
            </w:pPr>
            <w:r w:rsidRPr="00E66F7F">
              <w:rPr>
                <w:rFonts w:ascii="Times New Roman" w:eastAsia="Times New Roman" w:hAnsi="Times New Roman" w:cs="Times New Roman"/>
                <w:b/>
                <w:bCs/>
                <w:i/>
                <w:iCs/>
                <w:color w:val="000000"/>
                <w:sz w:val="20"/>
                <w:szCs w:val="20"/>
                <w:lang w:eastAsia="ru-RU"/>
              </w:rPr>
              <w:t>Молоко</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Все категории хозяйств</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4220,3</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4295,2</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4627,3</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4830,8</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5096,9</w:t>
            </w:r>
          </w:p>
        </w:tc>
      </w:tr>
      <w:tr w:rsidR="00B00596" w:rsidRPr="00E66F7F" w:rsidTr="004E14EE">
        <w:trPr>
          <w:trHeight w:val="66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в том числе сельхозорганизации</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000000" w:fill="FFFFFF"/>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FFFFFF"/>
                <w:sz w:val="20"/>
                <w:szCs w:val="20"/>
                <w:lang w:eastAsia="ru-RU"/>
              </w:rPr>
            </w:pPr>
            <w:r w:rsidRPr="00E66F7F">
              <w:rPr>
                <w:rFonts w:ascii="Times New Roman" w:eastAsia="Times New Roman" w:hAnsi="Times New Roman" w:cs="Times New Roman"/>
                <w:color w:val="FFFFFF"/>
                <w:sz w:val="20"/>
                <w:szCs w:val="20"/>
                <w:lang w:eastAsia="ru-RU"/>
              </w:rPr>
              <w:t>100,1</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FFFFFF"/>
                <w:sz w:val="20"/>
                <w:szCs w:val="20"/>
                <w:lang w:eastAsia="ru-RU"/>
              </w:rPr>
            </w:pPr>
            <w:r w:rsidRPr="00E66F7F">
              <w:rPr>
                <w:rFonts w:ascii="Times New Roman" w:eastAsia="Times New Roman" w:hAnsi="Times New Roman" w:cs="Times New Roman"/>
                <w:color w:val="FFFFFF"/>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FFFFFF"/>
                <w:sz w:val="20"/>
                <w:szCs w:val="20"/>
                <w:lang w:eastAsia="ru-RU"/>
              </w:rPr>
            </w:pPr>
            <w:r w:rsidRPr="00E66F7F">
              <w:rPr>
                <w:rFonts w:ascii="Times New Roman" w:eastAsia="Times New Roman" w:hAnsi="Times New Roman" w:cs="Times New Roman"/>
                <w:color w:val="FFFFFF"/>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фермерские хозяйства</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1127,4</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1271,3</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1369,6</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1429,8</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1508,6</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хозяйства населения</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тонн</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3092,9</w:t>
            </w:r>
          </w:p>
        </w:tc>
        <w:tc>
          <w:tcPr>
            <w:tcW w:w="1285"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3023,9</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3257,7</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3401,0</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3588,3</w:t>
            </w:r>
          </w:p>
        </w:tc>
      </w:tr>
      <w:tr w:rsidR="00B00596" w:rsidRPr="00E66F7F" w:rsidTr="004E14EE">
        <w:trPr>
          <w:trHeight w:val="645"/>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b/>
                <w:bCs/>
                <w:i/>
                <w:iCs/>
                <w:color w:val="000000"/>
                <w:sz w:val="20"/>
                <w:szCs w:val="20"/>
                <w:lang w:eastAsia="ru-RU"/>
              </w:rPr>
            </w:pPr>
            <w:r w:rsidRPr="00E66F7F">
              <w:rPr>
                <w:rFonts w:ascii="Times New Roman" w:eastAsia="Times New Roman" w:hAnsi="Times New Roman" w:cs="Times New Roman"/>
                <w:b/>
                <w:bCs/>
                <w:i/>
                <w:iCs/>
                <w:color w:val="000000"/>
                <w:sz w:val="20"/>
                <w:szCs w:val="20"/>
                <w:lang w:eastAsia="ru-RU"/>
              </w:rPr>
              <w:t>Яйца</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51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Все категории хозяйств</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тыс.штук</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1628,97</w:t>
            </w:r>
          </w:p>
        </w:tc>
        <w:tc>
          <w:tcPr>
            <w:tcW w:w="128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1638</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1764,6</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1842,3</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1943,7</w:t>
            </w:r>
          </w:p>
        </w:tc>
      </w:tr>
      <w:tr w:rsidR="00B00596" w:rsidRPr="00E66F7F" w:rsidTr="004E14EE">
        <w:trPr>
          <w:trHeight w:val="645"/>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в том числе сельхозорганизации</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тыс.штук</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51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фермерские хозяйства</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тыс.штук</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r w:rsidR="00B00596" w:rsidRPr="00E66F7F" w:rsidTr="004E14EE">
        <w:trPr>
          <w:trHeight w:val="51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xml:space="preserve"> хозяйства населения</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тыс.штук</w:t>
            </w:r>
          </w:p>
        </w:tc>
        <w:tc>
          <w:tcPr>
            <w:tcW w:w="841" w:type="dxa"/>
            <w:tcBorders>
              <w:top w:val="nil"/>
              <w:left w:val="nil"/>
              <w:bottom w:val="single" w:sz="4" w:space="0" w:color="auto"/>
              <w:right w:val="single" w:sz="4" w:space="0" w:color="auto"/>
            </w:tcBorders>
            <w:shd w:val="clear" w:color="000000" w:fill="FFFFFF"/>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1628,97</w:t>
            </w:r>
          </w:p>
        </w:tc>
        <w:tc>
          <w:tcPr>
            <w:tcW w:w="128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1638</w:t>
            </w:r>
          </w:p>
        </w:tc>
        <w:tc>
          <w:tcPr>
            <w:tcW w:w="1247"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1764,6</w:t>
            </w:r>
          </w:p>
        </w:tc>
        <w:tc>
          <w:tcPr>
            <w:tcW w:w="1163"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1842,3</w:t>
            </w:r>
          </w:p>
        </w:tc>
        <w:tc>
          <w:tcPr>
            <w:tcW w:w="1275" w:type="dxa"/>
            <w:tcBorders>
              <w:top w:val="nil"/>
              <w:left w:val="nil"/>
              <w:bottom w:val="single" w:sz="4" w:space="0" w:color="auto"/>
              <w:right w:val="single" w:sz="4" w:space="0" w:color="auto"/>
            </w:tcBorders>
            <w:shd w:val="clear" w:color="auto" w:fill="auto"/>
            <w:vAlign w:val="center"/>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1561,3</w:t>
            </w:r>
          </w:p>
        </w:tc>
      </w:tr>
      <w:tr w:rsidR="00B00596" w:rsidRPr="00E66F7F" w:rsidTr="004E14EE">
        <w:trPr>
          <w:trHeight w:val="300"/>
        </w:trPr>
        <w:tc>
          <w:tcPr>
            <w:tcW w:w="1557" w:type="dxa"/>
            <w:tcBorders>
              <w:top w:val="nil"/>
              <w:left w:val="nil"/>
              <w:bottom w:val="nil"/>
              <w:right w:val="nil"/>
            </w:tcBorders>
            <w:shd w:val="clear" w:color="auto" w:fill="auto"/>
            <w:noWrap/>
            <w:vAlign w:val="bottom"/>
            <w:hideMark/>
          </w:tcPr>
          <w:p w:rsidR="00B00596" w:rsidRPr="00E66F7F" w:rsidRDefault="00B00596" w:rsidP="00E66F7F">
            <w:pPr>
              <w:spacing w:after="0" w:line="240" w:lineRule="auto"/>
              <w:rPr>
                <w:rFonts w:ascii="Calibri" w:eastAsia="Times New Roman" w:hAnsi="Calibri" w:cs="Calibri"/>
                <w:color w:val="000000"/>
                <w:lang w:eastAsia="ru-RU"/>
              </w:rPr>
            </w:pPr>
          </w:p>
        </w:tc>
        <w:tc>
          <w:tcPr>
            <w:tcW w:w="2410" w:type="dxa"/>
            <w:tcBorders>
              <w:top w:val="nil"/>
              <w:left w:val="single" w:sz="4" w:space="0" w:color="auto"/>
              <w:bottom w:val="single" w:sz="4" w:space="0" w:color="auto"/>
              <w:right w:val="single" w:sz="4" w:space="0" w:color="auto"/>
            </w:tcBorders>
            <w:shd w:val="clear" w:color="auto" w:fill="auto"/>
            <w:hideMark/>
          </w:tcPr>
          <w:p w:rsidR="00B00596" w:rsidRPr="00E66F7F" w:rsidRDefault="00B00596" w:rsidP="00E66F7F">
            <w:pPr>
              <w:spacing w:after="0" w:line="240" w:lineRule="auto"/>
              <w:jc w:val="both"/>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841"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8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hideMark/>
          </w:tcPr>
          <w:p w:rsidR="00B00596" w:rsidRPr="00E66F7F" w:rsidRDefault="00B00596" w:rsidP="00E66F7F">
            <w:pPr>
              <w:spacing w:after="0" w:line="240" w:lineRule="auto"/>
              <w:jc w:val="center"/>
              <w:rPr>
                <w:rFonts w:ascii="Times New Roman" w:eastAsia="Times New Roman" w:hAnsi="Times New Roman" w:cs="Times New Roman"/>
                <w:color w:val="000000"/>
                <w:sz w:val="20"/>
                <w:szCs w:val="20"/>
                <w:lang w:eastAsia="ru-RU"/>
              </w:rPr>
            </w:pPr>
            <w:r w:rsidRPr="00E66F7F">
              <w:rPr>
                <w:rFonts w:ascii="Times New Roman" w:eastAsia="Times New Roman" w:hAnsi="Times New Roman" w:cs="Times New Roman"/>
                <w:color w:val="000000"/>
                <w:sz w:val="20"/>
                <w:szCs w:val="20"/>
                <w:lang w:eastAsia="ru-RU"/>
              </w:rPr>
              <w:t> </w:t>
            </w:r>
          </w:p>
        </w:tc>
      </w:tr>
    </w:tbl>
    <w:p w:rsidR="00F51B81" w:rsidRPr="00B06469" w:rsidRDefault="00F51B81" w:rsidP="001F0139">
      <w:pPr>
        <w:spacing w:after="0" w:line="360" w:lineRule="auto"/>
        <w:ind w:firstLine="709"/>
        <w:jc w:val="both"/>
        <w:rPr>
          <w:rFonts w:ascii="Times New Roman" w:hAnsi="Times New Roman" w:cs="Times New Roman"/>
          <w:b/>
          <w:color w:val="365F91" w:themeColor="accent1" w:themeShade="BF"/>
          <w:sz w:val="24"/>
          <w:szCs w:val="24"/>
        </w:rPr>
      </w:pPr>
    </w:p>
    <w:p w:rsidR="00F51B81" w:rsidRPr="00B06469" w:rsidRDefault="00F51B81" w:rsidP="001F0139">
      <w:pPr>
        <w:spacing w:after="0" w:line="360" w:lineRule="auto"/>
        <w:ind w:firstLine="709"/>
        <w:jc w:val="both"/>
        <w:rPr>
          <w:rFonts w:ascii="Times New Roman" w:hAnsi="Times New Roman" w:cs="Times New Roman"/>
          <w:b/>
          <w:color w:val="365F91" w:themeColor="accent1" w:themeShade="BF"/>
          <w:sz w:val="24"/>
          <w:szCs w:val="24"/>
        </w:rPr>
      </w:pPr>
    </w:p>
    <w:p w:rsidR="004E14EE" w:rsidRPr="00B06469" w:rsidRDefault="004E14EE" w:rsidP="004E14EE">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Ожидаемые результаты</w:t>
      </w:r>
    </w:p>
    <w:tbl>
      <w:tblPr>
        <w:tblW w:w="9215" w:type="dxa"/>
        <w:tblLayout w:type="fixed"/>
        <w:tblLook w:val="0000" w:firstRow="0" w:lastRow="0" w:firstColumn="0" w:lastColumn="0" w:noHBand="0" w:noVBand="0"/>
      </w:tblPr>
      <w:tblGrid>
        <w:gridCol w:w="3369"/>
        <w:gridCol w:w="885"/>
        <w:gridCol w:w="816"/>
        <w:gridCol w:w="1168"/>
        <w:gridCol w:w="992"/>
        <w:gridCol w:w="993"/>
        <w:gridCol w:w="992"/>
      </w:tblGrid>
      <w:tr w:rsidR="004E14EE" w:rsidRPr="00B06469" w:rsidTr="009F4FA6">
        <w:trPr>
          <w:trHeight w:val="164"/>
        </w:trPr>
        <w:tc>
          <w:tcPr>
            <w:tcW w:w="3369" w:type="dxa"/>
            <w:tcBorders>
              <w:top w:val="single" w:sz="4" w:space="0" w:color="000000"/>
              <w:left w:val="single" w:sz="4" w:space="0" w:color="000000"/>
              <w:bottom w:val="single" w:sz="4" w:space="0" w:color="000000"/>
              <w:right w:val="single" w:sz="4" w:space="0" w:color="000000"/>
            </w:tcBorders>
            <w:shd w:val="clear" w:color="auto" w:fill="FF0000"/>
          </w:tcPr>
          <w:p w:rsidR="004E14EE" w:rsidRPr="00B06469" w:rsidRDefault="004E14EE" w:rsidP="009F4FA6">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Показатели</w:t>
            </w:r>
          </w:p>
        </w:tc>
        <w:tc>
          <w:tcPr>
            <w:tcW w:w="885" w:type="dxa"/>
            <w:tcBorders>
              <w:top w:val="single" w:sz="4" w:space="0" w:color="000000"/>
              <w:left w:val="single" w:sz="4" w:space="0" w:color="000000"/>
              <w:bottom w:val="single" w:sz="4" w:space="0" w:color="000000"/>
              <w:right w:val="single" w:sz="4" w:space="0" w:color="auto"/>
            </w:tcBorders>
            <w:shd w:val="clear" w:color="auto" w:fill="FF0000"/>
          </w:tcPr>
          <w:p w:rsidR="004E14EE" w:rsidRPr="00B06469" w:rsidRDefault="004E14EE" w:rsidP="009F4FA6">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Един. измер</w:t>
            </w:r>
            <w:r w:rsidRPr="00B06469">
              <w:rPr>
                <w:rFonts w:ascii="Times New Roman" w:eastAsia="Calibri" w:hAnsi="Times New Roman" w:cs="Times New Roman"/>
                <w:b/>
                <w:color w:val="FFFFFF"/>
                <w:sz w:val="24"/>
                <w:szCs w:val="24"/>
              </w:rPr>
              <w:lastRenderedPageBreak/>
              <w:t>.</w:t>
            </w:r>
          </w:p>
        </w:tc>
        <w:tc>
          <w:tcPr>
            <w:tcW w:w="816" w:type="dxa"/>
            <w:tcBorders>
              <w:top w:val="single" w:sz="4" w:space="0" w:color="000000"/>
              <w:left w:val="single" w:sz="4" w:space="0" w:color="auto"/>
              <w:bottom w:val="single" w:sz="4" w:space="0" w:color="000000"/>
            </w:tcBorders>
            <w:shd w:val="clear" w:color="auto" w:fill="FF0000"/>
          </w:tcPr>
          <w:p w:rsidR="004E14EE" w:rsidRPr="00B06469" w:rsidRDefault="004E14EE" w:rsidP="009F4FA6">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lastRenderedPageBreak/>
              <w:t>2016</w:t>
            </w:r>
          </w:p>
        </w:tc>
        <w:tc>
          <w:tcPr>
            <w:tcW w:w="1168" w:type="dxa"/>
            <w:tcBorders>
              <w:top w:val="single" w:sz="4" w:space="0" w:color="000000"/>
              <w:left w:val="single" w:sz="4" w:space="0" w:color="000000"/>
              <w:bottom w:val="single" w:sz="4" w:space="0" w:color="000000"/>
              <w:right w:val="single" w:sz="4" w:space="0" w:color="000000"/>
            </w:tcBorders>
            <w:shd w:val="clear" w:color="auto" w:fill="FF0000"/>
          </w:tcPr>
          <w:p w:rsidR="004E14EE" w:rsidRPr="00B06469" w:rsidRDefault="004E14EE" w:rsidP="009F4FA6">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Сценарии</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rsidR="004E14EE" w:rsidRPr="00B06469" w:rsidRDefault="004E14EE" w:rsidP="009F4FA6">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FF0000"/>
          </w:tcPr>
          <w:p w:rsidR="004E14EE" w:rsidRPr="00B06469" w:rsidRDefault="004E14EE" w:rsidP="009F4FA6">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2025</w:t>
            </w:r>
          </w:p>
        </w:tc>
        <w:tc>
          <w:tcPr>
            <w:tcW w:w="992" w:type="dxa"/>
            <w:tcBorders>
              <w:top w:val="single" w:sz="4" w:space="0" w:color="000000"/>
              <w:left w:val="single" w:sz="4" w:space="0" w:color="000000"/>
              <w:bottom w:val="single" w:sz="4" w:space="0" w:color="000000"/>
              <w:right w:val="single" w:sz="4" w:space="0" w:color="000000"/>
            </w:tcBorders>
            <w:shd w:val="clear" w:color="auto" w:fill="FF0000"/>
          </w:tcPr>
          <w:p w:rsidR="004E14EE" w:rsidRPr="00B06469" w:rsidRDefault="004E14EE" w:rsidP="009F4FA6">
            <w:pPr>
              <w:spacing w:after="0"/>
              <w:jc w:val="both"/>
              <w:rPr>
                <w:rFonts w:ascii="Times New Roman" w:eastAsia="Calibri" w:hAnsi="Times New Roman" w:cs="Times New Roman"/>
                <w:b/>
                <w:color w:val="FFFFFF"/>
                <w:sz w:val="24"/>
                <w:szCs w:val="24"/>
              </w:rPr>
            </w:pPr>
            <w:r w:rsidRPr="00B06469">
              <w:rPr>
                <w:rFonts w:ascii="Times New Roman" w:eastAsia="Calibri" w:hAnsi="Times New Roman" w:cs="Times New Roman"/>
                <w:b/>
                <w:color w:val="FFFFFF"/>
                <w:sz w:val="24"/>
                <w:szCs w:val="24"/>
              </w:rPr>
              <w:t>2030</w:t>
            </w:r>
          </w:p>
        </w:tc>
      </w:tr>
      <w:tr w:rsidR="004E14EE" w:rsidRPr="00B06469" w:rsidTr="009F4FA6">
        <w:trPr>
          <w:trHeight w:val="164"/>
        </w:trPr>
        <w:tc>
          <w:tcPr>
            <w:tcW w:w="3369" w:type="dxa"/>
            <w:tcBorders>
              <w:top w:val="single" w:sz="4" w:space="0" w:color="000000"/>
              <w:left w:val="single" w:sz="4" w:space="0" w:color="000000"/>
              <w:bottom w:val="single" w:sz="4" w:space="0" w:color="000000"/>
              <w:right w:val="single" w:sz="4" w:space="0" w:color="000000"/>
            </w:tcBorders>
          </w:tcPr>
          <w:p w:rsidR="004E14EE" w:rsidRPr="00B06469" w:rsidRDefault="004E14EE" w:rsidP="009F4FA6">
            <w:pPr>
              <w:spacing w:after="0"/>
              <w:rPr>
                <w:rFonts w:ascii="Times New Roman" w:eastAsia="Times New Roman" w:hAnsi="Times New Roman" w:cs="Times New Roman"/>
                <w:bCs/>
                <w:sz w:val="24"/>
                <w:szCs w:val="24"/>
                <w:lang w:eastAsia="ru-RU"/>
              </w:rPr>
            </w:pPr>
            <w:r w:rsidRPr="00B06469">
              <w:rPr>
                <w:rStyle w:val="211pt"/>
                <w:rFonts w:eastAsiaTheme="minorHAnsi"/>
                <w:sz w:val="24"/>
                <w:szCs w:val="24"/>
              </w:rPr>
              <w:lastRenderedPageBreak/>
              <w:t>Индекс производства продукции сельского хозяйства к уровню 2015 г., %</w:t>
            </w:r>
          </w:p>
        </w:tc>
        <w:tc>
          <w:tcPr>
            <w:tcW w:w="885" w:type="dxa"/>
            <w:tcBorders>
              <w:top w:val="single" w:sz="4" w:space="0" w:color="000000"/>
              <w:left w:val="single" w:sz="4" w:space="0" w:color="000000"/>
              <w:bottom w:val="single" w:sz="4" w:space="0" w:color="000000"/>
            </w:tcBorders>
          </w:tcPr>
          <w:p w:rsidR="004E14EE" w:rsidRPr="00B06469" w:rsidRDefault="004E14EE" w:rsidP="009F4FA6">
            <w:pPr>
              <w:spacing w:after="0"/>
              <w:rPr>
                <w:rFonts w:ascii="Times New Roman" w:eastAsia="Calibri" w:hAnsi="Times New Roman" w:cs="Times New Roman"/>
                <w:sz w:val="24"/>
                <w:szCs w:val="24"/>
              </w:rPr>
            </w:pPr>
            <w:r w:rsidRPr="00B06469">
              <w:rPr>
                <w:rFonts w:ascii="Times New Roman" w:eastAsia="Times New Roman" w:hAnsi="Times New Roman" w:cs="Times New Roman"/>
                <w:sz w:val="24"/>
                <w:szCs w:val="24"/>
                <w:lang w:eastAsia="ru-RU"/>
              </w:rPr>
              <w:t xml:space="preserve">в % к </w:t>
            </w:r>
            <w:r w:rsidRPr="00B06469">
              <w:rPr>
                <w:rStyle w:val="211pt"/>
                <w:rFonts w:eastAsiaTheme="minorHAnsi"/>
                <w:sz w:val="24"/>
                <w:szCs w:val="24"/>
              </w:rPr>
              <w:t>уровню 2015</w:t>
            </w:r>
          </w:p>
        </w:tc>
        <w:tc>
          <w:tcPr>
            <w:tcW w:w="816" w:type="dxa"/>
            <w:tcBorders>
              <w:top w:val="single" w:sz="4" w:space="0" w:color="000000"/>
              <w:left w:val="single" w:sz="4" w:space="0" w:color="000000"/>
              <w:bottom w:val="single" w:sz="4" w:space="0" w:color="000000"/>
            </w:tcBorders>
          </w:tcPr>
          <w:p w:rsidR="004E14EE" w:rsidRPr="00B06469" w:rsidRDefault="004E14EE" w:rsidP="009F4FA6">
            <w:pPr>
              <w:spacing w:after="0"/>
              <w:rPr>
                <w:rFonts w:ascii="Times New Roman" w:eastAsia="Times New Roman" w:hAnsi="Times New Roman" w:cs="Times New Roman"/>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tcPr>
          <w:p w:rsidR="004E14EE" w:rsidRPr="00B06469" w:rsidRDefault="004E14EE" w:rsidP="009F4FA6">
            <w:pPr>
              <w:spacing w:after="0"/>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инерционный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4E14EE" w:rsidRPr="00B06469" w:rsidRDefault="004E14EE" w:rsidP="009F4FA6">
            <w:pPr>
              <w:spacing w:after="0" w:line="220" w:lineRule="exact"/>
              <w:rPr>
                <w:rFonts w:ascii="Times New Roman" w:hAnsi="Times New Roman" w:cs="Times New Roman"/>
                <w:sz w:val="24"/>
                <w:szCs w:val="24"/>
              </w:rPr>
            </w:pPr>
            <w:r w:rsidRPr="00B06469">
              <w:rPr>
                <w:rStyle w:val="211pt"/>
                <w:rFonts w:eastAsiaTheme="minorHAnsi"/>
                <w:sz w:val="24"/>
                <w:szCs w:val="24"/>
              </w:rPr>
              <w:t>121,2</w:t>
            </w:r>
          </w:p>
        </w:tc>
        <w:tc>
          <w:tcPr>
            <w:tcW w:w="993" w:type="dxa"/>
            <w:tcBorders>
              <w:top w:val="single" w:sz="4" w:space="0" w:color="000000"/>
              <w:left w:val="single" w:sz="4" w:space="0" w:color="000000"/>
              <w:bottom w:val="single" w:sz="4" w:space="0" w:color="000000"/>
              <w:right w:val="single" w:sz="4" w:space="0" w:color="000000"/>
            </w:tcBorders>
            <w:vAlign w:val="center"/>
          </w:tcPr>
          <w:p w:rsidR="004E14EE" w:rsidRPr="00B06469" w:rsidRDefault="004E14EE" w:rsidP="009F4FA6">
            <w:pPr>
              <w:spacing w:after="0" w:line="220" w:lineRule="exact"/>
              <w:rPr>
                <w:rFonts w:ascii="Times New Roman" w:hAnsi="Times New Roman" w:cs="Times New Roman"/>
                <w:sz w:val="24"/>
                <w:szCs w:val="24"/>
              </w:rPr>
            </w:pPr>
            <w:r w:rsidRPr="00B06469">
              <w:rPr>
                <w:rStyle w:val="211pt"/>
                <w:rFonts w:eastAsiaTheme="minorHAnsi"/>
                <w:sz w:val="24"/>
                <w:szCs w:val="24"/>
              </w:rPr>
              <w:t>135,0</w:t>
            </w:r>
          </w:p>
        </w:tc>
        <w:tc>
          <w:tcPr>
            <w:tcW w:w="992" w:type="dxa"/>
            <w:tcBorders>
              <w:top w:val="single" w:sz="4" w:space="0" w:color="000000"/>
              <w:left w:val="single" w:sz="4" w:space="0" w:color="000000"/>
              <w:bottom w:val="single" w:sz="4" w:space="0" w:color="000000"/>
              <w:right w:val="single" w:sz="4" w:space="0" w:color="000000"/>
            </w:tcBorders>
            <w:vAlign w:val="center"/>
          </w:tcPr>
          <w:p w:rsidR="004E14EE" w:rsidRPr="00B06469" w:rsidRDefault="004E14EE" w:rsidP="009F4FA6">
            <w:pPr>
              <w:spacing w:after="0" w:line="220" w:lineRule="exact"/>
              <w:rPr>
                <w:rFonts w:ascii="Times New Roman" w:hAnsi="Times New Roman" w:cs="Times New Roman"/>
                <w:sz w:val="24"/>
                <w:szCs w:val="24"/>
              </w:rPr>
            </w:pPr>
            <w:r w:rsidRPr="00B06469">
              <w:rPr>
                <w:rStyle w:val="211pt"/>
                <w:rFonts w:eastAsiaTheme="minorHAnsi"/>
                <w:sz w:val="24"/>
                <w:szCs w:val="24"/>
              </w:rPr>
              <w:t>154,4</w:t>
            </w:r>
          </w:p>
        </w:tc>
      </w:tr>
      <w:tr w:rsidR="004E14EE" w:rsidRPr="00B06469" w:rsidTr="009F4FA6">
        <w:trPr>
          <w:trHeight w:val="164"/>
        </w:trPr>
        <w:tc>
          <w:tcPr>
            <w:tcW w:w="3369" w:type="dxa"/>
            <w:tcBorders>
              <w:top w:val="single" w:sz="4" w:space="0" w:color="000000"/>
              <w:left w:val="single" w:sz="4" w:space="0" w:color="000000"/>
              <w:bottom w:val="single" w:sz="4" w:space="0" w:color="000000"/>
              <w:right w:val="single" w:sz="4" w:space="0" w:color="000000"/>
            </w:tcBorders>
          </w:tcPr>
          <w:p w:rsidR="004E14EE" w:rsidRPr="00B06469" w:rsidRDefault="004E14EE" w:rsidP="009F4FA6">
            <w:pPr>
              <w:spacing w:after="0"/>
              <w:rPr>
                <w:rFonts w:ascii="Times New Roman" w:eastAsia="Times New Roman" w:hAnsi="Times New Roman" w:cs="Times New Roman"/>
                <w:bCs/>
                <w:sz w:val="24"/>
                <w:szCs w:val="24"/>
                <w:lang w:eastAsia="ru-RU"/>
              </w:rPr>
            </w:pPr>
          </w:p>
        </w:tc>
        <w:tc>
          <w:tcPr>
            <w:tcW w:w="885" w:type="dxa"/>
            <w:tcBorders>
              <w:top w:val="single" w:sz="4" w:space="0" w:color="000000"/>
              <w:left w:val="single" w:sz="4" w:space="0" w:color="000000"/>
              <w:bottom w:val="single" w:sz="4" w:space="0" w:color="000000"/>
            </w:tcBorders>
          </w:tcPr>
          <w:p w:rsidR="004E14EE" w:rsidRPr="00B06469" w:rsidRDefault="004E14EE" w:rsidP="009F4FA6">
            <w:pPr>
              <w:spacing w:after="0"/>
              <w:rPr>
                <w:rFonts w:ascii="Times New Roman" w:eastAsia="Calibri" w:hAnsi="Times New Roman" w:cs="Times New Roman"/>
                <w:sz w:val="24"/>
                <w:szCs w:val="24"/>
              </w:rPr>
            </w:pPr>
          </w:p>
        </w:tc>
        <w:tc>
          <w:tcPr>
            <w:tcW w:w="816" w:type="dxa"/>
            <w:tcBorders>
              <w:top w:val="single" w:sz="4" w:space="0" w:color="000000"/>
              <w:left w:val="single" w:sz="4" w:space="0" w:color="000000"/>
              <w:bottom w:val="single" w:sz="4" w:space="0" w:color="000000"/>
            </w:tcBorders>
          </w:tcPr>
          <w:p w:rsidR="004E14EE" w:rsidRPr="00B06469" w:rsidRDefault="004E14EE" w:rsidP="009F4FA6">
            <w:pPr>
              <w:spacing w:after="0"/>
              <w:rPr>
                <w:rFonts w:ascii="Times New Roman" w:eastAsia="Times New Roman" w:hAnsi="Times New Roman" w:cs="Times New Roman"/>
                <w:sz w:val="24"/>
                <w:szCs w:val="24"/>
                <w:lang w:eastAsia="ru-RU"/>
              </w:rPr>
            </w:pPr>
          </w:p>
        </w:tc>
        <w:tc>
          <w:tcPr>
            <w:tcW w:w="1168" w:type="dxa"/>
            <w:tcBorders>
              <w:top w:val="single" w:sz="4" w:space="0" w:color="000000"/>
              <w:left w:val="single" w:sz="4" w:space="0" w:color="000000"/>
              <w:bottom w:val="single" w:sz="4" w:space="0" w:color="000000"/>
              <w:right w:val="single" w:sz="4" w:space="0" w:color="000000"/>
            </w:tcBorders>
          </w:tcPr>
          <w:p w:rsidR="004E14EE" w:rsidRPr="00B06469" w:rsidRDefault="004E14EE" w:rsidP="009F4FA6">
            <w:pPr>
              <w:spacing w:after="0"/>
              <w:rPr>
                <w:rFonts w:ascii="Times New Roman" w:eastAsia="Times New Roman" w:hAnsi="Times New Roman" w:cs="Times New Roman"/>
                <w:sz w:val="24"/>
                <w:szCs w:val="24"/>
                <w:lang w:eastAsia="ru-RU"/>
              </w:rPr>
            </w:pPr>
            <w:r w:rsidRPr="00B06469">
              <w:rPr>
                <w:rFonts w:ascii="Times New Roman" w:eastAsia="Times New Roman" w:hAnsi="Times New Roman" w:cs="Times New Roman"/>
                <w:sz w:val="24"/>
                <w:szCs w:val="24"/>
                <w:lang w:eastAsia="ru-RU"/>
              </w:rPr>
              <w:t>целевой</w:t>
            </w:r>
          </w:p>
        </w:tc>
        <w:tc>
          <w:tcPr>
            <w:tcW w:w="992" w:type="dxa"/>
            <w:tcBorders>
              <w:top w:val="single" w:sz="4" w:space="0" w:color="000000"/>
              <w:left w:val="single" w:sz="4" w:space="0" w:color="000000"/>
              <w:bottom w:val="single" w:sz="4" w:space="0" w:color="000000"/>
              <w:right w:val="single" w:sz="4" w:space="0" w:color="000000"/>
            </w:tcBorders>
          </w:tcPr>
          <w:p w:rsidR="004E14EE" w:rsidRPr="00B06469" w:rsidRDefault="004E14EE" w:rsidP="009F4FA6">
            <w:pPr>
              <w:spacing w:after="0" w:line="220" w:lineRule="exact"/>
              <w:rPr>
                <w:rFonts w:ascii="Times New Roman" w:hAnsi="Times New Roman" w:cs="Times New Roman"/>
                <w:sz w:val="24"/>
                <w:szCs w:val="24"/>
              </w:rPr>
            </w:pPr>
            <w:r w:rsidRPr="00B06469">
              <w:rPr>
                <w:rStyle w:val="211pt"/>
                <w:rFonts w:eastAsiaTheme="minorHAnsi"/>
                <w:sz w:val="24"/>
                <w:szCs w:val="24"/>
              </w:rPr>
              <w:t>127,6</w:t>
            </w:r>
          </w:p>
        </w:tc>
        <w:tc>
          <w:tcPr>
            <w:tcW w:w="993" w:type="dxa"/>
            <w:tcBorders>
              <w:top w:val="single" w:sz="4" w:space="0" w:color="000000"/>
              <w:left w:val="single" w:sz="4" w:space="0" w:color="000000"/>
              <w:bottom w:val="single" w:sz="4" w:space="0" w:color="000000"/>
              <w:right w:val="single" w:sz="4" w:space="0" w:color="000000"/>
            </w:tcBorders>
          </w:tcPr>
          <w:p w:rsidR="004E14EE" w:rsidRPr="00B06469" w:rsidRDefault="004E14EE" w:rsidP="009F4FA6">
            <w:pPr>
              <w:spacing w:after="0" w:line="220" w:lineRule="exact"/>
              <w:rPr>
                <w:rFonts w:ascii="Times New Roman" w:hAnsi="Times New Roman" w:cs="Times New Roman"/>
                <w:sz w:val="24"/>
                <w:szCs w:val="24"/>
              </w:rPr>
            </w:pPr>
            <w:r w:rsidRPr="00B06469">
              <w:rPr>
                <w:rStyle w:val="211pt"/>
                <w:rFonts w:eastAsiaTheme="minorHAnsi"/>
                <w:sz w:val="24"/>
                <w:szCs w:val="24"/>
              </w:rPr>
              <w:t>149,8</w:t>
            </w:r>
          </w:p>
        </w:tc>
        <w:tc>
          <w:tcPr>
            <w:tcW w:w="992" w:type="dxa"/>
            <w:tcBorders>
              <w:top w:val="single" w:sz="4" w:space="0" w:color="000000"/>
              <w:left w:val="single" w:sz="4" w:space="0" w:color="000000"/>
              <w:bottom w:val="single" w:sz="4" w:space="0" w:color="000000"/>
              <w:right w:val="single" w:sz="4" w:space="0" w:color="000000"/>
            </w:tcBorders>
          </w:tcPr>
          <w:p w:rsidR="004E14EE" w:rsidRPr="00B06469" w:rsidRDefault="004E14EE" w:rsidP="009F4FA6">
            <w:pPr>
              <w:spacing w:after="0" w:line="220" w:lineRule="exact"/>
              <w:rPr>
                <w:rFonts w:ascii="Times New Roman" w:hAnsi="Times New Roman" w:cs="Times New Roman"/>
                <w:sz w:val="24"/>
                <w:szCs w:val="24"/>
              </w:rPr>
            </w:pPr>
            <w:r w:rsidRPr="00B06469">
              <w:rPr>
                <w:rStyle w:val="211pt"/>
                <w:rFonts w:eastAsiaTheme="minorHAnsi"/>
                <w:sz w:val="24"/>
                <w:szCs w:val="24"/>
              </w:rPr>
              <w:t>183,6</w:t>
            </w:r>
          </w:p>
        </w:tc>
      </w:tr>
    </w:tbl>
    <w:p w:rsidR="00F51B81" w:rsidRPr="00B06469" w:rsidRDefault="00F51B81" w:rsidP="001F0139">
      <w:pPr>
        <w:spacing w:after="0" w:line="360" w:lineRule="auto"/>
        <w:ind w:firstLine="709"/>
        <w:jc w:val="both"/>
        <w:rPr>
          <w:rFonts w:ascii="Times New Roman" w:hAnsi="Times New Roman" w:cs="Times New Roman"/>
          <w:b/>
          <w:color w:val="365F91" w:themeColor="accent1" w:themeShade="BF"/>
          <w:sz w:val="24"/>
          <w:szCs w:val="24"/>
        </w:rPr>
      </w:pPr>
    </w:p>
    <w:p w:rsidR="00F51B81" w:rsidRPr="00B06469" w:rsidRDefault="00F51B81" w:rsidP="001F0139">
      <w:pPr>
        <w:spacing w:after="0" w:line="360" w:lineRule="auto"/>
        <w:ind w:firstLine="709"/>
        <w:jc w:val="both"/>
        <w:rPr>
          <w:rFonts w:ascii="Times New Roman" w:hAnsi="Times New Roman" w:cs="Times New Roman"/>
          <w:b/>
          <w:color w:val="365F91" w:themeColor="accent1" w:themeShade="BF"/>
          <w:sz w:val="24"/>
          <w:szCs w:val="24"/>
        </w:rPr>
      </w:pPr>
    </w:p>
    <w:p w:rsidR="00F51B81" w:rsidRPr="00B06469" w:rsidRDefault="00F51B81" w:rsidP="001F0139">
      <w:pPr>
        <w:spacing w:after="0" w:line="360" w:lineRule="auto"/>
        <w:ind w:firstLine="709"/>
        <w:jc w:val="both"/>
        <w:rPr>
          <w:rFonts w:ascii="Times New Roman" w:hAnsi="Times New Roman" w:cs="Times New Roman"/>
          <w:b/>
          <w:color w:val="365F91" w:themeColor="accent1" w:themeShade="BF"/>
          <w:sz w:val="24"/>
          <w:szCs w:val="24"/>
        </w:rPr>
      </w:pPr>
    </w:p>
    <w:p w:rsidR="00F51B81" w:rsidRPr="00B06469" w:rsidRDefault="00F51B81" w:rsidP="001F0139">
      <w:pPr>
        <w:spacing w:after="0" w:line="360" w:lineRule="auto"/>
        <w:ind w:firstLine="709"/>
        <w:jc w:val="both"/>
        <w:rPr>
          <w:rFonts w:ascii="Times New Roman" w:hAnsi="Times New Roman" w:cs="Times New Roman"/>
          <w:b/>
          <w:color w:val="365F91" w:themeColor="accent1" w:themeShade="BF"/>
          <w:sz w:val="24"/>
          <w:szCs w:val="24"/>
        </w:rPr>
      </w:pPr>
    </w:p>
    <w:p w:rsidR="00F51B81" w:rsidRPr="00B06469" w:rsidRDefault="00F51B81" w:rsidP="001F0139">
      <w:pPr>
        <w:spacing w:after="0" w:line="360" w:lineRule="auto"/>
        <w:ind w:firstLine="709"/>
        <w:jc w:val="both"/>
        <w:rPr>
          <w:rFonts w:ascii="Times New Roman" w:hAnsi="Times New Roman" w:cs="Times New Roman"/>
          <w:b/>
          <w:color w:val="365F91" w:themeColor="accent1" w:themeShade="BF"/>
          <w:sz w:val="24"/>
          <w:szCs w:val="24"/>
        </w:rPr>
      </w:pPr>
    </w:p>
    <w:p w:rsidR="00D3682B" w:rsidRPr="00B06469" w:rsidRDefault="00D3682B">
      <w:pPr>
        <w:rPr>
          <w:rFonts w:ascii="Times New Roman" w:hAnsi="Times New Roman" w:cs="Times New Roman"/>
          <w:b/>
          <w:sz w:val="24"/>
          <w:szCs w:val="24"/>
        </w:rPr>
      </w:pPr>
      <w:r w:rsidRPr="00B06469">
        <w:rPr>
          <w:rFonts w:ascii="Times New Roman" w:hAnsi="Times New Roman" w:cs="Times New Roman"/>
          <w:b/>
          <w:sz w:val="24"/>
          <w:szCs w:val="24"/>
        </w:rPr>
        <w:br w:type="page"/>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9.ИНСТИТУЦИОНАЛЬНОЕ И РЕСУРСНОЕ ОБЕСПЕЧЕНИЕ РЕАЛИЗАЦИИ СТРАТЕГИИ</w:t>
      </w:r>
    </w:p>
    <w:p w:rsidR="00D3682B" w:rsidRPr="00B06469" w:rsidRDefault="00D3682B" w:rsidP="001F0139">
      <w:pPr>
        <w:widowControl w:val="0"/>
        <w:autoSpaceDE w:val="0"/>
        <w:autoSpaceDN w:val="0"/>
        <w:adjustRightInd w:val="0"/>
        <w:spacing w:after="0" w:line="360" w:lineRule="auto"/>
        <w:ind w:firstLine="709"/>
        <w:jc w:val="both"/>
        <w:rPr>
          <w:rFonts w:ascii="Times New Roman" w:hAnsi="Times New Roman" w:cs="Times New Roman"/>
          <w:b/>
          <w:color w:val="365F91" w:themeColor="accent1" w:themeShade="BF"/>
          <w:sz w:val="24"/>
          <w:szCs w:val="24"/>
        </w:rPr>
      </w:pP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9.1 Этапы и сценарии развития м.р.</w:t>
      </w:r>
      <w:r w:rsidR="00D3682B" w:rsidRPr="00B06469">
        <w:rPr>
          <w:rFonts w:ascii="Times New Roman" w:hAnsi="Times New Roman" w:cs="Times New Roman"/>
          <w:b/>
          <w:color w:val="365F91" w:themeColor="accent1" w:themeShade="BF"/>
          <w:sz w:val="24"/>
          <w:szCs w:val="24"/>
        </w:rPr>
        <w:t xml:space="preserve"> </w:t>
      </w:r>
      <w:r w:rsidRPr="00B06469">
        <w:rPr>
          <w:rFonts w:ascii="Times New Roman" w:hAnsi="Times New Roman" w:cs="Times New Roman"/>
          <w:b/>
          <w:color w:val="365F91" w:themeColor="accent1" w:themeShade="BF"/>
          <w:sz w:val="24"/>
          <w:szCs w:val="24"/>
        </w:rPr>
        <w:t>Камышл</w:t>
      </w:r>
      <w:r w:rsidR="00D3682B" w:rsidRPr="00B06469">
        <w:rPr>
          <w:rFonts w:ascii="Times New Roman" w:hAnsi="Times New Roman" w:cs="Times New Roman"/>
          <w:b/>
          <w:color w:val="365F91" w:themeColor="accent1" w:themeShade="BF"/>
          <w:sz w:val="24"/>
          <w:szCs w:val="24"/>
        </w:rPr>
        <w:t>инский</w:t>
      </w:r>
    </w:p>
    <w:p w:rsidR="00443650" w:rsidRPr="00B06469" w:rsidRDefault="00443650" w:rsidP="001F0139">
      <w:pPr>
        <w:widowControl w:val="0"/>
        <w:autoSpaceDE w:val="0"/>
        <w:autoSpaceDN w:val="0"/>
        <w:adjustRightInd w:val="0"/>
        <w:spacing w:after="0" w:line="240" w:lineRule="auto"/>
        <w:jc w:val="both"/>
        <w:rPr>
          <w:rFonts w:ascii="Times New Roman" w:hAnsi="Times New Roman" w:cs="Times New Roman"/>
          <w:sz w:val="24"/>
          <w:szCs w:val="24"/>
        </w:rPr>
      </w:pP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bookmarkStart w:id="38" w:name="Par650"/>
      <w:bookmarkEnd w:id="38"/>
      <w:r w:rsidRPr="00B06469">
        <w:rPr>
          <w:rFonts w:ascii="Times New Roman" w:hAnsi="Times New Roman" w:cs="Times New Roman"/>
          <w:sz w:val="24"/>
          <w:szCs w:val="24"/>
        </w:rPr>
        <w:t xml:space="preserve">Стратегия определена на 15 лет </w:t>
      </w:r>
      <w:r w:rsidRPr="00B41921">
        <w:rPr>
          <w:rFonts w:ascii="Times New Roman" w:hAnsi="Times New Roman" w:cs="Times New Roman"/>
          <w:sz w:val="24"/>
          <w:szCs w:val="24"/>
        </w:rPr>
        <w:t>(201</w:t>
      </w:r>
      <w:r w:rsidR="00273761" w:rsidRPr="00B41921">
        <w:rPr>
          <w:rFonts w:ascii="Times New Roman" w:hAnsi="Times New Roman" w:cs="Times New Roman"/>
          <w:sz w:val="24"/>
          <w:szCs w:val="24"/>
        </w:rPr>
        <w:t>8</w:t>
      </w:r>
      <w:r w:rsidRPr="00B41921">
        <w:rPr>
          <w:rFonts w:ascii="Times New Roman" w:hAnsi="Times New Roman" w:cs="Times New Roman"/>
          <w:sz w:val="24"/>
          <w:szCs w:val="24"/>
        </w:rPr>
        <w:t xml:space="preserve"> - 2030 годы)</w:t>
      </w:r>
      <w:r w:rsidRPr="00B06469">
        <w:rPr>
          <w:rFonts w:ascii="Times New Roman" w:hAnsi="Times New Roman" w:cs="Times New Roman"/>
          <w:sz w:val="24"/>
          <w:szCs w:val="24"/>
        </w:rPr>
        <w:t xml:space="preserve">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Этапы реализации различаются по условиям, факторам, рискам социально-экономического развития и приоритетам м.р.</w:t>
      </w:r>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Камышл</w:t>
      </w:r>
      <w:r w:rsidR="00D3682B" w:rsidRPr="00B06469">
        <w:rPr>
          <w:rFonts w:ascii="Times New Roman" w:hAnsi="Times New Roman" w:cs="Times New Roman"/>
          <w:sz w:val="24"/>
          <w:szCs w:val="24"/>
        </w:rPr>
        <w:t>инский</w:t>
      </w:r>
      <w:r w:rsidRPr="00B06469">
        <w:rPr>
          <w:rFonts w:ascii="Times New Roman" w:hAnsi="Times New Roman" w:cs="Times New Roman"/>
          <w:sz w:val="24"/>
          <w:szCs w:val="24"/>
        </w:rPr>
        <w:t>.</w:t>
      </w:r>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39" w:name="Par653"/>
      <w:bookmarkEnd w:id="39"/>
      <w:r w:rsidRPr="00B06469">
        <w:rPr>
          <w:rFonts w:ascii="Times New Roman" w:hAnsi="Times New Roman" w:cs="Times New Roman"/>
          <w:sz w:val="24"/>
          <w:szCs w:val="24"/>
        </w:rPr>
        <w:t xml:space="preserve">Первый </w:t>
      </w:r>
      <w:r w:rsidRPr="00B41921">
        <w:rPr>
          <w:rFonts w:ascii="Times New Roman" w:hAnsi="Times New Roman" w:cs="Times New Roman"/>
          <w:sz w:val="24"/>
          <w:szCs w:val="24"/>
        </w:rPr>
        <w:t>этап (2018</w:t>
      </w:r>
      <w:r w:rsidR="00D834D6" w:rsidRPr="00B41921">
        <w:rPr>
          <w:rFonts w:ascii="Times New Roman" w:hAnsi="Times New Roman" w:cs="Times New Roman"/>
          <w:sz w:val="24"/>
          <w:szCs w:val="24"/>
        </w:rPr>
        <w:t>-2020</w:t>
      </w:r>
      <w:r w:rsidRPr="00B41921">
        <w:rPr>
          <w:rFonts w:ascii="Times New Roman" w:hAnsi="Times New Roman" w:cs="Times New Roman"/>
          <w:sz w:val="24"/>
          <w:szCs w:val="24"/>
        </w:rPr>
        <w:t xml:space="preserve"> год</w:t>
      </w:r>
      <w:r w:rsidR="00D834D6" w:rsidRPr="00B41921">
        <w:rPr>
          <w:rFonts w:ascii="Times New Roman" w:hAnsi="Times New Roman" w:cs="Times New Roman"/>
          <w:sz w:val="24"/>
          <w:szCs w:val="24"/>
        </w:rPr>
        <w:t>ы</w:t>
      </w:r>
      <w:r w:rsidRPr="00B41921">
        <w:rPr>
          <w:rFonts w:ascii="Times New Roman" w:hAnsi="Times New Roman" w:cs="Times New Roman"/>
          <w:sz w:val="24"/>
          <w:szCs w:val="24"/>
        </w:rPr>
        <w:t>)</w:t>
      </w:r>
      <w:r w:rsidRPr="00B06469">
        <w:rPr>
          <w:rFonts w:ascii="Times New Roman" w:hAnsi="Times New Roman" w:cs="Times New Roman"/>
          <w:sz w:val="24"/>
          <w:szCs w:val="24"/>
        </w:rPr>
        <w:t xml:space="preserve"> базируется на реализации и расширении тех конкурентных преимуществ, которыми обладает экономика м.р.</w:t>
      </w:r>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Камышлинский</w:t>
      </w:r>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муниципальных программ с формированием программы развития ключевых экономических направлений, проработать набор приоритетных проектов развития, структурированных в рамках портфеля проектов стратегического развития </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Реализация первого этапа. Стратегия на данном этапе обусловливает вероятность существенных корректировок системы стратегических документов.</w:t>
      </w:r>
    </w:p>
    <w:p w:rsidR="00443650" w:rsidRPr="00B06469" w:rsidRDefault="00D834D6"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40" w:name="Par655"/>
      <w:bookmarkEnd w:id="40"/>
      <w:r w:rsidRPr="00B41921">
        <w:rPr>
          <w:rFonts w:ascii="Times New Roman" w:hAnsi="Times New Roman" w:cs="Times New Roman"/>
          <w:sz w:val="24"/>
          <w:szCs w:val="24"/>
        </w:rPr>
        <w:t>Второй этап (</w:t>
      </w:r>
      <w:r w:rsidR="00443650" w:rsidRPr="00B41921">
        <w:rPr>
          <w:rFonts w:ascii="Times New Roman" w:hAnsi="Times New Roman" w:cs="Times New Roman"/>
          <w:sz w:val="24"/>
          <w:szCs w:val="24"/>
        </w:rPr>
        <w:t>2021 год)</w:t>
      </w:r>
      <w:r w:rsidR="00443650" w:rsidRPr="00B06469">
        <w:rPr>
          <w:rFonts w:ascii="Times New Roman" w:hAnsi="Times New Roman" w:cs="Times New Roman"/>
          <w:sz w:val="24"/>
          <w:szCs w:val="24"/>
        </w:rPr>
        <w:t xml:space="preserve"> базируется на модели роста конкурентоспособности. Будут создаваться институциональные условия и технологические заделы развития. В рамках м.р.</w:t>
      </w:r>
      <w:r w:rsidR="00D3682B" w:rsidRPr="00B06469">
        <w:rPr>
          <w:rFonts w:ascii="Times New Roman" w:hAnsi="Times New Roman" w:cs="Times New Roman"/>
          <w:sz w:val="24"/>
          <w:szCs w:val="24"/>
        </w:rPr>
        <w:t xml:space="preserve"> </w:t>
      </w:r>
      <w:r w:rsidR="00443650" w:rsidRPr="00B06469">
        <w:rPr>
          <w:rFonts w:ascii="Times New Roman" w:hAnsi="Times New Roman" w:cs="Times New Roman"/>
          <w:sz w:val="24"/>
          <w:szCs w:val="24"/>
        </w:rPr>
        <w:t>Камышлинский</w:t>
      </w:r>
      <w:r w:rsidR="00D3682B" w:rsidRPr="00B06469">
        <w:rPr>
          <w:rFonts w:ascii="Times New Roman" w:hAnsi="Times New Roman" w:cs="Times New Roman"/>
          <w:sz w:val="24"/>
          <w:szCs w:val="24"/>
        </w:rPr>
        <w:t xml:space="preserve"> </w:t>
      </w:r>
      <w:r w:rsidR="00443650" w:rsidRPr="00B06469">
        <w:rPr>
          <w:rFonts w:ascii="Times New Roman" w:hAnsi="Times New Roman" w:cs="Times New Roman"/>
          <w:sz w:val="24"/>
          <w:szCs w:val="24"/>
        </w:rPr>
        <w:t>ускорится модернизация "современной экономики" и начнется создание заделов "умной экономики", стартуют проекты областной</w:t>
      </w:r>
      <w:r w:rsidR="002760F1" w:rsidRPr="00B06469">
        <w:rPr>
          <w:rFonts w:ascii="Times New Roman" w:hAnsi="Times New Roman" w:cs="Times New Roman"/>
          <w:sz w:val="24"/>
          <w:szCs w:val="24"/>
        </w:rPr>
        <w:t xml:space="preserve"> </w:t>
      </w:r>
      <w:r w:rsidR="00443650" w:rsidRPr="00B06469">
        <w:rPr>
          <w:rFonts w:ascii="Times New Roman" w:hAnsi="Times New Roman" w:cs="Times New Roman"/>
          <w:sz w:val="24"/>
          <w:szCs w:val="24"/>
        </w:rPr>
        <w:t>и межрегиональной интеграции. Внешняя конъюнктура улучшится, темпы роста повысятся.</w:t>
      </w:r>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41" w:name="Par656"/>
      <w:bookmarkEnd w:id="41"/>
      <w:r w:rsidRPr="00B06469">
        <w:rPr>
          <w:rFonts w:ascii="Times New Roman" w:hAnsi="Times New Roman" w:cs="Times New Roman"/>
          <w:sz w:val="24"/>
          <w:szCs w:val="24"/>
        </w:rPr>
        <w:t>Третий этап (2022 - 2024 годы) - обеспечит заметный рост конкурентоспособности экономики и социальной сферы м.р.</w:t>
      </w:r>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Камышлинский на основе перехода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 м.р.</w:t>
      </w:r>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Камышл</w:t>
      </w:r>
      <w:r w:rsidR="00D3682B" w:rsidRPr="00B06469">
        <w:rPr>
          <w:rFonts w:ascii="Times New Roman" w:hAnsi="Times New Roman" w:cs="Times New Roman"/>
          <w:sz w:val="24"/>
          <w:szCs w:val="24"/>
        </w:rPr>
        <w:t>инский</w:t>
      </w:r>
      <w:r w:rsidRPr="00B06469">
        <w:rPr>
          <w:rFonts w:ascii="Times New Roman" w:hAnsi="Times New Roman" w:cs="Times New Roman"/>
          <w:sz w:val="24"/>
          <w:szCs w:val="24"/>
        </w:rPr>
        <w:t>.</w:t>
      </w:r>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42" w:name="Par657"/>
      <w:bookmarkEnd w:id="42"/>
      <w:r w:rsidRPr="00B06469">
        <w:rPr>
          <w:rFonts w:ascii="Times New Roman" w:hAnsi="Times New Roman" w:cs="Times New Roman"/>
          <w:sz w:val="24"/>
          <w:szCs w:val="24"/>
        </w:rPr>
        <w:t>Четвертый этап (2025 - 2030 годы и далее) - произойдет рывок в повышении конкурентоспособности экономики, будут созданы условия для достижения глобальной конкурентоспособности м.р.</w:t>
      </w:r>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Камышлинский в рамках ряда ключевых направлений. М.р.</w:t>
      </w:r>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Камышлинский сможет занять позицию лидера</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Самарской области..</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Неопределенность прогноза внешних условий обусловливает необходимость использования сценарных вариантов реализации Стратегии. Предложено два</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сценария:</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сценарий 1 - инерционный (сценарий жестких ресурсных ограничений);</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сценарий 2 - целевой (сценарий мягких ресурсных ограничений).</w:t>
      </w:r>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43" w:name="Par662"/>
      <w:bookmarkEnd w:id="43"/>
      <w:r w:rsidRPr="00B06469">
        <w:rPr>
          <w:rFonts w:ascii="Times New Roman" w:hAnsi="Times New Roman" w:cs="Times New Roman"/>
          <w:b/>
          <w:sz w:val="24"/>
          <w:szCs w:val="24"/>
        </w:rPr>
        <w:t>Инерционный сценарий</w:t>
      </w:r>
      <w:r w:rsidRPr="00B06469">
        <w:rPr>
          <w:rFonts w:ascii="Times New Roman" w:hAnsi="Times New Roman" w:cs="Times New Roman"/>
          <w:sz w:val="24"/>
          <w:szCs w:val="24"/>
        </w:rPr>
        <w:t>.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Основные параметры сценария:</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м.р.</w:t>
      </w:r>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Камышлинский от других </w:t>
      </w:r>
      <w:r w:rsidR="00D3682B" w:rsidRPr="00B06469">
        <w:rPr>
          <w:rFonts w:ascii="Times New Roman" w:hAnsi="Times New Roman" w:cs="Times New Roman"/>
          <w:sz w:val="24"/>
          <w:szCs w:val="24"/>
        </w:rPr>
        <w:t>муниципальных образований.</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небольшой рост человеческого капитала;</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небольшой рост инвестиционной привлекательности;</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формирование условий пространственного развития;</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расширение интеграционных процессов в межрегиональное и международное социально-экономическое пространство;</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развитие институциональной среды, способствующей сбалансированному устойчивому развитию;</w:t>
      </w:r>
    </w:p>
    <w:p w:rsidR="00443650" w:rsidRPr="00B06469" w:rsidRDefault="00443650" w:rsidP="001F0139">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стабильный уровень безопасности.</w:t>
      </w:r>
    </w:p>
    <w:p w:rsidR="00443650" w:rsidRPr="00B06469" w:rsidRDefault="00443650" w:rsidP="001F0139">
      <w:pPr>
        <w:widowControl w:val="0"/>
        <w:autoSpaceDE w:val="0"/>
        <w:autoSpaceDN w:val="0"/>
        <w:adjustRightInd w:val="0"/>
        <w:spacing w:after="0" w:line="360" w:lineRule="auto"/>
        <w:ind w:firstLine="709"/>
        <w:jc w:val="both"/>
        <w:outlineLvl w:val="4"/>
        <w:rPr>
          <w:rFonts w:ascii="Times New Roman" w:hAnsi="Times New Roman" w:cs="Times New Roman"/>
          <w:sz w:val="24"/>
          <w:szCs w:val="24"/>
        </w:rPr>
      </w:pPr>
      <w:bookmarkStart w:id="44" w:name="Par673"/>
      <w:bookmarkStart w:id="45" w:name="Par683"/>
      <w:bookmarkEnd w:id="44"/>
      <w:bookmarkEnd w:id="45"/>
      <w:r w:rsidRPr="00B06469">
        <w:rPr>
          <w:rFonts w:ascii="Times New Roman" w:hAnsi="Times New Roman" w:cs="Times New Roman"/>
          <w:b/>
          <w:sz w:val="24"/>
          <w:szCs w:val="24"/>
        </w:rPr>
        <w:t>Целевой сценарий</w:t>
      </w:r>
      <w:r w:rsidRPr="00B06469">
        <w:rPr>
          <w:rFonts w:ascii="Times New Roman" w:hAnsi="Times New Roman" w:cs="Times New Roman"/>
          <w:sz w:val="24"/>
          <w:szCs w:val="24"/>
        </w:rPr>
        <w:t>. Предполагает полное раскрытие потенциала развития, достижение глобальной конкурентоспособности. Успешно реализуется активация населения: полностью модернизируется "современная экономика" (преимущественно четвертого с элементами пятого технологического уклада), создается сектор "умной экономики" (пятого - шестого технологических укладов, с возможностью появления седьмого технологического уклада). Большинство намеченных проектов реализуется в плановые сроки.</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При реализации данного сценария в экономике района, по сути, создаются новые конкурентные преимущества, связанные с ее диверсификацией и интенсивным развитием производства.</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Целевой сценарий предусматривает активную деятельность по привлечению м.р.</w:t>
      </w:r>
      <w:r w:rsidR="00D3682B"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Камышлинский инвестиций, направляемых как на новые проекты, так и обновление технологической базы существующих производств. </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Сценарий базируется на благоприятных внешних и внутренних условиях.</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При развитии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по данному сценарию прогнозируется рост численности населения как за счет увеличения естественного движения населения, так и за счет положительной динамики миграционных процессов. При этом прогнозируемые темпы рождаемости и миграционного прироста населения не смогут в полной мере предотвратить сокращение численности населения в трудоспособном возрасте. Предполагаемая диверсификация экономики должна привести к созданию новых мест приложения труда, что повлечет за собой спрос на трудовые ресурсы. Однако, по причине демографического старения населения, на территории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может возникнуть такая проблема, как дефицит квалифицированной рабочей силы. Данное обстоятельство может привести к росту доли работающих пенсионеров, либо к привлечению рабочих кадров на территорию муниципального</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района в целях успешной реализации крупных инфраструктурных проектов.</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Целевой сценарий предполагает интенсивное освоение территории, активное партнерство местных, районных и окружных органов власти и бизнеса в реализации проектов развития территорий. На территории района и входящих в него поселений предполагается создание единого экономического, транспортного, культурного и политического пространства для ведения бизнеса.</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Целевой сценарий развития района предусматривает существенные качественные изменения по основным индикаторам социально-экономического развития. Логика целевого сценария развития предполагает ориентацию на активное внедрение инноваций.</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Реализация данного сценария возможна в условиях наращивания энергоресурсов.</w:t>
      </w:r>
    </w:p>
    <w:p w:rsidR="00443650" w:rsidRPr="00B06469" w:rsidRDefault="00443650" w:rsidP="001F0139">
      <w:pPr>
        <w:shd w:val="clear" w:color="auto" w:fill="FFFFFF"/>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Данный сценарий учитывает сохранение специализации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в основных существующих направлениях экономики. Реализация данного сценария потребует от органов местного самоуправления согласованных синхронизированных действий с заинтересованными сторонами по масштабной подготовке и освоению промышленных, деловых (офисных) и жилых зон (кварталов), развитию сети </w:t>
      </w:r>
      <w:r w:rsidRPr="00B06469">
        <w:rPr>
          <w:rFonts w:ascii="Times New Roman" w:hAnsi="Times New Roman" w:cs="Times New Roman"/>
          <w:sz w:val="24"/>
          <w:szCs w:val="24"/>
        </w:rPr>
        <w:lastRenderedPageBreak/>
        <w:t>транспортных коридоров, реализации программ по привлечению населения из других населенных пунктов.</w:t>
      </w:r>
    </w:p>
    <w:p w:rsidR="00443650" w:rsidRPr="00B06469" w:rsidRDefault="00443650" w:rsidP="001F0139">
      <w:pPr>
        <w:spacing w:after="0"/>
        <w:rPr>
          <w:rFonts w:ascii="Times New Roman" w:hAnsi="Times New Roman" w:cs="Times New Roman"/>
          <w:sz w:val="24"/>
          <w:szCs w:val="24"/>
        </w:rPr>
      </w:pPr>
      <w:r w:rsidRPr="00B06469">
        <w:rPr>
          <w:rFonts w:ascii="Times New Roman" w:hAnsi="Times New Roman" w:cs="Times New Roman"/>
          <w:sz w:val="24"/>
          <w:szCs w:val="24"/>
        </w:rPr>
        <w:t>Таким образом, реализация целевого сценария потребует решения сложных социально-культурных и социально-экономических задач</w:t>
      </w:r>
    </w:p>
    <w:p w:rsidR="00443650" w:rsidRPr="00B06469" w:rsidRDefault="00443650" w:rsidP="001F0139">
      <w:pPr>
        <w:spacing w:after="0"/>
        <w:rPr>
          <w:rFonts w:ascii="Times New Roman" w:hAnsi="Times New Roman" w:cs="Times New Roman"/>
          <w:sz w:val="24"/>
          <w:szCs w:val="24"/>
        </w:rPr>
      </w:pPr>
    </w:p>
    <w:p w:rsidR="00443650" w:rsidRPr="00B06469" w:rsidRDefault="00443650"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t>9.2. Оценка финансовых ресурсов</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В соответствии с Федеральным законом от 28 июня 2014 года №172-ФЗ «О стратегическом планировании в Российской Федерации» и Законом Самарской области от 12.03.2018 №19-ГД «О стратегическом планировании в Самарской области» реализация Стратегии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будет осуществляться путем разработки плана мероприятий, в котором будут детализированы приоритеты Стратегии и осуществлена их увязка с мероприятиями муниципальных программ и бюджетным финансированием.</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Ежегодно по итогам оценки эффективности реализации приоритетных стратегических проектов, муниципальных программ и мониторинга хода исполнения плана мероприятий по реализации Стратегии объем бюджетных средств на реализацию Стратегии будет уточняться, при этом во внимание будут приняты возможности бюджета.</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Реализация стратегии социально-экономического развития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будет осуществляться на основе комплексного подхода путем применения соответствующих механизмов и инструментов по достижению заявленных стратегических целей и поставленных в документе конкретных задач. Данный документ (стратегия) является основополагающим документом, цели и задачи которого разработаны в строгом соответствии с Указом Президента РФ от 07 мая 2018г., со Стратегией социально-экономического развития Самарской области до 2030г.</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Реализация стратегии предусматривает взаимодействие следующих субъектов – участников социально-экономической жизни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Органы местного самоуправления на территории</w:t>
      </w:r>
      <w:r w:rsidR="002760F1" w:rsidRPr="00B06469">
        <w:rPr>
          <w:rFonts w:ascii="Times New Roman" w:hAnsi="Times New Roman" w:cs="Times New Roman"/>
          <w:sz w:val="24"/>
          <w:szCs w:val="24"/>
        </w:rPr>
        <w:t xml:space="preserve">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Органы государственной власти Самарской области;</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Органы власти федерального уровня (территориальные органы федеральных органов исполнительной власти);</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Отраслевые ассоциации и объединения хозяйствующих субъектов;</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Общественные организации, политические партии и движения;</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Хозяйствующие субъекты;</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Население </w:t>
      </w:r>
      <w:r w:rsidR="00D3682B" w:rsidRPr="00B06469">
        <w:rPr>
          <w:rFonts w:ascii="Times New Roman" w:hAnsi="Times New Roman" w:cs="Times New Roman"/>
          <w:sz w:val="24"/>
          <w:szCs w:val="24"/>
        </w:rPr>
        <w:t>м.р. Камышлинский</w:t>
      </w:r>
    </w:p>
    <w:p w:rsidR="00443650" w:rsidRDefault="00443650" w:rsidP="001F0139">
      <w:pPr>
        <w:spacing w:after="0" w:line="360" w:lineRule="auto"/>
        <w:ind w:firstLine="709"/>
        <w:jc w:val="both"/>
        <w:rPr>
          <w:rFonts w:ascii="Times New Roman" w:hAnsi="Times New Roman" w:cs="Times New Roman"/>
          <w:sz w:val="24"/>
          <w:szCs w:val="24"/>
        </w:rPr>
      </w:pPr>
    </w:p>
    <w:p w:rsidR="00B41921" w:rsidRPr="00B06469" w:rsidRDefault="00B41921" w:rsidP="001F0139">
      <w:pPr>
        <w:spacing w:after="0" w:line="360" w:lineRule="auto"/>
        <w:ind w:firstLine="709"/>
        <w:jc w:val="both"/>
        <w:rPr>
          <w:rFonts w:ascii="Times New Roman" w:hAnsi="Times New Roman" w:cs="Times New Roman"/>
          <w:sz w:val="24"/>
          <w:szCs w:val="24"/>
        </w:rPr>
      </w:pPr>
    </w:p>
    <w:p w:rsidR="00443650" w:rsidRPr="00B06469" w:rsidRDefault="00443650" w:rsidP="001F0139">
      <w:pPr>
        <w:spacing w:after="0" w:line="360" w:lineRule="auto"/>
        <w:ind w:firstLine="709"/>
        <w:jc w:val="both"/>
        <w:rPr>
          <w:rFonts w:ascii="Times New Roman" w:hAnsi="Times New Roman" w:cs="Times New Roman"/>
          <w:b/>
          <w:color w:val="365F91" w:themeColor="accent1" w:themeShade="BF"/>
          <w:sz w:val="24"/>
          <w:szCs w:val="24"/>
        </w:rPr>
      </w:pPr>
      <w:r w:rsidRPr="00B06469">
        <w:rPr>
          <w:rFonts w:ascii="Times New Roman" w:hAnsi="Times New Roman" w:cs="Times New Roman"/>
          <w:b/>
          <w:color w:val="365F91" w:themeColor="accent1" w:themeShade="BF"/>
          <w:sz w:val="24"/>
          <w:szCs w:val="24"/>
        </w:rPr>
        <w:lastRenderedPageBreak/>
        <w:t xml:space="preserve">9.3Механизм реализации стратегии и мониторинг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Система стратегического планирования развития </w:t>
      </w:r>
      <w:r w:rsidR="00D3682B" w:rsidRPr="00B06469">
        <w:rPr>
          <w:rFonts w:ascii="Times New Roman" w:hAnsi="Times New Roman" w:cs="Times New Roman"/>
          <w:sz w:val="24"/>
          <w:szCs w:val="24"/>
        </w:rPr>
        <w:t>м.р. Камышлинский</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основывается на программно-целевых, проектных методах управления, методах территориального планирования, прогнозирования социально-экономического развития.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Основными элементами механизма реализации Стратегии являются:</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нормативное правовое обеспечение;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информационно-методическое обеспечение;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организационно-управленческое обеспечение;</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финансовое обеспечение;</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мониторинг и контроль за ходом реализации документов стратегического планирования;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обеспечение возможности корректировки документов стратегического планирования.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Нормативное правовое обеспечение. Правовой блок механизма реализации Стратегии охватывает все необходимые сферы социально-экономического развития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включая систему стратегического планирования. Предусматривается как разработка новых, так и изменение уже действующих нормативных правовых актов, направленных на обеспечение реализации Стратегии по всем направлениям деятельности государственного регулирования, в результате чего будет сформирована система нормативных правовых актов, регламентирующих реализацию Стратегии и способствующих повышению оперативности и качества управленческих решений, принимаемых исполнительными органами государственной власти и муниципального управления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В целях реализации Стратегии разрабатывается и утверждается план мероприятий по ее реализации. Для каждого мероприятия определяются цели, задачи, обеспечивающие достижение стратегических и целевых ориентиров, ответственные исполнители, объемы финансирования, сроки и этапы выполнения мероприятий - таким образом, реализуется принцип повышения скоординированности оперативных управленческих решений исполнительных органов государственной власти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по реализации Стратегии. При реализации Стратегии применяется программно-целевой метод управления в сочетании с проектным подходом. Важнейшим инструментом активного воздействия на комплексное развитие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будет являться реализация муниципальных и</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государственных программ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Цели и задачи государственных программ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будут соответствовать приоритетам и целям региональной политики в </w:t>
      </w:r>
      <w:r w:rsidRPr="00B06469">
        <w:rPr>
          <w:rFonts w:ascii="Times New Roman" w:hAnsi="Times New Roman" w:cs="Times New Roman"/>
          <w:sz w:val="24"/>
          <w:szCs w:val="24"/>
        </w:rPr>
        <w:lastRenderedPageBreak/>
        <w:t xml:space="preserve">соответствующих сферах социально-экономического развития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 xml:space="preserve">ского округа, указанным в Стратегии. В целях эффективной реализации Стратегии развития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будут внесены изменения в существующие муниципальные</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программы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либо, при необходимости, разработаны новые в соответствии с целями и приоритетами развития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а. При этом приоритетные проекты соответствуют</w:t>
      </w:r>
      <w:r w:rsidR="002760F1" w:rsidRPr="00B06469">
        <w:rPr>
          <w:rFonts w:ascii="Times New Roman" w:hAnsi="Times New Roman" w:cs="Times New Roman"/>
          <w:sz w:val="24"/>
          <w:szCs w:val="24"/>
        </w:rPr>
        <w:t xml:space="preserve"> </w:t>
      </w:r>
      <w:r w:rsidRPr="00B06469">
        <w:rPr>
          <w:rFonts w:ascii="Times New Roman" w:hAnsi="Times New Roman" w:cs="Times New Roman"/>
          <w:sz w:val="24"/>
          <w:szCs w:val="24"/>
        </w:rPr>
        <w:t xml:space="preserve">государственных программ Самарской области или муниципальным программам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Так, финансирование отдельных проектов будет осуществляться через государственные программы. Это позволит оптимизировать распределение бюджетных ресурсов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и контролировать процесс достижения целевых характеристик развития определенных сфер.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Условием успешной реализации Стратегии является высокий профессионализм государственных гражданских служащих. В связи с этим одним из мероприятий по повышению эффективности государственного управления регионом является внедрение современных инструментов кадровой политики, отвечающих задачам развития, закрепленным в Стратегии.</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 В частности, необходимо развивать систему мотивации и привлечения высококвалифицированных специалистов на государственную службу. В целях повышения эффективности государственного управления должна быть решена задача по вовлечению в процесс управления развитием региона широкого круга заинтересованных участников. Для этого предусмотрена реализация следующих мероприятий: переход от прямого субсидирования к организационным формам поддержки. Возможными формами поддержки могут выступать: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1.введение режима наибольшего благоприятствования инвесторам, снижение административных барьеров, предоставление широкого перечня государственных услуг, в том числе в электронном виде, расширение кооперации, создание и развитие кластеров;</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2. расширение участия граждан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в управлении регионом (опросы населения, общественные советы, институт гражданской законодательной инициативы, молодежные объединения, политические партии и пр.);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3.развитие института государственно-частного и муниципально-частного партнерства; расширение использования информационных технологий для коммуникаций с гражданами, бизнесом, федеральными и муниципальными органами власти;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4.взаимодействие с отраслевыми ассоциациями и институтами развития, естественными монополиями и государственными корпорациями, в том числе для участия в федеральных проектах;</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 xml:space="preserve"> 5.подготовка обращений с инициативами в федеральные органы государственной власти по вопросам реализации Стратегии.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Информационно-методическое обеспечение. Участники стратегического планирования в процессе реализации Стратегии должны быть обеспечены актуальной, достоверной и достаточной информацией, методической поддержкой для подготовки и принятия управленческих решений, в связи с чем необходимым является ее всестороннее публичное обсуждение и информирование деловых кругов и общественности: о целях, задачах и приоритетных направлениях Стратегии, и механизмах их достижения; о решениях и действиях, принимаемых субъектами экономической деятельности для реализации Стратегии; о ходе и результатах реализации Стратегии и степени эффективности принимаемых решений. Финансовое обеспечение. Успешная реализация настоящей Стратегии невозможна без наличия соответствующих финансово-инвестиционных ресурсов. Практическое достижение намеченных целей возможно при эффективном использовании финансового блока инструментов реализации Стратегии, направленных на концентрацию финансовых ресурсов на приоритетных направлениях развития, нацеленность на результат. Финансовая база будет определяться денежными средствами консолидированного бюджета, государственных внебюджетных фондов, предприятий, организаций и населения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а также состоянием и развитием банковской системы. Важную роль в социально-экономическом развитии региона будут играть привлекаемые финансовые ресурсы инвесторов. Механизм реализации Стратегии предполагает наличие действенной системы мониторинга и контроля, осуществляемых на основе комплексного анализа достижения целевых показателей и ориентиров социально-экономического развития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степени выполнения запланированных мероприятий. Мониторинг даст возможность сверять реальные результаты с предусмотренными и при необходимости уточнять траекторию развития </w:t>
      </w:r>
      <w:r w:rsidR="001F0139" w:rsidRPr="00B06469">
        <w:rPr>
          <w:rFonts w:ascii="Times New Roman" w:hAnsi="Times New Roman" w:cs="Times New Roman"/>
          <w:sz w:val="24"/>
          <w:szCs w:val="24"/>
        </w:rPr>
        <w:t>район</w:t>
      </w:r>
      <w:r w:rsidRPr="00B06469">
        <w:rPr>
          <w:rFonts w:ascii="Times New Roman" w:hAnsi="Times New Roman" w:cs="Times New Roman"/>
          <w:sz w:val="24"/>
          <w:szCs w:val="24"/>
        </w:rPr>
        <w:t xml:space="preserve">а. Мониторинг реализации Стратегии осуществляется на основе оценки достижения целей Стратегии и выполнения плана мероприятий по реализации Стратегии.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Документами, в которых отражаются результаты мониторинга реализации Стратегии, являются: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1) ежегодный отчет Главы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2) сводный годовой доклад о ходе реализации и об оценке эффективности муниципальных программ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lastRenderedPageBreak/>
        <w:t>Собрание представителей</w:t>
      </w:r>
      <w:r w:rsidR="002760F1" w:rsidRPr="00B06469">
        <w:rPr>
          <w:rFonts w:ascii="Times New Roman" w:hAnsi="Times New Roman" w:cs="Times New Roman"/>
          <w:sz w:val="24"/>
          <w:szCs w:val="24"/>
        </w:rPr>
        <w:t xml:space="preserve"> </w:t>
      </w:r>
      <w:r w:rsidR="00D3682B" w:rsidRPr="00B06469">
        <w:rPr>
          <w:rFonts w:ascii="Times New Roman" w:hAnsi="Times New Roman" w:cs="Times New Roman"/>
          <w:sz w:val="24"/>
          <w:szCs w:val="24"/>
        </w:rPr>
        <w:t>м.р. Камышлинский</w:t>
      </w:r>
      <w:r w:rsidRPr="00B06469">
        <w:rPr>
          <w:rFonts w:ascii="Times New Roman" w:hAnsi="Times New Roman" w:cs="Times New Roman"/>
          <w:sz w:val="24"/>
          <w:szCs w:val="24"/>
        </w:rPr>
        <w:t xml:space="preserve"> обеспечивает контроль за реализацией Стратегии, за соответствием муниципальных программ целям, задачам и приоритетам Стратегии.</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Основные направления действий по реализации Стратегии и приоритетные стратегические проекты будут детализированы в плане мероприятий с указанием ответственных исполнителей и ожидаемых результатов реализации. На основе плана мероприятий будут внесены изменения в существующие муниципальные программы или разработаны новые муниципальные программы, в которых будут определены конкретные мероприятия с указанием объемов и источников финансирования.</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 xml:space="preserve">Основным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Правовое обеспечение будет осуществляться с учетом изменений федерального и регионального законодательства в области экономического и социального развития.</w:t>
      </w:r>
    </w:p>
    <w:p w:rsidR="00443650" w:rsidRPr="00B06469" w:rsidRDefault="00443650" w:rsidP="001F0139">
      <w:pPr>
        <w:spacing w:after="0" w:line="360" w:lineRule="auto"/>
        <w:ind w:firstLine="709"/>
        <w:jc w:val="both"/>
        <w:rPr>
          <w:rFonts w:ascii="Times New Roman" w:hAnsi="Times New Roman" w:cs="Times New Roman"/>
          <w:sz w:val="24"/>
          <w:szCs w:val="24"/>
        </w:rPr>
      </w:pPr>
      <w:r w:rsidRPr="00B06469">
        <w:rPr>
          <w:rFonts w:ascii="Times New Roman" w:hAnsi="Times New Roman" w:cs="Times New Roman"/>
          <w:sz w:val="24"/>
          <w:szCs w:val="24"/>
        </w:rPr>
        <w:t>Проекты и мероприятия, реализуемые в рамках данной Стратегии, предполагающие финансирование из федерального бюджета, бюджета Самарской области, местного бюджета, будут уточняться, корректироваться и согласовываться в установленном порядке с учетом возможностей бюджетов на соответствующий финансовый год и плановый период.</w:t>
      </w:r>
    </w:p>
    <w:p w:rsidR="00E74438" w:rsidRPr="00B06469" w:rsidRDefault="00443650" w:rsidP="00B06469">
      <w:pPr>
        <w:spacing w:after="0" w:line="360" w:lineRule="auto"/>
        <w:ind w:firstLine="709"/>
        <w:jc w:val="both"/>
        <w:rPr>
          <w:sz w:val="24"/>
          <w:szCs w:val="24"/>
        </w:rPr>
      </w:pPr>
      <w:r w:rsidRPr="00B06469">
        <w:rPr>
          <w:rFonts w:ascii="Times New Roman" w:hAnsi="Times New Roman" w:cs="Times New Roman"/>
          <w:sz w:val="24"/>
          <w:szCs w:val="24"/>
        </w:rPr>
        <w:t xml:space="preserve">Ежегодный отчет о реализации Стратегии подлежит официальному опубликованию на официальном портале органов местного самоуправления </w:t>
      </w:r>
      <w:r w:rsidR="00D3682B" w:rsidRPr="00B06469">
        <w:rPr>
          <w:rFonts w:ascii="Times New Roman" w:hAnsi="Times New Roman" w:cs="Times New Roman"/>
          <w:sz w:val="24"/>
          <w:szCs w:val="24"/>
        </w:rPr>
        <w:t>м.р. Камышлинский</w:t>
      </w:r>
      <w:r w:rsidR="00B06469">
        <w:rPr>
          <w:rFonts w:ascii="Times New Roman" w:hAnsi="Times New Roman" w:cs="Times New Roman"/>
          <w:sz w:val="24"/>
          <w:szCs w:val="24"/>
        </w:rPr>
        <w:t>.</w:t>
      </w:r>
    </w:p>
    <w:sectPr w:rsidR="00E74438" w:rsidRPr="00B06469" w:rsidSect="00813D73">
      <w:headerReference w:type="default" r:id="rId69"/>
      <w:footerReference w:type="default" r:id="rId70"/>
      <w:pgSz w:w="11906" w:h="16838"/>
      <w:pgMar w:top="709" w:right="850"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F22" w:rsidRDefault="00204F22" w:rsidP="007223A6">
      <w:pPr>
        <w:spacing w:after="0" w:line="240" w:lineRule="auto"/>
      </w:pPr>
      <w:r>
        <w:separator/>
      </w:r>
    </w:p>
  </w:endnote>
  <w:endnote w:type="continuationSeparator" w:id="0">
    <w:p w:rsidR="00204F22" w:rsidRDefault="00204F22" w:rsidP="00722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Полужирный">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890618"/>
      <w:docPartObj>
        <w:docPartGallery w:val="Page Numbers (Bottom of Page)"/>
        <w:docPartUnique/>
      </w:docPartObj>
    </w:sdtPr>
    <w:sdtEndPr/>
    <w:sdtContent>
      <w:p w:rsidR="001202C5" w:rsidRDefault="001202C5">
        <w:pPr>
          <w:pStyle w:val="af1"/>
          <w:jc w:val="center"/>
        </w:pPr>
        <w:r>
          <w:fldChar w:fldCharType="begin"/>
        </w:r>
        <w:r>
          <w:instrText>PAGE   \* MERGEFORMAT</w:instrText>
        </w:r>
        <w:r>
          <w:fldChar w:fldCharType="separate"/>
        </w:r>
        <w:r w:rsidR="00A07852">
          <w:rPr>
            <w:noProof/>
          </w:rPr>
          <w:t>107</w:t>
        </w:r>
        <w:r>
          <w:fldChar w:fldCharType="end"/>
        </w:r>
      </w:p>
    </w:sdtContent>
  </w:sdt>
  <w:p w:rsidR="001202C5" w:rsidRDefault="001202C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F22" w:rsidRDefault="00204F22" w:rsidP="007223A6">
      <w:pPr>
        <w:spacing w:after="0" w:line="240" w:lineRule="auto"/>
      </w:pPr>
      <w:r>
        <w:separator/>
      </w:r>
    </w:p>
  </w:footnote>
  <w:footnote w:type="continuationSeparator" w:id="0">
    <w:p w:rsidR="00204F22" w:rsidRDefault="00204F22" w:rsidP="00722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2C5" w:rsidRDefault="001202C5">
    <w:pPr>
      <w:pStyle w:val="af"/>
    </w:pPr>
  </w:p>
  <w:p w:rsidR="001202C5" w:rsidRDefault="001202C5">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62C3"/>
    <w:multiLevelType w:val="hybridMultilevel"/>
    <w:tmpl w:val="1B642052"/>
    <w:lvl w:ilvl="0" w:tplc="3920E392">
      <w:start w:val="1"/>
      <w:numFmt w:val="decimal"/>
      <w:lvlText w:val="%1."/>
      <w:lvlJc w:val="left"/>
      <w:pPr>
        <w:tabs>
          <w:tab w:val="num" w:pos="720"/>
        </w:tabs>
        <w:ind w:left="720" w:hanging="360"/>
      </w:pPr>
    </w:lvl>
    <w:lvl w:ilvl="1" w:tplc="1F102CC0" w:tentative="1">
      <w:start w:val="1"/>
      <w:numFmt w:val="decimal"/>
      <w:lvlText w:val="%2."/>
      <w:lvlJc w:val="left"/>
      <w:pPr>
        <w:tabs>
          <w:tab w:val="num" w:pos="1440"/>
        </w:tabs>
        <w:ind w:left="1440" w:hanging="360"/>
      </w:pPr>
    </w:lvl>
    <w:lvl w:ilvl="2" w:tplc="29A4F3D4" w:tentative="1">
      <w:start w:val="1"/>
      <w:numFmt w:val="decimal"/>
      <w:lvlText w:val="%3."/>
      <w:lvlJc w:val="left"/>
      <w:pPr>
        <w:tabs>
          <w:tab w:val="num" w:pos="2160"/>
        </w:tabs>
        <w:ind w:left="2160" w:hanging="360"/>
      </w:pPr>
    </w:lvl>
    <w:lvl w:ilvl="3" w:tplc="AE98B0FA" w:tentative="1">
      <w:start w:val="1"/>
      <w:numFmt w:val="decimal"/>
      <w:lvlText w:val="%4."/>
      <w:lvlJc w:val="left"/>
      <w:pPr>
        <w:tabs>
          <w:tab w:val="num" w:pos="2880"/>
        </w:tabs>
        <w:ind w:left="2880" w:hanging="360"/>
      </w:pPr>
    </w:lvl>
    <w:lvl w:ilvl="4" w:tplc="FA369AE2" w:tentative="1">
      <w:start w:val="1"/>
      <w:numFmt w:val="decimal"/>
      <w:lvlText w:val="%5."/>
      <w:lvlJc w:val="left"/>
      <w:pPr>
        <w:tabs>
          <w:tab w:val="num" w:pos="3600"/>
        </w:tabs>
        <w:ind w:left="3600" w:hanging="360"/>
      </w:pPr>
    </w:lvl>
    <w:lvl w:ilvl="5" w:tplc="6E505F3E" w:tentative="1">
      <w:start w:val="1"/>
      <w:numFmt w:val="decimal"/>
      <w:lvlText w:val="%6."/>
      <w:lvlJc w:val="left"/>
      <w:pPr>
        <w:tabs>
          <w:tab w:val="num" w:pos="4320"/>
        </w:tabs>
        <w:ind w:left="4320" w:hanging="360"/>
      </w:pPr>
    </w:lvl>
    <w:lvl w:ilvl="6" w:tplc="52DAC75E">
      <w:start w:val="1"/>
      <w:numFmt w:val="decimal"/>
      <w:lvlText w:val="%7."/>
      <w:lvlJc w:val="left"/>
      <w:pPr>
        <w:tabs>
          <w:tab w:val="num" w:pos="360"/>
        </w:tabs>
        <w:ind w:left="360" w:hanging="360"/>
      </w:pPr>
    </w:lvl>
    <w:lvl w:ilvl="7" w:tplc="16D0A22E" w:tentative="1">
      <w:start w:val="1"/>
      <w:numFmt w:val="decimal"/>
      <w:lvlText w:val="%8."/>
      <w:lvlJc w:val="left"/>
      <w:pPr>
        <w:tabs>
          <w:tab w:val="num" w:pos="5760"/>
        </w:tabs>
        <w:ind w:left="5760" w:hanging="360"/>
      </w:pPr>
    </w:lvl>
    <w:lvl w:ilvl="8" w:tplc="3356C36A" w:tentative="1">
      <w:start w:val="1"/>
      <w:numFmt w:val="decimal"/>
      <w:lvlText w:val="%9."/>
      <w:lvlJc w:val="left"/>
      <w:pPr>
        <w:tabs>
          <w:tab w:val="num" w:pos="6480"/>
        </w:tabs>
        <w:ind w:left="6480" w:hanging="360"/>
      </w:pPr>
    </w:lvl>
  </w:abstractNum>
  <w:abstractNum w:abstractNumId="1">
    <w:nsid w:val="04641F68"/>
    <w:multiLevelType w:val="multilevel"/>
    <w:tmpl w:val="1D48A4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FB469B"/>
    <w:multiLevelType w:val="hybridMultilevel"/>
    <w:tmpl w:val="EDFA3974"/>
    <w:lvl w:ilvl="0" w:tplc="0419000F">
      <w:start w:val="1"/>
      <w:numFmt w:val="decimal"/>
      <w:lvlText w:val="%1."/>
      <w:lvlJc w:val="lef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81831ED"/>
    <w:multiLevelType w:val="multilevel"/>
    <w:tmpl w:val="0C78CE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C64B41"/>
    <w:multiLevelType w:val="multilevel"/>
    <w:tmpl w:val="6FAE0264"/>
    <w:lvl w:ilvl="0">
      <w:start w:val="5"/>
      <w:numFmt w:val="decimal"/>
      <w:lvlText w:val="%1"/>
      <w:lvlJc w:val="left"/>
      <w:pPr>
        <w:ind w:left="375" w:hanging="375"/>
      </w:pPr>
      <w:rPr>
        <w:rFonts w:hint="default"/>
        <w:b/>
      </w:rPr>
    </w:lvl>
    <w:lvl w:ilvl="1">
      <w:start w:val="1"/>
      <w:numFmt w:val="decimal"/>
      <w:lvlText w:val="%1.%2"/>
      <w:lvlJc w:val="left"/>
      <w:pPr>
        <w:ind w:left="375" w:hanging="375"/>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b w:val="0"/>
      </w:rPr>
    </w:lvl>
    <w:lvl w:ilvl="6">
      <w:start w:val="1"/>
      <w:numFmt w:val="decimal"/>
      <w:lvlText w:val="%1.%2.%3.%4.%5.%6.%7"/>
      <w:lvlJc w:val="left"/>
      <w:pPr>
        <w:ind w:left="6840" w:hanging="1440"/>
      </w:pPr>
      <w:rPr>
        <w:rFonts w:hint="default"/>
        <w:b w:val="0"/>
      </w:rPr>
    </w:lvl>
    <w:lvl w:ilvl="7">
      <w:start w:val="1"/>
      <w:numFmt w:val="decimal"/>
      <w:lvlText w:val="%1.%2.%3.%4.%5.%6.%7.%8"/>
      <w:lvlJc w:val="left"/>
      <w:pPr>
        <w:ind w:left="8100" w:hanging="1800"/>
      </w:pPr>
      <w:rPr>
        <w:rFonts w:hint="default"/>
        <w:b w:val="0"/>
      </w:rPr>
    </w:lvl>
    <w:lvl w:ilvl="8">
      <w:start w:val="1"/>
      <w:numFmt w:val="decimal"/>
      <w:lvlText w:val="%1.%2.%3.%4.%5.%6.%7.%8.%9"/>
      <w:lvlJc w:val="left"/>
      <w:pPr>
        <w:ind w:left="9360" w:hanging="2160"/>
      </w:pPr>
      <w:rPr>
        <w:rFonts w:hint="default"/>
        <w:b w:val="0"/>
      </w:rPr>
    </w:lvl>
  </w:abstractNum>
  <w:abstractNum w:abstractNumId="5">
    <w:nsid w:val="0B3D427C"/>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DC45136"/>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F2827F0"/>
    <w:multiLevelType w:val="hybridMultilevel"/>
    <w:tmpl w:val="D0387A22"/>
    <w:lvl w:ilvl="0" w:tplc="F86868C0">
      <w:start w:val="1"/>
      <w:numFmt w:val="decimal"/>
      <w:lvlText w:val="%1."/>
      <w:lvlJc w:val="left"/>
      <w:pPr>
        <w:tabs>
          <w:tab w:val="num" w:pos="720"/>
        </w:tabs>
        <w:ind w:left="720" w:hanging="360"/>
      </w:pPr>
    </w:lvl>
    <w:lvl w:ilvl="1" w:tplc="2342F4B6" w:tentative="1">
      <w:start w:val="1"/>
      <w:numFmt w:val="decimal"/>
      <w:lvlText w:val="%2."/>
      <w:lvlJc w:val="left"/>
      <w:pPr>
        <w:tabs>
          <w:tab w:val="num" w:pos="1440"/>
        </w:tabs>
        <w:ind w:left="1440" w:hanging="360"/>
      </w:pPr>
    </w:lvl>
    <w:lvl w:ilvl="2" w:tplc="8FF2B6A6" w:tentative="1">
      <w:start w:val="1"/>
      <w:numFmt w:val="decimal"/>
      <w:lvlText w:val="%3."/>
      <w:lvlJc w:val="left"/>
      <w:pPr>
        <w:tabs>
          <w:tab w:val="num" w:pos="2160"/>
        </w:tabs>
        <w:ind w:left="2160" w:hanging="360"/>
      </w:pPr>
    </w:lvl>
    <w:lvl w:ilvl="3" w:tplc="6DC459C6" w:tentative="1">
      <w:start w:val="1"/>
      <w:numFmt w:val="decimal"/>
      <w:lvlText w:val="%4."/>
      <w:lvlJc w:val="left"/>
      <w:pPr>
        <w:tabs>
          <w:tab w:val="num" w:pos="2880"/>
        </w:tabs>
        <w:ind w:left="2880" w:hanging="360"/>
      </w:pPr>
    </w:lvl>
    <w:lvl w:ilvl="4" w:tplc="70BEC8BA" w:tentative="1">
      <w:start w:val="1"/>
      <w:numFmt w:val="decimal"/>
      <w:lvlText w:val="%5."/>
      <w:lvlJc w:val="left"/>
      <w:pPr>
        <w:tabs>
          <w:tab w:val="num" w:pos="3600"/>
        </w:tabs>
        <w:ind w:left="3600" w:hanging="360"/>
      </w:pPr>
    </w:lvl>
    <w:lvl w:ilvl="5" w:tplc="2BBEA320" w:tentative="1">
      <w:start w:val="1"/>
      <w:numFmt w:val="decimal"/>
      <w:lvlText w:val="%6."/>
      <w:lvlJc w:val="left"/>
      <w:pPr>
        <w:tabs>
          <w:tab w:val="num" w:pos="4320"/>
        </w:tabs>
        <w:ind w:left="4320" w:hanging="360"/>
      </w:pPr>
    </w:lvl>
    <w:lvl w:ilvl="6" w:tplc="879022EC">
      <w:start w:val="1"/>
      <w:numFmt w:val="decimal"/>
      <w:lvlText w:val="%7."/>
      <w:lvlJc w:val="left"/>
      <w:pPr>
        <w:tabs>
          <w:tab w:val="num" w:pos="5040"/>
        </w:tabs>
        <w:ind w:left="5040" w:hanging="360"/>
      </w:pPr>
    </w:lvl>
    <w:lvl w:ilvl="7" w:tplc="1250057C" w:tentative="1">
      <w:start w:val="1"/>
      <w:numFmt w:val="decimal"/>
      <w:lvlText w:val="%8."/>
      <w:lvlJc w:val="left"/>
      <w:pPr>
        <w:tabs>
          <w:tab w:val="num" w:pos="5760"/>
        </w:tabs>
        <w:ind w:left="5760" w:hanging="360"/>
      </w:pPr>
    </w:lvl>
    <w:lvl w:ilvl="8" w:tplc="D0FCF3F0" w:tentative="1">
      <w:start w:val="1"/>
      <w:numFmt w:val="decimal"/>
      <w:lvlText w:val="%9."/>
      <w:lvlJc w:val="left"/>
      <w:pPr>
        <w:tabs>
          <w:tab w:val="num" w:pos="6480"/>
        </w:tabs>
        <w:ind w:left="6480" w:hanging="360"/>
      </w:pPr>
    </w:lvl>
  </w:abstractNum>
  <w:abstractNum w:abstractNumId="8">
    <w:nsid w:val="125F0B66"/>
    <w:multiLevelType w:val="hybridMultilevel"/>
    <w:tmpl w:val="0A5CE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534838"/>
    <w:multiLevelType w:val="hybridMultilevel"/>
    <w:tmpl w:val="B69062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CB751AF"/>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027383B"/>
    <w:multiLevelType w:val="multilevel"/>
    <w:tmpl w:val="EDB83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A96CCE"/>
    <w:multiLevelType w:val="multilevel"/>
    <w:tmpl w:val="DE920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4317E9A"/>
    <w:multiLevelType w:val="multilevel"/>
    <w:tmpl w:val="5790BF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85165B"/>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7F2777C"/>
    <w:multiLevelType w:val="hybridMultilevel"/>
    <w:tmpl w:val="2228D628"/>
    <w:lvl w:ilvl="0" w:tplc="71568830">
      <w:start w:val="1"/>
      <w:numFmt w:val="decimal"/>
      <w:lvlText w:val="%1."/>
      <w:lvlJc w:val="left"/>
      <w:pPr>
        <w:tabs>
          <w:tab w:val="num" w:pos="720"/>
        </w:tabs>
        <w:ind w:left="720" w:hanging="360"/>
      </w:pPr>
    </w:lvl>
    <w:lvl w:ilvl="1" w:tplc="10641892" w:tentative="1">
      <w:start w:val="1"/>
      <w:numFmt w:val="decimal"/>
      <w:lvlText w:val="%2."/>
      <w:lvlJc w:val="left"/>
      <w:pPr>
        <w:tabs>
          <w:tab w:val="num" w:pos="1440"/>
        </w:tabs>
        <w:ind w:left="1440" w:hanging="360"/>
      </w:pPr>
    </w:lvl>
    <w:lvl w:ilvl="2" w:tplc="08E2035A" w:tentative="1">
      <w:start w:val="1"/>
      <w:numFmt w:val="decimal"/>
      <w:lvlText w:val="%3."/>
      <w:lvlJc w:val="left"/>
      <w:pPr>
        <w:tabs>
          <w:tab w:val="num" w:pos="2160"/>
        </w:tabs>
        <w:ind w:left="2160" w:hanging="360"/>
      </w:pPr>
    </w:lvl>
    <w:lvl w:ilvl="3" w:tplc="EFD0A594" w:tentative="1">
      <w:start w:val="1"/>
      <w:numFmt w:val="decimal"/>
      <w:lvlText w:val="%4."/>
      <w:lvlJc w:val="left"/>
      <w:pPr>
        <w:tabs>
          <w:tab w:val="num" w:pos="2880"/>
        </w:tabs>
        <w:ind w:left="2880" w:hanging="360"/>
      </w:pPr>
    </w:lvl>
    <w:lvl w:ilvl="4" w:tplc="A1EEA348" w:tentative="1">
      <w:start w:val="1"/>
      <w:numFmt w:val="decimal"/>
      <w:lvlText w:val="%5."/>
      <w:lvlJc w:val="left"/>
      <w:pPr>
        <w:tabs>
          <w:tab w:val="num" w:pos="3600"/>
        </w:tabs>
        <w:ind w:left="3600" w:hanging="360"/>
      </w:pPr>
    </w:lvl>
    <w:lvl w:ilvl="5" w:tplc="76AC2988" w:tentative="1">
      <w:start w:val="1"/>
      <w:numFmt w:val="decimal"/>
      <w:lvlText w:val="%6."/>
      <w:lvlJc w:val="left"/>
      <w:pPr>
        <w:tabs>
          <w:tab w:val="num" w:pos="4320"/>
        </w:tabs>
        <w:ind w:left="4320" w:hanging="360"/>
      </w:pPr>
    </w:lvl>
    <w:lvl w:ilvl="6" w:tplc="B0E4CDB8" w:tentative="1">
      <w:start w:val="1"/>
      <w:numFmt w:val="decimal"/>
      <w:lvlText w:val="%7."/>
      <w:lvlJc w:val="left"/>
      <w:pPr>
        <w:tabs>
          <w:tab w:val="num" w:pos="5040"/>
        </w:tabs>
        <w:ind w:left="5040" w:hanging="360"/>
      </w:pPr>
    </w:lvl>
    <w:lvl w:ilvl="7" w:tplc="B58E7D20" w:tentative="1">
      <w:start w:val="1"/>
      <w:numFmt w:val="decimal"/>
      <w:lvlText w:val="%8."/>
      <w:lvlJc w:val="left"/>
      <w:pPr>
        <w:tabs>
          <w:tab w:val="num" w:pos="5760"/>
        </w:tabs>
        <w:ind w:left="5760" w:hanging="360"/>
      </w:pPr>
    </w:lvl>
    <w:lvl w:ilvl="8" w:tplc="C5364246" w:tentative="1">
      <w:start w:val="1"/>
      <w:numFmt w:val="decimal"/>
      <w:lvlText w:val="%9."/>
      <w:lvlJc w:val="left"/>
      <w:pPr>
        <w:tabs>
          <w:tab w:val="num" w:pos="6480"/>
        </w:tabs>
        <w:ind w:left="6480" w:hanging="360"/>
      </w:pPr>
    </w:lvl>
  </w:abstractNum>
  <w:abstractNum w:abstractNumId="16">
    <w:nsid w:val="39936F55"/>
    <w:multiLevelType w:val="multilevel"/>
    <w:tmpl w:val="DDD837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D716216"/>
    <w:multiLevelType w:val="multilevel"/>
    <w:tmpl w:val="6D7CA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CF5D5D"/>
    <w:multiLevelType w:val="hybridMultilevel"/>
    <w:tmpl w:val="E3A25302"/>
    <w:lvl w:ilvl="0" w:tplc="E0547F38">
      <w:start w:val="1"/>
      <w:numFmt w:val="decimal"/>
      <w:lvlText w:val="%1."/>
      <w:lvlJc w:val="left"/>
      <w:pPr>
        <w:tabs>
          <w:tab w:val="num" w:pos="720"/>
        </w:tabs>
        <w:ind w:left="720" w:hanging="360"/>
      </w:pPr>
    </w:lvl>
    <w:lvl w:ilvl="1" w:tplc="1A601A46" w:tentative="1">
      <w:start w:val="1"/>
      <w:numFmt w:val="decimal"/>
      <w:lvlText w:val="%2."/>
      <w:lvlJc w:val="left"/>
      <w:pPr>
        <w:tabs>
          <w:tab w:val="num" w:pos="1440"/>
        </w:tabs>
        <w:ind w:left="1440" w:hanging="360"/>
      </w:pPr>
    </w:lvl>
    <w:lvl w:ilvl="2" w:tplc="766A6380" w:tentative="1">
      <w:start w:val="1"/>
      <w:numFmt w:val="decimal"/>
      <w:lvlText w:val="%3."/>
      <w:lvlJc w:val="left"/>
      <w:pPr>
        <w:tabs>
          <w:tab w:val="num" w:pos="2160"/>
        </w:tabs>
        <w:ind w:left="2160" w:hanging="360"/>
      </w:pPr>
    </w:lvl>
    <w:lvl w:ilvl="3" w:tplc="B6685EAC" w:tentative="1">
      <w:start w:val="1"/>
      <w:numFmt w:val="decimal"/>
      <w:lvlText w:val="%4."/>
      <w:lvlJc w:val="left"/>
      <w:pPr>
        <w:tabs>
          <w:tab w:val="num" w:pos="2880"/>
        </w:tabs>
        <w:ind w:left="2880" w:hanging="360"/>
      </w:pPr>
    </w:lvl>
    <w:lvl w:ilvl="4" w:tplc="5B821122" w:tentative="1">
      <w:start w:val="1"/>
      <w:numFmt w:val="decimal"/>
      <w:lvlText w:val="%5."/>
      <w:lvlJc w:val="left"/>
      <w:pPr>
        <w:tabs>
          <w:tab w:val="num" w:pos="3600"/>
        </w:tabs>
        <w:ind w:left="3600" w:hanging="360"/>
      </w:pPr>
    </w:lvl>
    <w:lvl w:ilvl="5" w:tplc="C3CE569E" w:tentative="1">
      <w:start w:val="1"/>
      <w:numFmt w:val="decimal"/>
      <w:lvlText w:val="%6."/>
      <w:lvlJc w:val="left"/>
      <w:pPr>
        <w:tabs>
          <w:tab w:val="num" w:pos="4320"/>
        </w:tabs>
        <w:ind w:left="4320" w:hanging="360"/>
      </w:pPr>
    </w:lvl>
    <w:lvl w:ilvl="6" w:tplc="82F4538E" w:tentative="1">
      <w:start w:val="1"/>
      <w:numFmt w:val="decimal"/>
      <w:lvlText w:val="%7."/>
      <w:lvlJc w:val="left"/>
      <w:pPr>
        <w:tabs>
          <w:tab w:val="num" w:pos="5040"/>
        </w:tabs>
        <w:ind w:left="5040" w:hanging="360"/>
      </w:pPr>
    </w:lvl>
    <w:lvl w:ilvl="7" w:tplc="EC5C212E" w:tentative="1">
      <w:start w:val="1"/>
      <w:numFmt w:val="decimal"/>
      <w:lvlText w:val="%8."/>
      <w:lvlJc w:val="left"/>
      <w:pPr>
        <w:tabs>
          <w:tab w:val="num" w:pos="5760"/>
        </w:tabs>
        <w:ind w:left="5760" w:hanging="360"/>
      </w:pPr>
    </w:lvl>
    <w:lvl w:ilvl="8" w:tplc="67FA5410" w:tentative="1">
      <w:start w:val="1"/>
      <w:numFmt w:val="decimal"/>
      <w:lvlText w:val="%9."/>
      <w:lvlJc w:val="left"/>
      <w:pPr>
        <w:tabs>
          <w:tab w:val="num" w:pos="6480"/>
        </w:tabs>
        <w:ind w:left="6480" w:hanging="360"/>
      </w:pPr>
    </w:lvl>
  </w:abstractNum>
  <w:abstractNum w:abstractNumId="19">
    <w:nsid w:val="3E423C2D"/>
    <w:multiLevelType w:val="multilevel"/>
    <w:tmpl w:val="AF82B414"/>
    <w:lvl w:ilvl="0">
      <w:start w:val="1"/>
      <w:numFmt w:val="decimal"/>
      <w:lvlText w:val="%1"/>
      <w:lvlJc w:val="left"/>
      <w:pPr>
        <w:ind w:left="927" w:hanging="360"/>
      </w:pPr>
      <w:rPr>
        <w:rFonts w:hint="default"/>
      </w:rPr>
    </w:lvl>
    <w:lvl w:ilvl="1">
      <w:start w:val="1"/>
      <w:numFmt w:val="decimal"/>
      <w:isLgl/>
      <w:lvlText w:val="%1.%2"/>
      <w:lvlJc w:val="left"/>
      <w:pPr>
        <w:ind w:left="8739"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nsid w:val="3E8F2334"/>
    <w:multiLevelType w:val="hybridMultilevel"/>
    <w:tmpl w:val="85EE78DA"/>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1">
    <w:nsid w:val="3F78140E"/>
    <w:multiLevelType w:val="hybridMultilevel"/>
    <w:tmpl w:val="5F36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C62E73"/>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BD5744E"/>
    <w:multiLevelType w:val="multilevel"/>
    <w:tmpl w:val="5DA8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FE004FA"/>
    <w:multiLevelType w:val="hybridMultilevel"/>
    <w:tmpl w:val="1DC211FC"/>
    <w:lvl w:ilvl="0" w:tplc="61A097DC">
      <w:start w:val="1"/>
      <w:numFmt w:val="decimal"/>
      <w:lvlText w:val="%1."/>
      <w:lvlJc w:val="left"/>
      <w:pPr>
        <w:tabs>
          <w:tab w:val="num" w:pos="720"/>
        </w:tabs>
        <w:ind w:left="720" w:hanging="360"/>
      </w:pPr>
    </w:lvl>
    <w:lvl w:ilvl="1" w:tplc="3836EC48" w:tentative="1">
      <w:start w:val="1"/>
      <w:numFmt w:val="decimal"/>
      <w:lvlText w:val="%2."/>
      <w:lvlJc w:val="left"/>
      <w:pPr>
        <w:tabs>
          <w:tab w:val="num" w:pos="1440"/>
        </w:tabs>
        <w:ind w:left="1440" w:hanging="360"/>
      </w:pPr>
    </w:lvl>
    <w:lvl w:ilvl="2" w:tplc="1D36DFB2" w:tentative="1">
      <w:start w:val="1"/>
      <w:numFmt w:val="decimal"/>
      <w:lvlText w:val="%3."/>
      <w:lvlJc w:val="left"/>
      <w:pPr>
        <w:tabs>
          <w:tab w:val="num" w:pos="2160"/>
        </w:tabs>
        <w:ind w:left="2160" w:hanging="360"/>
      </w:pPr>
    </w:lvl>
    <w:lvl w:ilvl="3" w:tplc="7090B976" w:tentative="1">
      <w:start w:val="1"/>
      <w:numFmt w:val="decimal"/>
      <w:lvlText w:val="%4."/>
      <w:lvlJc w:val="left"/>
      <w:pPr>
        <w:tabs>
          <w:tab w:val="num" w:pos="2880"/>
        </w:tabs>
        <w:ind w:left="2880" w:hanging="360"/>
      </w:pPr>
    </w:lvl>
    <w:lvl w:ilvl="4" w:tplc="7CBA5064" w:tentative="1">
      <w:start w:val="1"/>
      <w:numFmt w:val="decimal"/>
      <w:lvlText w:val="%5."/>
      <w:lvlJc w:val="left"/>
      <w:pPr>
        <w:tabs>
          <w:tab w:val="num" w:pos="3600"/>
        </w:tabs>
        <w:ind w:left="3600" w:hanging="360"/>
      </w:pPr>
    </w:lvl>
    <w:lvl w:ilvl="5" w:tplc="85F0E916" w:tentative="1">
      <w:start w:val="1"/>
      <w:numFmt w:val="decimal"/>
      <w:lvlText w:val="%6."/>
      <w:lvlJc w:val="left"/>
      <w:pPr>
        <w:tabs>
          <w:tab w:val="num" w:pos="4320"/>
        </w:tabs>
        <w:ind w:left="4320" w:hanging="360"/>
      </w:pPr>
    </w:lvl>
    <w:lvl w:ilvl="6" w:tplc="87BEE6D2" w:tentative="1">
      <w:start w:val="1"/>
      <w:numFmt w:val="decimal"/>
      <w:lvlText w:val="%7."/>
      <w:lvlJc w:val="left"/>
      <w:pPr>
        <w:tabs>
          <w:tab w:val="num" w:pos="5040"/>
        </w:tabs>
        <w:ind w:left="5040" w:hanging="360"/>
      </w:pPr>
    </w:lvl>
    <w:lvl w:ilvl="7" w:tplc="AB3C889C" w:tentative="1">
      <w:start w:val="1"/>
      <w:numFmt w:val="decimal"/>
      <w:lvlText w:val="%8."/>
      <w:lvlJc w:val="left"/>
      <w:pPr>
        <w:tabs>
          <w:tab w:val="num" w:pos="5760"/>
        </w:tabs>
        <w:ind w:left="5760" w:hanging="360"/>
      </w:pPr>
    </w:lvl>
    <w:lvl w:ilvl="8" w:tplc="2D767EC6" w:tentative="1">
      <w:start w:val="1"/>
      <w:numFmt w:val="decimal"/>
      <w:lvlText w:val="%9."/>
      <w:lvlJc w:val="left"/>
      <w:pPr>
        <w:tabs>
          <w:tab w:val="num" w:pos="6480"/>
        </w:tabs>
        <w:ind w:left="6480" w:hanging="360"/>
      </w:pPr>
    </w:lvl>
  </w:abstractNum>
  <w:abstractNum w:abstractNumId="25">
    <w:nsid w:val="53357059"/>
    <w:multiLevelType w:val="hybridMultilevel"/>
    <w:tmpl w:val="A20A09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39663CE"/>
    <w:multiLevelType w:val="multilevel"/>
    <w:tmpl w:val="500C3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D17822"/>
    <w:multiLevelType w:val="hybridMultilevel"/>
    <w:tmpl w:val="213E9E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9C76C7F"/>
    <w:multiLevelType w:val="hybridMultilevel"/>
    <w:tmpl w:val="3C68C302"/>
    <w:lvl w:ilvl="0" w:tplc="CDCEDB64">
      <w:start w:val="1"/>
      <w:numFmt w:val="decimal"/>
      <w:lvlText w:val="%1."/>
      <w:lvlJc w:val="left"/>
      <w:pPr>
        <w:tabs>
          <w:tab w:val="num" w:pos="720"/>
        </w:tabs>
        <w:ind w:left="720" w:hanging="360"/>
      </w:pPr>
    </w:lvl>
    <w:lvl w:ilvl="1" w:tplc="3BCA17F4" w:tentative="1">
      <w:start w:val="1"/>
      <w:numFmt w:val="decimal"/>
      <w:lvlText w:val="%2."/>
      <w:lvlJc w:val="left"/>
      <w:pPr>
        <w:tabs>
          <w:tab w:val="num" w:pos="1440"/>
        </w:tabs>
        <w:ind w:left="1440" w:hanging="360"/>
      </w:pPr>
    </w:lvl>
    <w:lvl w:ilvl="2" w:tplc="68CE144A" w:tentative="1">
      <w:start w:val="1"/>
      <w:numFmt w:val="decimal"/>
      <w:lvlText w:val="%3."/>
      <w:lvlJc w:val="left"/>
      <w:pPr>
        <w:tabs>
          <w:tab w:val="num" w:pos="2160"/>
        </w:tabs>
        <w:ind w:left="2160" w:hanging="360"/>
      </w:pPr>
    </w:lvl>
    <w:lvl w:ilvl="3" w:tplc="AB02F640" w:tentative="1">
      <w:start w:val="1"/>
      <w:numFmt w:val="decimal"/>
      <w:lvlText w:val="%4."/>
      <w:lvlJc w:val="left"/>
      <w:pPr>
        <w:tabs>
          <w:tab w:val="num" w:pos="2880"/>
        </w:tabs>
        <w:ind w:left="2880" w:hanging="360"/>
      </w:pPr>
    </w:lvl>
    <w:lvl w:ilvl="4" w:tplc="B54EECCA" w:tentative="1">
      <w:start w:val="1"/>
      <w:numFmt w:val="decimal"/>
      <w:lvlText w:val="%5."/>
      <w:lvlJc w:val="left"/>
      <w:pPr>
        <w:tabs>
          <w:tab w:val="num" w:pos="3600"/>
        </w:tabs>
        <w:ind w:left="3600" w:hanging="360"/>
      </w:pPr>
    </w:lvl>
    <w:lvl w:ilvl="5" w:tplc="AE9E7B1C" w:tentative="1">
      <w:start w:val="1"/>
      <w:numFmt w:val="decimal"/>
      <w:lvlText w:val="%6."/>
      <w:lvlJc w:val="left"/>
      <w:pPr>
        <w:tabs>
          <w:tab w:val="num" w:pos="4320"/>
        </w:tabs>
        <w:ind w:left="4320" w:hanging="360"/>
      </w:pPr>
    </w:lvl>
    <w:lvl w:ilvl="6" w:tplc="7E120BD6" w:tentative="1">
      <w:start w:val="1"/>
      <w:numFmt w:val="decimal"/>
      <w:lvlText w:val="%7."/>
      <w:lvlJc w:val="left"/>
      <w:pPr>
        <w:tabs>
          <w:tab w:val="num" w:pos="5040"/>
        </w:tabs>
        <w:ind w:left="5040" w:hanging="360"/>
      </w:pPr>
    </w:lvl>
    <w:lvl w:ilvl="7" w:tplc="932C6E70" w:tentative="1">
      <w:start w:val="1"/>
      <w:numFmt w:val="decimal"/>
      <w:lvlText w:val="%8."/>
      <w:lvlJc w:val="left"/>
      <w:pPr>
        <w:tabs>
          <w:tab w:val="num" w:pos="5760"/>
        </w:tabs>
        <w:ind w:left="5760" w:hanging="360"/>
      </w:pPr>
    </w:lvl>
    <w:lvl w:ilvl="8" w:tplc="52A4DE16" w:tentative="1">
      <w:start w:val="1"/>
      <w:numFmt w:val="decimal"/>
      <w:lvlText w:val="%9."/>
      <w:lvlJc w:val="left"/>
      <w:pPr>
        <w:tabs>
          <w:tab w:val="num" w:pos="6480"/>
        </w:tabs>
        <w:ind w:left="6480" w:hanging="360"/>
      </w:pPr>
    </w:lvl>
  </w:abstractNum>
  <w:abstractNum w:abstractNumId="29">
    <w:nsid w:val="5ABE7815"/>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C171715"/>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F4E0A43"/>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F89517B"/>
    <w:multiLevelType w:val="hybridMultilevel"/>
    <w:tmpl w:val="3072DAB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3">
    <w:nsid w:val="616B07C8"/>
    <w:multiLevelType w:val="multilevel"/>
    <w:tmpl w:val="7EA27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1814EB0"/>
    <w:multiLevelType w:val="hybridMultilevel"/>
    <w:tmpl w:val="57749A22"/>
    <w:lvl w:ilvl="0" w:tplc="A5DC900C">
      <w:start w:val="1"/>
      <w:numFmt w:val="decimal"/>
      <w:lvlText w:val="%1)"/>
      <w:lvlJc w:val="left"/>
      <w:pPr>
        <w:ind w:left="927" w:hanging="360"/>
      </w:pPr>
      <w:rPr>
        <w:rFonts w:ascii="Times New Roman" w:hAnsi="Times New Roman" w:cs="Times New Roman" w:hint="default"/>
        <w:i w:val="0"/>
        <w:color w:val="00000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30E6DD3"/>
    <w:multiLevelType w:val="multilevel"/>
    <w:tmpl w:val="1506F97C"/>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935587E"/>
    <w:multiLevelType w:val="hybridMultilevel"/>
    <w:tmpl w:val="63BED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4C5D2F"/>
    <w:multiLevelType w:val="multilevel"/>
    <w:tmpl w:val="61A8D1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009646F"/>
    <w:multiLevelType w:val="hybridMultilevel"/>
    <w:tmpl w:val="6DE8FFA4"/>
    <w:lvl w:ilvl="0" w:tplc="FACACDE4">
      <w:start w:val="1"/>
      <w:numFmt w:val="bullet"/>
      <w:lvlText w:val=""/>
      <w:lvlJc w:val="left"/>
      <w:pPr>
        <w:tabs>
          <w:tab w:val="num" w:pos="720"/>
        </w:tabs>
        <w:ind w:left="720" w:hanging="360"/>
      </w:pPr>
      <w:rPr>
        <w:rFonts w:ascii="Wingdings" w:hAnsi="Wingdings" w:hint="default"/>
      </w:rPr>
    </w:lvl>
    <w:lvl w:ilvl="1" w:tplc="43021676" w:tentative="1">
      <w:start w:val="1"/>
      <w:numFmt w:val="bullet"/>
      <w:lvlText w:val=""/>
      <w:lvlJc w:val="left"/>
      <w:pPr>
        <w:tabs>
          <w:tab w:val="num" w:pos="1440"/>
        </w:tabs>
        <w:ind w:left="1440" w:hanging="360"/>
      </w:pPr>
      <w:rPr>
        <w:rFonts w:ascii="Wingdings" w:hAnsi="Wingdings" w:hint="default"/>
      </w:rPr>
    </w:lvl>
    <w:lvl w:ilvl="2" w:tplc="EB8CE3F8" w:tentative="1">
      <w:start w:val="1"/>
      <w:numFmt w:val="bullet"/>
      <w:lvlText w:val=""/>
      <w:lvlJc w:val="left"/>
      <w:pPr>
        <w:tabs>
          <w:tab w:val="num" w:pos="2160"/>
        </w:tabs>
        <w:ind w:left="2160" w:hanging="360"/>
      </w:pPr>
      <w:rPr>
        <w:rFonts w:ascii="Wingdings" w:hAnsi="Wingdings" w:hint="default"/>
      </w:rPr>
    </w:lvl>
    <w:lvl w:ilvl="3" w:tplc="63982A2A" w:tentative="1">
      <w:start w:val="1"/>
      <w:numFmt w:val="bullet"/>
      <w:lvlText w:val=""/>
      <w:lvlJc w:val="left"/>
      <w:pPr>
        <w:tabs>
          <w:tab w:val="num" w:pos="2880"/>
        </w:tabs>
        <w:ind w:left="2880" w:hanging="360"/>
      </w:pPr>
      <w:rPr>
        <w:rFonts w:ascii="Wingdings" w:hAnsi="Wingdings" w:hint="default"/>
      </w:rPr>
    </w:lvl>
    <w:lvl w:ilvl="4" w:tplc="ECC86722" w:tentative="1">
      <w:start w:val="1"/>
      <w:numFmt w:val="bullet"/>
      <w:lvlText w:val=""/>
      <w:lvlJc w:val="left"/>
      <w:pPr>
        <w:tabs>
          <w:tab w:val="num" w:pos="3600"/>
        </w:tabs>
        <w:ind w:left="3600" w:hanging="360"/>
      </w:pPr>
      <w:rPr>
        <w:rFonts w:ascii="Wingdings" w:hAnsi="Wingdings" w:hint="default"/>
      </w:rPr>
    </w:lvl>
    <w:lvl w:ilvl="5" w:tplc="F020BAE0" w:tentative="1">
      <w:start w:val="1"/>
      <w:numFmt w:val="bullet"/>
      <w:lvlText w:val=""/>
      <w:lvlJc w:val="left"/>
      <w:pPr>
        <w:tabs>
          <w:tab w:val="num" w:pos="4320"/>
        </w:tabs>
        <w:ind w:left="4320" w:hanging="360"/>
      </w:pPr>
      <w:rPr>
        <w:rFonts w:ascii="Wingdings" w:hAnsi="Wingdings" w:hint="default"/>
      </w:rPr>
    </w:lvl>
    <w:lvl w:ilvl="6" w:tplc="93F6B9B6" w:tentative="1">
      <w:start w:val="1"/>
      <w:numFmt w:val="bullet"/>
      <w:lvlText w:val=""/>
      <w:lvlJc w:val="left"/>
      <w:pPr>
        <w:tabs>
          <w:tab w:val="num" w:pos="5040"/>
        </w:tabs>
        <w:ind w:left="5040" w:hanging="360"/>
      </w:pPr>
      <w:rPr>
        <w:rFonts w:ascii="Wingdings" w:hAnsi="Wingdings" w:hint="default"/>
      </w:rPr>
    </w:lvl>
    <w:lvl w:ilvl="7" w:tplc="F56E1496" w:tentative="1">
      <w:start w:val="1"/>
      <w:numFmt w:val="bullet"/>
      <w:lvlText w:val=""/>
      <w:lvlJc w:val="left"/>
      <w:pPr>
        <w:tabs>
          <w:tab w:val="num" w:pos="5760"/>
        </w:tabs>
        <w:ind w:left="5760" w:hanging="360"/>
      </w:pPr>
      <w:rPr>
        <w:rFonts w:ascii="Wingdings" w:hAnsi="Wingdings" w:hint="default"/>
      </w:rPr>
    </w:lvl>
    <w:lvl w:ilvl="8" w:tplc="419A3FBA" w:tentative="1">
      <w:start w:val="1"/>
      <w:numFmt w:val="bullet"/>
      <w:lvlText w:val=""/>
      <w:lvlJc w:val="left"/>
      <w:pPr>
        <w:tabs>
          <w:tab w:val="num" w:pos="6480"/>
        </w:tabs>
        <w:ind w:left="6480" w:hanging="360"/>
      </w:pPr>
      <w:rPr>
        <w:rFonts w:ascii="Wingdings" w:hAnsi="Wingdings" w:hint="default"/>
      </w:rPr>
    </w:lvl>
  </w:abstractNum>
  <w:abstractNum w:abstractNumId="39">
    <w:nsid w:val="782D1B5F"/>
    <w:multiLevelType w:val="hybridMultilevel"/>
    <w:tmpl w:val="A34895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949478A"/>
    <w:multiLevelType w:val="hybridMultilevel"/>
    <w:tmpl w:val="44A61980"/>
    <w:lvl w:ilvl="0" w:tplc="572ED8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C3728ED"/>
    <w:multiLevelType w:val="multilevel"/>
    <w:tmpl w:val="E834CFA2"/>
    <w:lvl w:ilvl="0">
      <w:start w:val="2"/>
      <w:numFmt w:val="decimal"/>
      <w:lvlText w:val="%1"/>
      <w:lvlJc w:val="left"/>
      <w:pPr>
        <w:ind w:left="720" w:hanging="360"/>
      </w:pPr>
      <w:rPr>
        <w:rFonts w:cs="Times New Roman" w:hint="default"/>
        <w:i w:val="0"/>
        <w:color w:val="C00000"/>
      </w:rPr>
    </w:lvl>
    <w:lvl w:ilvl="1">
      <w:start w:val="1"/>
      <w:numFmt w:val="decimal"/>
      <w:isLgl/>
      <w:lvlText w:val="%1.%2"/>
      <w:lvlJc w:val="left"/>
      <w:pPr>
        <w:ind w:left="2077" w:hanging="375"/>
      </w:pPr>
      <w:rPr>
        <w:rFonts w:cs="Times New Roman" w:hint="default"/>
      </w:rPr>
    </w:lvl>
    <w:lvl w:ilvl="2">
      <w:start w:val="1"/>
      <w:numFmt w:val="decimal"/>
      <w:isLgl/>
      <w:lvlText w:val="%1.%2.%3"/>
      <w:lvlJc w:val="left"/>
      <w:pPr>
        <w:ind w:left="3764" w:hanging="720"/>
      </w:pPr>
      <w:rPr>
        <w:rFonts w:cs="Times New Roman" w:hint="default"/>
        <w:color w:val="365F91"/>
      </w:rPr>
    </w:lvl>
    <w:lvl w:ilvl="3">
      <w:start w:val="1"/>
      <w:numFmt w:val="decimal"/>
      <w:isLgl/>
      <w:lvlText w:val="%1.%2.%3.%4"/>
      <w:lvlJc w:val="left"/>
      <w:pPr>
        <w:ind w:left="5466" w:hanging="1080"/>
      </w:pPr>
      <w:rPr>
        <w:rFonts w:cs="Times New Roman" w:hint="default"/>
      </w:rPr>
    </w:lvl>
    <w:lvl w:ilvl="4">
      <w:start w:val="1"/>
      <w:numFmt w:val="decimal"/>
      <w:isLgl/>
      <w:lvlText w:val="%1.%2.%3.%4.%5"/>
      <w:lvlJc w:val="left"/>
      <w:pPr>
        <w:ind w:left="6808" w:hanging="1080"/>
      </w:pPr>
      <w:rPr>
        <w:rFonts w:cs="Times New Roman" w:hint="default"/>
      </w:rPr>
    </w:lvl>
    <w:lvl w:ilvl="5">
      <w:start w:val="1"/>
      <w:numFmt w:val="decimal"/>
      <w:isLgl/>
      <w:lvlText w:val="%1.%2.%3.%4.%5.%6"/>
      <w:lvlJc w:val="left"/>
      <w:pPr>
        <w:ind w:left="8510" w:hanging="1440"/>
      </w:pPr>
      <w:rPr>
        <w:rFonts w:cs="Times New Roman" w:hint="default"/>
      </w:rPr>
    </w:lvl>
    <w:lvl w:ilvl="6">
      <w:start w:val="1"/>
      <w:numFmt w:val="decimal"/>
      <w:isLgl/>
      <w:lvlText w:val="%1.%2.%3.%4.%5.%6.%7"/>
      <w:lvlJc w:val="left"/>
      <w:pPr>
        <w:ind w:left="9852" w:hanging="1440"/>
      </w:pPr>
      <w:rPr>
        <w:rFonts w:cs="Times New Roman" w:hint="default"/>
      </w:rPr>
    </w:lvl>
    <w:lvl w:ilvl="7">
      <w:start w:val="1"/>
      <w:numFmt w:val="decimal"/>
      <w:isLgl/>
      <w:lvlText w:val="%1.%2.%3.%4.%5.%6.%7.%8"/>
      <w:lvlJc w:val="left"/>
      <w:pPr>
        <w:ind w:left="11554" w:hanging="1800"/>
      </w:pPr>
      <w:rPr>
        <w:rFonts w:cs="Times New Roman" w:hint="default"/>
      </w:rPr>
    </w:lvl>
    <w:lvl w:ilvl="8">
      <w:start w:val="1"/>
      <w:numFmt w:val="decimal"/>
      <w:isLgl/>
      <w:lvlText w:val="%1.%2.%3.%4.%5.%6.%7.%8.%9"/>
      <w:lvlJc w:val="left"/>
      <w:pPr>
        <w:ind w:left="13256" w:hanging="2160"/>
      </w:pPr>
      <w:rPr>
        <w:rFonts w:cs="Times New Roman" w:hint="default"/>
      </w:rPr>
    </w:lvl>
  </w:abstractNum>
  <w:num w:numId="1">
    <w:abstractNumId w:val="3"/>
  </w:num>
  <w:num w:numId="2">
    <w:abstractNumId w:val="41"/>
  </w:num>
  <w:num w:numId="3">
    <w:abstractNumId w:val="38"/>
  </w:num>
  <w:num w:numId="4">
    <w:abstractNumId w:val="19"/>
  </w:num>
  <w:num w:numId="5">
    <w:abstractNumId w:val="6"/>
  </w:num>
  <w:num w:numId="6">
    <w:abstractNumId w:val="14"/>
  </w:num>
  <w:num w:numId="7">
    <w:abstractNumId w:val="5"/>
  </w:num>
  <w:num w:numId="8">
    <w:abstractNumId w:val="40"/>
  </w:num>
  <w:num w:numId="9">
    <w:abstractNumId w:val="22"/>
  </w:num>
  <w:num w:numId="10">
    <w:abstractNumId w:val="29"/>
  </w:num>
  <w:num w:numId="11">
    <w:abstractNumId w:val="37"/>
  </w:num>
  <w:num w:numId="12">
    <w:abstractNumId w:val="12"/>
  </w:num>
  <w:num w:numId="13">
    <w:abstractNumId w:val="26"/>
  </w:num>
  <w:num w:numId="14">
    <w:abstractNumId w:val="13"/>
  </w:num>
  <w:num w:numId="15">
    <w:abstractNumId w:val="39"/>
  </w:num>
  <w:num w:numId="16">
    <w:abstractNumId w:val="10"/>
  </w:num>
  <w:num w:numId="17">
    <w:abstractNumId w:val="4"/>
  </w:num>
  <w:num w:numId="18">
    <w:abstractNumId w:val="30"/>
  </w:num>
  <w:num w:numId="19">
    <w:abstractNumId w:val="31"/>
  </w:num>
  <w:num w:numId="20">
    <w:abstractNumId w:val="7"/>
  </w:num>
  <w:num w:numId="21">
    <w:abstractNumId w:val="18"/>
  </w:num>
  <w:num w:numId="22">
    <w:abstractNumId w:val="28"/>
  </w:num>
  <w:num w:numId="23">
    <w:abstractNumId w:val="0"/>
  </w:num>
  <w:num w:numId="24">
    <w:abstractNumId w:val="36"/>
  </w:num>
  <w:num w:numId="25">
    <w:abstractNumId w:val="32"/>
  </w:num>
  <w:num w:numId="26">
    <w:abstractNumId w:val="24"/>
  </w:num>
  <w:num w:numId="27">
    <w:abstractNumId w:val="15"/>
  </w:num>
  <w:num w:numId="28">
    <w:abstractNumId w:val="23"/>
  </w:num>
  <w:num w:numId="29">
    <w:abstractNumId w:val="27"/>
  </w:num>
  <w:num w:numId="30">
    <w:abstractNumId w:val="33"/>
  </w:num>
  <w:num w:numId="31">
    <w:abstractNumId w:val="25"/>
  </w:num>
  <w:num w:numId="32">
    <w:abstractNumId w:val="9"/>
  </w:num>
  <w:num w:numId="33">
    <w:abstractNumId w:val="11"/>
  </w:num>
  <w:num w:numId="34">
    <w:abstractNumId w:val="8"/>
  </w:num>
  <w:num w:numId="35">
    <w:abstractNumId w:val="16"/>
  </w:num>
  <w:num w:numId="36">
    <w:abstractNumId w:val="1"/>
  </w:num>
  <w:num w:numId="37">
    <w:abstractNumId w:val="2"/>
  </w:num>
  <w:num w:numId="38">
    <w:abstractNumId w:val="35"/>
  </w:num>
  <w:num w:numId="39">
    <w:abstractNumId w:val="17"/>
  </w:num>
  <w:num w:numId="40">
    <w:abstractNumId w:val="20"/>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B6E71"/>
    <w:rsid w:val="000037AD"/>
    <w:rsid w:val="0003116F"/>
    <w:rsid w:val="000320B3"/>
    <w:rsid w:val="0005253A"/>
    <w:rsid w:val="00077D58"/>
    <w:rsid w:val="0010573D"/>
    <w:rsid w:val="001202C5"/>
    <w:rsid w:val="00151B9C"/>
    <w:rsid w:val="00164400"/>
    <w:rsid w:val="0016495D"/>
    <w:rsid w:val="001F0139"/>
    <w:rsid w:val="00204F22"/>
    <w:rsid w:val="0021596B"/>
    <w:rsid w:val="00253286"/>
    <w:rsid w:val="0026379C"/>
    <w:rsid w:val="00273761"/>
    <w:rsid w:val="002760F1"/>
    <w:rsid w:val="002C586A"/>
    <w:rsid w:val="002E2810"/>
    <w:rsid w:val="00302E87"/>
    <w:rsid w:val="00337AC4"/>
    <w:rsid w:val="00367D87"/>
    <w:rsid w:val="003C48CB"/>
    <w:rsid w:val="003F34BB"/>
    <w:rsid w:val="00443650"/>
    <w:rsid w:val="004643AF"/>
    <w:rsid w:val="004C5BB9"/>
    <w:rsid w:val="004D4A30"/>
    <w:rsid w:val="004E14EE"/>
    <w:rsid w:val="00546B28"/>
    <w:rsid w:val="005B62B2"/>
    <w:rsid w:val="00607703"/>
    <w:rsid w:val="00633F69"/>
    <w:rsid w:val="0064720A"/>
    <w:rsid w:val="0066536F"/>
    <w:rsid w:val="006C73B0"/>
    <w:rsid w:val="006E2218"/>
    <w:rsid w:val="006F6205"/>
    <w:rsid w:val="007223A6"/>
    <w:rsid w:val="00722D11"/>
    <w:rsid w:val="00731B4E"/>
    <w:rsid w:val="00734560"/>
    <w:rsid w:val="00753D59"/>
    <w:rsid w:val="0078356C"/>
    <w:rsid w:val="00805F04"/>
    <w:rsid w:val="00813D73"/>
    <w:rsid w:val="00814189"/>
    <w:rsid w:val="00831007"/>
    <w:rsid w:val="00832A4E"/>
    <w:rsid w:val="00833A0F"/>
    <w:rsid w:val="0084669C"/>
    <w:rsid w:val="00865A8B"/>
    <w:rsid w:val="008A6327"/>
    <w:rsid w:val="008B3A08"/>
    <w:rsid w:val="008B6E71"/>
    <w:rsid w:val="008D1B35"/>
    <w:rsid w:val="00946A5A"/>
    <w:rsid w:val="009A0141"/>
    <w:rsid w:val="009A24B4"/>
    <w:rsid w:val="009C5150"/>
    <w:rsid w:val="009D64B8"/>
    <w:rsid w:val="009F19E5"/>
    <w:rsid w:val="009F4FA6"/>
    <w:rsid w:val="00A07852"/>
    <w:rsid w:val="00A34308"/>
    <w:rsid w:val="00A478B9"/>
    <w:rsid w:val="00A65CD4"/>
    <w:rsid w:val="00A65D96"/>
    <w:rsid w:val="00A722E5"/>
    <w:rsid w:val="00A777E7"/>
    <w:rsid w:val="00B00596"/>
    <w:rsid w:val="00B06469"/>
    <w:rsid w:val="00B32BB5"/>
    <w:rsid w:val="00B41921"/>
    <w:rsid w:val="00B600BA"/>
    <w:rsid w:val="00BC5C1B"/>
    <w:rsid w:val="00BD0E16"/>
    <w:rsid w:val="00C32237"/>
    <w:rsid w:val="00C473A7"/>
    <w:rsid w:val="00C83656"/>
    <w:rsid w:val="00C87844"/>
    <w:rsid w:val="00CB5772"/>
    <w:rsid w:val="00CC3FC2"/>
    <w:rsid w:val="00D14EDE"/>
    <w:rsid w:val="00D32C17"/>
    <w:rsid w:val="00D3682B"/>
    <w:rsid w:val="00D834D6"/>
    <w:rsid w:val="00DA1EAE"/>
    <w:rsid w:val="00DE1D1C"/>
    <w:rsid w:val="00E22CDE"/>
    <w:rsid w:val="00E66F7F"/>
    <w:rsid w:val="00E7129E"/>
    <w:rsid w:val="00E74438"/>
    <w:rsid w:val="00EC5E9B"/>
    <w:rsid w:val="00F23598"/>
    <w:rsid w:val="00F253CF"/>
    <w:rsid w:val="00F51B81"/>
    <w:rsid w:val="00F67270"/>
    <w:rsid w:val="00FA0047"/>
    <w:rsid w:val="00FC6AEE"/>
    <w:rsid w:val="00FD2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C1B"/>
  </w:style>
  <w:style w:type="paragraph" w:styleId="2">
    <w:name w:val="heading 2"/>
    <w:basedOn w:val="a"/>
    <w:next w:val="a"/>
    <w:link w:val="20"/>
    <w:uiPriority w:val="99"/>
    <w:qFormat/>
    <w:rsid w:val="00E74438"/>
    <w:pPr>
      <w:keepNext/>
      <w:keepLines/>
      <w:spacing w:before="200" w:after="0"/>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8B6E71"/>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8B6E71"/>
    <w:pPr>
      <w:widowControl w:val="0"/>
      <w:shd w:val="clear" w:color="auto" w:fill="FFFFFF"/>
      <w:spacing w:after="480" w:line="0" w:lineRule="atLeast"/>
      <w:ind w:hanging="1400"/>
      <w:jc w:val="both"/>
      <w:outlineLvl w:val="0"/>
    </w:pPr>
    <w:rPr>
      <w:rFonts w:ascii="Times New Roman" w:eastAsia="Times New Roman" w:hAnsi="Times New Roman" w:cs="Times New Roman"/>
      <w:b/>
      <w:bCs/>
      <w:sz w:val="28"/>
      <w:szCs w:val="28"/>
    </w:rPr>
  </w:style>
  <w:style w:type="paragraph" w:styleId="a3">
    <w:name w:val="List Paragraph"/>
    <w:basedOn w:val="a"/>
    <w:link w:val="a4"/>
    <w:uiPriority w:val="34"/>
    <w:qFormat/>
    <w:rsid w:val="008B6E71"/>
    <w:pPr>
      <w:ind w:left="720"/>
      <w:contextualSpacing/>
    </w:pPr>
  </w:style>
  <w:style w:type="character" w:customStyle="1" w:styleId="a4">
    <w:name w:val="Абзац списка Знак"/>
    <w:link w:val="a3"/>
    <w:uiPriority w:val="34"/>
    <w:locked/>
    <w:rsid w:val="008B6E71"/>
  </w:style>
  <w:style w:type="character" w:customStyle="1" w:styleId="21">
    <w:name w:val="Основной текст (2)_"/>
    <w:basedOn w:val="a0"/>
    <w:link w:val="22"/>
    <w:rsid w:val="004643AF"/>
    <w:rPr>
      <w:rFonts w:ascii="Times New Roman" w:eastAsia="Times New Roman" w:hAnsi="Times New Roman" w:cs="Times New Roman"/>
      <w:shd w:val="clear" w:color="auto" w:fill="FFFFFF"/>
    </w:rPr>
  </w:style>
  <w:style w:type="paragraph" w:customStyle="1" w:styleId="22">
    <w:name w:val="Основной текст (2)"/>
    <w:basedOn w:val="a"/>
    <w:link w:val="21"/>
    <w:rsid w:val="004643AF"/>
    <w:pPr>
      <w:widowControl w:val="0"/>
      <w:shd w:val="clear" w:color="auto" w:fill="FFFFFF"/>
      <w:spacing w:before="3780" w:after="0" w:line="0" w:lineRule="atLeast"/>
      <w:ind w:hanging="440"/>
      <w:jc w:val="center"/>
    </w:pPr>
    <w:rPr>
      <w:rFonts w:ascii="Times New Roman" w:eastAsia="Times New Roman" w:hAnsi="Times New Roman" w:cs="Times New Roman"/>
    </w:rPr>
  </w:style>
  <w:style w:type="paragraph" w:styleId="a5">
    <w:name w:val="Balloon Text"/>
    <w:basedOn w:val="a"/>
    <w:link w:val="a6"/>
    <w:uiPriority w:val="99"/>
    <w:semiHidden/>
    <w:unhideWhenUsed/>
    <w:rsid w:val="00D14E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4EDE"/>
    <w:rPr>
      <w:rFonts w:ascii="Tahoma" w:hAnsi="Tahoma" w:cs="Tahoma"/>
      <w:sz w:val="16"/>
      <w:szCs w:val="16"/>
    </w:rPr>
  </w:style>
  <w:style w:type="character" w:customStyle="1" w:styleId="23">
    <w:name w:val="Заголовок №2_"/>
    <w:basedOn w:val="a0"/>
    <w:link w:val="24"/>
    <w:rsid w:val="004D4A30"/>
    <w:rPr>
      <w:rFonts w:ascii="Times New Roman" w:eastAsia="Times New Roman" w:hAnsi="Times New Roman" w:cs="Times New Roman"/>
      <w:b/>
      <w:bCs/>
      <w:shd w:val="clear" w:color="auto" w:fill="FFFFFF"/>
    </w:rPr>
  </w:style>
  <w:style w:type="paragraph" w:customStyle="1" w:styleId="24">
    <w:name w:val="Заголовок №2"/>
    <w:basedOn w:val="a"/>
    <w:link w:val="23"/>
    <w:rsid w:val="004D4A30"/>
    <w:pPr>
      <w:widowControl w:val="0"/>
      <w:shd w:val="clear" w:color="auto" w:fill="FFFFFF"/>
      <w:spacing w:before="420" w:after="60" w:line="0" w:lineRule="atLeast"/>
      <w:ind w:hanging="300"/>
      <w:jc w:val="both"/>
      <w:outlineLvl w:val="1"/>
    </w:pPr>
    <w:rPr>
      <w:rFonts w:ascii="Times New Roman" w:eastAsia="Times New Roman" w:hAnsi="Times New Roman" w:cs="Times New Roman"/>
      <w:b/>
      <w:bCs/>
    </w:rPr>
  </w:style>
  <w:style w:type="character" w:customStyle="1" w:styleId="20">
    <w:name w:val="Заголовок 2 Знак"/>
    <w:basedOn w:val="a0"/>
    <w:link w:val="2"/>
    <w:uiPriority w:val="99"/>
    <w:rsid w:val="00E74438"/>
    <w:rPr>
      <w:rFonts w:ascii="Cambria" w:eastAsia="Times New Roman" w:hAnsi="Cambria" w:cs="Times New Roman"/>
      <w:b/>
      <w:bCs/>
      <w:color w:val="4F81BD"/>
      <w:sz w:val="26"/>
      <w:szCs w:val="26"/>
      <w:lang w:eastAsia="ru-RU"/>
    </w:rPr>
  </w:style>
  <w:style w:type="paragraph" w:styleId="a7">
    <w:name w:val="Normal (Web)"/>
    <w:aliases w:val=" Знак,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
    <w:link w:val="25"/>
    <w:uiPriority w:val="99"/>
    <w:unhideWhenUsed/>
    <w:qFormat/>
    <w:rsid w:val="00337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
    <w:name w:val="Основной текст (5)_"/>
    <w:basedOn w:val="a0"/>
    <w:link w:val="50"/>
    <w:rsid w:val="009A24B4"/>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9A24B4"/>
    <w:pPr>
      <w:widowControl w:val="0"/>
      <w:shd w:val="clear" w:color="auto" w:fill="FFFFFF"/>
      <w:spacing w:after="0" w:line="274" w:lineRule="exact"/>
      <w:ind w:hanging="300"/>
      <w:jc w:val="center"/>
    </w:pPr>
    <w:rPr>
      <w:rFonts w:ascii="Times New Roman" w:eastAsia="Times New Roman" w:hAnsi="Times New Roman" w:cs="Times New Roman"/>
      <w:b/>
      <w:bCs/>
    </w:rPr>
  </w:style>
  <w:style w:type="character" w:customStyle="1" w:styleId="4">
    <w:name w:val="Основной текст (4)_"/>
    <w:basedOn w:val="a0"/>
    <w:link w:val="40"/>
    <w:rsid w:val="00A478B9"/>
    <w:rPr>
      <w:rFonts w:ascii="Times New Roman" w:eastAsia="Times New Roman" w:hAnsi="Times New Roman" w:cs="Times New Roman"/>
      <w:b/>
      <w:bCs/>
      <w:sz w:val="50"/>
      <w:szCs w:val="50"/>
      <w:shd w:val="clear" w:color="auto" w:fill="FFFFFF"/>
    </w:rPr>
  </w:style>
  <w:style w:type="paragraph" w:customStyle="1" w:styleId="40">
    <w:name w:val="Основной текст (4)"/>
    <w:basedOn w:val="a"/>
    <w:link w:val="4"/>
    <w:rsid w:val="00A478B9"/>
    <w:pPr>
      <w:widowControl w:val="0"/>
      <w:shd w:val="clear" w:color="auto" w:fill="FFFFFF"/>
      <w:spacing w:before="2220" w:after="660" w:line="0" w:lineRule="atLeast"/>
      <w:jc w:val="center"/>
    </w:pPr>
    <w:rPr>
      <w:rFonts w:ascii="Times New Roman" w:eastAsia="Times New Roman" w:hAnsi="Times New Roman" w:cs="Times New Roman"/>
      <w:b/>
      <w:bCs/>
      <w:sz w:val="50"/>
      <w:szCs w:val="50"/>
    </w:rPr>
  </w:style>
  <w:style w:type="paragraph" w:customStyle="1" w:styleId="a8">
    <w:name w:val="Стиль пункта схемы"/>
    <w:basedOn w:val="a"/>
    <w:rsid w:val="00A478B9"/>
    <w:pPr>
      <w:suppressAutoHyphens/>
      <w:autoSpaceDE w:val="0"/>
      <w:spacing w:after="0" w:line="360" w:lineRule="auto"/>
      <w:ind w:firstLine="680"/>
      <w:jc w:val="both"/>
    </w:pPr>
    <w:rPr>
      <w:rFonts w:ascii="Times New Roman" w:eastAsia="Times New Roman" w:hAnsi="Times New Roman" w:cs="Times New Roman"/>
      <w:sz w:val="28"/>
      <w:szCs w:val="28"/>
      <w:lang w:eastAsia="ar-SA"/>
    </w:rPr>
  </w:style>
  <w:style w:type="table" w:styleId="a9">
    <w:name w:val="Table Grid"/>
    <w:basedOn w:val="a1"/>
    <w:uiPriority w:val="59"/>
    <w:rsid w:val="00302E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302E8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a">
    <w:name w:val="Основной"/>
    <w:basedOn w:val="ab"/>
    <w:rsid w:val="00805F04"/>
    <w:pPr>
      <w:suppressAutoHyphens/>
      <w:spacing w:after="0" w:line="240" w:lineRule="auto"/>
      <w:ind w:left="0" w:firstLine="680"/>
      <w:jc w:val="both"/>
    </w:pPr>
    <w:rPr>
      <w:rFonts w:ascii="Times New Roman" w:eastAsia="Times New Roman" w:hAnsi="Times New Roman" w:cs="Times New Roman"/>
      <w:sz w:val="28"/>
      <w:szCs w:val="24"/>
      <w:lang w:eastAsia="ar-SA"/>
    </w:rPr>
  </w:style>
  <w:style w:type="paragraph" w:styleId="ab">
    <w:name w:val="Body Text Indent"/>
    <w:basedOn w:val="a"/>
    <w:link w:val="ac"/>
    <w:uiPriority w:val="99"/>
    <w:semiHidden/>
    <w:unhideWhenUsed/>
    <w:rsid w:val="00805F04"/>
    <w:pPr>
      <w:spacing w:after="120"/>
      <w:ind w:left="283"/>
    </w:pPr>
  </w:style>
  <w:style w:type="character" w:customStyle="1" w:styleId="ac">
    <w:name w:val="Основной текст с отступом Знак"/>
    <w:basedOn w:val="a0"/>
    <w:link w:val="ab"/>
    <w:uiPriority w:val="99"/>
    <w:semiHidden/>
    <w:rsid w:val="00805F04"/>
  </w:style>
  <w:style w:type="paragraph" w:customStyle="1" w:styleId="ad">
    <w:name w:val="Стиль заключения Знак"/>
    <w:basedOn w:val="a"/>
    <w:rsid w:val="00607703"/>
    <w:pPr>
      <w:suppressAutoHyphens/>
      <w:spacing w:after="0" w:line="360" w:lineRule="auto"/>
      <w:ind w:firstLine="720"/>
      <w:jc w:val="both"/>
    </w:pPr>
    <w:rPr>
      <w:rFonts w:ascii="Times New Roman" w:eastAsia="Times New Roman" w:hAnsi="Times New Roman" w:cs="Times New Roman"/>
      <w:sz w:val="28"/>
      <w:szCs w:val="28"/>
      <w:lang w:eastAsia="ar-SA"/>
    </w:rPr>
  </w:style>
  <w:style w:type="character" w:styleId="ae">
    <w:name w:val="Hyperlink"/>
    <w:uiPriority w:val="99"/>
    <w:unhideWhenUsed/>
    <w:rsid w:val="00FA0047"/>
    <w:rPr>
      <w:color w:val="0000FF"/>
      <w:u w:val="single"/>
    </w:rPr>
  </w:style>
  <w:style w:type="character" w:customStyle="1" w:styleId="25">
    <w:name w:val="Обычный (веб) Знак2"/>
    <w:aliases w:val=" Знак Знак,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
    <w:link w:val="a7"/>
    <w:uiPriority w:val="99"/>
    <w:locked/>
    <w:rsid w:val="00FA0047"/>
    <w:rPr>
      <w:rFonts w:ascii="Times New Roman" w:eastAsia="Times New Roman" w:hAnsi="Times New Roman" w:cs="Times New Roman"/>
      <w:sz w:val="24"/>
      <w:szCs w:val="24"/>
      <w:lang w:eastAsia="ru-RU"/>
    </w:rPr>
  </w:style>
  <w:style w:type="character" w:customStyle="1" w:styleId="211pt">
    <w:name w:val="Основной текст (2) + 11 pt"/>
    <w:basedOn w:val="a0"/>
    <w:rsid w:val="00F51B8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f">
    <w:name w:val="header"/>
    <w:basedOn w:val="a"/>
    <w:link w:val="af0"/>
    <w:uiPriority w:val="99"/>
    <w:unhideWhenUsed/>
    <w:rsid w:val="007223A6"/>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223A6"/>
  </w:style>
  <w:style w:type="paragraph" w:styleId="af1">
    <w:name w:val="footer"/>
    <w:basedOn w:val="a"/>
    <w:link w:val="af2"/>
    <w:uiPriority w:val="99"/>
    <w:unhideWhenUsed/>
    <w:rsid w:val="007223A6"/>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223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4980">
      <w:bodyDiv w:val="1"/>
      <w:marLeft w:val="0"/>
      <w:marRight w:val="0"/>
      <w:marTop w:val="0"/>
      <w:marBottom w:val="0"/>
      <w:divBdr>
        <w:top w:val="none" w:sz="0" w:space="0" w:color="auto"/>
        <w:left w:val="none" w:sz="0" w:space="0" w:color="auto"/>
        <w:bottom w:val="none" w:sz="0" w:space="0" w:color="auto"/>
        <w:right w:val="none" w:sz="0" w:space="0" w:color="auto"/>
      </w:divBdr>
    </w:div>
    <w:div w:id="124780730">
      <w:bodyDiv w:val="1"/>
      <w:marLeft w:val="0"/>
      <w:marRight w:val="0"/>
      <w:marTop w:val="0"/>
      <w:marBottom w:val="0"/>
      <w:divBdr>
        <w:top w:val="none" w:sz="0" w:space="0" w:color="auto"/>
        <w:left w:val="none" w:sz="0" w:space="0" w:color="auto"/>
        <w:bottom w:val="none" w:sz="0" w:space="0" w:color="auto"/>
        <w:right w:val="none" w:sz="0" w:space="0" w:color="auto"/>
      </w:divBdr>
    </w:div>
    <w:div w:id="189881042">
      <w:bodyDiv w:val="1"/>
      <w:marLeft w:val="0"/>
      <w:marRight w:val="0"/>
      <w:marTop w:val="0"/>
      <w:marBottom w:val="0"/>
      <w:divBdr>
        <w:top w:val="none" w:sz="0" w:space="0" w:color="auto"/>
        <w:left w:val="none" w:sz="0" w:space="0" w:color="auto"/>
        <w:bottom w:val="none" w:sz="0" w:space="0" w:color="auto"/>
        <w:right w:val="none" w:sz="0" w:space="0" w:color="auto"/>
      </w:divBdr>
    </w:div>
    <w:div w:id="457646350">
      <w:bodyDiv w:val="1"/>
      <w:marLeft w:val="0"/>
      <w:marRight w:val="0"/>
      <w:marTop w:val="0"/>
      <w:marBottom w:val="0"/>
      <w:divBdr>
        <w:top w:val="none" w:sz="0" w:space="0" w:color="auto"/>
        <w:left w:val="none" w:sz="0" w:space="0" w:color="auto"/>
        <w:bottom w:val="none" w:sz="0" w:space="0" w:color="auto"/>
        <w:right w:val="none" w:sz="0" w:space="0" w:color="auto"/>
      </w:divBdr>
    </w:div>
    <w:div w:id="603806692">
      <w:bodyDiv w:val="1"/>
      <w:marLeft w:val="0"/>
      <w:marRight w:val="0"/>
      <w:marTop w:val="0"/>
      <w:marBottom w:val="0"/>
      <w:divBdr>
        <w:top w:val="none" w:sz="0" w:space="0" w:color="auto"/>
        <w:left w:val="none" w:sz="0" w:space="0" w:color="auto"/>
        <w:bottom w:val="none" w:sz="0" w:space="0" w:color="auto"/>
        <w:right w:val="none" w:sz="0" w:space="0" w:color="auto"/>
      </w:divBdr>
    </w:div>
    <w:div w:id="624043308">
      <w:bodyDiv w:val="1"/>
      <w:marLeft w:val="0"/>
      <w:marRight w:val="0"/>
      <w:marTop w:val="0"/>
      <w:marBottom w:val="0"/>
      <w:divBdr>
        <w:top w:val="none" w:sz="0" w:space="0" w:color="auto"/>
        <w:left w:val="none" w:sz="0" w:space="0" w:color="auto"/>
        <w:bottom w:val="none" w:sz="0" w:space="0" w:color="auto"/>
        <w:right w:val="none" w:sz="0" w:space="0" w:color="auto"/>
      </w:divBdr>
    </w:div>
    <w:div w:id="978219569">
      <w:bodyDiv w:val="1"/>
      <w:marLeft w:val="0"/>
      <w:marRight w:val="0"/>
      <w:marTop w:val="0"/>
      <w:marBottom w:val="0"/>
      <w:divBdr>
        <w:top w:val="none" w:sz="0" w:space="0" w:color="auto"/>
        <w:left w:val="none" w:sz="0" w:space="0" w:color="auto"/>
        <w:bottom w:val="none" w:sz="0" w:space="0" w:color="auto"/>
        <w:right w:val="none" w:sz="0" w:space="0" w:color="auto"/>
      </w:divBdr>
    </w:div>
    <w:div w:id="1040784525">
      <w:bodyDiv w:val="1"/>
      <w:marLeft w:val="0"/>
      <w:marRight w:val="0"/>
      <w:marTop w:val="0"/>
      <w:marBottom w:val="0"/>
      <w:divBdr>
        <w:top w:val="none" w:sz="0" w:space="0" w:color="auto"/>
        <w:left w:val="none" w:sz="0" w:space="0" w:color="auto"/>
        <w:bottom w:val="none" w:sz="0" w:space="0" w:color="auto"/>
        <w:right w:val="none" w:sz="0" w:space="0" w:color="auto"/>
      </w:divBdr>
    </w:div>
    <w:div w:id="1097170668">
      <w:bodyDiv w:val="1"/>
      <w:marLeft w:val="0"/>
      <w:marRight w:val="0"/>
      <w:marTop w:val="0"/>
      <w:marBottom w:val="0"/>
      <w:divBdr>
        <w:top w:val="none" w:sz="0" w:space="0" w:color="auto"/>
        <w:left w:val="none" w:sz="0" w:space="0" w:color="auto"/>
        <w:bottom w:val="none" w:sz="0" w:space="0" w:color="auto"/>
        <w:right w:val="none" w:sz="0" w:space="0" w:color="auto"/>
      </w:divBdr>
    </w:div>
    <w:div w:id="1113329738">
      <w:bodyDiv w:val="1"/>
      <w:marLeft w:val="0"/>
      <w:marRight w:val="0"/>
      <w:marTop w:val="0"/>
      <w:marBottom w:val="0"/>
      <w:divBdr>
        <w:top w:val="none" w:sz="0" w:space="0" w:color="auto"/>
        <w:left w:val="none" w:sz="0" w:space="0" w:color="auto"/>
        <w:bottom w:val="none" w:sz="0" w:space="0" w:color="auto"/>
        <w:right w:val="none" w:sz="0" w:space="0" w:color="auto"/>
      </w:divBdr>
    </w:div>
    <w:div w:id="1118448479">
      <w:bodyDiv w:val="1"/>
      <w:marLeft w:val="0"/>
      <w:marRight w:val="0"/>
      <w:marTop w:val="0"/>
      <w:marBottom w:val="0"/>
      <w:divBdr>
        <w:top w:val="none" w:sz="0" w:space="0" w:color="auto"/>
        <w:left w:val="none" w:sz="0" w:space="0" w:color="auto"/>
        <w:bottom w:val="none" w:sz="0" w:space="0" w:color="auto"/>
        <w:right w:val="none" w:sz="0" w:space="0" w:color="auto"/>
      </w:divBdr>
    </w:div>
    <w:div w:id="1371103334">
      <w:bodyDiv w:val="1"/>
      <w:marLeft w:val="0"/>
      <w:marRight w:val="0"/>
      <w:marTop w:val="0"/>
      <w:marBottom w:val="0"/>
      <w:divBdr>
        <w:top w:val="none" w:sz="0" w:space="0" w:color="auto"/>
        <w:left w:val="none" w:sz="0" w:space="0" w:color="auto"/>
        <w:bottom w:val="none" w:sz="0" w:space="0" w:color="auto"/>
        <w:right w:val="none" w:sz="0" w:space="0" w:color="auto"/>
      </w:divBdr>
    </w:div>
    <w:div w:id="1373119339">
      <w:bodyDiv w:val="1"/>
      <w:marLeft w:val="0"/>
      <w:marRight w:val="0"/>
      <w:marTop w:val="0"/>
      <w:marBottom w:val="0"/>
      <w:divBdr>
        <w:top w:val="none" w:sz="0" w:space="0" w:color="auto"/>
        <w:left w:val="none" w:sz="0" w:space="0" w:color="auto"/>
        <w:bottom w:val="none" w:sz="0" w:space="0" w:color="auto"/>
        <w:right w:val="none" w:sz="0" w:space="0" w:color="auto"/>
      </w:divBdr>
    </w:div>
    <w:div w:id="1838300041">
      <w:bodyDiv w:val="1"/>
      <w:marLeft w:val="0"/>
      <w:marRight w:val="0"/>
      <w:marTop w:val="0"/>
      <w:marBottom w:val="0"/>
      <w:divBdr>
        <w:top w:val="none" w:sz="0" w:space="0" w:color="auto"/>
        <w:left w:val="none" w:sz="0" w:space="0" w:color="auto"/>
        <w:bottom w:val="none" w:sz="0" w:space="0" w:color="auto"/>
        <w:right w:val="none" w:sz="0" w:space="0" w:color="auto"/>
      </w:divBdr>
    </w:div>
    <w:div w:id="1880585661">
      <w:bodyDiv w:val="1"/>
      <w:marLeft w:val="0"/>
      <w:marRight w:val="0"/>
      <w:marTop w:val="0"/>
      <w:marBottom w:val="0"/>
      <w:divBdr>
        <w:top w:val="none" w:sz="0" w:space="0" w:color="auto"/>
        <w:left w:val="none" w:sz="0" w:space="0" w:color="auto"/>
        <w:bottom w:val="none" w:sz="0" w:space="0" w:color="auto"/>
        <w:right w:val="none" w:sz="0" w:space="0" w:color="auto"/>
      </w:divBdr>
    </w:div>
    <w:div w:id="1902476450">
      <w:bodyDiv w:val="1"/>
      <w:marLeft w:val="0"/>
      <w:marRight w:val="0"/>
      <w:marTop w:val="0"/>
      <w:marBottom w:val="0"/>
      <w:divBdr>
        <w:top w:val="none" w:sz="0" w:space="0" w:color="auto"/>
        <w:left w:val="none" w:sz="0" w:space="0" w:color="auto"/>
        <w:bottom w:val="none" w:sz="0" w:space="0" w:color="auto"/>
        <w:right w:val="none" w:sz="0" w:space="0" w:color="auto"/>
      </w:divBdr>
    </w:div>
    <w:div w:id="2031950788">
      <w:bodyDiv w:val="1"/>
      <w:marLeft w:val="0"/>
      <w:marRight w:val="0"/>
      <w:marTop w:val="0"/>
      <w:marBottom w:val="0"/>
      <w:divBdr>
        <w:top w:val="none" w:sz="0" w:space="0" w:color="auto"/>
        <w:left w:val="none" w:sz="0" w:space="0" w:color="auto"/>
        <w:bottom w:val="none" w:sz="0" w:space="0" w:color="auto"/>
        <w:right w:val="none" w:sz="0" w:space="0" w:color="auto"/>
      </w:divBdr>
    </w:div>
    <w:div w:id="205430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3.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chart" Target="charts/chart25.xml"/><Relationship Id="rId47" Type="http://schemas.openxmlformats.org/officeDocument/2006/relationships/hyperlink" Target="http://prostoysovet.ru/index.php?option=com_content&amp;view=article&amp;id=101:2011-02-01-15-23-57&amp;catid=45&amp;Itemid=64" TargetMode="External"/><Relationship Id="rId50" Type="http://schemas.openxmlformats.org/officeDocument/2006/relationships/chart" Target="charts/chart29.xml"/><Relationship Id="rId55" Type="http://schemas.openxmlformats.org/officeDocument/2006/relationships/chart" Target="charts/chart33.xml"/><Relationship Id="rId63" Type="http://schemas.openxmlformats.org/officeDocument/2006/relationships/chart" Target="charts/chart41.xml"/><Relationship Id="rId68" Type="http://schemas.openxmlformats.org/officeDocument/2006/relationships/chart" Target="charts/chart4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2.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hyperlink" Target="http://b2bpoisk.ru/%D0%BF%D1%80%D0%BE%D0%B4%D1%83%D0%BA%D1%86%D0%B8%D1%8F/%D0%B1%D0%B5%D0%BB%D1%8C%D0%B5_%D0%BF%D0%BE%D1%81%D1%82%D0%B5%D0%BB%D1%8C%D0%BD%D0%BE%D0%B5" TargetMode="External"/><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economy.samregion.ru/" TargetMode="External"/><Relationship Id="rId36" Type="http://schemas.openxmlformats.org/officeDocument/2006/relationships/chart" Target="charts/chart20.xml"/><Relationship Id="rId49" Type="http://schemas.openxmlformats.org/officeDocument/2006/relationships/chart" Target="charts/chart28.xml"/><Relationship Id="rId57" Type="http://schemas.openxmlformats.org/officeDocument/2006/relationships/chart" Target="charts/chart35.xml"/><Relationship Id="rId61" Type="http://schemas.openxmlformats.org/officeDocument/2006/relationships/chart" Target="charts/chart39.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chart" Target="charts/chart15.xml"/><Relationship Id="rId44" Type="http://schemas.openxmlformats.org/officeDocument/2006/relationships/hyperlink" Target="http://economy.samregion.ru/" TargetMode="Externa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chart" Target="charts/chart4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www.gks.ru/bgd/regl/b18_02/Main.htm" TargetMode="External"/><Relationship Id="rId30" Type="http://schemas.openxmlformats.org/officeDocument/2006/relationships/image" Target="media/image6.png"/><Relationship Id="rId35" Type="http://schemas.openxmlformats.org/officeDocument/2006/relationships/chart" Target="charts/chart19.xml"/><Relationship Id="rId43" Type="http://schemas.openxmlformats.org/officeDocument/2006/relationships/chart" Target="charts/chart26.xml"/><Relationship Id="rId48" Type="http://schemas.openxmlformats.org/officeDocument/2006/relationships/hyperlink" Target="http://kladovaia-krasoti.ru/2011/08/zelenaya-glina-v-kosmetologii/" TargetMode="External"/><Relationship Id="rId56" Type="http://schemas.openxmlformats.org/officeDocument/2006/relationships/chart" Target="charts/chart34.xml"/><Relationship Id="rId64" Type="http://schemas.openxmlformats.org/officeDocument/2006/relationships/chart" Target="charts/chart42.xm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economy.samregion.r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27.xml"/><Relationship Id="rId59" Type="http://schemas.openxmlformats.org/officeDocument/2006/relationships/chart" Target="charts/chart37.xml"/><Relationship Id="rId67" Type="http://schemas.openxmlformats.org/officeDocument/2006/relationships/chart" Target="charts/chart44.xml"/><Relationship Id="rId20" Type="http://schemas.openxmlformats.org/officeDocument/2006/relationships/chart" Target="charts/chart8.xml"/><Relationship Id="rId41" Type="http://schemas.openxmlformats.org/officeDocument/2006/relationships/image" Target="media/image8.png"/><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D:\NADIN\SGEU\&#1055;&#1086;&#1083;&#1103;&#1085;&#1089;&#1082;&#1086;&#1074;&#1072;\&#1058;&#1072;&#1073;&#1083;_&#1050;&#1072;&#1084;&#1099;&#1096;&#1083;_2.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NADIN\SGEU\&#1055;&#1086;&#1083;&#1103;&#1085;&#1089;&#1082;&#1086;&#1074;&#1072;\&#1050;&#1072;&#1084;&#1099;&#1096;&#1083;&#1080;&#1085;&#1089;&#1082;&#1080;&#1081;%20&#1088;&#1072;&#1081;&#1086;&#1085;\&#1058;&#1072;&#1073;&#1083;_&#1050;&#1072;&#1084;&#1099;&#1096;&#1083;_1.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NADIN\SGEU\&#1055;&#1086;&#1083;&#1103;&#1085;&#1089;&#1082;&#1086;&#1074;&#1072;\&#1050;&#1072;&#1084;&#1099;&#1096;&#1083;&#1080;&#1085;&#1089;&#1082;&#1080;&#1081;%20&#1088;&#1072;&#1081;&#1086;&#1085;\&#1058;&#1072;&#1073;&#1083;_&#1050;&#1072;&#1084;&#1099;&#1096;&#1083;_1.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6.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7.xlsx"/></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8.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D:\NADIN\SGEU\&#1055;&#1086;&#1083;&#1103;&#1085;&#1089;&#1082;&#1086;&#1074;&#1072;\&#1050;&#1072;&#1084;&#1099;&#1096;&#1083;&#1080;&#1085;&#1089;&#1082;&#1080;&#1081;%20&#1088;&#1072;&#1081;&#1086;&#1085;\&#1058;&#1072;&#1073;&#1083;_&#1050;&#1072;&#1084;&#1099;&#1096;&#1083;_2_0506.xlsx" TargetMode="External"/><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Excel9.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_____Microsoft_Excel10.xlsx"/></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Excel11.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Excel12.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_____Microsoft_Excel14.xlsx"/></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_____Microsoft_Excel15.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oleObject" Target="file:///D:\NADIN\SGEU\&#1055;&#1086;&#1083;&#1103;&#1085;&#1089;&#1082;&#1086;&#1074;&#1072;\&#1075;&#1088;&#1072;&#1092;&#1080;&#1082;&#1080;_&#1063;&#1050;_&#1050;&#1072;&#1084;&#1099;&#1096;&#1083;_1.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1" Type="http://schemas.openxmlformats.org/officeDocument/2006/relationships/oleObject" Target="file:///D:\&#1085;&#1080;&#1088;2018\&#1053;&#1048;&#1056;_&#1089;&#1090;&#1088;&#1072;&#1090;&#1077;&#1075;&#1080;&#1103;_&#1082;&#1072;&#1084;&#1099;&#1096;&#1083;&#1099;\&#1075;&#1088;&#1072;&#1092;&#1080;&#1082;&#1080;_&#1084;&#1086;&#1080;.xls" TargetMode="External"/></Relationships>
</file>

<file path=word/charts/_rels/chart34.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29.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0.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1.xml"/></Relationships>
</file>

<file path=word/charts/_rels/chart39.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NADIN\SGEU\&#1055;&#1086;&#1083;&#1103;&#1085;&#1089;&#1082;&#1086;&#1074;&#1072;\&#1075;&#1088;&#1072;&#1092;&#1080;&#1082;&#1080;_&#1063;&#1050;_&#1050;&#1072;&#1084;&#1099;&#1096;&#1083;_1.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3.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4.xml"/></Relationships>
</file>

<file path=word/charts/_rels/chart42.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5.xml"/></Relationships>
</file>

<file path=word/charts/_rels/chart43.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6.xml"/></Relationships>
</file>

<file path=word/charts/_rels/chart44.xml.rels><?xml version="1.0" encoding="UTF-8" standalone="yes"?>
<Relationships xmlns="http://schemas.openxmlformats.org/package/2006/relationships"><Relationship Id="rId2" Type="http://schemas.openxmlformats.org/officeDocument/2006/relationships/oleObject" Target="file:///D:\&#1085;&#1080;&#1088;2018\&#1053;&#1048;&#1056;_&#1089;&#1090;&#1088;&#1072;&#1090;&#1077;&#1075;&#1080;&#1103;_&#1082;&#1072;&#1084;&#1099;&#1096;&#1083;&#1099;\&#1075;&#1088;&#1072;&#1092;&#1080;&#1082;&#1080;_&#1084;&#1086;&#1080;.xls" TargetMode="External"/><Relationship Id="rId1" Type="http://schemas.openxmlformats.org/officeDocument/2006/relationships/themeOverride" Target="../theme/themeOverride37.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D:\&#1085;&#1080;&#1088;2018\&#1053;&#1048;&#1056;_&#1089;&#1090;&#1088;&#1072;&#1090;&#1077;&#1075;&#1080;&#1103;_&#1082;&#1072;&#1084;&#1099;&#1096;&#1083;&#1099;\&#1075;&#1088;&#1072;&#1092;&#1080;&#1082;&#1080;.xls" TargetMode="External"/><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2" Type="http://schemas.openxmlformats.org/officeDocument/2006/relationships/oleObject" Target="file:///D:\NADIN\SGEU\&#1055;&#1086;&#1083;&#1103;&#1085;&#1089;&#1082;&#1086;&#1074;&#1072;\&#1075;&#1088;&#1072;&#1092;&#1080;&#1082;&#1080;_&#1063;&#1050;_&#1050;&#1072;&#1084;&#1099;&#1096;&#1083;_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8.xml.rels><?xml version="1.0" encoding="UTF-8" standalone="yes"?>
<Relationships xmlns="http://schemas.openxmlformats.org/package/2006/relationships"><Relationship Id="rId2" Type="http://schemas.openxmlformats.org/officeDocument/2006/relationships/oleObject" Target="file:///D:\NADIN\SGEU\&#1055;&#1086;&#1083;&#1103;&#1085;&#1089;&#1082;&#1086;&#1074;&#1072;\&#1052;&#1086;&#1080;%20&#1090;&#1072;&#1073;&#1083;%20&#1087;&#1086;%20&#1050;&#1072;&#1084;&#1099;&#1096;&#1083;&#1080;&#1085;&#1089;&#1082;&#1086;&#1084;&#1091;_2.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903015761467938"/>
          <c:y val="0.26791863088892032"/>
          <c:w val="0.74752946464650183"/>
          <c:h val="0.52244886599615459"/>
        </c:manualLayout>
      </c:layout>
      <c:lineChart>
        <c:grouping val="standard"/>
        <c:varyColors val="0"/>
        <c:ser>
          <c:idx val="0"/>
          <c:order val="0"/>
          <c:cat>
            <c:numRef>
              <c:f>Экология!$A$35:$A$45</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Экология!$B$35:$B$45</c:f>
              <c:numCache>
                <c:formatCode>General</c:formatCode>
                <c:ptCount val="11"/>
                <c:pt idx="0">
                  <c:v>6</c:v>
                </c:pt>
                <c:pt idx="1">
                  <c:v>7</c:v>
                </c:pt>
                <c:pt idx="2">
                  <c:v>7</c:v>
                </c:pt>
                <c:pt idx="3">
                  <c:v>7</c:v>
                </c:pt>
                <c:pt idx="4">
                  <c:v>7</c:v>
                </c:pt>
                <c:pt idx="5">
                  <c:v>5</c:v>
                </c:pt>
                <c:pt idx="6">
                  <c:v>5</c:v>
                </c:pt>
                <c:pt idx="7">
                  <c:v>5</c:v>
                </c:pt>
                <c:pt idx="8">
                  <c:v>6</c:v>
                </c:pt>
                <c:pt idx="9">
                  <c:v>7</c:v>
                </c:pt>
                <c:pt idx="10">
                  <c:v>7</c:v>
                </c:pt>
              </c:numCache>
            </c:numRef>
          </c:val>
          <c:smooth val="0"/>
        </c:ser>
        <c:dLbls>
          <c:showLegendKey val="0"/>
          <c:showVal val="0"/>
          <c:showCatName val="0"/>
          <c:showSerName val="0"/>
          <c:showPercent val="0"/>
          <c:showBubbleSize val="0"/>
        </c:dLbls>
        <c:hiLowLines/>
        <c:marker val="1"/>
        <c:smooth val="0"/>
        <c:axId val="61524224"/>
        <c:axId val="63975808"/>
      </c:lineChart>
      <c:catAx>
        <c:axId val="61524224"/>
        <c:scaling>
          <c:orientation val="minMax"/>
        </c:scaling>
        <c:delete val="0"/>
        <c:axPos val="b"/>
        <c:title>
          <c:tx>
            <c:rich>
              <a:bodyPr/>
              <a:lstStyle/>
              <a:p>
                <a:pPr>
                  <a:defRPr/>
                </a:pPr>
                <a:r>
                  <a:rPr lang="ru-RU"/>
                  <a:t>Годы</a:t>
                </a:r>
              </a:p>
            </c:rich>
          </c:tx>
          <c:overlay val="0"/>
        </c:title>
        <c:numFmt formatCode="General" sourceLinked="1"/>
        <c:majorTickMark val="none"/>
        <c:minorTickMark val="none"/>
        <c:tickLblPos val="nextTo"/>
        <c:crossAx val="63975808"/>
        <c:crosses val="autoZero"/>
        <c:auto val="1"/>
        <c:lblAlgn val="ctr"/>
        <c:lblOffset val="100"/>
        <c:noMultiLvlLbl val="0"/>
      </c:catAx>
      <c:valAx>
        <c:axId val="63975808"/>
        <c:scaling>
          <c:orientation val="minMax"/>
          <c:min val="4"/>
        </c:scaling>
        <c:delete val="0"/>
        <c:axPos val="l"/>
        <c:title>
          <c:tx>
            <c:rich>
              <a:bodyPr/>
              <a:lstStyle/>
              <a:p>
                <a:pPr>
                  <a:defRPr/>
                </a:pPr>
                <a:r>
                  <a:rPr lang="ru-RU"/>
                  <a:t>Количество обЪектов, имеющих выбросы в атмосферу, ед. </a:t>
                </a:r>
              </a:p>
            </c:rich>
          </c:tx>
          <c:overlay val="0"/>
        </c:title>
        <c:numFmt formatCode="General" sourceLinked="1"/>
        <c:majorTickMark val="out"/>
        <c:minorTickMark val="none"/>
        <c:tickLblPos val="nextTo"/>
        <c:crossAx val="61524224"/>
        <c:crosses val="autoZero"/>
        <c:crossBetween val="between"/>
      </c:valAx>
    </c:plotArea>
    <c:plotVisOnly val="1"/>
    <c:dispBlanksAs val="gap"/>
    <c:showDLblsOverMax val="0"/>
  </c:chart>
  <c:txPr>
    <a:bodyPr/>
    <a:lstStyle/>
    <a:p>
      <a:pPr>
        <a:defRPr sz="800" baseline="0">
          <a:solidFill>
            <a:sysClr val="windowText" lastClr="000000"/>
          </a:solidFill>
          <a:latin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8311965811965812E-2"/>
          <c:y val="0.57978904121120001"/>
          <c:w val="0.97168805262250091"/>
          <c:h val="0.37072313248459093"/>
        </c:manualLayout>
      </c:layout>
      <c:pie3DChart>
        <c:varyColors val="1"/>
        <c:ser>
          <c:idx val="0"/>
          <c:order val="0"/>
          <c:spPr>
            <a:gradFill>
              <a:gsLst>
                <a:gs pos="0">
                  <a:schemeClr val="tx2">
                    <a:lumMod val="75000"/>
                  </a:schemeClr>
                </a:gs>
                <a:gs pos="53000">
                  <a:srgbClr val="D4DEFF"/>
                </a:gs>
                <a:gs pos="83000">
                  <a:srgbClr val="D4DEFF"/>
                </a:gs>
                <a:gs pos="100000">
                  <a:srgbClr val="96AB94"/>
                </a:gs>
              </a:gsLst>
              <a:lin ang="5400000" scaled="0"/>
            </a:gradFill>
          </c:spPr>
          <c:explosion val="25"/>
          <c:dPt>
            <c:idx val="0"/>
            <c:bubble3D val="0"/>
            <c:spPr>
              <a:solidFill>
                <a:srgbClr val="C50000"/>
              </a:solidFill>
            </c:spPr>
          </c:dPt>
          <c:dPt>
            <c:idx val="1"/>
            <c:bubble3D val="0"/>
            <c:spPr>
              <a:solidFill>
                <a:srgbClr val="376092"/>
              </a:solidFill>
            </c:spPr>
          </c:dPt>
          <c:dPt>
            <c:idx val="2"/>
            <c:bubble3D val="0"/>
            <c:spPr>
              <a:solidFill>
                <a:srgbClr val="7F7F7F"/>
              </a:solidFill>
            </c:spPr>
          </c:dPt>
          <c:dPt>
            <c:idx val="3"/>
            <c:bubble3D val="0"/>
            <c:spPr>
              <a:solidFill>
                <a:srgbClr val="C50000"/>
              </a:solidFill>
            </c:spPr>
          </c:dPt>
          <c:dPt>
            <c:idx val="4"/>
            <c:bubble3D val="0"/>
            <c:spPr>
              <a:solidFill>
                <a:srgbClr val="376092"/>
              </a:solidFill>
            </c:spPr>
          </c:dPt>
          <c:dPt>
            <c:idx val="5"/>
            <c:bubble3D val="0"/>
            <c:spPr>
              <a:solidFill>
                <a:srgbClr val="7F7F7F"/>
              </a:solidFill>
            </c:spPr>
          </c:dPt>
          <c:dPt>
            <c:idx val="6"/>
            <c:bubble3D val="0"/>
            <c:spPr>
              <a:solidFill>
                <a:srgbClr val="C50000"/>
              </a:solidFill>
            </c:spPr>
          </c:dPt>
          <c:dPt>
            <c:idx val="7"/>
            <c:bubble3D val="0"/>
            <c:spPr>
              <a:solidFill>
                <a:srgbClr val="376092"/>
              </a:solidFill>
            </c:spPr>
          </c:dPt>
          <c:dPt>
            <c:idx val="8"/>
            <c:bubble3D val="0"/>
            <c:spPr>
              <a:solidFill>
                <a:srgbClr val="7F7F7F"/>
              </a:solidFill>
            </c:spPr>
          </c:dPt>
          <c:dLbls>
            <c:spPr>
              <a:noFill/>
            </c:spPr>
            <c:showLegendKey val="0"/>
            <c:showVal val="0"/>
            <c:showCatName val="0"/>
            <c:showSerName val="0"/>
            <c:showPercent val="1"/>
            <c:showBubbleSize val="0"/>
            <c:showLeaderLines val="1"/>
          </c:dLbls>
          <c:cat>
            <c:strRef>
              <c:f>ИП!$A$2:$A$10</c:f>
              <c:strCache>
                <c:ptCount val="9"/>
                <c:pt idx="0">
                  <c:v>50% опт. и розничн. торговля; ремонт автотрансп. ср-в, мотоциклов, бытовых изд-й и предм. личного пользования</c:v>
                </c:pt>
                <c:pt idx="1">
                  <c:v>15% сельское хозяйство, охота и лесное хозяйство</c:v>
                </c:pt>
                <c:pt idx="2">
                  <c:v>9% транспорт и связь</c:v>
                </c:pt>
                <c:pt idx="3">
                  <c:v>7% обрабатывающие производства</c:v>
                </c:pt>
                <c:pt idx="4">
                  <c:v>7% гостиницы и рестораны</c:v>
                </c:pt>
                <c:pt idx="5">
                  <c:v>6% предоставление прочих коммунальных, социальных и персональных услуг</c:v>
                </c:pt>
                <c:pt idx="6">
                  <c:v>3% операции с недвижимым имуществом, аренда и предоставление услуг</c:v>
                </c:pt>
                <c:pt idx="7">
                  <c:v>2% строительство</c:v>
                </c:pt>
                <c:pt idx="8">
                  <c:v>1,4% образование; финансовая деятельность; рыболовство, рыбоводство</c:v>
                </c:pt>
              </c:strCache>
            </c:strRef>
          </c:cat>
          <c:val>
            <c:numRef>
              <c:f>ИП!$B$2:$B$10</c:f>
              <c:numCache>
                <c:formatCode>General</c:formatCode>
                <c:ptCount val="9"/>
                <c:pt idx="0">
                  <c:v>105</c:v>
                </c:pt>
                <c:pt idx="1">
                  <c:v>32</c:v>
                </c:pt>
                <c:pt idx="2">
                  <c:v>19</c:v>
                </c:pt>
                <c:pt idx="3">
                  <c:v>15</c:v>
                </c:pt>
                <c:pt idx="4">
                  <c:v>14</c:v>
                </c:pt>
                <c:pt idx="5">
                  <c:v>12</c:v>
                </c:pt>
                <c:pt idx="6">
                  <c:v>7</c:v>
                </c:pt>
                <c:pt idx="7">
                  <c:v>4</c:v>
                </c:pt>
                <c:pt idx="8">
                  <c:v>3</c:v>
                </c:pt>
              </c:numCache>
            </c:numRef>
          </c:val>
        </c:ser>
        <c:dLbls>
          <c:showLegendKey val="0"/>
          <c:showVal val="0"/>
          <c:showCatName val="0"/>
          <c:showSerName val="0"/>
          <c:showPercent val="0"/>
          <c:showBubbleSize val="0"/>
          <c:showLeaderLines val="1"/>
        </c:dLbls>
      </c:pie3DChart>
      <c:spPr>
        <a:noFill/>
        <a:ln w="25398">
          <a:noFill/>
        </a:ln>
      </c:spPr>
    </c:plotArea>
    <c:legend>
      <c:legendPos val="t"/>
      <c:layout>
        <c:manualLayout>
          <c:xMode val="edge"/>
          <c:yMode val="edge"/>
          <c:x val="8.2557462743935595E-3"/>
          <c:y val="0.10288865126427099"/>
          <c:w val="0.94506001603356193"/>
          <c:h val="0.49761813723901904"/>
        </c:manualLayout>
      </c:layout>
      <c:overlay val="0"/>
    </c:legend>
    <c:plotVisOnly val="1"/>
    <c:dispBlanksAs val="zero"/>
    <c:showDLblsOverMax val="0"/>
  </c:chart>
  <c:txPr>
    <a:bodyPr/>
    <a:lstStyle/>
    <a:p>
      <a:pPr>
        <a:defRPr sz="800" baseline="0">
          <a:latin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69489032684353E-2"/>
          <c:y val="9.9702530682921703E-2"/>
          <c:w val="0.8112327741534352"/>
          <c:h val="0.75925313849141862"/>
        </c:manualLayout>
      </c:layout>
      <c:scatterChart>
        <c:scatterStyle val="lineMarker"/>
        <c:varyColors val="0"/>
        <c:ser>
          <c:idx val="0"/>
          <c:order val="0"/>
          <c:tx>
            <c:strRef>
              <c:f>Безработица!$A$2</c:f>
              <c:strCache>
                <c:ptCount val="1"/>
                <c:pt idx="0">
                  <c:v>Алексеевский</c:v>
                </c:pt>
              </c:strCache>
            </c:strRef>
          </c:tx>
          <c:spPr>
            <a:ln w="47625">
              <a:noFill/>
            </a:ln>
          </c:spPr>
          <c:marker>
            <c:symbol val="circle"/>
            <c:size val="6"/>
            <c:spPr>
              <a:solidFill>
                <a:schemeClr val="accent1">
                  <a:lumMod val="50000"/>
                </a:schemeClr>
              </a:solidFill>
              <a:ln>
                <a:noFill/>
              </a:ln>
            </c:spPr>
          </c:marker>
          <c:dLbls>
            <c:dLbl>
              <c:idx val="0"/>
              <c:layout>
                <c:manualLayout>
                  <c:x val="-9.2220483464027073E-2"/>
                  <c:y val="2.398500465063580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c:f>
              <c:numCache>
                <c:formatCode>0.0</c:formatCode>
                <c:ptCount val="1"/>
                <c:pt idx="0">
                  <c:v>0</c:v>
                </c:pt>
              </c:numCache>
            </c:numRef>
          </c:xVal>
          <c:yVal>
            <c:numRef>
              <c:f>Безработица!$B$2</c:f>
              <c:numCache>
                <c:formatCode>0.0</c:formatCode>
                <c:ptCount val="1"/>
                <c:pt idx="0">
                  <c:v>2.2999999999999998</c:v>
                </c:pt>
              </c:numCache>
            </c:numRef>
          </c:yVal>
          <c:smooth val="0"/>
        </c:ser>
        <c:ser>
          <c:idx val="1"/>
          <c:order val="1"/>
          <c:tx>
            <c:strRef>
              <c:f>Безработица!$A$3</c:f>
              <c:strCache>
                <c:ptCount val="1"/>
                <c:pt idx="0">
                  <c:v>Безенчукский</c:v>
                </c:pt>
              </c:strCache>
            </c:strRef>
          </c:tx>
          <c:spPr>
            <a:ln w="47625">
              <a:noFill/>
            </a:ln>
          </c:spPr>
          <c:marker>
            <c:symbol val="circle"/>
            <c:size val="6"/>
            <c:spPr>
              <a:solidFill>
                <a:schemeClr val="accent1">
                  <a:lumMod val="50000"/>
                </a:schemeClr>
              </a:solidFill>
              <a:ln>
                <a:noFill/>
              </a:ln>
            </c:spPr>
          </c:marker>
          <c:dLbls>
            <c:dLbl>
              <c:idx val="0"/>
              <c:layout>
                <c:manualLayout>
                  <c:x val="-7.4049344714469875E-2"/>
                  <c:y val="-3.785133546428471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Безработица!$G$3</c:f>
              <c:numCache>
                <c:formatCode>0.0</c:formatCode>
                <c:ptCount val="1"/>
                <c:pt idx="0">
                  <c:v>-6.4702138354384093</c:v>
                </c:pt>
              </c:numCache>
            </c:numRef>
          </c:xVal>
          <c:yVal>
            <c:numRef>
              <c:f>Безработица!$B$3</c:f>
              <c:numCache>
                <c:formatCode>0.0</c:formatCode>
                <c:ptCount val="1"/>
                <c:pt idx="0">
                  <c:v>0.9</c:v>
                </c:pt>
              </c:numCache>
            </c:numRef>
          </c:yVal>
          <c:smooth val="0"/>
        </c:ser>
        <c:ser>
          <c:idx val="2"/>
          <c:order val="2"/>
          <c:tx>
            <c:strRef>
              <c:f>Безработица!$A$4</c:f>
              <c:strCache>
                <c:ptCount val="1"/>
                <c:pt idx="0">
                  <c:v>Богатовский</c:v>
                </c:pt>
              </c:strCache>
            </c:strRef>
          </c:tx>
          <c:spPr>
            <a:ln w="47625">
              <a:noFill/>
            </a:ln>
          </c:spPr>
          <c:marker>
            <c:symbol val="circle"/>
            <c:size val="6"/>
            <c:spPr>
              <a:solidFill>
                <a:schemeClr val="accent1">
                  <a:lumMod val="50000"/>
                </a:schemeClr>
              </a:solidFill>
              <a:ln>
                <a:noFill/>
              </a:ln>
            </c:spPr>
          </c:marker>
          <c:dLbls>
            <c:dLbl>
              <c:idx val="0"/>
              <c:layout>
                <c:manualLayout>
                  <c:x val="-3.9495529829584181E-2"/>
                  <c:y val="-3.785133546428478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Безработица!$G$4</c:f>
              <c:numCache>
                <c:formatCode>0.0</c:formatCode>
                <c:ptCount val="1"/>
                <c:pt idx="0">
                  <c:v>-10.858645979343978</c:v>
                </c:pt>
              </c:numCache>
            </c:numRef>
          </c:xVal>
          <c:yVal>
            <c:numRef>
              <c:f>Безработица!$B$4</c:f>
              <c:numCache>
                <c:formatCode>0.0</c:formatCode>
                <c:ptCount val="1"/>
                <c:pt idx="0">
                  <c:v>1.7</c:v>
                </c:pt>
              </c:numCache>
            </c:numRef>
          </c:yVal>
          <c:smooth val="0"/>
        </c:ser>
        <c:ser>
          <c:idx val="3"/>
          <c:order val="3"/>
          <c:tx>
            <c:strRef>
              <c:f>Безработица!$A$5</c:f>
              <c:strCache>
                <c:ptCount val="1"/>
                <c:pt idx="0">
                  <c:v>Большеглушицкий</c:v>
                </c:pt>
              </c:strCache>
            </c:strRef>
          </c:tx>
          <c:spPr>
            <a:ln w="47625">
              <a:noFill/>
            </a:ln>
          </c:spPr>
          <c:marker>
            <c:symbol val="circle"/>
            <c:size val="6"/>
            <c:spPr>
              <a:solidFill>
                <a:schemeClr val="accent1">
                  <a:lumMod val="50000"/>
                </a:schemeClr>
              </a:solidFill>
              <a:ln>
                <a:noFill/>
              </a:ln>
            </c:spPr>
          </c:marker>
          <c:dLbls>
            <c:dLbl>
              <c:idx val="0"/>
              <c:layout>
                <c:manualLayout>
                  <c:x val="6.3984827382429429E-3"/>
                  <c:y val="-3.747656976662192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Безработица!$G$5</c:f>
              <c:numCache>
                <c:formatCode>0.0</c:formatCode>
                <c:ptCount val="1"/>
                <c:pt idx="0">
                  <c:v>-3.8500286461727762</c:v>
                </c:pt>
              </c:numCache>
            </c:numRef>
          </c:xVal>
          <c:yVal>
            <c:numRef>
              <c:f>Безработица!$B$5</c:f>
              <c:numCache>
                <c:formatCode>0.0</c:formatCode>
                <c:ptCount val="1"/>
                <c:pt idx="0">
                  <c:v>3.2</c:v>
                </c:pt>
              </c:numCache>
            </c:numRef>
          </c:yVal>
          <c:smooth val="0"/>
        </c:ser>
        <c:ser>
          <c:idx val="4"/>
          <c:order val="4"/>
          <c:tx>
            <c:strRef>
              <c:f>Безработица!$A$6</c:f>
              <c:strCache>
                <c:ptCount val="1"/>
                <c:pt idx="0">
                  <c:v>Большечерниговский</c:v>
                </c:pt>
              </c:strCache>
            </c:strRef>
          </c:tx>
          <c:spPr>
            <a:ln w="47625">
              <a:noFill/>
            </a:ln>
          </c:spPr>
          <c:marker>
            <c:symbol val="circle"/>
            <c:size val="6"/>
            <c:spPr>
              <a:solidFill>
                <a:schemeClr val="accent1">
                  <a:lumMod val="50000"/>
                </a:schemeClr>
              </a:solidFill>
              <a:ln>
                <a:noFill/>
              </a:ln>
            </c:spPr>
          </c:marker>
          <c:dLbls>
            <c:dLbl>
              <c:idx val="0"/>
              <c:layout>
                <c:manualLayout>
                  <c:x val="-5.8406975560009273E-3"/>
                  <c:y val="7.120548255657486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Безработица!$G$6</c:f>
              <c:numCache>
                <c:formatCode>0.0</c:formatCode>
                <c:ptCount val="1"/>
                <c:pt idx="0">
                  <c:v>11.678316506545784</c:v>
                </c:pt>
              </c:numCache>
            </c:numRef>
          </c:xVal>
          <c:yVal>
            <c:numRef>
              <c:f>Безработица!$B$6</c:f>
              <c:numCache>
                <c:formatCode>0.0</c:formatCode>
                <c:ptCount val="1"/>
                <c:pt idx="0">
                  <c:v>3.9</c:v>
                </c:pt>
              </c:numCache>
            </c:numRef>
          </c:yVal>
          <c:smooth val="0"/>
        </c:ser>
        <c:ser>
          <c:idx val="5"/>
          <c:order val="5"/>
          <c:tx>
            <c:strRef>
              <c:f>Безработица!$A$7</c:f>
              <c:strCache>
                <c:ptCount val="1"/>
                <c:pt idx="0">
                  <c:v>Борский</c:v>
                </c:pt>
              </c:strCache>
            </c:strRef>
          </c:tx>
          <c:spPr>
            <a:ln w="47625">
              <a:noFill/>
            </a:ln>
          </c:spPr>
          <c:marker>
            <c:symbol val="circle"/>
            <c:size val="6"/>
            <c:spPr>
              <a:solidFill>
                <a:schemeClr val="accent1">
                  <a:lumMod val="50000"/>
                </a:schemeClr>
              </a:solidFill>
              <a:ln>
                <a:noFill/>
              </a:ln>
            </c:spPr>
          </c:marker>
          <c:dLbls>
            <c:dLbl>
              <c:idx val="0"/>
              <c:layout>
                <c:manualLayout>
                  <c:x val="-0.1008615817790893"/>
                  <c:y val="1.086820523231935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Безработица!$G$7</c:f>
              <c:numCache>
                <c:formatCode>0.0</c:formatCode>
                <c:ptCount val="1"/>
                <c:pt idx="0">
                  <c:v>-3.1270693848535758</c:v>
                </c:pt>
              </c:numCache>
            </c:numRef>
          </c:xVal>
          <c:yVal>
            <c:numRef>
              <c:f>Безработица!$B$7</c:f>
              <c:numCache>
                <c:formatCode>0.0</c:formatCode>
                <c:ptCount val="1"/>
                <c:pt idx="0">
                  <c:v>2</c:v>
                </c:pt>
              </c:numCache>
            </c:numRef>
          </c:yVal>
          <c:smooth val="0"/>
        </c:ser>
        <c:ser>
          <c:idx val="6"/>
          <c:order val="6"/>
          <c:tx>
            <c:strRef>
              <c:f>Безработица!$A$8</c:f>
              <c:strCache>
                <c:ptCount val="1"/>
                <c:pt idx="0">
                  <c:v>Волжский</c:v>
                </c:pt>
              </c:strCache>
            </c:strRef>
          </c:tx>
          <c:spPr>
            <a:ln w="47625">
              <a:noFill/>
            </a:ln>
          </c:spPr>
          <c:marker>
            <c:symbol val="circle"/>
            <c:size val="6"/>
            <c:spPr>
              <a:solidFill>
                <a:schemeClr val="accent1">
                  <a:lumMod val="50000"/>
                </a:schemeClr>
              </a:solidFill>
              <a:ln>
                <a:noFill/>
              </a:ln>
            </c:spPr>
          </c:marker>
          <c:dLbls>
            <c:dLbl>
              <c:idx val="0"/>
              <c:layout>
                <c:manualLayout>
                  <c:x val="-5.1056976922646886E-2"/>
                  <c:y val="-5.284196337093187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Безработица!$G$8</c:f>
              <c:numCache>
                <c:formatCode>0.0</c:formatCode>
                <c:ptCount val="1"/>
                <c:pt idx="0">
                  <c:v>-9.1439703583930019</c:v>
                </c:pt>
              </c:numCache>
            </c:numRef>
          </c:xVal>
          <c:yVal>
            <c:numRef>
              <c:f>Безработица!$B$8</c:f>
              <c:numCache>
                <c:formatCode>0.0</c:formatCode>
                <c:ptCount val="1"/>
                <c:pt idx="0">
                  <c:v>0.30000000000000032</c:v>
                </c:pt>
              </c:numCache>
            </c:numRef>
          </c:yVal>
          <c:smooth val="0"/>
        </c:ser>
        <c:ser>
          <c:idx val="7"/>
          <c:order val="7"/>
          <c:tx>
            <c:strRef>
              <c:f>Безработица!$A$9</c:f>
              <c:strCache>
                <c:ptCount val="1"/>
                <c:pt idx="0">
                  <c:v>Елховский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Безработица!$G$9</c:f>
              <c:numCache>
                <c:formatCode>0.0</c:formatCode>
                <c:ptCount val="1"/>
                <c:pt idx="0">
                  <c:v>-8.5539796083233508</c:v>
                </c:pt>
              </c:numCache>
            </c:numRef>
          </c:xVal>
          <c:yVal>
            <c:numRef>
              <c:f>Безработица!$B$9</c:f>
              <c:numCache>
                <c:formatCode>0.0</c:formatCode>
                <c:ptCount val="1"/>
                <c:pt idx="0">
                  <c:v>1.3</c:v>
                </c:pt>
              </c:numCache>
            </c:numRef>
          </c:yVal>
          <c:smooth val="0"/>
        </c:ser>
        <c:ser>
          <c:idx val="8"/>
          <c:order val="8"/>
          <c:tx>
            <c:strRef>
              <c:f>Безработица!$A$10</c:f>
              <c:strCache>
                <c:ptCount val="1"/>
                <c:pt idx="0">
                  <c:v>Исаклинский</c:v>
                </c:pt>
              </c:strCache>
            </c:strRef>
          </c:tx>
          <c:spPr>
            <a:ln w="47625">
              <a:noFill/>
            </a:ln>
          </c:spPr>
          <c:marker>
            <c:symbol val="circle"/>
            <c:size val="6"/>
          </c:marker>
          <c:dLbls>
            <c:dLbl>
              <c:idx val="0"/>
              <c:layout>
                <c:manualLayout>
                  <c:x val="-1.9810571226707971E-2"/>
                  <c:y val="-4.519195479098839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Безработица!$G$10</c:f>
              <c:numCache>
                <c:formatCode>0.0</c:formatCode>
                <c:ptCount val="1"/>
                <c:pt idx="0">
                  <c:v>0</c:v>
                </c:pt>
              </c:numCache>
            </c:numRef>
          </c:xVal>
          <c:yVal>
            <c:numRef>
              <c:f>Безработица!$B$10</c:f>
              <c:numCache>
                <c:formatCode>0.0</c:formatCode>
                <c:ptCount val="1"/>
                <c:pt idx="0">
                  <c:v>2.6</c:v>
                </c:pt>
              </c:numCache>
            </c:numRef>
          </c:yVal>
          <c:smooth val="0"/>
        </c:ser>
        <c:ser>
          <c:idx val="9"/>
          <c:order val="9"/>
          <c:tx>
            <c:strRef>
              <c:f>Безработица!$A$11</c:f>
              <c:strCache>
                <c:ptCount val="1"/>
                <c:pt idx="0">
                  <c:v>Камышлинский</c:v>
                </c:pt>
              </c:strCache>
            </c:strRef>
          </c:tx>
          <c:spPr>
            <a:ln w="47625">
              <a:noFill/>
            </a:ln>
          </c:spPr>
          <c:marker>
            <c:symbol val="circle"/>
            <c:size val="6"/>
            <c:spPr>
              <a:solidFill>
                <a:srgbClr val="FF0000"/>
              </a:solidFill>
              <a:ln>
                <a:noFill/>
              </a:ln>
            </c:spPr>
          </c:marker>
          <c:dLbls>
            <c:dLbl>
              <c:idx val="0"/>
              <c:layout>
                <c:manualLayout>
                  <c:x val="-2.2770401203711542E-3"/>
                  <c:y val="-3.7476569766618464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Безработица!$G$11</c:f>
              <c:numCache>
                <c:formatCode>0.0</c:formatCode>
                <c:ptCount val="1"/>
                <c:pt idx="0">
                  <c:v>1.5627524178942975</c:v>
                </c:pt>
              </c:numCache>
            </c:numRef>
          </c:xVal>
          <c:yVal>
            <c:numRef>
              <c:f>Безработица!$B$11</c:f>
              <c:numCache>
                <c:formatCode>0.0</c:formatCode>
                <c:ptCount val="1"/>
                <c:pt idx="0">
                  <c:v>2.2000000000000002</c:v>
                </c:pt>
              </c:numCache>
            </c:numRef>
          </c:yVal>
          <c:smooth val="0"/>
        </c:ser>
        <c:ser>
          <c:idx val="10"/>
          <c:order val="10"/>
          <c:tx>
            <c:strRef>
              <c:f>Безработица!$A$12</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
              <c:idx val="0"/>
              <c:layout>
                <c:manualLayout>
                  <c:x val="-3.5066417853716258E-3"/>
                  <c:y val="-1.536539360431366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Безработица!$G$12</c:f>
              <c:numCache>
                <c:formatCode>0.0</c:formatCode>
                <c:ptCount val="1"/>
                <c:pt idx="0">
                  <c:v>0</c:v>
                </c:pt>
              </c:numCache>
            </c:numRef>
          </c:xVal>
          <c:yVal>
            <c:numRef>
              <c:f>Безработица!$B$12</c:f>
              <c:numCache>
                <c:formatCode>0.0</c:formatCode>
                <c:ptCount val="1"/>
                <c:pt idx="0">
                  <c:v>1</c:v>
                </c:pt>
              </c:numCache>
            </c:numRef>
          </c:yVal>
          <c:smooth val="0"/>
        </c:ser>
        <c:ser>
          <c:idx val="11"/>
          <c:order val="11"/>
          <c:tx>
            <c:strRef>
              <c:f>Безработица!$A$13</c:f>
              <c:strCache>
                <c:ptCount val="1"/>
                <c:pt idx="0">
                  <c:v>Кинель-Черкасский</c:v>
                </c:pt>
              </c:strCache>
            </c:strRef>
          </c:tx>
          <c:spPr>
            <a:ln w="47625">
              <a:noFill/>
            </a:ln>
          </c:spPr>
          <c:marker>
            <c:symbol val="circle"/>
            <c:size val="6"/>
            <c:spPr>
              <a:solidFill>
                <a:schemeClr val="accent1">
                  <a:lumMod val="50000"/>
                </a:schemeClr>
              </a:solidFill>
              <a:ln>
                <a:noFill/>
              </a:ln>
            </c:spPr>
          </c:marker>
          <c:dLbls>
            <c:dLbl>
              <c:idx val="0"/>
              <c:layout>
                <c:manualLayout>
                  <c:x val="5.9203043129641927E-4"/>
                  <c:y val="-4.122422674328156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Безработица!$G$13</c:f>
              <c:numCache>
                <c:formatCode>0.0</c:formatCode>
                <c:ptCount val="1"/>
                <c:pt idx="0">
                  <c:v>0</c:v>
                </c:pt>
              </c:numCache>
            </c:numRef>
          </c:xVal>
          <c:yVal>
            <c:numRef>
              <c:f>Безработица!$B$13</c:f>
              <c:numCache>
                <c:formatCode>0.0</c:formatCode>
                <c:ptCount val="1"/>
                <c:pt idx="0">
                  <c:v>0.8</c:v>
                </c:pt>
              </c:numCache>
            </c:numRef>
          </c:yVal>
          <c:smooth val="0"/>
        </c:ser>
        <c:ser>
          <c:idx val="12"/>
          <c:order val="12"/>
          <c:tx>
            <c:strRef>
              <c:f>Безработица!$A$14</c:f>
              <c:strCache>
                <c:ptCount val="1"/>
                <c:pt idx="0">
                  <c:v>Клявлинский</c:v>
                </c:pt>
              </c:strCache>
            </c:strRef>
          </c:tx>
          <c:spPr>
            <a:ln w="47625">
              <a:noFill/>
            </a:ln>
          </c:spPr>
          <c:marker>
            <c:symbol val="circle"/>
            <c:size val="6"/>
            <c:spPr>
              <a:solidFill>
                <a:schemeClr val="accent1">
                  <a:lumMod val="50000"/>
                </a:schemeClr>
              </a:solidFill>
              <a:ln>
                <a:noFill/>
              </a:ln>
            </c:spPr>
          </c:marker>
          <c:dLbls>
            <c:dLbl>
              <c:idx val="0"/>
              <c:layout>
                <c:manualLayout>
                  <c:x val="-1.5085839033703947E-3"/>
                  <c:y val="-4.122422674328018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Безработица!$G$14</c:f>
              <c:numCache>
                <c:formatCode>0.0</c:formatCode>
                <c:ptCount val="1"/>
                <c:pt idx="0">
                  <c:v>1.4287644623016875</c:v>
                </c:pt>
              </c:numCache>
            </c:numRef>
          </c:xVal>
          <c:yVal>
            <c:numRef>
              <c:f>Безработица!$B$14</c:f>
              <c:numCache>
                <c:formatCode>0.0</c:formatCode>
                <c:ptCount val="1"/>
                <c:pt idx="0">
                  <c:v>2.4</c:v>
                </c:pt>
              </c:numCache>
            </c:numRef>
          </c:yVal>
          <c:smooth val="0"/>
        </c:ser>
        <c:ser>
          <c:idx val="13"/>
          <c:order val="13"/>
          <c:tx>
            <c:strRef>
              <c:f>Безработица!$A$15</c:f>
              <c:strCache>
                <c:ptCount val="1"/>
                <c:pt idx="0">
                  <c:v>Кошкинский</c:v>
                </c:pt>
              </c:strCache>
            </c:strRef>
          </c:tx>
          <c:spPr>
            <a:ln w="47625">
              <a:noFill/>
            </a:ln>
          </c:spPr>
          <c:marker>
            <c:symbol val="circle"/>
            <c:size val="6"/>
            <c:spPr>
              <a:solidFill>
                <a:schemeClr val="accent1">
                  <a:lumMod val="50000"/>
                </a:schemeClr>
              </a:solidFill>
              <a:ln>
                <a:noFill/>
              </a:ln>
            </c:spPr>
          </c:marker>
          <c:dLbls>
            <c:dLbl>
              <c:idx val="0"/>
              <c:layout>
                <c:manualLayout>
                  <c:x val="7.3869333038812532E-5"/>
                  <c:y val="-7.8700796509898786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Безработица!$G$15</c:f>
              <c:numCache>
                <c:formatCode>0.0</c:formatCode>
                <c:ptCount val="1"/>
                <c:pt idx="0">
                  <c:v>1.9235467531193198</c:v>
                </c:pt>
              </c:numCache>
            </c:numRef>
          </c:xVal>
          <c:yVal>
            <c:numRef>
              <c:f>Безработица!$B$15</c:f>
              <c:numCache>
                <c:formatCode>0.0</c:formatCode>
                <c:ptCount val="1"/>
                <c:pt idx="0">
                  <c:v>1.8</c:v>
                </c:pt>
              </c:numCache>
            </c:numRef>
          </c:yVal>
          <c:smooth val="0"/>
        </c:ser>
        <c:ser>
          <c:idx val="14"/>
          <c:order val="14"/>
          <c:tx>
            <c:strRef>
              <c:f>Безработица!$A$16</c:f>
              <c:strCache>
                <c:ptCount val="1"/>
                <c:pt idx="0">
                  <c:v>Красноармейский</c:v>
                </c:pt>
              </c:strCache>
            </c:strRef>
          </c:tx>
          <c:spPr>
            <a:ln w="47625">
              <a:noFill/>
            </a:ln>
          </c:spPr>
          <c:marker>
            <c:symbol val="circle"/>
            <c:size val="6"/>
            <c:spPr>
              <a:solidFill>
                <a:schemeClr val="accent1">
                  <a:lumMod val="50000"/>
                </a:schemeClr>
              </a:solidFill>
              <a:ln>
                <a:noFill/>
              </a:ln>
            </c:spPr>
          </c:marker>
          <c:dLbls>
            <c:dLbl>
              <c:idx val="0"/>
              <c:layout>
                <c:manualLayout>
                  <c:x val="-1.3151251403876341E-3"/>
                  <c:y val="-4.122422674328087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Безработица!$G$16</c:f>
              <c:numCache>
                <c:formatCode>0.0</c:formatCode>
                <c:ptCount val="1"/>
                <c:pt idx="0">
                  <c:v>-1.6131853193803061</c:v>
                </c:pt>
              </c:numCache>
            </c:numRef>
          </c:xVal>
          <c:yVal>
            <c:numRef>
              <c:f>Безработица!$B$16</c:f>
              <c:numCache>
                <c:formatCode>0.0</c:formatCode>
                <c:ptCount val="1"/>
                <c:pt idx="0">
                  <c:v>2</c:v>
                </c:pt>
              </c:numCache>
            </c:numRef>
          </c:yVal>
          <c:smooth val="0"/>
        </c:ser>
        <c:ser>
          <c:idx val="15"/>
          <c:order val="15"/>
          <c:tx>
            <c:strRef>
              <c:f>Безработица!$A$17</c:f>
              <c:strCache>
                <c:ptCount val="1"/>
                <c:pt idx="0">
                  <c:v>Красноярский</c:v>
                </c:pt>
              </c:strCache>
            </c:strRef>
          </c:tx>
          <c:spPr>
            <a:ln w="47625">
              <a:noFill/>
            </a:ln>
          </c:spPr>
          <c:marker>
            <c:symbol val="circle"/>
            <c:size val="6"/>
            <c:spPr>
              <a:solidFill>
                <a:schemeClr val="accent1">
                  <a:lumMod val="50000"/>
                </a:schemeClr>
              </a:solidFill>
              <a:ln>
                <a:noFill/>
              </a:ln>
            </c:spPr>
          </c:marker>
          <c:dLbls>
            <c:dLbl>
              <c:idx val="0"/>
              <c:layout>
                <c:manualLayout>
                  <c:x val="-7.7863476563340667E-2"/>
                  <c:y val="4.084946104561400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Безработица!$G$17</c:f>
              <c:numCache>
                <c:formatCode>0.0</c:formatCode>
                <c:ptCount val="1"/>
                <c:pt idx="0">
                  <c:v>-3.4510615394370268</c:v>
                </c:pt>
              </c:numCache>
            </c:numRef>
          </c:xVal>
          <c:yVal>
            <c:numRef>
              <c:f>Безработица!$B$17</c:f>
              <c:numCache>
                <c:formatCode>0.0</c:formatCode>
                <c:ptCount val="1"/>
                <c:pt idx="0">
                  <c:v>0.9</c:v>
                </c:pt>
              </c:numCache>
            </c:numRef>
          </c:yVal>
          <c:smooth val="0"/>
        </c:ser>
        <c:ser>
          <c:idx val="16"/>
          <c:order val="16"/>
          <c:tx>
            <c:strRef>
              <c:f>Безработица!$A$18</c:f>
              <c:strCache>
                <c:ptCount val="1"/>
                <c:pt idx="0">
                  <c:v>Нефтегорский </c:v>
                </c:pt>
              </c:strCache>
            </c:strRef>
          </c:tx>
          <c:spPr>
            <a:ln w="47625">
              <a:noFill/>
            </a:ln>
          </c:spPr>
          <c:marker>
            <c:symbol val="circle"/>
            <c:size val="6"/>
            <c:spPr>
              <a:solidFill>
                <a:schemeClr val="accent1">
                  <a:lumMod val="50000"/>
                </a:schemeClr>
              </a:solidFill>
              <a:ln>
                <a:noFill/>
              </a:ln>
            </c:spPr>
          </c:marker>
          <c:dLbls>
            <c:dLbl>
              <c:idx val="0"/>
              <c:layout>
                <c:manualLayout>
                  <c:x val="-9.4506129720295113E-4"/>
                  <c:y val="-3.747656976663209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Безработица!$G$18</c:f>
              <c:numCache>
                <c:formatCode>0.0</c:formatCode>
                <c:ptCount val="1"/>
                <c:pt idx="0">
                  <c:v>5.7264270346431383</c:v>
                </c:pt>
              </c:numCache>
            </c:numRef>
          </c:xVal>
          <c:yVal>
            <c:numRef>
              <c:f>Безработица!$B$18</c:f>
              <c:numCache>
                <c:formatCode>0.0</c:formatCode>
                <c:ptCount val="1"/>
                <c:pt idx="0">
                  <c:v>1.3</c:v>
                </c:pt>
              </c:numCache>
            </c:numRef>
          </c:yVal>
          <c:smooth val="0"/>
        </c:ser>
        <c:ser>
          <c:idx val="17"/>
          <c:order val="17"/>
          <c:tx>
            <c:strRef>
              <c:f>Безработица!$A$19</c:f>
              <c:strCache>
                <c:ptCount val="1"/>
                <c:pt idx="0">
                  <c:v>Пестравский</c:v>
                </c:pt>
              </c:strCache>
            </c:strRef>
          </c:tx>
          <c:spPr>
            <a:ln w="47625">
              <a:noFill/>
            </a:ln>
          </c:spPr>
          <c:marker>
            <c:symbol val="circle"/>
            <c:size val="6"/>
            <c:spPr>
              <a:solidFill>
                <a:schemeClr val="accent1">
                  <a:lumMod val="50000"/>
                </a:schemeClr>
              </a:solidFill>
              <a:ln>
                <a:noFill/>
              </a:ln>
            </c:spPr>
          </c:marker>
          <c:dLbls>
            <c:dLbl>
              <c:idx val="0"/>
              <c:layout>
                <c:manualLayout>
                  <c:x val="-6.5139239360744563E-3"/>
                  <c:y val="-7.8432318232294473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Безработица!$G$19</c:f>
              <c:numCache>
                <c:formatCode>0.0</c:formatCode>
                <c:ptCount val="1"/>
                <c:pt idx="0">
                  <c:v>0</c:v>
                </c:pt>
              </c:numCache>
            </c:numRef>
          </c:xVal>
          <c:yVal>
            <c:numRef>
              <c:f>Безработица!$B$19</c:f>
              <c:numCache>
                <c:formatCode>0.0</c:formatCode>
                <c:ptCount val="1"/>
                <c:pt idx="0">
                  <c:v>2.6</c:v>
                </c:pt>
              </c:numCache>
            </c:numRef>
          </c:yVal>
          <c:smooth val="0"/>
        </c:ser>
        <c:ser>
          <c:idx val="18"/>
          <c:order val="18"/>
          <c:tx>
            <c:strRef>
              <c:f>Безработица!$A$20</c:f>
              <c:strCache>
                <c:ptCount val="1"/>
                <c:pt idx="0">
                  <c:v>Похвистневский </c:v>
                </c:pt>
              </c:strCache>
            </c:strRef>
          </c:tx>
          <c:spPr>
            <a:ln w="47625">
              <a:noFill/>
            </a:ln>
          </c:spPr>
          <c:marker>
            <c:symbol val="circle"/>
            <c:size val="6"/>
            <c:spPr>
              <a:solidFill>
                <a:schemeClr val="accent1">
                  <a:lumMod val="50000"/>
                </a:schemeClr>
              </a:solidFill>
              <a:ln>
                <a:noFill/>
              </a:ln>
            </c:spPr>
          </c:marker>
          <c:dLbls>
            <c:dLbl>
              <c:idx val="0"/>
              <c:layout>
                <c:manualLayout>
                  <c:x val="-5.0635814147626898E-2"/>
                  <c:y val="4.084946104561416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Безработица!$G$20</c:f>
              <c:numCache>
                <c:formatCode>0.0</c:formatCode>
                <c:ptCount val="1"/>
                <c:pt idx="0">
                  <c:v>-5.8963971118971594</c:v>
                </c:pt>
              </c:numCache>
            </c:numRef>
          </c:xVal>
          <c:yVal>
            <c:numRef>
              <c:f>Безработица!$B$20</c:f>
              <c:numCache>
                <c:formatCode>0.0</c:formatCode>
                <c:ptCount val="1"/>
                <c:pt idx="0">
                  <c:v>1.5</c:v>
                </c:pt>
              </c:numCache>
            </c:numRef>
          </c:yVal>
          <c:smooth val="0"/>
        </c:ser>
        <c:ser>
          <c:idx val="19"/>
          <c:order val="19"/>
          <c:tx>
            <c:strRef>
              <c:f>Безработица!$A$21</c:f>
              <c:strCache>
                <c:ptCount val="1"/>
                <c:pt idx="0">
                  <c:v>Приволжский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Безработица!$G$21</c:f>
              <c:numCache>
                <c:formatCode>0.0</c:formatCode>
                <c:ptCount val="1"/>
                <c:pt idx="0">
                  <c:v>-7.5771791884597084</c:v>
                </c:pt>
              </c:numCache>
            </c:numRef>
          </c:xVal>
          <c:yVal>
            <c:numRef>
              <c:f>Безработица!$B$21</c:f>
              <c:numCache>
                <c:formatCode>0.0</c:formatCode>
                <c:ptCount val="1"/>
                <c:pt idx="0">
                  <c:v>3</c:v>
                </c:pt>
              </c:numCache>
            </c:numRef>
          </c:yVal>
          <c:smooth val="0"/>
        </c:ser>
        <c:ser>
          <c:idx val="20"/>
          <c:order val="20"/>
          <c:tx>
            <c:strRef>
              <c:f>Безработица!$A$22</c:f>
              <c:strCache>
                <c:ptCount val="1"/>
                <c:pt idx="0">
                  <c:v>Сергиевский</c:v>
                </c:pt>
              </c:strCache>
            </c:strRef>
          </c:tx>
          <c:spPr>
            <a:ln w="47625">
              <a:noFill/>
            </a:ln>
          </c:spPr>
          <c:marker>
            <c:symbol val="circle"/>
            <c:size val="6"/>
            <c:spPr>
              <a:solidFill>
                <a:schemeClr val="accent1">
                  <a:lumMod val="50000"/>
                </a:schemeClr>
              </a:solidFill>
              <a:ln>
                <a:noFill/>
              </a:ln>
            </c:spPr>
          </c:marker>
          <c:dLbls>
            <c:dLbl>
              <c:idx val="0"/>
              <c:layout>
                <c:manualLayout>
                  <c:x val="-2.0095327298519671E-3"/>
                  <c:y val="-2.286070755763729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Безработица!$G$22</c:f>
              <c:numCache>
                <c:formatCode>0.0</c:formatCode>
                <c:ptCount val="1"/>
                <c:pt idx="0">
                  <c:v>2.501029596576787</c:v>
                </c:pt>
              </c:numCache>
            </c:numRef>
          </c:xVal>
          <c:yVal>
            <c:numRef>
              <c:f>Безработица!$B$22</c:f>
              <c:numCache>
                <c:formatCode>0.0</c:formatCode>
                <c:ptCount val="1"/>
                <c:pt idx="0">
                  <c:v>1.4</c:v>
                </c:pt>
              </c:numCache>
            </c:numRef>
          </c:yVal>
          <c:smooth val="0"/>
        </c:ser>
        <c:ser>
          <c:idx val="21"/>
          <c:order val="21"/>
          <c:tx>
            <c:strRef>
              <c:f>Безработица!$A$23</c:f>
              <c:strCache>
                <c:ptCount val="1"/>
                <c:pt idx="0">
                  <c:v>Ставропольский</c:v>
                </c:pt>
              </c:strCache>
            </c:strRef>
          </c:tx>
          <c:spPr>
            <a:ln w="47625">
              <a:noFill/>
            </a:ln>
          </c:spPr>
          <c:marker>
            <c:symbol val="circle"/>
            <c:size val="6"/>
            <c:spPr>
              <a:solidFill>
                <a:schemeClr val="accent1">
                  <a:lumMod val="50000"/>
                </a:schemeClr>
              </a:solidFill>
              <a:ln>
                <a:noFill/>
              </a:ln>
            </c:spPr>
          </c:marker>
          <c:dLbls>
            <c:dLbl>
              <c:idx val="0"/>
              <c:layout>
                <c:manualLayout>
                  <c:x val="-4.5540802407423066E-2"/>
                  <c:y val="-4.159899244094653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Безработица!$G$23</c:f>
              <c:numCache>
                <c:formatCode>0.0</c:formatCode>
                <c:ptCount val="1"/>
                <c:pt idx="0">
                  <c:v>22.390341034165971</c:v>
                </c:pt>
              </c:numCache>
            </c:numRef>
          </c:xVal>
          <c:yVal>
            <c:numRef>
              <c:f>Безработица!$B$23</c:f>
              <c:numCache>
                <c:formatCode>0.0</c:formatCode>
                <c:ptCount val="1"/>
                <c:pt idx="0">
                  <c:v>1.1000000000000001</c:v>
                </c:pt>
              </c:numCache>
            </c:numRef>
          </c:yVal>
          <c:smooth val="0"/>
        </c:ser>
        <c:ser>
          <c:idx val="22"/>
          <c:order val="22"/>
          <c:tx>
            <c:strRef>
              <c:f>Безработица!$A$24</c:f>
              <c:strCache>
                <c:ptCount val="1"/>
                <c:pt idx="0">
                  <c:v>Сызранский</c:v>
                </c:pt>
              </c:strCache>
            </c:strRef>
          </c:tx>
          <c:spPr>
            <a:ln w="47625">
              <a:noFill/>
            </a:ln>
          </c:spPr>
          <c:marker>
            <c:symbol val="circle"/>
            <c:size val="6"/>
            <c:spPr>
              <a:solidFill>
                <a:schemeClr val="accent1">
                  <a:lumMod val="50000"/>
                </a:schemeClr>
              </a:solidFill>
              <a:ln>
                <a:noFill/>
              </a:ln>
            </c:spPr>
          </c:marker>
          <c:dLbls>
            <c:dLbl>
              <c:idx val="0"/>
              <c:layout>
                <c:manualLayout>
                  <c:x val="-2.5047441324082688E-2"/>
                  <c:y val="3.7101804068952214E-2"/>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Безработица!$G$24</c:f>
              <c:numCache>
                <c:formatCode>0.0</c:formatCode>
                <c:ptCount val="1"/>
                <c:pt idx="0">
                  <c:v>0</c:v>
                </c:pt>
              </c:numCache>
            </c:numRef>
          </c:xVal>
          <c:yVal>
            <c:numRef>
              <c:f>Безработица!$B$24</c:f>
              <c:numCache>
                <c:formatCode>0.0</c:formatCode>
                <c:ptCount val="1"/>
                <c:pt idx="0">
                  <c:v>0.70000000000000062</c:v>
                </c:pt>
              </c:numCache>
            </c:numRef>
          </c:yVal>
          <c:smooth val="0"/>
        </c:ser>
        <c:ser>
          <c:idx val="23"/>
          <c:order val="23"/>
          <c:tx>
            <c:strRef>
              <c:f>Безработица!$A$25</c:f>
              <c:strCache>
                <c:ptCount val="1"/>
                <c:pt idx="0">
                  <c:v>Хворостянский</c:v>
                </c:pt>
              </c:strCache>
            </c:strRef>
          </c:tx>
          <c:spPr>
            <a:ln w="47625">
              <a:noFill/>
            </a:ln>
          </c:spPr>
          <c:marker>
            <c:symbol val="circle"/>
            <c:size val="6"/>
            <c:spPr>
              <a:solidFill>
                <a:schemeClr val="accent1">
                  <a:lumMod val="50000"/>
                </a:schemeClr>
              </a:solidFill>
              <a:ln>
                <a:noFill/>
              </a:ln>
            </c:spPr>
          </c:marker>
          <c:dLbls>
            <c:dLbl>
              <c:idx val="0"/>
              <c:layout>
                <c:manualLayout>
                  <c:x val="-0.12586348230076441"/>
                  <c:y val="-4.534664941760835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Безработица!$G$25</c:f>
              <c:numCache>
                <c:formatCode>0.0</c:formatCode>
                <c:ptCount val="1"/>
                <c:pt idx="0">
                  <c:v>-1.3515170267812082</c:v>
                </c:pt>
              </c:numCache>
            </c:numRef>
          </c:xVal>
          <c:yVal>
            <c:numRef>
              <c:f>Безработица!$B$25</c:f>
              <c:numCache>
                <c:formatCode>0.0</c:formatCode>
                <c:ptCount val="1"/>
                <c:pt idx="0">
                  <c:v>2.4</c:v>
                </c:pt>
              </c:numCache>
            </c:numRef>
          </c:yVal>
          <c:smooth val="0"/>
        </c:ser>
        <c:ser>
          <c:idx val="24"/>
          <c:order val="24"/>
          <c:tx>
            <c:strRef>
              <c:f>Безработица!$A$26</c:f>
              <c:strCache>
                <c:ptCount val="1"/>
                <c:pt idx="0">
                  <c:v>Челно-Вершинский</c:v>
                </c:pt>
              </c:strCache>
            </c:strRef>
          </c:tx>
          <c:spPr>
            <a:ln w="47625">
              <a:noFill/>
            </a:ln>
          </c:spPr>
          <c:marker>
            <c:symbol val="circle"/>
            <c:size val="6"/>
            <c:spPr>
              <a:solidFill>
                <a:schemeClr val="accent1">
                  <a:lumMod val="50000"/>
                </a:schemeClr>
              </a:solidFill>
              <a:ln>
                <a:noFill/>
              </a:ln>
            </c:spPr>
          </c:marker>
          <c:dLbls>
            <c:dLbl>
              <c:idx val="0"/>
              <c:layout>
                <c:manualLayout>
                  <c:x val="-0.11986912936026289"/>
                  <c:y val="-3.410367848762282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Безработица!$G$26</c:f>
              <c:numCache>
                <c:formatCode>0.0</c:formatCode>
                <c:ptCount val="1"/>
                <c:pt idx="0">
                  <c:v>-2.9868768149935825</c:v>
                </c:pt>
              </c:numCache>
            </c:numRef>
          </c:xVal>
          <c:yVal>
            <c:numRef>
              <c:f>Безработица!$B$26</c:f>
              <c:numCache>
                <c:formatCode>0.0</c:formatCode>
                <c:ptCount val="1"/>
                <c:pt idx="0">
                  <c:v>2.1</c:v>
                </c:pt>
              </c:numCache>
            </c:numRef>
          </c:yVal>
          <c:smooth val="0"/>
        </c:ser>
        <c:ser>
          <c:idx val="25"/>
          <c:order val="25"/>
          <c:tx>
            <c:strRef>
              <c:f>Безработица!$A$27</c:f>
              <c:strCache>
                <c:ptCount val="1"/>
                <c:pt idx="0">
                  <c:v>Шенталинский</c:v>
                </c:pt>
              </c:strCache>
            </c:strRef>
          </c:tx>
          <c:spPr>
            <a:ln w="47625">
              <a:noFill/>
            </a:ln>
          </c:spPr>
          <c:marker>
            <c:symbol val="circle"/>
            <c:size val="6"/>
            <c:spPr>
              <a:solidFill>
                <a:schemeClr val="accent1">
                  <a:lumMod val="50000"/>
                </a:schemeClr>
              </a:solidFill>
              <a:ln>
                <a:noFill/>
              </a:ln>
            </c:spPr>
          </c:marker>
          <c:dLbls>
            <c:dLbl>
              <c:idx val="0"/>
              <c:layout>
                <c:manualLayout>
                  <c:x val="-7.9115848629544613E-2"/>
                  <c:y val="-3.785133546428471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Безработица!$G$27</c:f>
              <c:numCache>
                <c:formatCode>0.0</c:formatCode>
                <c:ptCount val="1"/>
                <c:pt idx="0">
                  <c:v>-3.8500286461727762</c:v>
                </c:pt>
              </c:numCache>
            </c:numRef>
          </c:xVal>
          <c:yVal>
            <c:numRef>
              <c:f>Безработица!$B$27</c:f>
              <c:numCache>
                <c:formatCode>0.0</c:formatCode>
                <c:ptCount val="1"/>
                <c:pt idx="0">
                  <c:v>1.6</c:v>
                </c:pt>
              </c:numCache>
            </c:numRef>
          </c:yVal>
          <c:smooth val="0"/>
        </c:ser>
        <c:ser>
          <c:idx val="26"/>
          <c:order val="26"/>
          <c:tx>
            <c:strRef>
              <c:f>Безработица!$A$28</c:f>
              <c:strCache>
                <c:ptCount val="1"/>
                <c:pt idx="0">
                  <c:v>Шигонский</c:v>
                </c:pt>
              </c:strCache>
            </c:strRef>
          </c:tx>
          <c:spPr>
            <a:ln w="47625">
              <a:noFill/>
            </a:ln>
          </c:spPr>
          <c:marker>
            <c:symbol val="circle"/>
            <c:size val="6"/>
            <c:spPr>
              <a:solidFill>
                <a:schemeClr val="tx2">
                  <a:lumMod val="75000"/>
                </a:schemeClr>
              </a:solidFill>
              <a:ln>
                <a:noFill/>
              </a:ln>
            </c:spPr>
          </c:marker>
          <c:dLbls>
            <c:dLbl>
              <c:idx val="0"/>
              <c:layout>
                <c:manualLayout>
                  <c:x val="-2.1689255382779564E-3"/>
                  <c:y val="-3.7476569766625397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Безработица!$G$28</c:f>
              <c:numCache>
                <c:formatCode>0.0</c:formatCode>
                <c:ptCount val="1"/>
                <c:pt idx="0">
                  <c:v>-2.0005389940710772</c:v>
                </c:pt>
              </c:numCache>
            </c:numRef>
          </c:xVal>
          <c:yVal>
            <c:numRef>
              <c:f>Безработица!$B$28</c:f>
              <c:numCache>
                <c:formatCode>0.0</c:formatCode>
                <c:ptCount val="1"/>
                <c:pt idx="0">
                  <c:v>1.6</c:v>
                </c:pt>
              </c:numCache>
            </c:numRef>
          </c:yVal>
          <c:smooth val="0"/>
        </c:ser>
        <c:dLbls>
          <c:showLegendKey val="0"/>
          <c:showVal val="1"/>
          <c:showCatName val="0"/>
          <c:showSerName val="0"/>
          <c:showPercent val="0"/>
          <c:showBubbleSize val="0"/>
        </c:dLbls>
        <c:axId val="89168128"/>
        <c:axId val="99549568"/>
      </c:scatterChart>
      <c:valAx>
        <c:axId val="89168128"/>
        <c:scaling>
          <c:orientation val="minMax"/>
          <c:max val="23"/>
          <c:min val="-12"/>
        </c:scaling>
        <c:delete val="0"/>
        <c:axPos val="b"/>
        <c:title>
          <c:tx>
            <c:rich>
              <a:bodyPr/>
              <a:lstStyle/>
              <a:p>
                <a:pPr>
                  <a:defRPr/>
                </a:pPr>
                <a:r>
                  <a:rPr lang="ru-RU"/>
                  <a:t>Среднеговой темп прироста зарегистрированной безработицы в 2014-2016 гг., %</a:t>
                </a:r>
              </a:p>
            </c:rich>
          </c:tx>
          <c:overlay val="0"/>
        </c:title>
        <c:numFmt formatCode="0.0" sourceLinked="1"/>
        <c:majorTickMark val="out"/>
        <c:minorTickMark val="none"/>
        <c:tickLblPos val="nextTo"/>
        <c:crossAx val="99549568"/>
        <c:crosses val="autoZero"/>
        <c:crossBetween val="midCat"/>
      </c:valAx>
      <c:valAx>
        <c:axId val="99549568"/>
        <c:scaling>
          <c:orientation val="minMax"/>
          <c:max val="4"/>
        </c:scaling>
        <c:delete val="0"/>
        <c:axPos val="l"/>
        <c:title>
          <c:tx>
            <c:rich>
              <a:bodyPr rot="-5400000" vert="horz"/>
              <a:lstStyle/>
              <a:p>
                <a:pPr>
                  <a:defRPr/>
                </a:pPr>
                <a:r>
                  <a:rPr lang="ru-RU"/>
                  <a:t>Уровнь зарегистрированной безработицы</a:t>
                </a:r>
              </a:p>
            </c:rich>
          </c:tx>
          <c:overlay val="0"/>
        </c:title>
        <c:numFmt formatCode="0.0" sourceLinked="1"/>
        <c:majorTickMark val="out"/>
        <c:minorTickMark val="none"/>
        <c:tickLblPos val="low"/>
        <c:spPr>
          <a:ln>
            <a:noFill/>
          </a:ln>
        </c:spPr>
        <c:crossAx val="89168128"/>
        <c:crosses val="autoZero"/>
        <c:crossBetween val="midCat"/>
      </c:valAx>
      <c:spPr>
        <a:noFill/>
        <a:ln>
          <a:solidFill>
            <a:schemeClr val="tx1"/>
          </a:solid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98445974507974"/>
          <c:y val="9.951768603666257E-2"/>
          <c:w val="0.8424439199598357"/>
          <c:h val="0.79783236576163274"/>
        </c:manualLayout>
      </c:layout>
      <c:scatterChart>
        <c:scatterStyle val="lineMarker"/>
        <c:varyColors val="0"/>
        <c:ser>
          <c:idx val="0"/>
          <c:order val="0"/>
          <c:tx>
            <c:strRef>
              <c:f>'Заработная плата'!$A$4</c:f>
              <c:strCache>
                <c:ptCount val="1"/>
                <c:pt idx="0">
                  <c:v>Алексеевский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плата'!$D$4</c:f>
              <c:numCache>
                <c:formatCode>0.0</c:formatCode>
                <c:ptCount val="1"/>
                <c:pt idx="0">
                  <c:v>5.8232673200595784</c:v>
                </c:pt>
              </c:numCache>
            </c:numRef>
          </c:xVal>
          <c:yVal>
            <c:numRef>
              <c:f>'Заработная плата'!$B$4</c:f>
              <c:numCache>
                <c:formatCode>0</c:formatCode>
                <c:ptCount val="1"/>
                <c:pt idx="0">
                  <c:v>20559.400000000001</c:v>
                </c:pt>
              </c:numCache>
            </c:numRef>
          </c:yVal>
          <c:smooth val="0"/>
        </c:ser>
        <c:ser>
          <c:idx val="1"/>
          <c:order val="1"/>
          <c:tx>
            <c:strRef>
              <c:f>'Заработная плата'!$A$5</c:f>
              <c:strCache>
                <c:ptCount val="1"/>
                <c:pt idx="0">
                  <c:v>Безенчукский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плата'!$D$5</c:f>
              <c:numCache>
                <c:formatCode>0.0</c:formatCode>
                <c:ptCount val="1"/>
                <c:pt idx="0">
                  <c:v>8.7385939820359475</c:v>
                </c:pt>
              </c:numCache>
            </c:numRef>
          </c:xVal>
          <c:yVal>
            <c:numRef>
              <c:f>'Заработная плата'!$B$5</c:f>
              <c:numCache>
                <c:formatCode>0</c:formatCode>
                <c:ptCount val="1"/>
                <c:pt idx="0">
                  <c:v>26044.6</c:v>
                </c:pt>
              </c:numCache>
            </c:numRef>
          </c:yVal>
          <c:smooth val="0"/>
        </c:ser>
        <c:ser>
          <c:idx val="2"/>
          <c:order val="2"/>
          <c:tx>
            <c:strRef>
              <c:f>'Заработная плата'!$A$6</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6.2125305516484812E-2"/>
                  <c:y val="-3.148934763417784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плата'!$D$6</c:f>
              <c:numCache>
                <c:formatCode>0.0</c:formatCode>
                <c:ptCount val="1"/>
                <c:pt idx="0">
                  <c:v>11.780636086607382</c:v>
                </c:pt>
              </c:numCache>
            </c:numRef>
          </c:xVal>
          <c:yVal>
            <c:numRef>
              <c:f>'Заработная плата'!$B$6</c:f>
              <c:numCache>
                <c:formatCode>0</c:formatCode>
                <c:ptCount val="1"/>
                <c:pt idx="0">
                  <c:v>27740.2</c:v>
                </c:pt>
              </c:numCache>
            </c:numRef>
          </c:yVal>
          <c:smooth val="0"/>
        </c:ser>
        <c:ser>
          <c:idx val="3"/>
          <c:order val="3"/>
          <c:tx>
            <c:strRef>
              <c:f>'Заработная плата'!$A$7</c:f>
              <c:strCache>
                <c:ptCount val="1"/>
                <c:pt idx="0">
                  <c:v>Большеглушицкий </c:v>
                </c:pt>
              </c:strCache>
            </c:strRef>
          </c:tx>
          <c:spPr>
            <a:ln w="47625">
              <a:noFill/>
            </a:ln>
          </c:spPr>
          <c:marker>
            <c:symbol val="circle"/>
            <c:size val="6"/>
            <c:spPr>
              <a:solidFill>
                <a:srgbClr val="4F81BD">
                  <a:lumMod val="50000"/>
                </a:srgbClr>
              </a:solidFill>
              <a:ln>
                <a:noFill/>
              </a:ln>
            </c:spPr>
          </c:marker>
          <c:dLbls>
            <c:dLbl>
              <c:idx val="0"/>
              <c:layout>
                <c:manualLayout>
                  <c:x val="-3.8075390876860682E-2"/>
                  <c:y val="-3.816281094048593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плата'!$D$7</c:f>
              <c:numCache>
                <c:formatCode>0.0</c:formatCode>
                <c:ptCount val="1"/>
                <c:pt idx="0">
                  <c:v>7.7276778898828464</c:v>
                </c:pt>
              </c:numCache>
            </c:numRef>
          </c:xVal>
          <c:yVal>
            <c:numRef>
              <c:f>'Заработная плата'!$B$7</c:f>
              <c:numCache>
                <c:formatCode>0</c:formatCode>
                <c:ptCount val="1"/>
                <c:pt idx="0">
                  <c:v>24319.9</c:v>
                </c:pt>
              </c:numCache>
            </c:numRef>
          </c:yVal>
          <c:smooth val="0"/>
        </c:ser>
        <c:ser>
          <c:idx val="4"/>
          <c:order val="4"/>
          <c:tx>
            <c:strRef>
              <c:f>'Заработная плата'!$A$8</c:f>
              <c:strCache>
                <c:ptCount val="1"/>
                <c:pt idx="0">
                  <c:v>Большечерниговский </c:v>
                </c:pt>
              </c:strCache>
            </c:strRef>
          </c:tx>
          <c:spPr>
            <a:ln w="47625">
              <a:noFill/>
            </a:ln>
          </c:spPr>
          <c:marker>
            <c:symbol val="circle"/>
            <c:size val="6"/>
            <c:spPr>
              <a:solidFill>
                <a:srgbClr val="4F81BD">
                  <a:lumMod val="50000"/>
                </a:srgbClr>
              </a:solidFill>
              <a:ln>
                <a:noFill/>
              </a:ln>
            </c:spPr>
          </c:marker>
          <c:dLbls>
            <c:dLbl>
              <c:idx val="0"/>
              <c:layout>
                <c:manualLayout>
                  <c:x val="-6.4832140649023649E-3"/>
                  <c:y val="-2.618125819790777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плата'!$D$8</c:f>
              <c:numCache>
                <c:formatCode>0.0</c:formatCode>
                <c:ptCount val="1"/>
                <c:pt idx="0">
                  <c:v>7.5712812606021824</c:v>
                </c:pt>
              </c:numCache>
            </c:numRef>
          </c:xVal>
          <c:yVal>
            <c:numRef>
              <c:f>'Заработная плата'!$B$8</c:f>
              <c:numCache>
                <c:formatCode>0</c:formatCode>
                <c:ptCount val="1"/>
                <c:pt idx="0">
                  <c:v>22329.8</c:v>
                </c:pt>
              </c:numCache>
            </c:numRef>
          </c:yVal>
          <c:smooth val="0"/>
        </c:ser>
        <c:ser>
          <c:idx val="5"/>
          <c:order val="5"/>
          <c:tx>
            <c:strRef>
              <c:f>'Заработная плата'!$A$9</c:f>
              <c:strCache>
                <c:ptCount val="1"/>
                <c:pt idx="0">
                  <c:v>Борский </c:v>
                </c:pt>
              </c:strCache>
            </c:strRef>
          </c:tx>
          <c:spPr>
            <a:ln w="47625">
              <a:noFill/>
            </a:ln>
          </c:spPr>
          <c:marker>
            <c:symbol val="circle"/>
            <c:size val="6"/>
            <c:spPr>
              <a:solidFill>
                <a:srgbClr val="4F81BD">
                  <a:lumMod val="50000"/>
                </a:srgbClr>
              </a:solidFill>
              <a:ln>
                <a:noFill/>
              </a:ln>
            </c:spPr>
          </c:marker>
          <c:dLbls>
            <c:dLbl>
              <c:idx val="0"/>
              <c:layout>
                <c:manualLayout>
                  <c:x val="3.9682533482918812E-3"/>
                  <c:y val="-3.1539513173955465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плата'!$D$9</c:f>
              <c:numCache>
                <c:formatCode>0.0</c:formatCode>
                <c:ptCount val="1"/>
                <c:pt idx="0">
                  <c:v>8.2315498828870357</c:v>
                </c:pt>
              </c:numCache>
            </c:numRef>
          </c:xVal>
          <c:yVal>
            <c:numRef>
              <c:f>'Заработная плата'!$B$9</c:f>
              <c:numCache>
                <c:formatCode>0</c:formatCode>
                <c:ptCount val="1"/>
                <c:pt idx="0">
                  <c:v>20885.5</c:v>
                </c:pt>
              </c:numCache>
            </c:numRef>
          </c:yVal>
          <c:smooth val="0"/>
        </c:ser>
        <c:ser>
          <c:idx val="6"/>
          <c:order val="6"/>
          <c:tx>
            <c:strRef>
              <c:f>'Заработная плата'!$A$10</c:f>
              <c:strCache>
                <c:ptCount val="1"/>
                <c:pt idx="0">
                  <c:v>Волжский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плата'!$D$10</c:f>
              <c:numCache>
                <c:formatCode>0.0</c:formatCode>
                <c:ptCount val="1"/>
                <c:pt idx="0">
                  <c:v>8.3132607201486195</c:v>
                </c:pt>
              </c:numCache>
            </c:numRef>
          </c:xVal>
          <c:yVal>
            <c:numRef>
              <c:f>'Заработная плата'!$B$10</c:f>
              <c:numCache>
                <c:formatCode>0</c:formatCode>
                <c:ptCount val="1"/>
                <c:pt idx="0">
                  <c:v>30470.5</c:v>
                </c:pt>
              </c:numCache>
            </c:numRef>
          </c:yVal>
          <c:smooth val="0"/>
        </c:ser>
        <c:ser>
          <c:idx val="7"/>
          <c:order val="7"/>
          <c:tx>
            <c:strRef>
              <c:f>'Заработная плата'!$A$11</c:f>
              <c:strCache>
                <c:ptCount val="1"/>
                <c:pt idx="0">
                  <c:v>Елховский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плата'!$D$11</c:f>
              <c:numCache>
                <c:formatCode>0.0</c:formatCode>
                <c:ptCount val="1"/>
                <c:pt idx="0">
                  <c:v>5.7471750010826383</c:v>
                </c:pt>
              </c:numCache>
            </c:numRef>
          </c:xVal>
          <c:yVal>
            <c:numRef>
              <c:f>'Заработная плата'!$B$11</c:f>
              <c:numCache>
                <c:formatCode>0</c:formatCode>
                <c:ptCount val="1"/>
                <c:pt idx="0">
                  <c:v>23758.6</c:v>
                </c:pt>
              </c:numCache>
            </c:numRef>
          </c:yVal>
          <c:smooth val="0"/>
        </c:ser>
        <c:ser>
          <c:idx val="8"/>
          <c:order val="8"/>
          <c:tx>
            <c:strRef>
              <c:f>'Заработная плата'!$A$12</c:f>
              <c:strCache>
                <c:ptCount val="1"/>
                <c:pt idx="0">
                  <c:v>Исаклинский </c:v>
                </c:pt>
              </c:strCache>
            </c:strRef>
          </c:tx>
          <c:spPr>
            <a:ln w="47625">
              <a:noFill/>
            </a:ln>
          </c:spPr>
          <c:marker>
            <c:symbol val="circle"/>
            <c:size val="6"/>
            <c:spPr>
              <a:solidFill>
                <a:srgbClr val="4F81BD">
                  <a:lumMod val="50000"/>
                </a:srgbClr>
              </a:solidFill>
              <a:ln>
                <a:noFill/>
              </a:ln>
            </c:spPr>
          </c:marker>
          <c:dLbls>
            <c:dLbl>
              <c:idx val="0"/>
              <c:layout>
                <c:manualLayout>
                  <c:x val="2.6735716357999652E-3"/>
                  <c:y val="2.838556185656094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плата'!$D$12</c:f>
              <c:numCache>
                <c:formatCode>0.0</c:formatCode>
                <c:ptCount val="1"/>
                <c:pt idx="0">
                  <c:v>6.1607813962574927</c:v>
                </c:pt>
              </c:numCache>
            </c:numRef>
          </c:xVal>
          <c:yVal>
            <c:numRef>
              <c:f>'Заработная плата'!$B$12</c:f>
              <c:numCache>
                <c:formatCode>0</c:formatCode>
                <c:ptCount val="1"/>
                <c:pt idx="0">
                  <c:v>19305.099999999948</c:v>
                </c:pt>
              </c:numCache>
            </c:numRef>
          </c:yVal>
          <c:smooth val="0"/>
        </c:ser>
        <c:ser>
          <c:idx val="9"/>
          <c:order val="9"/>
          <c:tx>
            <c:strRef>
              <c:f>'Заработная плата'!$A$13</c:f>
              <c:strCache>
                <c:ptCount val="1"/>
                <c:pt idx="0">
                  <c:v>Камышлинский </c:v>
                </c:pt>
              </c:strCache>
            </c:strRef>
          </c:tx>
          <c:spPr>
            <a:ln w="47625">
              <a:noFill/>
            </a:ln>
          </c:spPr>
          <c:marker>
            <c:symbol val="circle"/>
            <c:size val="6"/>
            <c:spPr>
              <a:solidFill>
                <a:srgbClr val="FF0000"/>
              </a:solidFill>
              <a:ln>
                <a:noFill/>
              </a:ln>
            </c:spPr>
          </c:marker>
          <c:dLbls>
            <c:dLbl>
              <c:idx val="0"/>
              <c:layout>
                <c:manualLayout>
                  <c:x val="-6.9573863529044294E-2"/>
                  <c:y val="1.9559269756287537E-2"/>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плата'!$D$13</c:f>
              <c:numCache>
                <c:formatCode>0.0</c:formatCode>
                <c:ptCount val="1"/>
                <c:pt idx="0">
                  <c:v>7.0178690671149457</c:v>
                </c:pt>
              </c:numCache>
            </c:numRef>
          </c:xVal>
          <c:yVal>
            <c:numRef>
              <c:f>'Заработная плата'!$B$13</c:f>
              <c:numCache>
                <c:formatCode>0</c:formatCode>
                <c:ptCount val="1"/>
                <c:pt idx="0">
                  <c:v>21407.200000000001</c:v>
                </c:pt>
              </c:numCache>
            </c:numRef>
          </c:yVal>
          <c:smooth val="0"/>
        </c:ser>
        <c:ser>
          <c:idx val="10"/>
          <c:order val="10"/>
          <c:tx>
            <c:strRef>
              <c:f>'Заработная плата'!$A$14</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'Заработная плата'!$D$14</c:f>
              <c:numCache>
                <c:formatCode>0.0</c:formatCode>
                <c:ptCount val="1"/>
                <c:pt idx="0">
                  <c:v>5.9968118404630344</c:v>
                </c:pt>
              </c:numCache>
            </c:numRef>
          </c:xVal>
          <c:yVal>
            <c:numRef>
              <c:f>'Заработная плата'!$B$14</c:f>
              <c:numCache>
                <c:formatCode>0</c:formatCode>
                <c:ptCount val="1"/>
                <c:pt idx="0">
                  <c:v>35166.1</c:v>
                </c:pt>
              </c:numCache>
            </c:numRef>
          </c:yVal>
          <c:smooth val="0"/>
        </c:ser>
        <c:ser>
          <c:idx val="11"/>
          <c:order val="11"/>
          <c:tx>
            <c:strRef>
              <c:f>'Заработная плата'!$A$15</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
              <c:idx val="0"/>
              <c:layout>
                <c:manualLayout>
                  <c:x val="-0.1145634741651867"/>
                  <c:y val="-3.500885962309040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trendline>
            <c:trendlineType val="linear"/>
            <c:dispRSqr val="0"/>
            <c:dispEq val="0"/>
          </c:trendline>
          <c:xVal>
            <c:numRef>
              <c:f>'Заработная плата'!$D$15</c:f>
              <c:numCache>
                <c:formatCode>0.0</c:formatCode>
                <c:ptCount val="1"/>
                <c:pt idx="0">
                  <c:v>7.4310425444373953</c:v>
                </c:pt>
              </c:numCache>
            </c:numRef>
          </c:xVal>
          <c:yVal>
            <c:numRef>
              <c:f>'Заработная плата'!$B$15</c:f>
              <c:numCache>
                <c:formatCode>0</c:formatCode>
                <c:ptCount val="1"/>
                <c:pt idx="0">
                  <c:v>24620.6</c:v>
                </c:pt>
              </c:numCache>
            </c:numRef>
          </c:yVal>
          <c:smooth val="0"/>
        </c:ser>
        <c:ser>
          <c:idx val="12"/>
          <c:order val="12"/>
          <c:tx>
            <c:strRef>
              <c:f>'Заработная плата'!$A$16</c:f>
              <c:strCache>
                <c:ptCount val="1"/>
                <c:pt idx="0">
                  <c:v>Клявлинский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плата'!$D$16</c:f>
              <c:numCache>
                <c:formatCode>0.0</c:formatCode>
                <c:ptCount val="1"/>
                <c:pt idx="0">
                  <c:v>10.790807800919167</c:v>
                </c:pt>
              </c:numCache>
            </c:numRef>
          </c:xVal>
          <c:yVal>
            <c:numRef>
              <c:f>'Заработная плата'!$B$16</c:f>
              <c:numCache>
                <c:formatCode>0</c:formatCode>
                <c:ptCount val="1"/>
                <c:pt idx="0">
                  <c:v>22433.4</c:v>
                </c:pt>
              </c:numCache>
            </c:numRef>
          </c:yVal>
          <c:smooth val="0"/>
        </c:ser>
        <c:ser>
          <c:idx val="13"/>
          <c:order val="13"/>
          <c:tx>
            <c:strRef>
              <c:f>'Заработная плата'!$A$17</c:f>
              <c:strCache>
                <c:ptCount val="1"/>
                <c:pt idx="0">
                  <c:v>Кошкинский </c:v>
                </c:pt>
              </c:strCache>
            </c:strRef>
          </c:tx>
          <c:spPr>
            <a:ln w="47625">
              <a:noFill/>
            </a:ln>
          </c:spPr>
          <c:marker>
            <c:symbol val="circle"/>
            <c:size val="6"/>
            <c:spPr>
              <a:solidFill>
                <a:srgbClr val="4F81BD">
                  <a:lumMod val="50000"/>
                </a:srgbClr>
              </a:solidFill>
              <a:ln>
                <a:noFill/>
              </a:ln>
            </c:spPr>
          </c:marker>
          <c:dLbls>
            <c:dLbl>
              <c:idx val="0"/>
              <c:layout>
                <c:manualLayout>
                  <c:x val="-1.9841266741459401E-3"/>
                  <c:y val="-3.4693464491350849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плата'!$D$17</c:f>
              <c:numCache>
                <c:formatCode>0.0</c:formatCode>
                <c:ptCount val="1"/>
                <c:pt idx="0">
                  <c:v>7.777282098885796</c:v>
                </c:pt>
              </c:numCache>
            </c:numRef>
          </c:xVal>
          <c:yVal>
            <c:numRef>
              <c:f>'Заработная плата'!$B$17</c:f>
              <c:numCache>
                <c:formatCode>0</c:formatCode>
                <c:ptCount val="1"/>
                <c:pt idx="0">
                  <c:v>23602.6</c:v>
                </c:pt>
              </c:numCache>
            </c:numRef>
          </c:yVal>
          <c:smooth val="0"/>
        </c:ser>
        <c:ser>
          <c:idx val="14"/>
          <c:order val="14"/>
          <c:tx>
            <c:strRef>
              <c:f>'Заработная плата'!$A$18</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
              <c:idx val="0"/>
              <c:layout>
                <c:manualLayout>
                  <c:x val="-6.3447478867262611E-2"/>
                  <c:y val="3.4695243337133606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плата'!$D$18</c:f>
              <c:numCache>
                <c:formatCode>0.0</c:formatCode>
                <c:ptCount val="1"/>
                <c:pt idx="0">
                  <c:v>9.612958716250148</c:v>
                </c:pt>
              </c:numCache>
            </c:numRef>
          </c:xVal>
          <c:yVal>
            <c:numRef>
              <c:f>'Заработная плата'!$B$18</c:f>
              <c:numCache>
                <c:formatCode>0</c:formatCode>
                <c:ptCount val="1"/>
                <c:pt idx="0">
                  <c:v>23109</c:v>
                </c:pt>
              </c:numCache>
            </c:numRef>
          </c:yVal>
          <c:smooth val="0"/>
        </c:ser>
        <c:ser>
          <c:idx val="15"/>
          <c:order val="15"/>
          <c:tx>
            <c:strRef>
              <c:f>'Заработная плата'!$A$19</c:f>
              <c:strCache>
                <c:ptCount val="1"/>
                <c:pt idx="0">
                  <c:v>Красноярский </c:v>
                </c:pt>
              </c:strCache>
            </c:strRef>
          </c:tx>
          <c:spPr>
            <a:ln w="47625">
              <a:noFill/>
            </a:ln>
          </c:spPr>
          <c:marker>
            <c:symbol val="circle"/>
            <c:size val="6"/>
            <c:spPr>
              <a:solidFill>
                <a:srgbClr val="4F81BD">
                  <a:lumMod val="50000"/>
                </a:srgbClr>
              </a:solidFill>
              <a:ln>
                <a:noFill/>
              </a:ln>
            </c:spPr>
          </c:marker>
          <c:dLbls>
            <c:dLbl>
              <c:idx val="0"/>
              <c:layout>
                <c:manualLayout>
                  <c:x val="-2.437788595814127E-2"/>
                  <c:y val="3.65957283316118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плата'!$D$19</c:f>
              <c:numCache>
                <c:formatCode>0.0</c:formatCode>
                <c:ptCount val="1"/>
                <c:pt idx="0">
                  <c:v>4.6761550251908535</c:v>
                </c:pt>
              </c:numCache>
            </c:numRef>
          </c:xVal>
          <c:yVal>
            <c:numRef>
              <c:f>'Заработная плата'!$B$19</c:f>
              <c:numCache>
                <c:formatCode>0</c:formatCode>
                <c:ptCount val="1"/>
                <c:pt idx="0">
                  <c:v>24006.400000000001</c:v>
                </c:pt>
              </c:numCache>
            </c:numRef>
          </c:yVal>
          <c:smooth val="0"/>
        </c:ser>
        <c:ser>
          <c:idx val="16"/>
          <c:order val="16"/>
          <c:tx>
            <c:strRef>
              <c:f>'Заработная плата'!$A$20</c:f>
              <c:strCache>
                <c:ptCount val="1"/>
                <c:pt idx="0">
                  <c:v>Нефтегорский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плата'!$D$20</c:f>
              <c:numCache>
                <c:formatCode>0.0</c:formatCode>
                <c:ptCount val="1"/>
                <c:pt idx="0">
                  <c:v>8.9661143207985905</c:v>
                </c:pt>
              </c:numCache>
            </c:numRef>
          </c:xVal>
          <c:yVal>
            <c:numRef>
              <c:f>'Заработная плата'!$B$20</c:f>
              <c:numCache>
                <c:formatCode>0</c:formatCode>
                <c:ptCount val="1"/>
                <c:pt idx="0">
                  <c:v>28894.400000000001</c:v>
                </c:pt>
              </c:numCache>
            </c:numRef>
          </c:yVal>
          <c:smooth val="0"/>
        </c:ser>
        <c:ser>
          <c:idx val="17"/>
          <c:order val="17"/>
          <c:tx>
            <c:strRef>
              <c:f>'Заработная плата'!$A$21</c:f>
              <c:strCache>
                <c:ptCount val="1"/>
                <c:pt idx="0">
                  <c:v>Пестравский </c:v>
                </c:pt>
              </c:strCache>
            </c:strRef>
          </c:tx>
          <c:spPr>
            <a:ln w="47625">
              <a:noFill/>
            </a:ln>
          </c:spPr>
          <c:marker>
            <c:symbol val="circle"/>
            <c:size val="6"/>
            <c:spPr>
              <a:solidFill>
                <a:srgbClr val="4F81BD">
                  <a:lumMod val="50000"/>
                </a:srgbClr>
              </a:solidFill>
              <a:ln>
                <a:noFill/>
              </a:ln>
            </c:spPr>
          </c:marker>
          <c:dLbls>
            <c:dLbl>
              <c:idx val="0"/>
              <c:layout>
                <c:manualLayout>
                  <c:x val="-9.9552570242033719E-2"/>
                  <c:y val="-2.965207811377542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плата'!$D$21</c:f>
              <c:numCache>
                <c:formatCode>0.0</c:formatCode>
                <c:ptCount val="1"/>
                <c:pt idx="0">
                  <c:v>7.3557536619470705</c:v>
                </c:pt>
              </c:numCache>
            </c:numRef>
          </c:xVal>
          <c:yVal>
            <c:numRef>
              <c:f>'Заработная плата'!$B$21</c:f>
              <c:numCache>
                <c:formatCode>0</c:formatCode>
                <c:ptCount val="1"/>
                <c:pt idx="0">
                  <c:v>22110.6</c:v>
                </c:pt>
              </c:numCache>
            </c:numRef>
          </c:yVal>
          <c:smooth val="0"/>
        </c:ser>
        <c:ser>
          <c:idx val="18"/>
          <c:order val="18"/>
          <c:tx>
            <c:strRef>
              <c:f>'Заработная плата'!$A$22</c:f>
              <c:strCache>
                <c:ptCount val="1"/>
                <c:pt idx="0">
                  <c:v>Похвистневский </c:v>
                </c:pt>
              </c:strCache>
            </c:strRef>
          </c:tx>
          <c:spPr>
            <a:ln w="47625">
              <a:noFill/>
            </a:ln>
          </c:spPr>
          <c:marker>
            <c:symbol val="circle"/>
            <c:size val="6"/>
            <c:spPr>
              <a:solidFill>
                <a:srgbClr val="4F81BD">
                  <a:lumMod val="50000"/>
                </a:srgbClr>
              </a:solidFill>
              <a:ln>
                <a:noFill/>
              </a:ln>
            </c:spPr>
          </c:marker>
          <c:dLbls>
            <c:dLbl>
              <c:idx val="0"/>
              <c:layout>
                <c:manualLayout>
                  <c:x val="-5.9634734900907947E-3"/>
                  <c:y val="-6.6232977665306291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'Заработная плата'!$D$22</c:f>
              <c:numCache>
                <c:formatCode>0.0</c:formatCode>
                <c:ptCount val="1"/>
                <c:pt idx="0">
                  <c:v>7.7386374862026477</c:v>
                </c:pt>
              </c:numCache>
            </c:numRef>
          </c:xVal>
          <c:yVal>
            <c:numRef>
              <c:f>'Заработная плата'!$B$22</c:f>
              <c:numCache>
                <c:formatCode>0</c:formatCode>
                <c:ptCount val="1"/>
                <c:pt idx="0">
                  <c:v>21887.3</c:v>
                </c:pt>
              </c:numCache>
            </c:numRef>
          </c:yVal>
          <c:smooth val="0"/>
        </c:ser>
        <c:ser>
          <c:idx val="19"/>
          <c:order val="19"/>
          <c:tx>
            <c:strRef>
              <c:f>'Заработная плата'!$A$23</c:f>
              <c:strCache>
                <c:ptCount val="1"/>
                <c:pt idx="0">
                  <c:v>Приволжский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плата'!$D$23</c:f>
              <c:numCache>
                <c:formatCode>0.0</c:formatCode>
                <c:ptCount val="1"/>
                <c:pt idx="0">
                  <c:v>9.6839055573607524</c:v>
                </c:pt>
              </c:numCache>
            </c:numRef>
          </c:xVal>
          <c:yVal>
            <c:numRef>
              <c:f>'Заработная плата'!$B$23</c:f>
              <c:numCache>
                <c:formatCode>0</c:formatCode>
                <c:ptCount val="1"/>
                <c:pt idx="0">
                  <c:v>20417.400000000001</c:v>
                </c:pt>
              </c:numCache>
            </c:numRef>
          </c:yVal>
          <c:smooth val="0"/>
        </c:ser>
        <c:ser>
          <c:idx val="20"/>
          <c:order val="20"/>
          <c:tx>
            <c:strRef>
              <c:f>'Заработная плата'!$A$24</c:f>
              <c:strCache>
                <c:ptCount val="1"/>
                <c:pt idx="0">
                  <c:v>Сергиевский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плата'!$D$24</c:f>
              <c:numCache>
                <c:formatCode>0.0</c:formatCode>
                <c:ptCount val="1"/>
                <c:pt idx="0">
                  <c:v>11.516037796840029</c:v>
                </c:pt>
              </c:numCache>
            </c:numRef>
          </c:xVal>
          <c:yVal>
            <c:numRef>
              <c:f>'Заработная плата'!$B$24</c:f>
              <c:numCache>
                <c:formatCode>0</c:formatCode>
                <c:ptCount val="1"/>
                <c:pt idx="0">
                  <c:v>29842.7</c:v>
                </c:pt>
              </c:numCache>
            </c:numRef>
          </c:yVal>
          <c:smooth val="0"/>
        </c:ser>
        <c:ser>
          <c:idx val="21"/>
          <c:order val="21"/>
          <c:tx>
            <c:strRef>
              <c:f>'Заработная плата'!$A$25</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плата'!$D$25</c:f>
              <c:numCache>
                <c:formatCode>0.0</c:formatCode>
                <c:ptCount val="1"/>
                <c:pt idx="0">
                  <c:v>6.8546019344895015</c:v>
                </c:pt>
              </c:numCache>
            </c:numRef>
          </c:xVal>
          <c:yVal>
            <c:numRef>
              <c:f>'Заработная плата'!$B$25</c:f>
              <c:numCache>
                <c:formatCode>0</c:formatCode>
                <c:ptCount val="1"/>
                <c:pt idx="0">
                  <c:v>27857.9</c:v>
                </c:pt>
              </c:numCache>
            </c:numRef>
          </c:yVal>
          <c:smooth val="0"/>
        </c:ser>
        <c:ser>
          <c:idx val="22"/>
          <c:order val="22"/>
          <c:tx>
            <c:strRef>
              <c:f>'Заработная плата'!$A$26</c:f>
              <c:strCache>
                <c:ptCount val="1"/>
                <c:pt idx="0">
                  <c:v>Сызранский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плата'!$D$26</c:f>
              <c:numCache>
                <c:formatCode>0.0</c:formatCode>
                <c:ptCount val="1"/>
                <c:pt idx="0">
                  <c:v>6.6480361382170265</c:v>
                </c:pt>
              </c:numCache>
            </c:numRef>
          </c:xVal>
          <c:yVal>
            <c:numRef>
              <c:f>'Заработная плата'!$B$26</c:f>
              <c:numCache>
                <c:formatCode>0</c:formatCode>
                <c:ptCount val="1"/>
                <c:pt idx="0">
                  <c:v>23332.3</c:v>
                </c:pt>
              </c:numCache>
            </c:numRef>
          </c:yVal>
          <c:smooth val="0"/>
        </c:ser>
        <c:ser>
          <c:idx val="23"/>
          <c:order val="23"/>
          <c:tx>
            <c:strRef>
              <c:f>'Заработная плата'!$A$27</c:f>
              <c:strCache>
                <c:ptCount val="1"/>
                <c:pt idx="0">
                  <c:v>Хворостянский</c:v>
                </c:pt>
              </c:strCache>
            </c:strRef>
          </c:tx>
          <c:spPr>
            <a:ln w="47625">
              <a:noFill/>
            </a:ln>
          </c:spPr>
          <c:marker>
            <c:symbol val="circle"/>
            <c:size val="6"/>
            <c:spPr>
              <a:solidFill>
                <a:srgbClr val="4F81BD">
                  <a:lumMod val="50000"/>
                </a:srgbClr>
              </a:solidFill>
              <a:ln>
                <a:noFill/>
              </a:ln>
            </c:spPr>
          </c:marker>
          <c:dLbls>
            <c:dLbl>
              <c:idx val="0"/>
              <c:layout>
                <c:manualLayout>
                  <c:x val="-4.4196499781824342E-2"/>
                  <c:y val="-3.18549083056948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плата'!$D$27</c:f>
              <c:numCache>
                <c:formatCode>0.0</c:formatCode>
                <c:ptCount val="1"/>
                <c:pt idx="0">
                  <c:v>9.8046043585422087</c:v>
                </c:pt>
              </c:numCache>
            </c:numRef>
          </c:xVal>
          <c:yVal>
            <c:numRef>
              <c:f>'Заработная плата'!$B$27</c:f>
              <c:numCache>
                <c:formatCode>0</c:formatCode>
                <c:ptCount val="1"/>
                <c:pt idx="0">
                  <c:v>22985.1</c:v>
                </c:pt>
              </c:numCache>
            </c:numRef>
          </c:yVal>
          <c:smooth val="0"/>
        </c:ser>
        <c:ser>
          <c:idx val="24"/>
          <c:order val="24"/>
          <c:tx>
            <c:strRef>
              <c:f>'Заработная плата'!$A$28</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3.2589671198964085E-3"/>
                  <c:y val="-3.4693464491350849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плата'!$D$28</c:f>
              <c:numCache>
                <c:formatCode>0.0</c:formatCode>
                <c:ptCount val="1"/>
                <c:pt idx="0">
                  <c:v>7.7063270633451104</c:v>
                </c:pt>
              </c:numCache>
            </c:numRef>
          </c:xVal>
          <c:yVal>
            <c:numRef>
              <c:f>'Заработная плата'!$B$28</c:f>
              <c:numCache>
                <c:formatCode>0</c:formatCode>
                <c:ptCount val="1"/>
                <c:pt idx="0">
                  <c:v>21318.1</c:v>
                </c:pt>
              </c:numCache>
            </c:numRef>
          </c:yVal>
          <c:smooth val="0"/>
        </c:ser>
        <c:ser>
          <c:idx val="25"/>
          <c:order val="25"/>
          <c:tx>
            <c:strRef>
              <c:f>'Заработная плата'!$A$29</c:f>
              <c:strCache>
                <c:ptCount val="1"/>
                <c:pt idx="0">
                  <c:v>Шенталинский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'Заработная плата'!$D$29</c:f>
              <c:numCache>
                <c:formatCode>0.0</c:formatCode>
                <c:ptCount val="1"/>
                <c:pt idx="0">
                  <c:v>6.4001418733043804</c:v>
                </c:pt>
              </c:numCache>
            </c:numRef>
          </c:xVal>
          <c:yVal>
            <c:numRef>
              <c:f>'Заработная плата'!$B$29</c:f>
              <c:numCache>
                <c:formatCode>0</c:formatCode>
                <c:ptCount val="1"/>
                <c:pt idx="0">
                  <c:v>21594.9</c:v>
                </c:pt>
              </c:numCache>
            </c:numRef>
          </c:yVal>
          <c:smooth val="0"/>
        </c:ser>
        <c:ser>
          <c:idx val="26"/>
          <c:order val="26"/>
          <c:tx>
            <c:strRef>
              <c:f>'Заработная плата'!$A$30</c:f>
              <c:strCache>
                <c:ptCount val="1"/>
                <c:pt idx="0">
                  <c:v>Шигонский </c:v>
                </c:pt>
              </c:strCache>
            </c:strRef>
          </c:tx>
          <c:spPr>
            <a:ln w="47625">
              <a:noFill/>
            </a:ln>
          </c:spPr>
          <c:marker>
            <c:symbol val="circle"/>
            <c:size val="6"/>
            <c:spPr>
              <a:solidFill>
                <a:schemeClr val="tx2">
                  <a:lumMod val="75000"/>
                </a:schemeClr>
              </a:solidFill>
              <a:ln>
                <a:noFill/>
              </a:ln>
            </c:spPr>
          </c:marker>
          <c:dLbls>
            <c:dLbl>
              <c:idx val="0"/>
              <c:layout>
                <c:manualLayout>
                  <c:x val="-1.9196697840576501E-3"/>
                  <c:y val="3.1556360504222799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'Заработная плата'!$D$30</c:f>
              <c:numCache>
                <c:formatCode>0.0</c:formatCode>
                <c:ptCount val="1"/>
                <c:pt idx="0">
                  <c:v>6.245135130468138</c:v>
                </c:pt>
              </c:numCache>
            </c:numRef>
          </c:xVal>
          <c:yVal>
            <c:numRef>
              <c:f>'Заработная плата'!$B$30</c:f>
              <c:numCache>
                <c:formatCode>0</c:formatCode>
                <c:ptCount val="1"/>
                <c:pt idx="0">
                  <c:v>20470.7</c:v>
                </c:pt>
              </c:numCache>
            </c:numRef>
          </c:yVal>
          <c:smooth val="0"/>
        </c:ser>
        <c:dLbls>
          <c:showLegendKey val="0"/>
          <c:showVal val="1"/>
          <c:showCatName val="0"/>
          <c:showSerName val="0"/>
          <c:showPercent val="0"/>
          <c:showBubbleSize val="0"/>
        </c:dLbls>
        <c:axId val="100902400"/>
        <c:axId val="100904320"/>
      </c:scatterChart>
      <c:valAx>
        <c:axId val="100902400"/>
        <c:scaling>
          <c:orientation val="minMax"/>
          <c:max val="12"/>
          <c:min val="4.5"/>
        </c:scaling>
        <c:delete val="0"/>
        <c:axPos val="b"/>
        <c:title>
          <c:tx>
            <c:rich>
              <a:bodyPr/>
              <a:lstStyle/>
              <a:p>
                <a:pPr>
                  <a:defRPr/>
                </a:pPr>
                <a:r>
                  <a:rPr lang="ru-RU"/>
                  <a:t>Среднегодовой темп прироста заработной платы в 2014-2016 гг., %</a:t>
                </a:r>
              </a:p>
            </c:rich>
          </c:tx>
          <c:layout>
            <c:manualLayout>
              <c:xMode val="edge"/>
              <c:yMode val="edge"/>
              <c:x val="0.25556671831707728"/>
              <c:y val="0.94587639890740516"/>
            </c:manualLayout>
          </c:layout>
          <c:overlay val="0"/>
        </c:title>
        <c:numFmt formatCode="0.0" sourceLinked="1"/>
        <c:majorTickMark val="out"/>
        <c:minorTickMark val="none"/>
        <c:tickLblPos val="nextTo"/>
        <c:crossAx val="100904320"/>
        <c:crosses val="autoZero"/>
        <c:crossBetween val="midCat"/>
      </c:valAx>
      <c:valAx>
        <c:axId val="100904320"/>
        <c:scaling>
          <c:orientation val="minMax"/>
          <c:min val="19000"/>
        </c:scaling>
        <c:delete val="0"/>
        <c:axPos val="l"/>
        <c:title>
          <c:tx>
            <c:rich>
              <a:bodyPr rot="-5400000" vert="horz"/>
              <a:lstStyle/>
              <a:p>
                <a:pPr>
                  <a:defRPr/>
                </a:pPr>
                <a:r>
                  <a:rPr lang="ru-RU"/>
                  <a:t>Среднемесяная заработная плата в 2016 году , руб.</a:t>
                </a:r>
              </a:p>
            </c:rich>
          </c:tx>
          <c:layout>
            <c:manualLayout>
              <c:xMode val="edge"/>
              <c:yMode val="edge"/>
              <c:x val="8.5453337577133057E-3"/>
              <c:y val="0.18784358397227563"/>
            </c:manualLayout>
          </c:layout>
          <c:overlay val="0"/>
        </c:title>
        <c:numFmt formatCode="0" sourceLinked="1"/>
        <c:majorTickMark val="out"/>
        <c:minorTickMark val="none"/>
        <c:tickLblPos val="nextTo"/>
        <c:crossAx val="100902400"/>
        <c:crossesAt val="4"/>
        <c:crossBetween val="midCat"/>
      </c:valAx>
      <c:spPr>
        <a:noFill/>
        <a:ln>
          <a:solidFill>
            <a:schemeClr val="tx1"/>
          </a:solid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840769903737"/>
          <c:y val="0.24095595645481024"/>
          <c:w val="0.75623889969874036"/>
          <c:h val="0.53156931332950474"/>
        </c:manualLayout>
      </c:layout>
      <c:lineChart>
        <c:grouping val="standard"/>
        <c:varyColors val="0"/>
        <c:ser>
          <c:idx val="0"/>
          <c:order val="0"/>
          <c:tx>
            <c:strRef>
              <c:f>Лист1!$B$15</c:f>
              <c:strCache>
                <c:ptCount val="1"/>
                <c:pt idx="0">
                  <c:v>Камышлинский р-он</c:v>
                </c:pt>
              </c:strCache>
            </c:strRef>
          </c:tx>
          <c:spPr>
            <a:ln>
              <a:solidFill>
                <a:srgbClr val="C00000"/>
              </a:solidFill>
            </a:ln>
          </c:spPr>
          <c:marker>
            <c:spPr>
              <a:solidFill>
                <a:srgbClr val="C00000"/>
              </a:solidFill>
            </c:spPr>
          </c:marker>
          <c:dLbls>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Лист1!$A$16:$A$19</c:f>
              <c:numCache>
                <c:formatCode>General</c:formatCode>
                <c:ptCount val="4"/>
                <c:pt idx="0">
                  <c:v>2014</c:v>
                </c:pt>
                <c:pt idx="1">
                  <c:v>2015</c:v>
                </c:pt>
                <c:pt idx="2">
                  <c:v>2016</c:v>
                </c:pt>
                <c:pt idx="3">
                  <c:v>2017</c:v>
                </c:pt>
              </c:numCache>
            </c:numRef>
          </c:cat>
          <c:val>
            <c:numRef>
              <c:f>Лист1!$B$16:$B$19</c:f>
              <c:numCache>
                <c:formatCode>General</c:formatCode>
                <c:ptCount val="4"/>
                <c:pt idx="0">
                  <c:v>19486.099999999948</c:v>
                </c:pt>
                <c:pt idx="1">
                  <c:v>20286.2</c:v>
                </c:pt>
                <c:pt idx="2">
                  <c:v>21407.200000000001</c:v>
                </c:pt>
                <c:pt idx="3">
                  <c:v>22670.17</c:v>
                </c:pt>
              </c:numCache>
            </c:numRef>
          </c:val>
          <c:smooth val="0"/>
        </c:ser>
        <c:ser>
          <c:idx val="1"/>
          <c:order val="1"/>
          <c:tx>
            <c:strRef>
              <c:f>Лист1!$C$15</c:f>
              <c:strCache>
                <c:ptCount val="1"/>
                <c:pt idx="0">
                  <c:v>Самарская обл.</c:v>
                </c:pt>
              </c:strCache>
            </c:strRef>
          </c:tx>
          <c:spPr>
            <a:ln>
              <a:solidFill>
                <a:schemeClr val="tx2">
                  <a:lumMod val="75000"/>
                </a:schemeClr>
              </a:solidFill>
            </a:ln>
          </c:spPr>
          <c:marker>
            <c:symbol val="square"/>
            <c:size val="5"/>
            <c:spPr>
              <a:solidFill>
                <a:schemeClr val="accent1">
                  <a:lumMod val="50000"/>
                </a:schemeClr>
              </a:solidFill>
              <a:ln>
                <a:solidFill>
                  <a:schemeClr val="accent1">
                    <a:lumMod val="75000"/>
                  </a:schemeClr>
                </a:solidFill>
              </a:ln>
            </c:spPr>
          </c:marker>
          <c:dLbls>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Лист1!$A$16:$A$19</c:f>
              <c:numCache>
                <c:formatCode>General</c:formatCode>
                <c:ptCount val="4"/>
                <c:pt idx="0">
                  <c:v>2014</c:v>
                </c:pt>
                <c:pt idx="1">
                  <c:v>2015</c:v>
                </c:pt>
                <c:pt idx="2">
                  <c:v>2016</c:v>
                </c:pt>
                <c:pt idx="3">
                  <c:v>2017</c:v>
                </c:pt>
              </c:numCache>
            </c:numRef>
          </c:cat>
          <c:val>
            <c:numRef>
              <c:f>Лист1!$C$16:$C$19</c:f>
              <c:numCache>
                <c:formatCode>General</c:formatCode>
                <c:ptCount val="4"/>
                <c:pt idx="0">
                  <c:v>25884</c:v>
                </c:pt>
                <c:pt idx="1">
                  <c:v>26849</c:v>
                </c:pt>
                <c:pt idx="2">
                  <c:v>28295</c:v>
                </c:pt>
                <c:pt idx="3">
                  <c:v>30492</c:v>
                </c:pt>
              </c:numCache>
            </c:numRef>
          </c:val>
          <c:smooth val="0"/>
        </c:ser>
        <c:ser>
          <c:idx val="2"/>
          <c:order val="2"/>
          <c:tx>
            <c:strRef>
              <c:f>Лист1!$D$15</c:f>
              <c:strCache>
                <c:ptCount val="1"/>
                <c:pt idx="0">
                  <c:v>РФ</c:v>
                </c:pt>
              </c:strCache>
            </c:strRef>
          </c:tx>
          <c:spPr>
            <a:ln>
              <a:solidFill>
                <a:schemeClr val="bg1">
                  <a:lumMod val="50000"/>
                </a:schemeClr>
              </a:solidFill>
            </a:ln>
          </c:spPr>
          <c:marker>
            <c:spPr>
              <a:solidFill>
                <a:schemeClr val="bg1">
                  <a:lumMod val="50000"/>
                </a:schemeClr>
              </a:solidFill>
              <a:ln>
                <a:solidFill>
                  <a:schemeClr val="bg1">
                    <a:lumMod val="50000"/>
                  </a:schemeClr>
                </a:solidFill>
              </a:ln>
            </c:spPr>
          </c:marker>
          <c:dLbls>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Лист1!$A$16:$A$19</c:f>
              <c:numCache>
                <c:formatCode>General</c:formatCode>
                <c:ptCount val="4"/>
                <c:pt idx="0">
                  <c:v>2014</c:v>
                </c:pt>
                <c:pt idx="1">
                  <c:v>2015</c:v>
                </c:pt>
                <c:pt idx="2">
                  <c:v>2016</c:v>
                </c:pt>
                <c:pt idx="3">
                  <c:v>2017</c:v>
                </c:pt>
              </c:numCache>
            </c:numRef>
          </c:cat>
          <c:val>
            <c:numRef>
              <c:f>Лист1!$D$16:$D$19</c:f>
              <c:numCache>
                <c:formatCode>General</c:formatCode>
                <c:ptCount val="4"/>
                <c:pt idx="0">
                  <c:v>32495</c:v>
                </c:pt>
                <c:pt idx="1">
                  <c:v>34030</c:v>
                </c:pt>
                <c:pt idx="2">
                  <c:v>36709</c:v>
                </c:pt>
                <c:pt idx="3">
                  <c:v>39167</c:v>
                </c:pt>
              </c:numCache>
            </c:numRef>
          </c:val>
          <c:smooth val="0"/>
        </c:ser>
        <c:dLbls>
          <c:showLegendKey val="0"/>
          <c:showVal val="0"/>
          <c:showCatName val="0"/>
          <c:showSerName val="0"/>
          <c:showPercent val="0"/>
          <c:showBubbleSize val="0"/>
        </c:dLbls>
        <c:marker val="1"/>
        <c:smooth val="0"/>
        <c:axId val="100964992"/>
        <c:axId val="100966784"/>
      </c:lineChart>
      <c:catAx>
        <c:axId val="100964992"/>
        <c:scaling>
          <c:orientation val="minMax"/>
        </c:scaling>
        <c:delete val="0"/>
        <c:axPos val="b"/>
        <c:numFmt formatCode="General" sourceLinked="1"/>
        <c:majorTickMark val="none"/>
        <c:minorTickMark val="none"/>
        <c:tickLblPos val="nextTo"/>
        <c:txPr>
          <a:bodyPr rot="0" vert="horz"/>
          <a:lstStyle/>
          <a:p>
            <a:pPr>
              <a:defRPr sz="800" b="0" i="0" u="none" strike="noStrike" baseline="0">
                <a:solidFill>
                  <a:srgbClr val="000000"/>
                </a:solidFill>
                <a:latin typeface="Calibri"/>
                <a:ea typeface="Calibri"/>
                <a:cs typeface="Calibri"/>
              </a:defRPr>
            </a:pPr>
            <a:endParaRPr lang="ru-RU"/>
          </a:p>
        </c:txPr>
        <c:crossAx val="100966784"/>
        <c:crosses val="autoZero"/>
        <c:auto val="1"/>
        <c:lblAlgn val="ctr"/>
        <c:lblOffset val="100"/>
        <c:noMultiLvlLbl val="0"/>
      </c:catAx>
      <c:valAx>
        <c:axId val="100966784"/>
        <c:scaling>
          <c:orientation val="minMax"/>
          <c:max val="40000"/>
          <c:min val="15000"/>
        </c:scaling>
        <c:delete val="0"/>
        <c:axPos val="l"/>
        <c:majorGridlines/>
        <c:numFmt formatCode="General" sourceLinked="1"/>
        <c:majorTickMark val="none"/>
        <c:minorTickMark val="none"/>
        <c:tickLblPos val="nextTo"/>
        <c:spPr>
          <a:ln w="9528">
            <a:noFill/>
          </a:ln>
        </c:spPr>
        <c:txPr>
          <a:bodyPr rot="0" vert="horz"/>
          <a:lstStyle/>
          <a:p>
            <a:pPr>
              <a:defRPr sz="800" b="0" i="0" u="none" strike="noStrike" baseline="0">
                <a:solidFill>
                  <a:srgbClr val="000000"/>
                </a:solidFill>
                <a:latin typeface="Calibri"/>
                <a:ea typeface="Calibri"/>
                <a:cs typeface="Calibri"/>
              </a:defRPr>
            </a:pPr>
            <a:endParaRPr lang="ru-RU"/>
          </a:p>
        </c:txPr>
        <c:crossAx val="100964992"/>
        <c:crosses val="autoZero"/>
        <c:crossBetween val="between"/>
      </c:valAx>
    </c:plotArea>
    <c:legend>
      <c:legendPos val="b"/>
      <c:layout>
        <c:manualLayout>
          <c:xMode val="edge"/>
          <c:yMode val="edge"/>
          <c:x val="0.13649732435936382"/>
          <c:y val="0.84830716160479969"/>
          <c:w val="0.79379680647119077"/>
          <c:h val="0.15169103862017283"/>
        </c:manualLayout>
      </c:layout>
      <c:overlay val="0"/>
      <c:txPr>
        <a:bodyPr/>
        <a:lstStyle/>
        <a:p>
          <a:pPr>
            <a:defRPr sz="73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919072615923014E-2"/>
          <c:y val="0.21162626092922443"/>
          <c:w val="0.79372665021953281"/>
          <c:h val="0.56094807621664089"/>
        </c:manualLayout>
      </c:layout>
      <c:lineChart>
        <c:grouping val="standard"/>
        <c:varyColors val="0"/>
        <c:ser>
          <c:idx val="0"/>
          <c:order val="0"/>
          <c:tx>
            <c:strRef>
              <c:f>Лист1!$B$41</c:f>
              <c:strCache>
                <c:ptCount val="1"/>
                <c:pt idx="0">
                  <c:v>Камышлинский р-он</c:v>
                </c:pt>
              </c:strCache>
            </c:strRef>
          </c:tx>
          <c:spPr>
            <a:ln>
              <a:solidFill>
                <a:srgbClr val="C00000"/>
              </a:solidFill>
            </a:ln>
          </c:spPr>
          <c:marker>
            <c:spPr>
              <a:solidFill>
                <a:srgbClr val="C00000"/>
              </a:solidFill>
              <a:ln>
                <a:solidFill>
                  <a:srgbClr val="C00000"/>
                </a:solidFill>
              </a:ln>
            </c:spPr>
          </c:marker>
          <c:dLbls>
            <c:txPr>
              <a:bodyPr/>
              <a:lstStyle/>
              <a:p>
                <a:pPr>
                  <a:defRPr sz="8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Лист1!$A$42:$A$44</c:f>
              <c:numCache>
                <c:formatCode>General</c:formatCode>
                <c:ptCount val="3"/>
                <c:pt idx="0">
                  <c:v>2014</c:v>
                </c:pt>
                <c:pt idx="1">
                  <c:v>2015</c:v>
                </c:pt>
                <c:pt idx="2">
                  <c:v>2016</c:v>
                </c:pt>
              </c:numCache>
            </c:numRef>
          </c:cat>
          <c:val>
            <c:numRef>
              <c:f>Лист1!$B$42:$B$44</c:f>
              <c:numCache>
                <c:formatCode>0.00</c:formatCode>
                <c:ptCount val="3"/>
                <c:pt idx="0" formatCode="General">
                  <c:v>1.9000000000000001</c:v>
                </c:pt>
                <c:pt idx="1">
                  <c:v>1.9301914106482225</c:v>
                </c:pt>
                <c:pt idx="2">
                  <c:v>2.1653543307086607</c:v>
                </c:pt>
              </c:numCache>
            </c:numRef>
          </c:val>
          <c:smooth val="0"/>
        </c:ser>
        <c:ser>
          <c:idx val="1"/>
          <c:order val="1"/>
          <c:tx>
            <c:strRef>
              <c:f>Лист1!$C$41</c:f>
              <c:strCache>
                <c:ptCount val="1"/>
                <c:pt idx="0">
                  <c:v>Самарская обл.</c:v>
                </c:pt>
              </c:strCache>
            </c:strRef>
          </c:tx>
          <c:spPr>
            <a:ln>
              <a:solidFill>
                <a:schemeClr val="accent1">
                  <a:lumMod val="75000"/>
                </a:schemeClr>
              </a:solidFill>
            </a:ln>
          </c:spPr>
          <c:marker>
            <c:symbol val="square"/>
            <c:size val="5"/>
            <c:spPr>
              <a:solidFill>
                <a:schemeClr val="accent1">
                  <a:lumMod val="75000"/>
                </a:schemeClr>
              </a:solidFill>
              <a:ln>
                <a:solidFill>
                  <a:schemeClr val="accent1">
                    <a:lumMod val="75000"/>
                  </a:schemeClr>
                </a:solidFill>
              </a:ln>
            </c:spPr>
          </c:marker>
          <c:dLbls>
            <c:txPr>
              <a:bodyPr/>
              <a:lstStyle/>
              <a:p>
                <a:pPr>
                  <a:defRPr sz="8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Лист1!$A$42:$A$44</c:f>
              <c:numCache>
                <c:formatCode>General</c:formatCode>
                <c:ptCount val="3"/>
                <c:pt idx="0">
                  <c:v>2014</c:v>
                </c:pt>
                <c:pt idx="1">
                  <c:v>2015</c:v>
                </c:pt>
                <c:pt idx="2">
                  <c:v>2016</c:v>
                </c:pt>
              </c:numCache>
            </c:numRef>
          </c:cat>
          <c:val>
            <c:numRef>
              <c:f>Лист1!$C$42:$C$44</c:f>
              <c:numCache>
                <c:formatCode>General</c:formatCode>
                <c:ptCount val="3"/>
                <c:pt idx="0">
                  <c:v>1</c:v>
                </c:pt>
                <c:pt idx="1">
                  <c:v>1.3</c:v>
                </c:pt>
                <c:pt idx="2">
                  <c:v>1.3</c:v>
                </c:pt>
              </c:numCache>
            </c:numRef>
          </c:val>
          <c:smooth val="0"/>
        </c:ser>
        <c:ser>
          <c:idx val="2"/>
          <c:order val="2"/>
          <c:tx>
            <c:strRef>
              <c:f>Лист1!$D$41</c:f>
              <c:strCache>
                <c:ptCount val="1"/>
                <c:pt idx="0">
                  <c:v>РФ</c:v>
                </c:pt>
              </c:strCache>
            </c:strRef>
          </c:tx>
          <c:spPr>
            <a:ln>
              <a:solidFill>
                <a:schemeClr val="bg1">
                  <a:lumMod val="50000"/>
                </a:schemeClr>
              </a:solidFill>
            </a:ln>
          </c:spPr>
          <c:marker>
            <c:symbol val="square"/>
            <c:size val="5"/>
            <c:spPr>
              <a:solidFill>
                <a:schemeClr val="bg1">
                  <a:lumMod val="50000"/>
                </a:schemeClr>
              </a:solidFill>
              <a:ln>
                <a:solidFill>
                  <a:schemeClr val="bg1">
                    <a:lumMod val="50000"/>
                  </a:schemeClr>
                </a:solidFill>
              </a:ln>
            </c:spPr>
          </c:marker>
          <c:dLbls>
            <c:txPr>
              <a:bodyPr/>
              <a:lstStyle/>
              <a:p>
                <a:pPr>
                  <a:defRPr sz="80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Лист1!$A$42:$A$44</c:f>
              <c:numCache>
                <c:formatCode>General</c:formatCode>
                <c:ptCount val="3"/>
                <c:pt idx="0">
                  <c:v>2014</c:v>
                </c:pt>
                <c:pt idx="1">
                  <c:v>2015</c:v>
                </c:pt>
                <c:pt idx="2">
                  <c:v>2016</c:v>
                </c:pt>
              </c:numCache>
            </c:numRef>
          </c:cat>
          <c:val>
            <c:numRef>
              <c:f>Лист1!$D$42:$D$44</c:f>
              <c:numCache>
                <c:formatCode>General</c:formatCode>
                <c:ptCount val="3"/>
                <c:pt idx="0">
                  <c:v>1.2</c:v>
                </c:pt>
                <c:pt idx="1">
                  <c:v>1.3</c:v>
                </c:pt>
                <c:pt idx="2">
                  <c:v>1.2</c:v>
                </c:pt>
              </c:numCache>
            </c:numRef>
          </c:val>
          <c:smooth val="0"/>
        </c:ser>
        <c:dLbls>
          <c:showLegendKey val="0"/>
          <c:showVal val="0"/>
          <c:showCatName val="0"/>
          <c:showSerName val="0"/>
          <c:showPercent val="0"/>
          <c:showBubbleSize val="0"/>
        </c:dLbls>
        <c:marker val="1"/>
        <c:smooth val="0"/>
        <c:axId val="64478208"/>
        <c:axId val="88437504"/>
      </c:lineChart>
      <c:catAx>
        <c:axId val="64478208"/>
        <c:scaling>
          <c:orientation val="minMax"/>
        </c:scaling>
        <c:delete val="0"/>
        <c:axPos val="b"/>
        <c:numFmt formatCode="General" sourceLinked="1"/>
        <c:majorTickMark val="none"/>
        <c:minorTickMark val="none"/>
        <c:tickLblPos val="nextTo"/>
        <c:txPr>
          <a:bodyPr rot="0" vert="horz"/>
          <a:lstStyle/>
          <a:p>
            <a:pPr>
              <a:defRPr sz="801" b="0" i="0" u="none" strike="noStrike" baseline="0">
                <a:solidFill>
                  <a:srgbClr val="000000"/>
                </a:solidFill>
                <a:latin typeface="Calibri"/>
                <a:ea typeface="Calibri"/>
                <a:cs typeface="Calibri"/>
              </a:defRPr>
            </a:pPr>
            <a:endParaRPr lang="ru-RU"/>
          </a:p>
        </c:txPr>
        <c:crossAx val="88437504"/>
        <c:crosses val="autoZero"/>
        <c:auto val="1"/>
        <c:lblAlgn val="ctr"/>
        <c:lblOffset val="100"/>
        <c:noMultiLvlLbl val="0"/>
      </c:catAx>
      <c:valAx>
        <c:axId val="88437504"/>
        <c:scaling>
          <c:orientation val="minMax"/>
          <c:max val="2.2999999999999998"/>
          <c:min val="0.8"/>
        </c:scaling>
        <c:delete val="0"/>
        <c:axPos val="l"/>
        <c:majorGridlines/>
        <c:numFmt formatCode="General" sourceLinked="1"/>
        <c:majorTickMark val="none"/>
        <c:minorTickMark val="none"/>
        <c:tickLblPos val="nextTo"/>
        <c:spPr>
          <a:ln w="9534">
            <a:noFill/>
          </a:ln>
        </c:spPr>
        <c:txPr>
          <a:bodyPr rot="0" vert="horz"/>
          <a:lstStyle/>
          <a:p>
            <a:pPr>
              <a:defRPr sz="801" b="0" i="0" u="none" strike="noStrike" baseline="0">
                <a:solidFill>
                  <a:srgbClr val="000000"/>
                </a:solidFill>
                <a:latin typeface="Calibri"/>
                <a:ea typeface="Calibri"/>
                <a:cs typeface="Calibri"/>
              </a:defRPr>
            </a:pPr>
            <a:endParaRPr lang="ru-RU"/>
          </a:p>
        </c:txPr>
        <c:crossAx val="64478208"/>
        <c:crosses val="autoZero"/>
        <c:crossBetween val="between"/>
      </c:valAx>
    </c:plotArea>
    <c:legend>
      <c:legendPos val="b"/>
      <c:layout>
        <c:manualLayout>
          <c:xMode val="edge"/>
          <c:yMode val="edge"/>
          <c:x val="7.4946351706036834E-2"/>
          <c:y val="0.85411653543307164"/>
          <c:w val="0.81426729658792618"/>
          <c:h val="0.12155590551181121"/>
        </c:manualLayout>
      </c:layout>
      <c:overlay val="0"/>
      <c:txPr>
        <a:bodyPr/>
        <a:lstStyle/>
        <a:p>
          <a:pPr>
            <a:defRPr sz="736"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801"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33899016047713"/>
          <c:y val="7.2135830152800812E-2"/>
          <c:w val="0.74708087207335239"/>
          <c:h val="0.85634127407038962"/>
        </c:manualLayout>
      </c:layout>
      <c:barChart>
        <c:barDir val="bar"/>
        <c:grouping val="clustered"/>
        <c:varyColors val="0"/>
        <c:ser>
          <c:idx val="0"/>
          <c:order val="0"/>
          <c:invertIfNegative val="0"/>
          <c:dPt>
            <c:idx val="8"/>
            <c:invertIfNegative val="0"/>
            <c:bubble3D val="0"/>
            <c:spPr>
              <a:solidFill>
                <a:srgbClr val="C50000"/>
              </a:solidFill>
            </c:spPr>
          </c:dPt>
          <c:dLbls>
            <c:showLegendKey val="0"/>
            <c:showVal val="1"/>
            <c:showCatName val="0"/>
            <c:showSerName val="0"/>
            <c:showPercent val="0"/>
            <c:showBubbleSize val="0"/>
            <c:showLeaderLines val="0"/>
          </c:dLbls>
          <c:cat>
            <c:strRef>
              <c:f>Койкомест!$A$1:$A$26</c:f>
              <c:strCache>
                <c:ptCount val="26"/>
                <c:pt idx="0">
                  <c:v>Безенчукский </c:v>
                </c:pt>
                <c:pt idx="1">
                  <c:v>Богатовский </c:v>
                </c:pt>
                <c:pt idx="2">
                  <c:v>Большеглушицкий </c:v>
                </c:pt>
                <c:pt idx="3">
                  <c:v>Большечерниговский </c:v>
                </c:pt>
                <c:pt idx="4">
                  <c:v>Борский </c:v>
                </c:pt>
                <c:pt idx="5">
                  <c:v>Волжский </c:v>
                </c:pt>
                <c:pt idx="6">
                  <c:v>Елховский </c:v>
                </c:pt>
                <c:pt idx="7">
                  <c:v>Исаклинский </c:v>
                </c:pt>
                <c:pt idx="8">
                  <c:v>Камышлинский </c:v>
                </c:pt>
                <c:pt idx="9">
                  <c:v>Кинельский </c:v>
                </c:pt>
                <c:pt idx="10">
                  <c:v>Кинель-Черкасский </c:v>
                </c:pt>
                <c:pt idx="11">
                  <c:v>Клявлинский</c:v>
                </c:pt>
                <c:pt idx="12">
                  <c:v>Кошкинский </c:v>
                </c:pt>
                <c:pt idx="13">
                  <c:v>Красноармейский </c:v>
                </c:pt>
                <c:pt idx="14">
                  <c:v>Красноярский </c:v>
                </c:pt>
                <c:pt idx="15">
                  <c:v>Нефтегорский </c:v>
                </c:pt>
                <c:pt idx="16">
                  <c:v>Пестравский </c:v>
                </c:pt>
                <c:pt idx="17">
                  <c:v>Похвистневский </c:v>
                </c:pt>
                <c:pt idx="18">
                  <c:v>Приволжский </c:v>
                </c:pt>
                <c:pt idx="19">
                  <c:v>Сергиевский </c:v>
                </c:pt>
                <c:pt idx="20">
                  <c:v>Ставропольский </c:v>
                </c:pt>
                <c:pt idx="21">
                  <c:v>Сызранский</c:v>
                </c:pt>
                <c:pt idx="22">
                  <c:v>Хворостянский </c:v>
                </c:pt>
                <c:pt idx="23">
                  <c:v>Челно-Вершинский </c:v>
                </c:pt>
                <c:pt idx="24">
                  <c:v>Шенталинский </c:v>
                </c:pt>
                <c:pt idx="25">
                  <c:v>Шигонский </c:v>
                </c:pt>
              </c:strCache>
            </c:strRef>
          </c:cat>
          <c:val>
            <c:numRef>
              <c:f>Койкомест!$B$1:$B$26</c:f>
              <c:numCache>
                <c:formatCode>General</c:formatCode>
                <c:ptCount val="26"/>
                <c:pt idx="0">
                  <c:v>57.5</c:v>
                </c:pt>
                <c:pt idx="1">
                  <c:v>52.6</c:v>
                </c:pt>
                <c:pt idx="2">
                  <c:v>50.9</c:v>
                </c:pt>
                <c:pt idx="3">
                  <c:v>49</c:v>
                </c:pt>
                <c:pt idx="4">
                  <c:v>46.8</c:v>
                </c:pt>
                <c:pt idx="5">
                  <c:v>46.3</c:v>
                </c:pt>
                <c:pt idx="6">
                  <c:v>45.2</c:v>
                </c:pt>
                <c:pt idx="7">
                  <c:v>44</c:v>
                </c:pt>
                <c:pt idx="8">
                  <c:v>43.8</c:v>
                </c:pt>
                <c:pt idx="9">
                  <c:v>43.6</c:v>
                </c:pt>
                <c:pt idx="10">
                  <c:v>43.3</c:v>
                </c:pt>
                <c:pt idx="11">
                  <c:v>42.5</c:v>
                </c:pt>
                <c:pt idx="12">
                  <c:v>40.9</c:v>
                </c:pt>
                <c:pt idx="13">
                  <c:v>40.6</c:v>
                </c:pt>
                <c:pt idx="14">
                  <c:v>39.300000000000004</c:v>
                </c:pt>
                <c:pt idx="15">
                  <c:v>37.300000000000004</c:v>
                </c:pt>
                <c:pt idx="16">
                  <c:v>36.200000000000003</c:v>
                </c:pt>
                <c:pt idx="17">
                  <c:v>35.800000000000004</c:v>
                </c:pt>
                <c:pt idx="18">
                  <c:v>35.700000000000003</c:v>
                </c:pt>
                <c:pt idx="19">
                  <c:v>35.300000000000004</c:v>
                </c:pt>
                <c:pt idx="20">
                  <c:v>34.1</c:v>
                </c:pt>
                <c:pt idx="21">
                  <c:v>32.200000000000003</c:v>
                </c:pt>
                <c:pt idx="22">
                  <c:v>31.4</c:v>
                </c:pt>
                <c:pt idx="23">
                  <c:v>28.6</c:v>
                </c:pt>
                <c:pt idx="24">
                  <c:v>26.3</c:v>
                </c:pt>
                <c:pt idx="25">
                  <c:v>20.8</c:v>
                </c:pt>
              </c:numCache>
            </c:numRef>
          </c:val>
        </c:ser>
        <c:ser>
          <c:idx val="1"/>
          <c:order val="1"/>
          <c:spPr>
            <a:noFill/>
          </c:spPr>
          <c:invertIfNegative val="0"/>
          <c:trendline>
            <c:spPr>
              <a:ln w="19048">
                <a:prstDash val="sysDash"/>
              </a:ln>
            </c:spPr>
            <c:trendlineType val="linear"/>
            <c:dispRSqr val="0"/>
            <c:dispEq val="0"/>
          </c:trendline>
          <c:cat>
            <c:strRef>
              <c:f>Койкомест!$A$1:$A$26</c:f>
              <c:strCache>
                <c:ptCount val="26"/>
                <c:pt idx="0">
                  <c:v>Безенчукский </c:v>
                </c:pt>
                <c:pt idx="1">
                  <c:v>Богатовский </c:v>
                </c:pt>
                <c:pt idx="2">
                  <c:v>Большеглушицкий </c:v>
                </c:pt>
                <c:pt idx="3">
                  <c:v>Большечерниговский </c:v>
                </c:pt>
                <c:pt idx="4">
                  <c:v>Борский </c:v>
                </c:pt>
                <c:pt idx="5">
                  <c:v>Волжский </c:v>
                </c:pt>
                <c:pt idx="6">
                  <c:v>Елховский </c:v>
                </c:pt>
                <c:pt idx="7">
                  <c:v>Исаклинский </c:v>
                </c:pt>
                <c:pt idx="8">
                  <c:v>Камышлинский </c:v>
                </c:pt>
                <c:pt idx="9">
                  <c:v>Кинельский </c:v>
                </c:pt>
                <c:pt idx="10">
                  <c:v>Кинель-Черкасский </c:v>
                </c:pt>
                <c:pt idx="11">
                  <c:v>Клявлинский</c:v>
                </c:pt>
                <c:pt idx="12">
                  <c:v>Кошкинский </c:v>
                </c:pt>
                <c:pt idx="13">
                  <c:v>Красноармейский </c:v>
                </c:pt>
                <c:pt idx="14">
                  <c:v>Красноярский </c:v>
                </c:pt>
                <c:pt idx="15">
                  <c:v>Нефтегорский </c:v>
                </c:pt>
                <c:pt idx="16">
                  <c:v>Пестравский </c:v>
                </c:pt>
                <c:pt idx="17">
                  <c:v>Похвистневский </c:v>
                </c:pt>
                <c:pt idx="18">
                  <c:v>Приволжский </c:v>
                </c:pt>
                <c:pt idx="19">
                  <c:v>Сергиевский </c:v>
                </c:pt>
                <c:pt idx="20">
                  <c:v>Ставропольский </c:v>
                </c:pt>
                <c:pt idx="21">
                  <c:v>Сызранский</c:v>
                </c:pt>
                <c:pt idx="22">
                  <c:v>Хворостянский </c:v>
                </c:pt>
                <c:pt idx="23">
                  <c:v>Челно-Вершинский </c:v>
                </c:pt>
                <c:pt idx="24">
                  <c:v>Шенталинский </c:v>
                </c:pt>
                <c:pt idx="25">
                  <c:v>Шигонский </c:v>
                </c:pt>
              </c:strCache>
            </c:strRef>
          </c:cat>
          <c:val>
            <c:numRef>
              <c:f>Койкомест!$C$1:$C$26</c:f>
              <c:numCache>
                <c:formatCode>General</c:formatCode>
                <c:ptCount val="26"/>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numCache>
            </c:numRef>
          </c:val>
        </c:ser>
        <c:dLbls>
          <c:showLegendKey val="0"/>
          <c:showVal val="0"/>
          <c:showCatName val="0"/>
          <c:showSerName val="0"/>
          <c:showPercent val="0"/>
          <c:showBubbleSize val="0"/>
        </c:dLbls>
        <c:gapWidth val="150"/>
        <c:axId val="88411136"/>
        <c:axId val="102216448"/>
      </c:barChart>
      <c:catAx>
        <c:axId val="88411136"/>
        <c:scaling>
          <c:orientation val="minMax"/>
        </c:scaling>
        <c:delete val="0"/>
        <c:axPos val="l"/>
        <c:numFmt formatCode="General" sourceLinked="1"/>
        <c:majorTickMark val="none"/>
        <c:minorTickMark val="none"/>
        <c:tickLblPos val="nextTo"/>
        <c:txPr>
          <a:bodyPr/>
          <a:lstStyle/>
          <a:p>
            <a:pPr>
              <a:defRPr baseline="0"/>
            </a:pPr>
            <a:endParaRPr lang="ru-RU"/>
          </a:p>
        </c:txPr>
        <c:crossAx val="102216448"/>
        <c:crosses val="autoZero"/>
        <c:auto val="1"/>
        <c:lblAlgn val="ctr"/>
        <c:lblOffset val="100"/>
        <c:noMultiLvlLbl val="0"/>
      </c:catAx>
      <c:valAx>
        <c:axId val="102216448"/>
        <c:scaling>
          <c:orientation val="minMax"/>
        </c:scaling>
        <c:delete val="1"/>
        <c:axPos val="b"/>
        <c:numFmt formatCode="General" sourceLinked="1"/>
        <c:majorTickMark val="out"/>
        <c:minorTickMark val="none"/>
        <c:tickLblPos val="none"/>
        <c:crossAx val="88411136"/>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68261872687868"/>
          <c:y val="0.175629431545332"/>
          <c:w val="0.69076153567860288"/>
          <c:h val="0.72830223398856164"/>
        </c:manualLayout>
      </c:layout>
      <c:barChart>
        <c:barDir val="bar"/>
        <c:grouping val="clustered"/>
        <c:varyColors val="0"/>
        <c:ser>
          <c:idx val="0"/>
          <c:order val="0"/>
          <c:invertIfNegative val="0"/>
          <c:dPt>
            <c:idx val="17"/>
            <c:invertIfNegative val="0"/>
            <c:bubble3D val="0"/>
            <c:spPr>
              <a:solidFill>
                <a:srgbClr val="C50000"/>
              </a:solidFill>
            </c:spPr>
          </c:dPt>
          <c:dLbls>
            <c:showLegendKey val="0"/>
            <c:showVal val="1"/>
            <c:showCatName val="0"/>
            <c:showSerName val="0"/>
            <c:showPercent val="0"/>
            <c:showBubbleSize val="0"/>
            <c:showLeaderLines val="0"/>
          </c:dLbls>
          <c:cat>
            <c:strRef>
              <c:f>'Здравоохранение 2'!$A$4:$A$29</c:f>
              <c:strCache>
                <c:ptCount val="26"/>
                <c:pt idx="0">
                  <c:v>Шигонский</c:v>
                </c:pt>
                <c:pt idx="1">
                  <c:v>Сергиевский</c:v>
                </c:pt>
                <c:pt idx="2">
                  <c:v>Красноярский</c:v>
                </c:pt>
                <c:pt idx="3">
                  <c:v>Кинель-Черкасский</c:v>
                </c:pt>
                <c:pt idx="4">
                  <c:v>Богатовский</c:v>
                </c:pt>
                <c:pt idx="5">
                  <c:v>Безенчукский</c:v>
                </c:pt>
                <c:pt idx="6">
                  <c:v>Клявлинский</c:v>
                </c:pt>
                <c:pt idx="7">
                  <c:v>Пестравский</c:v>
                </c:pt>
                <c:pt idx="8">
                  <c:v>Большечерниговский</c:v>
                </c:pt>
                <c:pt idx="9">
                  <c:v>Челно-Вершинский</c:v>
                </c:pt>
                <c:pt idx="10">
                  <c:v>Похвистневский</c:v>
                </c:pt>
                <c:pt idx="11">
                  <c:v>Красноармейский</c:v>
                </c:pt>
                <c:pt idx="12">
                  <c:v>Волжский</c:v>
                </c:pt>
                <c:pt idx="13">
                  <c:v>Хворостянский</c:v>
                </c:pt>
                <c:pt idx="14">
                  <c:v>Борский</c:v>
                </c:pt>
                <c:pt idx="15">
                  <c:v>Нефтегорский</c:v>
                </c:pt>
                <c:pt idx="16">
                  <c:v>Исаклинский</c:v>
                </c:pt>
                <c:pt idx="17">
                  <c:v>Камышлинский</c:v>
                </c:pt>
                <c:pt idx="18">
                  <c:v>Большеглушицкий</c:v>
                </c:pt>
                <c:pt idx="19">
                  <c:v>Кинельский</c:v>
                </c:pt>
                <c:pt idx="20">
                  <c:v>Шенталинский</c:v>
                </c:pt>
                <c:pt idx="21">
                  <c:v>Кошкинский</c:v>
                </c:pt>
                <c:pt idx="22">
                  <c:v>Приволжский</c:v>
                </c:pt>
                <c:pt idx="23">
                  <c:v>Сызранский</c:v>
                </c:pt>
                <c:pt idx="24">
                  <c:v>Елховский</c:v>
                </c:pt>
                <c:pt idx="25">
                  <c:v>Ставропольский</c:v>
                </c:pt>
              </c:strCache>
            </c:strRef>
          </c:cat>
          <c:val>
            <c:numRef>
              <c:f>'Здравоохранение 2'!$B$4:$B$29</c:f>
              <c:numCache>
                <c:formatCode>General</c:formatCode>
                <c:ptCount val="26"/>
                <c:pt idx="0">
                  <c:v>32.4</c:v>
                </c:pt>
                <c:pt idx="1">
                  <c:v>30.4</c:v>
                </c:pt>
                <c:pt idx="2">
                  <c:v>29.6</c:v>
                </c:pt>
                <c:pt idx="3">
                  <c:v>27.6</c:v>
                </c:pt>
                <c:pt idx="4">
                  <c:v>27.3</c:v>
                </c:pt>
                <c:pt idx="5">
                  <c:v>26.4</c:v>
                </c:pt>
                <c:pt idx="6">
                  <c:v>25.9</c:v>
                </c:pt>
                <c:pt idx="7">
                  <c:v>25</c:v>
                </c:pt>
                <c:pt idx="8">
                  <c:v>23.6</c:v>
                </c:pt>
                <c:pt idx="9">
                  <c:v>23.2</c:v>
                </c:pt>
                <c:pt idx="10">
                  <c:v>23</c:v>
                </c:pt>
                <c:pt idx="11">
                  <c:v>22.6</c:v>
                </c:pt>
                <c:pt idx="12">
                  <c:v>22.5</c:v>
                </c:pt>
                <c:pt idx="13">
                  <c:v>22.4</c:v>
                </c:pt>
                <c:pt idx="14">
                  <c:v>22.1</c:v>
                </c:pt>
                <c:pt idx="15">
                  <c:v>21.02</c:v>
                </c:pt>
                <c:pt idx="16">
                  <c:v>20.7</c:v>
                </c:pt>
                <c:pt idx="17">
                  <c:v>20.3</c:v>
                </c:pt>
                <c:pt idx="18">
                  <c:v>20.2</c:v>
                </c:pt>
                <c:pt idx="19">
                  <c:v>20</c:v>
                </c:pt>
                <c:pt idx="20">
                  <c:v>19.899999999999999</c:v>
                </c:pt>
                <c:pt idx="21">
                  <c:v>17.899999999999999</c:v>
                </c:pt>
                <c:pt idx="22">
                  <c:v>17.899999999999999</c:v>
                </c:pt>
                <c:pt idx="23">
                  <c:v>17.2</c:v>
                </c:pt>
                <c:pt idx="24">
                  <c:v>15.8</c:v>
                </c:pt>
                <c:pt idx="25">
                  <c:v>15.5</c:v>
                </c:pt>
              </c:numCache>
            </c:numRef>
          </c:val>
        </c:ser>
        <c:ser>
          <c:idx val="1"/>
          <c:order val="1"/>
          <c:spPr>
            <a:noFill/>
          </c:spPr>
          <c:invertIfNegative val="0"/>
          <c:trendline>
            <c:spPr>
              <a:ln>
                <a:prstDash val="dash"/>
              </a:ln>
            </c:spPr>
            <c:trendlineType val="linear"/>
            <c:dispRSqr val="0"/>
            <c:dispEq val="0"/>
          </c:trendline>
          <c:cat>
            <c:strRef>
              <c:f>'Здравоохранение 2'!$A$4:$A$29</c:f>
              <c:strCache>
                <c:ptCount val="26"/>
                <c:pt idx="0">
                  <c:v>Шигонский</c:v>
                </c:pt>
                <c:pt idx="1">
                  <c:v>Сергиевский</c:v>
                </c:pt>
                <c:pt idx="2">
                  <c:v>Красноярский</c:v>
                </c:pt>
                <c:pt idx="3">
                  <c:v>Кинель-Черкасский</c:v>
                </c:pt>
                <c:pt idx="4">
                  <c:v>Богатовский</c:v>
                </c:pt>
                <c:pt idx="5">
                  <c:v>Безенчукский</c:v>
                </c:pt>
                <c:pt idx="6">
                  <c:v>Клявлинский</c:v>
                </c:pt>
                <c:pt idx="7">
                  <c:v>Пестравский</c:v>
                </c:pt>
                <c:pt idx="8">
                  <c:v>Большечерниговский</c:v>
                </c:pt>
                <c:pt idx="9">
                  <c:v>Челно-Вершинский</c:v>
                </c:pt>
                <c:pt idx="10">
                  <c:v>Похвистневский</c:v>
                </c:pt>
                <c:pt idx="11">
                  <c:v>Красноармейский</c:v>
                </c:pt>
                <c:pt idx="12">
                  <c:v>Волжский</c:v>
                </c:pt>
                <c:pt idx="13">
                  <c:v>Хворостянский</c:v>
                </c:pt>
                <c:pt idx="14">
                  <c:v>Борский</c:v>
                </c:pt>
                <c:pt idx="15">
                  <c:v>Нефтегорский</c:v>
                </c:pt>
                <c:pt idx="16">
                  <c:v>Исаклинский</c:v>
                </c:pt>
                <c:pt idx="17">
                  <c:v>Камышлинский</c:v>
                </c:pt>
                <c:pt idx="18">
                  <c:v>Большеглушицкий</c:v>
                </c:pt>
                <c:pt idx="19">
                  <c:v>Кинельский</c:v>
                </c:pt>
                <c:pt idx="20">
                  <c:v>Шенталинский</c:v>
                </c:pt>
                <c:pt idx="21">
                  <c:v>Кошкинский</c:v>
                </c:pt>
                <c:pt idx="22">
                  <c:v>Приволжский</c:v>
                </c:pt>
                <c:pt idx="23">
                  <c:v>Сызранский</c:v>
                </c:pt>
                <c:pt idx="24">
                  <c:v>Елховский</c:v>
                </c:pt>
                <c:pt idx="25">
                  <c:v>Ставропольский</c:v>
                </c:pt>
              </c:strCache>
            </c:strRef>
          </c:cat>
          <c:val>
            <c:numRef>
              <c:f>'Здравоохранение 2'!$C$4:$C$29</c:f>
              <c:numCache>
                <c:formatCode>General</c:formatCode>
                <c:ptCount val="26"/>
                <c:pt idx="0">
                  <c:v>22.708461538461489</c:v>
                </c:pt>
                <c:pt idx="1">
                  <c:v>22.708461538461489</c:v>
                </c:pt>
                <c:pt idx="2">
                  <c:v>22.708461538461489</c:v>
                </c:pt>
                <c:pt idx="3">
                  <c:v>22.708461538461489</c:v>
                </c:pt>
                <c:pt idx="4">
                  <c:v>22.708461538461489</c:v>
                </c:pt>
                <c:pt idx="5">
                  <c:v>22.708461538461489</c:v>
                </c:pt>
                <c:pt idx="6">
                  <c:v>22.708461538461489</c:v>
                </c:pt>
                <c:pt idx="7">
                  <c:v>22.708461538461489</c:v>
                </c:pt>
                <c:pt idx="8">
                  <c:v>22.708461538461489</c:v>
                </c:pt>
                <c:pt idx="9">
                  <c:v>22.708461538461489</c:v>
                </c:pt>
                <c:pt idx="10">
                  <c:v>22.708461538461489</c:v>
                </c:pt>
                <c:pt idx="11">
                  <c:v>22.708461538461489</c:v>
                </c:pt>
                <c:pt idx="12">
                  <c:v>22.708461538461489</c:v>
                </c:pt>
                <c:pt idx="13">
                  <c:v>22.708461538461489</c:v>
                </c:pt>
                <c:pt idx="14">
                  <c:v>22.708461538461489</c:v>
                </c:pt>
                <c:pt idx="15">
                  <c:v>22.708461538461489</c:v>
                </c:pt>
                <c:pt idx="16">
                  <c:v>22.708461538461489</c:v>
                </c:pt>
                <c:pt idx="17">
                  <c:v>22.708461538461489</c:v>
                </c:pt>
                <c:pt idx="18">
                  <c:v>22.708461538461489</c:v>
                </c:pt>
                <c:pt idx="19">
                  <c:v>22.708461538461489</c:v>
                </c:pt>
                <c:pt idx="20">
                  <c:v>22.708461538461489</c:v>
                </c:pt>
                <c:pt idx="21">
                  <c:v>22.708461538461489</c:v>
                </c:pt>
                <c:pt idx="22">
                  <c:v>22.708461538461489</c:v>
                </c:pt>
                <c:pt idx="23">
                  <c:v>22.708461538461489</c:v>
                </c:pt>
                <c:pt idx="24">
                  <c:v>22.708461538461489</c:v>
                </c:pt>
                <c:pt idx="25">
                  <c:v>22.708461538461489</c:v>
                </c:pt>
              </c:numCache>
            </c:numRef>
          </c:val>
        </c:ser>
        <c:dLbls>
          <c:showLegendKey val="0"/>
          <c:showVal val="0"/>
          <c:showCatName val="0"/>
          <c:showSerName val="0"/>
          <c:showPercent val="0"/>
          <c:showBubbleSize val="0"/>
        </c:dLbls>
        <c:gapWidth val="150"/>
        <c:axId val="102505472"/>
        <c:axId val="102507264"/>
      </c:barChart>
      <c:catAx>
        <c:axId val="102505472"/>
        <c:scaling>
          <c:orientation val="minMax"/>
        </c:scaling>
        <c:delete val="0"/>
        <c:axPos val="l"/>
        <c:majorTickMark val="none"/>
        <c:minorTickMark val="none"/>
        <c:tickLblPos val="nextTo"/>
        <c:crossAx val="102507264"/>
        <c:crosses val="autoZero"/>
        <c:auto val="1"/>
        <c:lblAlgn val="ctr"/>
        <c:lblOffset val="100"/>
        <c:tickLblSkip val="1"/>
        <c:noMultiLvlLbl val="0"/>
      </c:catAx>
      <c:valAx>
        <c:axId val="102507264"/>
        <c:scaling>
          <c:orientation val="minMax"/>
        </c:scaling>
        <c:delete val="0"/>
        <c:axPos val="b"/>
        <c:numFmt formatCode="General" sourceLinked="1"/>
        <c:majorTickMark val="out"/>
        <c:minorTickMark val="none"/>
        <c:tickLblPos val="nextTo"/>
        <c:crossAx val="102505472"/>
        <c:crosses val="autoZero"/>
        <c:crossBetween val="between"/>
      </c:valAx>
    </c:plotArea>
    <c:plotVisOnly val="1"/>
    <c:dispBlanksAs val="gap"/>
    <c:showDLblsOverMax val="0"/>
  </c:chart>
  <c:txPr>
    <a:bodyPr/>
    <a:lstStyle/>
    <a:p>
      <a:pPr>
        <a:defRPr sz="800" baseline="0">
          <a:latin typeface="Times New Roman" pitchFamily="18" charset="0"/>
        </a:defRPr>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38589732183791"/>
          <c:y val="2.8833543806659794E-2"/>
          <c:w val="0.80988537980186359"/>
          <c:h val="0.85644104874359983"/>
        </c:manualLayout>
      </c:layout>
      <c:scatterChart>
        <c:scatterStyle val="lineMarker"/>
        <c:varyColors val="0"/>
        <c:ser>
          <c:idx val="0"/>
          <c:order val="0"/>
          <c:tx>
            <c:strRef>
              <c:f>Медперсонал!$A$2</c:f>
              <c:strCache>
                <c:ptCount val="1"/>
                <c:pt idx="0">
                  <c:v>Безенчукский</c:v>
                </c:pt>
              </c:strCache>
            </c:strRef>
          </c:tx>
          <c:spPr>
            <a:ln w="31856">
              <a:noFill/>
            </a:ln>
          </c:spPr>
          <c:marker>
            <c:symbol val="circle"/>
            <c:size val="4"/>
            <c:spPr>
              <a:solidFill>
                <a:schemeClr val="accent1">
                  <a:lumMod val="50000"/>
                </a:schemeClr>
              </a:solidFill>
              <a:ln>
                <a:noFill/>
              </a:ln>
            </c:spPr>
          </c:marker>
          <c:dLbls>
            <c:dLbl>
              <c:idx val="0"/>
              <c:layout>
                <c:manualLayout>
                  <c:x val="-9.559390353497256E-2"/>
                  <c:y val="-2.424736412743084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c:f>
              <c:numCache>
                <c:formatCode>General</c:formatCode>
                <c:ptCount val="1"/>
                <c:pt idx="0">
                  <c:v>26.4</c:v>
                </c:pt>
              </c:numCache>
            </c:numRef>
          </c:xVal>
          <c:yVal>
            <c:numRef>
              <c:f>Медперсонал!$C$2</c:f>
              <c:numCache>
                <c:formatCode>General</c:formatCode>
                <c:ptCount val="1"/>
                <c:pt idx="0">
                  <c:v>80.900000000000006</c:v>
                </c:pt>
              </c:numCache>
            </c:numRef>
          </c:yVal>
          <c:smooth val="0"/>
        </c:ser>
        <c:ser>
          <c:idx val="1"/>
          <c:order val="1"/>
          <c:tx>
            <c:strRef>
              <c:f>Медперсонал!$A$3</c:f>
              <c:strCache>
                <c:ptCount val="1"/>
                <c:pt idx="0">
                  <c:v>Богатовский</c:v>
                </c:pt>
              </c:strCache>
            </c:strRef>
          </c:tx>
          <c:spPr>
            <a:ln w="31856">
              <a:noFill/>
            </a:ln>
          </c:spPr>
          <c:marker>
            <c:symbol val="circle"/>
            <c:size val="4"/>
            <c:spPr>
              <a:solidFill>
                <a:schemeClr val="accent1">
                  <a:lumMod val="50000"/>
                </a:schemeClr>
              </a:solidFill>
              <a:ln>
                <a:noFill/>
              </a:ln>
            </c:spPr>
          </c:marker>
          <c:dLbls>
            <c:dLbl>
              <c:idx val="0"/>
              <c:layout>
                <c:manualLayout>
                  <c:x val="-5.2971330075116424E-2"/>
                  <c:y val="-2.125386238330374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Медперсонал!$B$3</c:f>
              <c:numCache>
                <c:formatCode>General</c:formatCode>
                <c:ptCount val="1"/>
                <c:pt idx="0">
                  <c:v>27.3</c:v>
                </c:pt>
              </c:numCache>
            </c:numRef>
          </c:xVal>
          <c:yVal>
            <c:numRef>
              <c:f>Медперсонал!$C$3</c:f>
              <c:numCache>
                <c:formatCode>General</c:formatCode>
                <c:ptCount val="1"/>
                <c:pt idx="0">
                  <c:v>84.5</c:v>
                </c:pt>
              </c:numCache>
            </c:numRef>
          </c:yVal>
          <c:smooth val="0"/>
        </c:ser>
        <c:ser>
          <c:idx val="2"/>
          <c:order val="2"/>
          <c:tx>
            <c:strRef>
              <c:f>Медперсонал!$A$4</c:f>
              <c:strCache>
                <c:ptCount val="1"/>
                <c:pt idx="0">
                  <c:v>Большеглушицкий</c:v>
                </c:pt>
              </c:strCache>
            </c:strRef>
          </c:tx>
          <c:spPr>
            <a:ln w="31856">
              <a:noFill/>
            </a:ln>
          </c:spPr>
          <c:marker>
            <c:symbol val="circle"/>
            <c:size val="4"/>
            <c:spPr>
              <a:solidFill>
                <a:schemeClr val="accent1">
                  <a:lumMod val="50000"/>
                </a:schemeClr>
              </a:solidFill>
              <a:ln>
                <a:noFill/>
              </a:ln>
            </c:spPr>
          </c:marker>
          <c:dLbls>
            <c:dLbl>
              <c:idx val="0"/>
              <c:layout>
                <c:manualLayout>
                  <c:x val="5.1790680764893134E-3"/>
                  <c:y val="-5.8580707753382814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Медперсонал!$B$4</c:f>
              <c:numCache>
                <c:formatCode>General</c:formatCode>
                <c:ptCount val="1"/>
                <c:pt idx="0">
                  <c:v>20.2</c:v>
                </c:pt>
              </c:numCache>
            </c:numRef>
          </c:xVal>
          <c:yVal>
            <c:numRef>
              <c:f>Медперсонал!$C$4</c:f>
              <c:numCache>
                <c:formatCode>General</c:formatCode>
                <c:ptCount val="1"/>
                <c:pt idx="0">
                  <c:v>71.099999999999994</c:v>
                </c:pt>
              </c:numCache>
            </c:numRef>
          </c:yVal>
          <c:smooth val="0"/>
        </c:ser>
        <c:ser>
          <c:idx val="3"/>
          <c:order val="3"/>
          <c:tx>
            <c:strRef>
              <c:f>Медперсонал!$A$5</c:f>
              <c:strCache>
                <c:ptCount val="1"/>
                <c:pt idx="0">
                  <c:v>Большечерниговский</c:v>
                </c:pt>
              </c:strCache>
            </c:strRef>
          </c:tx>
          <c:spPr>
            <a:ln w="31856">
              <a:noFill/>
            </a:ln>
          </c:spPr>
          <c:marker>
            <c:symbol val="circle"/>
            <c:size val="4"/>
            <c:spPr>
              <a:solidFill>
                <a:schemeClr val="accent1">
                  <a:lumMod val="50000"/>
                </a:schemeClr>
              </a:solidFill>
              <a:ln>
                <a:noFill/>
              </a:ln>
            </c:spPr>
          </c:marker>
          <c:dLbls>
            <c:dLbl>
              <c:idx val="0"/>
              <c:layout>
                <c:manualLayout>
                  <c:x val="-3.7322466689626468E-3"/>
                  <c:y val="5.2604948624942229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Медперсонал!$B$5</c:f>
              <c:numCache>
                <c:formatCode>General</c:formatCode>
                <c:ptCount val="1"/>
                <c:pt idx="0">
                  <c:v>23.6</c:v>
                </c:pt>
              </c:numCache>
            </c:numRef>
          </c:xVal>
          <c:yVal>
            <c:numRef>
              <c:f>Медперсонал!$C$5</c:f>
              <c:numCache>
                <c:formatCode>General</c:formatCode>
                <c:ptCount val="1"/>
                <c:pt idx="0">
                  <c:v>63.9</c:v>
                </c:pt>
              </c:numCache>
            </c:numRef>
          </c:yVal>
          <c:smooth val="0"/>
        </c:ser>
        <c:ser>
          <c:idx val="4"/>
          <c:order val="4"/>
          <c:tx>
            <c:strRef>
              <c:f>Медперсонал!$A$6</c:f>
              <c:strCache>
                <c:ptCount val="1"/>
                <c:pt idx="0">
                  <c:v>Борский</c:v>
                </c:pt>
              </c:strCache>
            </c:strRef>
          </c:tx>
          <c:spPr>
            <a:ln w="31856">
              <a:noFill/>
            </a:ln>
          </c:spPr>
          <c:marker>
            <c:symbol val="circle"/>
            <c:size val="4"/>
            <c:spPr>
              <a:solidFill>
                <a:schemeClr val="accent1">
                  <a:lumMod val="50000"/>
                </a:schemeClr>
              </a:solidFill>
              <a:ln>
                <a:noFill/>
              </a:ln>
            </c:spPr>
          </c:marker>
          <c:dLbls>
            <c:spPr>
              <a:noFill/>
              <a:ln w="16990">
                <a:noFill/>
              </a:ln>
            </c:spPr>
            <c:dLblPos val="t"/>
            <c:showLegendKey val="0"/>
            <c:showVal val="0"/>
            <c:showCatName val="0"/>
            <c:showSerName val="1"/>
            <c:showPercent val="0"/>
            <c:showBubbleSize val="0"/>
            <c:showLeaderLines val="0"/>
          </c:dLbls>
          <c:xVal>
            <c:numRef>
              <c:f>Медперсонал!$B$6</c:f>
              <c:numCache>
                <c:formatCode>General</c:formatCode>
                <c:ptCount val="1"/>
                <c:pt idx="0">
                  <c:v>22.1</c:v>
                </c:pt>
              </c:numCache>
            </c:numRef>
          </c:xVal>
          <c:yVal>
            <c:numRef>
              <c:f>Медперсонал!$C$6</c:f>
              <c:numCache>
                <c:formatCode>General</c:formatCode>
                <c:ptCount val="1"/>
                <c:pt idx="0">
                  <c:v>84.7</c:v>
                </c:pt>
              </c:numCache>
            </c:numRef>
          </c:yVal>
          <c:smooth val="0"/>
        </c:ser>
        <c:ser>
          <c:idx val="5"/>
          <c:order val="5"/>
          <c:tx>
            <c:strRef>
              <c:f>Медперсонал!$A$7</c:f>
              <c:strCache>
                <c:ptCount val="1"/>
                <c:pt idx="0">
                  <c:v>Волжский</c:v>
                </c:pt>
              </c:strCache>
            </c:strRef>
          </c:tx>
          <c:spPr>
            <a:ln w="31856">
              <a:noFill/>
            </a:ln>
          </c:spPr>
          <c:marker>
            <c:symbol val="circle"/>
            <c:size val="4"/>
            <c:spPr>
              <a:solidFill>
                <a:schemeClr val="accent1">
                  <a:lumMod val="50000"/>
                </a:schemeClr>
              </a:solidFill>
              <a:ln>
                <a:noFill/>
              </a:ln>
            </c:spPr>
          </c:marker>
          <c:dLbls>
            <c:dLbl>
              <c:idx val="0"/>
              <c:layout>
                <c:manualLayout>
                  <c:x val="-5.231428820345578E-2"/>
                  <c:y val="-3.0578512396694214E-2"/>
                </c:manualLayout>
              </c:layout>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Медперсонал!$B$7</c:f>
              <c:numCache>
                <c:formatCode>General</c:formatCode>
                <c:ptCount val="1"/>
                <c:pt idx="0">
                  <c:v>22.5</c:v>
                </c:pt>
              </c:numCache>
            </c:numRef>
          </c:xVal>
          <c:yVal>
            <c:numRef>
              <c:f>Медперсонал!$C$7</c:f>
              <c:numCache>
                <c:formatCode>General</c:formatCode>
                <c:ptCount val="1"/>
                <c:pt idx="0">
                  <c:v>46.2</c:v>
                </c:pt>
              </c:numCache>
            </c:numRef>
          </c:yVal>
          <c:smooth val="0"/>
        </c:ser>
        <c:ser>
          <c:idx val="6"/>
          <c:order val="6"/>
          <c:tx>
            <c:strRef>
              <c:f>Медперсонал!$A$8</c:f>
              <c:strCache>
                <c:ptCount val="1"/>
                <c:pt idx="0">
                  <c:v>Елховский</c:v>
                </c:pt>
              </c:strCache>
            </c:strRef>
          </c:tx>
          <c:spPr>
            <a:ln w="31856">
              <a:noFill/>
            </a:ln>
          </c:spPr>
          <c:marker>
            <c:symbol val="circle"/>
            <c:size val="4"/>
            <c:spPr>
              <a:solidFill>
                <a:schemeClr val="accent1">
                  <a:lumMod val="50000"/>
                </a:schemeClr>
              </a:solidFill>
            </c:spPr>
          </c:marker>
          <c:dLbls>
            <c:dLbl>
              <c:idx val="0"/>
              <c:layout>
                <c:manualLayout>
                  <c:x val="1.6812821359083224E-3"/>
                  <c:y val="5.6876533138418145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Медперсонал!$B$8</c:f>
              <c:numCache>
                <c:formatCode>General</c:formatCode>
                <c:ptCount val="1"/>
                <c:pt idx="0">
                  <c:v>15.8</c:v>
                </c:pt>
              </c:numCache>
            </c:numRef>
          </c:xVal>
          <c:yVal>
            <c:numRef>
              <c:f>Медперсонал!$C$8</c:f>
              <c:numCache>
                <c:formatCode>General</c:formatCode>
                <c:ptCount val="1"/>
                <c:pt idx="0">
                  <c:v>55.1</c:v>
                </c:pt>
              </c:numCache>
            </c:numRef>
          </c:yVal>
          <c:smooth val="0"/>
        </c:ser>
        <c:ser>
          <c:idx val="7"/>
          <c:order val="7"/>
          <c:tx>
            <c:strRef>
              <c:f>Медперсонал!$A$9</c:f>
              <c:strCache>
                <c:ptCount val="1"/>
                <c:pt idx="0">
                  <c:v>Исаклинский</c:v>
                </c:pt>
              </c:strCache>
            </c:strRef>
          </c:tx>
          <c:spPr>
            <a:ln w="31856">
              <a:noFill/>
            </a:ln>
          </c:spPr>
          <c:marker>
            <c:symbol val="circle"/>
            <c:size val="4"/>
            <c:spPr>
              <a:solidFill>
                <a:schemeClr val="accent1">
                  <a:lumMod val="50000"/>
                </a:schemeClr>
              </a:solidFill>
              <a:ln>
                <a:noFill/>
              </a:ln>
            </c:spPr>
          </c:marker>
          <c:dLbls>
            <c:dLbl>
              <c:idx val="0"/>
              <c:layout>
                <c:manualLayout>
                  <c:x val="-6.8624410676805941E-2"/>
                  <c:y val="-2.125386238330374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Медперсонал!$B$9</c:f>
              <c:numCache>
                <c:formatCode>General</c:formatCode>
                <c:ptCount val="1"/>
                <c:pt idx="0">
                  <c:v>20.7</c:v>
                </c:pt>
              </c:numCache>
            </c:numRef>
          </c:xVal>
          <c:yVal>
            <c:numRef>
              <c:f>Медперсонал!$C$9</c:f>
              <c:numCache>
                <c:formatCode>General</c:formatCode>
                <c:ptCount val="1"/>
                <c:pt idx="0">
                  <c:v>94.8</c:v>
                </c:pt>
              </c:numCache>
            </c:numRef>
          </c:yVal>
          <c:smooth val="0"/>
        </c:ser>
        <c:ser>
          <c:idx val="8"/>
          <c:order val="8"/>
          <c:tx>
            <c:strRef>
              <c:f>Медперсонал!$A$10</c:f>
              <c:strCache>
                <c:ptCount val="1"/>
                <c:pt idx="0">
                  <c:v>Камышлинский</c:v>
                </c:pt>
              </c:strCache>
            </c:strRef>
          </c:tx>
          <c:spPr>
            <a:ln w="31856">
              <a:noFill/>
            </a:ln>
          </c:spPr>
          <c:marker>
            <c:symbol val="circle"/>
            <c:size val="4"/>
            <c:spPr>
              <a:solidFill>
                <a:schemeClr val="accent1">
                  <a:lumMod val="50000"/>
                </a:schemeClr>
              </a:solidFill>
              <a:ln>
                <a:noFill/>
              </a:ln>
            </c:spPr>
          </c:marker>
          <c:dPt>
            <c:idx val="0"/>
            <c:marker>
              <c:spPr>
                <a:solidFill>
                  <a:srgbClr val="C00000"/>
                </a:solidFill>
                <a:ln>
                  <a:noFill/>
                </a:ln>
              </c:spPr>
            </c:marker>
            <c:bubble3D val="0"/>
          </c:dPt>
          <c:dLbls>
            <c:dLbl>
              <c:idx val="0"/>
              <c:layout>
                <c:manualLayout>
                  <c:x val="-8.2699645835336066E-2"/>
                  <c:y val="-5.1447298435763636E-2"/>
                </c:manualLayout>
              </c:layout>
              <c:tx>
                <c:rich>
                  <a:bodyPr/>
                  <a:lstStyle/>
                  <a:p>
                    <a:r>
                      <a:rPr lang="ru-RU" b="1"/>
                      <a:t>К</a:t>
                    </a:r>
                    <a:r>
                      <a:rPr lang="ru-RU"/>
                      <a:t>амышлинский</a:t>
                    </a:r>
                  </a:p>
                </c:rich>
              </c:tx>
              <c:dLblPos val="r"/>
              <c:showLegendKey val="0"/>
              <c:showVal val="0"/>
              <c:showCatName val="0"/>
              <c:showSerName val="1"/>
              <c:showPercent val="0"/>
              <c:showBubbleSize val="0"/>
            </c:dLbl>
            <c:spPr>
              <a:noFill/>
              <a:ln w="16990">
                <a:noFill/>
              </a:ln>
            </c:spPr>
            <c:txPr>
              <a:bodyPr/>
              <a:lstStyle/>
              <a:p>
                <a:pPr>
                  <a:defRPr b="1"/>
                </a:pPr>
                <a:endParaRPr lang="ru-RU"/>
              </a:p>
            </c:txPr>
            <c:dLblPos val="t"/>
            <c:showLegendKey val="0"/>
            <c:showVal val="0"/>
            <c:showCatName val="0"/>
            <c:showSerName val="1"/>
            <c:showPercent val="0"/>
            <c:showBubbleSize val="0"/>
            <c:showLeaderLines val="0"/>
          </c:dLbls>
          <c:xVal>
            <c:numRef>
              <c:f>Медперсонал!$B$10</c:f>
              <c:numCache>
                <c:formatCode>General</c:formatCode>
                <c:ptCount val="1"/>
                <c:pt idx="0">
                  <c:v>20.3</c:v>
                </c:pt>
              </c:numCache>
            </c:numRef>
          </c:xVal>
          <c:yVal>
            <c:numRef>
              <c:f>Медперсонал!$C$10</c:f>
              <c:numCache>
                <c:formatCode>General</c:formatCode>
                <c:ptCount val="1"/>
                <c:pt idx="0">
                  <c:v>73.3</c:v>
                </c:pt>
              </c:numCache>
            </c:numRef>
          </c:yVal>
          <c:smooth val="0"/>
        </c:ser>
        <c:ser>
          <c:idx val="9"/>
          <c:order val="9"/>
          <c:tx>
            <c:strRef>
              <c:f>Медперсонал!$A$11</c:f>
              <c:strCache>
                <c:ptCount val="1"/>
                <c:pt idx="0">
                  <c:v>Кинельский</c:v>
                </c:pt>
              </c:strCache>
            </c:strRef>
          </c:tx>
          <c:spPr>
            <a:ln w="31856">
              <a:noFill/>
            </a:ln>
          </c:spPr>
          <c:marker>
            <c:symbol val="circle"/>
            <c:size val="4"/>
            <c:spPr>
              <a:solidFill>
                <a:schemeClr val="accent1">
                  <a:lumMod val="50000"/>
                </a:schemeClr>
              </a:solidFill>
              <a:ln>
                <a:noFill/>
              </a:ln>
            </c:spPr>
          </c:marker>
          <c:dLbls>
            <c:dLbl>
              <c:idx val="0"/>
              <c:layout>
                <c:manualLayout>
                  <c:x val="-7.4747648454315974E-2"/>
                  <c:y val="2.9127458659597903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Медперсонал!$B$11</c:f>
              <c:numCache>
                <c:formatCode>General</c:formatCode>
                <c:ptCount val="1"/>
                <c:pt idx="0">
                  <c:v>20</c:v>
                </c:pt>
              </c:numCache>
            </c:numRef>
          </c:xVal>
          <c:yVal>
            <c:numRef>
              <c:f>Медперсонал!$C$11</c:f>
              <c:numCache>
                <c:formatCode>General</c:formatCode>
                <c:ptCount val="1"/>
                <c:pt idx="0">
                  <c:v>52.9</c:v>
                </c:pt>
              </c:numCache>
            </c:numRef>
          </c:yVal>
          <c:smooth val="0"/>
        </c:ser>
        <c:ser>
          <c:idx val="10"/>
          <c:order val="10"/>
          <c:tx>
            <c:strRef>
              <c:f>Медперсонал!$A$12</c:f>
              <c:strCache>
                <c:ptCount val="1"/>
                <c:pt idx="0">
                  <c:v>Кинель-Черкасский</c:v>
                </c:pt>
              </c:strCache>
            </c:strRef>
          </c:tx>
          <c:spPr>
            <a:ln w="31856">
              <a:noFill/>
            </a:ln>
          </c:spPr>
          <c:marker>
            <c:symbol val="circle"/>
            <c:size val="4"/>
            <c:spPr>
              <a:solidFill>
                <a:schemeClr val="accent1">
                  <a:lumMod val="50000"/>
                </a:schemeClr>
              </a:solidFill>
              <a:ln>
                <a:noFill/>
              </a:ln>
            </c:spPr>
          </c:marker>
          <c:dLbls>
            <c:dLbl>
              <c:idx val="0"/>
              <c:layout>
                <c:manualLayout>
                  <c:x val="-1.5085423162729341E-3"/>
                  <c:y val="1.4172227233653183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Медперсонал!$B$12</c:f>
              <c:numCache>
                <c:formatCode>General</c:formatCode>
                <c:ptCount val="1"/>
                <c:pt idx="0">
                  <c:v>27.6</c:v>
                </c:pt>
              </c:numCache>
            </c:numRef>
          </c:xVal>
          <c:yVal>
            <c:numRef>
              <c:f>Медперсонал!$C$12</c:f>
              <c:numCache>
                <c:formatCode>General</c:formatCode>
                <c:ptCount val="1"/>
                <c:pt idx="0">
                  <c:v>101.8</c:v>
                </c:pt>
              </c:numCache>
            </c:numRef>
          </c:yVal>
          <c:smooth val="0"/>
        </c:ser>
        <c:ser>
          <c:idx val="11"/>
          <c:order val="11"/>
          <c:tx>
            <c:strRef>
              <c:f>Медперсонал!$A$13</c:f>
              <c:strCache>
                <c:ptCount val="1"/>
                <c:pt idx="0">
                  <c:v>Клявлинский</c:v>
                </c:pt>
              </c:strCache>
            </c:strRef>
          </c:tx>
          <c:spPr>
            <a:ln w="31856">
              <a:noFill/>
            </a:ln>
          </c:spPr>
          <c:marker>
            <c:symbol val="circle"/>
            <c:size val="4"/>
            <c:spPr>
              <a:solidFill>
                <a:schemeClr val="accent1">
                  <a:lumMod val="50000"/>
                </a:schemeClr>
              </a:solidFill>
              <a:ln>
                <a:noFill/>
              </a:ln>
            </c:spPr>
          </c:marker>
          <c:dLbls>
            <c:dLbl>
              <c:idx val="0"/>
              <c:layout>
                <c:manualLayout>
                  <c:x val="-7.8575904788312625E-2"/>
                  <c:y val="-3.0234367615685528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Медперсонал!$B$13</c:f>
              <c:numCache>
                <c:formatCode>General</c:formatCode>
                <c:ptCount val="1"/>
                <c:pt idx="0">
                  <c:v>25.9</c:v>
                </c:pt>
              </c:numCache>
            </c:numRef>
          </c:xVal>
          <c:yVal>
            <c:numRef>
              <c:f>Медперсонал!$C$13</c:f>
              <c:numCache>
                <c:formatCode>General</c:formatCode>
                <c:ptCount val="1"/>
                <c:pt idx="0">
                  <c:v>102.5</c:v>
                </c:pt>
              </c:numCache>
            </c:numRef>
          </c:yVal>
          <c:smooth val="0"/>
        </c:ser>
        <c:ser>
          <c:idx val="12"/>
          <c:order val="12"/>
          <c:tx>
            <c:strRef>
              <c:f>Медперсонал!$A$14</c:f>
              <c:strCache>
                <c:ptCount val="1"/>
                <c:pt idx="0">
                  <c:v>Кошкинский</c:v>
                </c:pt>
              </c:strCache>
            </c:strRef>
          </c:tx>
          <c:spPr>
            <a:ln w="31856">
              <a:noFill/>
            </a:ln>
          </c:spPr>
          <c:marker>
            <c:symbol val="circle"/>
            <c:size val="4"/>
            <c:spPr>
              <a:solidFill>
                <a:schemeClr val="accent1">
                  <a:lumMod val="50000"/>
                </a:schemeClr>
              </a:solidFill>
              <a:ln>
                <a:noFill/>
              </a:ln>
            </c:spPr>
          </c:marker>
          <c:dLbls>
            <c:dLbl>
              <c:idx val="0"/>
              <c:layout>
                <c:manualLayout>
                  <c:x val="8.0703105779887104E-5"/>
                  <c:y val="-1.2273357150921689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Медперсонал!$B$14</c:f>
              <c:numCache>
                <c:formatCode>General</c:formatCode>
                <c:ptCount val="1"/>
                <c:pt idx="0">
                  <c:v>17.899999999999999</c:v>
                </c:pt>
              </c:numCache>
            </c:numRef>
          </c:xVal>
          <c:yVal>
            <c:numRef>
              <c:f>Медперсонал!$C$14</c:f>
              <c:numCache>
                <c:formatCode>General</c:formatCode>
                <c:ptCount val="1"/>
                <c:pt idx="0">
                  <c:v>64.8</c:v>
                </c:pt>
              </c:numCache>
            </c:numRef>
          </c:yVal>
          <c:smooth val="0"/>
        </c:ser>
        <c:ser>
          <c:idx val="13"/>
          <c:order val="13"/>
          <c:tx>
            <c:strRef>
              <c:f>Медперсонал!$A$15</c:f>
              <c:strCache>
                <c:ptCount val="1"/>
                <c:pt idx="0">
                  <c:v>Красноармейский</c:v>
                </c:pt>
              </c:strCache>
            </c:strRef>
          </c:tx>
          <c:spPr>
            <a:ln w="31856">
              <a:noFill/>
            </a:ln>
          </c:spPr>
          <c:marker>
            <c:symbol val="circle"/>
            <c:size val="4"/>
            <c:spPr>
              <a:solidFill>
                <a:schemeClr val="accent1">
                  <a:lumMod val="50000"/>
                </a:schemeClr>
              </a:solidFill>
              <a:ln>
                <a:noFill/>
              </a:ln>
            </c:spPr>
          </c:marker>
          <c:dLbls>
            <c:dLbl>
              <c:idx val="0"/>
              <c:layout>
                <c:manualLayout>
                  <c:x val="1.0485541540311621E-3"/>
                  <c:y val="-1.8260360639176281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Медперсонал!$B$15</c:f>
              <c:numCache>
                <c:formatCode>General</c:formatCode>
                <c:ptCount val="1"/>
                <c:pt idx="0">
                  <c:v>22.6</c:v>
                </c:pt>
              </c:numCache>
            </c:numRef>
          </c:xVal>
          <c:yVal>
            <c:numRef>
              <c:f>Медперсонал!$C$15</c:f>
              <c:numCache>
                <c:formatCode>General</c:formatCode>
                <c:ptCount val="1"/>
                <c:pt idx="0">
                  <c:v>65.8</c:v>
                </c:pt>
              </c:numCache>
            </c:numRef>
          </c:yVal>
          <c:smooth val="0"/>
        </c:ser>
        <c:ser>
          <c:idx val="14"/>
          <c:order val="14"/>
          <c:tx>
            <c:strRef>
              <c:f>Медперсонал!$A$16</c:f>
              <c:strCache>
                <c:ptCount val="1"/>
                <c:pt idx="0">
                  <c:v>Красноярский</c:v>
                </c:pt>
              </c:strCache>
            </c:strRef>
          </c:tx>
          <c:spPr>
            <a:ln w="31856">
              <a:noFill/>
            </a:ln>
          </c:spPr>
          <c:marker>
            <c:symbol val="circle"/>
            <c:size val="4"/>
            <c:spPr>
              <a:solidFill>
                <a:schemeClr val="accent1">
                  <a:lumMod val="75000"/>
                </a:schemeClr>
              </a:solidFill>
              <a:ln>
                <a:noFill/>
              </a:ln>
            </c:spPr>
          </c:marker>
          <c:dLbls>
            <c:spPr>
              <a:noFill/>
              <a:ln w="16990">
                <a:noFill/>
              </a:ln>
            </c:spPr>
            <c:dLblPos val="t"/>
            <c:showLegendKey val="0"/>
            <c:showVal val="0"/>
            <c:showCatName val="0"/>
            <c:showSerName val="1"/>
            <c:showPercent val="0"/>
            <c:showBubbleSize val="0"/>
            <c:showLeaderLines val="0"/>
          </c:dLbls>
          <c:xVal>
            <c:numRef>
              <c:f>Медперсонал!$B$16</c:f>
              <c:numCache>
                <c:formatCode>General</c:formatCode>
                <c:ptCount val="1"/>
                <c:pt idx="0">
                  <c:v>29.6</c:v>
                </c:pt>
              </c:numCache>
            </c:numRef>
          </c:xVal>
          <c:yVal>
            <c:numRef>
              <c:f>Медперсонал!$C$16</c:f>
              <c:numCache>
                <c:formatCode>General</c:formatCode>
                <c:ptCount val="1"/>
                <c:pt idx="0">
                  <c:v>69.599999999999994</c:v>
                </c:pt>
              </c:numCache>
            </c:numRef>
          </c:yVal>
          <c:smooth val="0"/>
        </c:ser>
        <c:ser>
          <c:idx val="15"/>
          <c:order val="15"/>
          <c:tx>
            <c:strRef>
              <c:f>Медперсонал!$A$17</c:f>
              <c:strCache>
                <c:ptCount val="1"/>
                <c:pt idx="0">
                  <c:v>Нефтегорский</c:v>
                </c:pt>
              </c:strCache>
            </c:strRef>
          </c:tx>
          <c:spPr>
            <a:ln w="31856">
              <a:noFill/>
            </a:ln>
          </c:spPr>
          <c:marker>
            <c:symbol val="circle"/>
            <c:size val="4"/>
            <c:spPr>
              <a:solidFill>
                <a:schemeClr val="accent1">
                  <a:lumMod val="50000"/>
                </a:schemeClr>
              </a:solidFill>
              <a:ln>
                <a:noFill/>
              </a:ln>
            </c:spPr>
          </c:marker>
          <c:dLbls>
            <c:dLbl>
              <c:idx val="0"/>
              <c:layout>
                <c:manualLayout>
                  <c:x val="-0.14847925451434332"/>
                  <c:y val="-3.3889503957904292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Медперсонал!$B$17</c:f>
              <c:numCache>
                <c:formatCode>General</c:formatCode>
                <c:ptCount val="1"/>
                <c:pt idx="0">
                  <c:v>19.3</c:v>
                </c:pt>
              </c:numCache>
            </c:numRef>
          </c:xVal>
          <c:yVal>
            <c:numRef>
              <c:f>Медперсонал!$C$17</c:f>
              <c:numCache>
                <c:formatCode>General</c:formatCode>
                <c:ptCount val="1"/>
                <c:pt idx="0">
                  <c:v>74.099999999999994</c:v>
                </c:pt>
              </c:numCache>
            </c:numRef>
          </c:yVal>
          <c:smooth val="0"/>
        </c:ser>
        <c:ser>
          <c:idx val="16"/>
          <c:order val="16"/>
          <c:tx>
            <c:strRef>
              <c:f>Медперсонал!$A$18</c:f>
              <c:strCache>
                <c:ptCount val="1"/>
                <c:pt idx="0">
                  <c:v>Пестравский</c:v>
                </c:pt>
              </c:strCache>
            </c:strRef>
          </c:tx>
          <c:spPr>
            <a:ln w="31856">
              <a:noFill/>
            </a:ln>
          </c:spPr>
          <c:marker>
            <c:symbol val="circle"/>
            <c:size val="4"/>
            <c:spPr>
              <a:solidFill>
                <a:schemeClr val="accent1">
                  <a:lumMod val="50000"/>
                </a:schemeClr>
              </a:solidFill>
              <a:ln>
                <a:noFill/>
              </a:ln>
            </c:spPr>
          </c:marker>
          <c:dLbls>
            <c:dLbl>
              <c:idx val="0"/>
              <c:layout>
                <c:manualLayout>
                  <c:x val="-5.5128232936129534E-3"/>
                  <c:y val="-2.5110058330856428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1"/>
            <c:showCatName val="0"/>
            <c:showSerName val="0"/>
            <c:showPercent val="0"/>
            <c:showBubbleSize val="0"/>
            <c:showLeaderLines val="0"/>
          </c:dLbls>
          <c:xVal>
            <c:numRef>
              <c:f>Медперсонал!$B$18</c:f>
              <c:numCache>
                <c:formatCode>General</c:formatCode>
                <c:ptCount val="1"/>
                <c:pt idx="0">
                  <c:v>25</c:v>
                </c:pt>
              </c:numCache>
            </c:numRef>
          </c:xVal>
          <c:yVal>
            <c:numRef>
              <c:f>Медперсонал!$C$18</c:f>
              <c:numCache>
                <c:formatCode>General</c:formatCode>
                <c:ptCount val="1"/>
                <c:pt idx="0">
                  <c:v>97.8</c:v>
                </c:pt>
              </c:numCache>
            </c:numRef>
          </c:yVal>
          <c:smooth val="0"/>
        </c:ser>
        <c:ser>
          <c:idx val="17"/>
          <c:order val="17"/>
          <c:tx>
            <c:strRef>
              <c:f>Медперсонал!$A$19</c:f>
              <c:strCache>
                <c:ptCount val="1"/>
                <c:pt idx="0">
                  <c:v>Похвистневский</c:v>
                </c:pt>
              </c:strCache>
            </c:strRef>
          </c:tx>
          <c:spPr>
            <a:ln w="31856">
              <a:noFill/>
            </a:ln>
          </c:spPr>
          <c:marker>
            <c:symbol val="circle"/>
            <c:size val="4"/>
            <c:spPr>
              <a:solidFill>
                <a:schemeClr val="accent1">
                  <a:lumMod val="50000"/>
                </a:schemeClr>
              </a:solidFill>
              <a:ln>
                <a:noFill/>
              </a:ln>
            </c:spPr>
          </c:marker>
          <c:dLbls>
            <c:dLbl>
              <c:idx val="0"/>
              <c:layout>
                <c:manualLayout>
                  <c:x val="-0.10552136258107712"/>
                  <c:y val="-3.1889514800509215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Медперсонал!$B$19</c:f>
              <c:numCache>
                <c:formatCode>General</c:formatCode>
                <c:ptCount val="1"/>
                <c:pt idx="0">
                  <c:v>23</c:v>
                </c:pt>
              </c:numCache>
            </c:numRef>
          </c:xVal>
          <c:yVal>
            <c:numRef>
              <c:f>Медперсонал!$C$19</c:f>
              <c:numCache>
                <c:formatCode>General</c:formatCode>
                <c:ptCount val="1"/>
                <c:pt idx="0">
                  <c:v>103.6</c:v>
                </c:pt>
              </c:numCache>
            </c:numRef>
          </c:yVal>
          <c:smooth val="0"/>
        </c:ser>
        <c:ser>
          <c:idx val="18"/>
          <c:order val="18"/>
          <c:tx>
            <c:strRef>
              <c:f>Медперсонал!$A$20</c:f>
              <c:strCache>
                <c:ptCount val="1"/>
                <c:pt idx="0">
                  <c:v>Приволжский</c:v>
                </c:pt>
              </c:strCache>
            </c:strRef>
          </c:tx>
          <c:spPr>
            <a:ln w="31856">
              <a:noFill/>
            </a:ln>
          </c:spPr>
          <c:marker>
            <c:symbol val="circle"/>
            <c:size val="4"/>
            <c:spPr>
              <a:solidFill>
                <a:schemeClr val="accent1">
                  <a:lumMod val="50000"/>
                </a:schemeClr>
              </a:solidFill>
              <a:ln>
                <a:noFill/>
              </a:ln>
            </c:spPr>
          </c:marker>
          <c:dLbls>
            <c:dLbl>
              <c:idx val="0"/>
              <c:layout>
                <c:manualLayout>
                  <c:x val="-0.10127868502007707"/>
                  <c:y val="2.5258790582867802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Медперсонал!$B$20</c:f>
              <c:numCache>
                <c:formatCode>General</c:formatCode>
                <c:ptCount val="1"/>
                <c:pt idx="0">
                  <c:v>17.899999999999999</c:v>
                </c:pt>
              </c:numCache>
            </c:numRef>
          </c:xVal>
          <c:yVal>
            <c:numRef>
              <c:f>Медперсонал!$C$20</c:f>
              <c:numCache>
                <c:formatCode>General</c:formatCode>
                <c:ptCount val="1"/>
                <c:pt idx="0">
                  <c:v>93.9</c:v>
                </c:pt>
              </c:numCache>
            </c:numRef>
          </c:yVal>
          <c:smooth val="0"/>
        </c:ser>
        <c:ser>
          <c:idx val="19"/>
          <c:order val="19"/>
          <c:tx>
            <c:strRef>
              <c:f>Медперсонал!$A$21</c:f>
              <c:strCache>
                <c:ptCount val="1"/>
                <c:pt idx="0">
                  <c:v>Сергиевский</c:v>
                </c:pt>
              </c:strCache>
            </c:strRef>
          </c:tx>
          <c:spPr>
            <a:ln w="31856">
              <a:noFill/>
            </a:ln>
          </c:spPr>
          <c:marker>
            <c:symbol val="circle"/>
            <c:size val="4"/>
            <c:spPr>
              <a:solidFill>
                <a:schemeClr val="accent1">
                  <a:lumMod val="50000"/>
                </a:schemeClr>
              </a:solidFill>
              <a:ln>
                <a:noFill/>
              </a:ln>
            </c:spPr>
          </c:marker>
          <c:dLbls>
            <c:dLbl>
              <c:idx val="0"/>
              <c:layout>
                <c:manualLayout>
                  <c:x val="-6.5992864125867384E-2"/>
                  <c:y val="3.0674907360549567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Медперсонал!$B$21</c:f>
              <c:numCache>
                <c:formatCode>General</c:formatCode>
                <c:ptCount val="1"/>
                <c:pt idx="0">
                  <c:v>30.4</c:v>
                </c:pt>
              </c:numCache>
            </c:numRef>
          </c:xVal>
          <c:yVal>
            <c:numRef>
              <c:f>Медперсонал!$C$21</c:f>
              <c:numCache>
                <c:formatCode>General</c:formatCode>
                <c:ptCount val="1"/>
                <c:pt idx="0">
                  <c:v>110.9</c:v>
                </c:pt>
              </c:numCache>
            </c:numRef>
          </c:yVal>
          <c:smooth val="0"/>
        </c:ser>
        <c:ser>
          <c:idx val="20"/>
          <c:order val="20"/>
          <c:tx>
            <c:strRef>
              <c:f>Медперсонал!$A$22</c:f>
              <c:strCache>
                <c:ptCount val="1"/>
                <c:pt idx="0">
                  <c:v>Ставропольский</c:v>
                </c:pt>
              </c:strCache>
            </c:strRef>
          </c:tx>
          <c:spPr>
            <a:ln w="31856">
              <a:noFill/>
            </a:ln>
          </c:spPr>
          <c:marker>
            <c:symbol val="circle"/>
            <c:size val="4"/>
            <c:spPr>
              <a:solidFill>
                <a:schemeClr val="accent1">
                  <a:lumMod val="50000"/>
                </a:schemeClr>
              </a:solidFill>
              <a:ln>
                <a:noFill/>
              </a:ln>
            </c:spPr>
          </c:marker>
          <c:dLbls>
            <c:dLbl>
              <c:idx val="0"/>
              <c:layout>
                <c:manualLayout>
                  <c:x val="-5.3298660160978539E-3"/>
                  <c:y val="-1.2544256979794017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Медперсонал!$B$22</c:f>
              <c:numCache>
                <c:formatCode>General</c:formatCode>
                <c:ptCount val="1"/>
                <c:pt idx="0">
                  <c:v>15.5</c:v>
                </c:pt>
              </c:numCache>
            </c:numRef>
          </c:xVal>
          <c:yVal>
            <c:numRef>
              <c:f>Медперсонал!$C$22</c:f>
              <c:numCache>
                <c:formatCode>General</c:formatCode>
                <c:ptCount val="1"/>
                <c:pt idx="0">
                  <c:v>42.3</c:v>
                </c:pt>
              </c:numCache>
            </c:numRef>
          </c:yVal>
          <c:smooth val="0"/>
        </c:ser>
        <c:ser>
          <c:idx val="21"/>
          <c:order val="21"/>
          <c:tx>
            <c:strRef>
              <c:f>Медперсонал!$A$23</c:f>
              <c:strCache>
                <c:ptCount val="1"/>
                <c:pt idx="0">
                  <c:v>Сызранский</c:v>
                </c:pt>
              </c:strCache>
            </c:strRef>
          </c:tx>
          <c:spPr>
            <a:ln w="31856">
              <a:noFill/>
            </a:ln>
          </c:spPr>
          <c:marker>
            <c:symbol val="circle"/>
            <c:size val="4"/>
            <c:spPr>
              <a:solidFill>
                <a:schemeClr val="accent1">
                  <a:lumMod val="50000"/>
                </a:schemeClr>
              </a:solidFill>
              <a:ln>
                <a:noFill/>
              </a:ln>
            </c:spPr>
          </c:marker>
          <c:dLbls>
            <c:dLbl>
              <c:idx val="0"/>
              <c:layout>
                <c:manualLayout>
                  <c:x val="1.2414208983526258E-3"/>
                  <c:y val="3.2511314611612229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Медперсонал!$B$23</c:f>
              <c:numCache>
                <c:formatCode>General</c:formatCode>
                <c:ptCount val="1"/>
                <c:pt idx="0">
                  <c:v>17.2</c:v>
                </c:pt>
              </c:numCache>
            </c:numRef>
          </c:xVal>
          <c:yVal>
            <c:numRef>
              <c:f>Медперсонал!$C$23</c:f>
              <c:numCache>
                <c:formatCode>General</c:formatCode>
                <c:ptCount val="1"/>
                <c:pt idx="0">
                  <c:v>60.2</c:v>
                </c:pt>
              </c:numCache>
            </c:numRef>
          </c:yVal>
          <c:smooth val="0"/>
        </c:ser>
        <c:ser>
          <c:idx val="22"/>
          <c:order val="22"/>
          <c:tx>
            <c:strRef>
              <c:f>Медперсонал!$A$24</c:f>
              <c:strCache>
                <c:ptCount val="1"/>
                <c:pt idx="0">
                  <c:v>Хворостянский</c:v>
                </c:pt>
              </c:strCache>
            </c:strRef>
          </c:tx>
          <c:spPr>
            <a:ln w="31856">
              <a:noFill/>
            </a:ln>
          </c:spPr>
          <c:marker>
            <c:symbol val="circle"/>
            <c:size val="4"/>
            <c:spPr>
              <a:solidFill>
                <a:schemeClr val="accent1">
                  <a:lumMod val="50000"/>
                </a:schemeClr>
              </a:solidFill>
              <a:ln>
                <a:noFill/>
              </a:ln>
            </c:spPr>
          </c:marker>
          <c:dLbls>
            <c:dLbl>
              <c:idx val="0"/>
              <c:layout>
                <c:manualLayout>
                  <c:x val="-3.3393894524539692E-3"/>
                  <c:y val="3.6418810586499313E-3"/>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Медперсонал!$B$24</c:f>
              <c:numCache>
                <c:formatCode>General</c:formatCode>
                <c:ptCount val="1"/>
                <c:pt idx="0">
                  <c:v>22.4</c:v>
                </c:pt>
              </c:numCache>
            </c:numRef>
          </c:xVal>
          <c:yVal>
            <c:numRef>
              <c:f>Медперсонал!$C$24</c:f>
              <c:numCache>
                <c:formatCode>General</c:formatCode>
                <c:ptCount val="1"/>
                <c:pt idx="0">
                  <c:v>78.3</c:v>
                </c:pt>
              </c:numCache>
            </c:numRef>
          </c:yVal>
          <c:smooth val="0"/>
        </c:ser>
        <c:ser>
          <c:idx val="23"/>
          <c:order val="23"/>
          <c:tx>
            <c:strRef>
              <c:f>Медперсонал!$A$25</c:f>
              <c:strCache>
                <c:ptCount val="1"/>
                <c:pt idx="0">
                  <c:v>Челно-Вершинский</c:v>
                </c:pt>
              </c:strCache>
            </c:strRef>
          </c:tx>
          <c:spPr>
            <a:ln w="31856">
              <a:noFill/>
            </a:ln>
          </c:spPr>
          <c:marker>
            <c:symbol val="circle"/>
            <c:size val="4"/>
            <c:spPr>
              <a:solidFill>
                <a:schemeClr val="accent1">
                  <a:lumMod val="50000"/>
                </a:schemeClr>
              </a:solidFill>
              <a:ln>
                <a:noFill/>
              </a:ln>
            </c:spPr>
          </c:marker>
          <c:dLbls>
            <c:dLbl>
              <c:idx val="0"/>
              <c:layout>
                <c:manualLayout>
                  <c:x val="-7.5952601415936336E-2"/>
                  <c:y val="3.6014157135537878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1"/>
            <c:showCatName val="0"/>
            <c:showSerName val="0"/>
            <c:showPercent val="0"/>
            <c:showBubbleSize val="0"/>
            <c:showLeaderLines val="0"/>
          </c:dLbls>
          <c:xVal>
            <c:numRef>
              <c:f>Медперсонал!$B$25</c:f>
              <c:numCache>
                <c:formatCode>General</c:formatCode>
                <c:ptCount val="1"/>
                <c:pt idx="0">
                  <c:v>23.2</c:v>
                </c:pt>
              </c:numCache>
            </c:numRef>
          </c:xVal>
          <c:yVal>
            <c:numRef>
              <c:f>Медперсонал!$C$25</c:f>
              <c:numCache>
                <c:formatCode>General</c:formatCode>
                <c:ptCount val="1"/>
                <c:pt idx="0">
                  <c:v>96.9</c:v>
                </c:pt>
              </c:numCache>
            </c:numRef>
          </c:yVal>
          <c:smooth val="0"/>
        </c:ser>
        <c:ser>
          <c:idx val="24"/>
          <c:order val="24"/>
          <c:tx>
            <c:strRef>
              <c:f>Медперсонал!$A$26</c:f>
              <c:strCache>
                <c:ptCount val="1"/>
                <c:pt idx="0">
                  <c:v>Шенталинский</c:v>
                </c:pt>
              </c:strCache>
            </c:strRef>
          </c:tx>
          <c:spPr>
            <a:ln w="31856">
              <a:noFill/>
            </a:ln>
          </c:spPr>
          <c:marker>
            <c:symbol val="circle"/>
            <c:size val="4"/>
            <c:spPr>
              <a:solidFill>
                <a:srgbClr val="C00000"/>
              </a:solidFill>
              <a:ln>
                <a:noFill/>
              </a:ln>
            </c:spPr>
          </c:marker>
          <c:dPt>
            <c:idx val="0"/>
            <c:marker>
              <c:spPr>
                <a:solidFill>
                  <a:schemeClr val="tx2">
                    <a:lumMod val="75000"/>
                  </a:schemeClr>
                </a:solidFill>
                <a:ln>
                  <a:noFill/>
                </a:ln>
              </c:spPr>
            </c:marker>
            <c:bubble3D val="0"/>
          </c:dPt>
          <c:dLbls>
            <c:dLbl>
              <c:idx val="0"/>
              <c:layout>
                <c:manualLayout>
                  <c:x val="-6.849870322415047E-2"/>
                  <c:y val="-1.0128781618968026E-2"/>
                </c:manualLayout>
              </c:layout>
              <c:tx>
                <c:rich>
                  <a:bodyPr/>
                  <a:lstStyle/>
                  <a:p>
                    <a:r>
                      <a:rPr lang="ru-RU" b="0"/>
                      <a:t>Шенталинский</a:t>
                    </a:r>
                  </a:p>
                </c:rich>
              </c:tx>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Медперсонал!$B$26</c:f>
              <c:numCache>
                <c:formatCode>General</c:formatCode>
                <c:ptCount val="1"/>
                <c:pt idx="0">
                  <c:v>19.899999999999999</c:v>
                </c:pt>
              </c:numCache>
            </c:numRef>
          </c:xVal>
          <c:yVal>
            <c:numRef>
              <c:f>Медперсонал!$C$26</c:f>
              <c:numCache>
                <c:formatCode>General</c:formatCode>
                <c:ptCount val="1"/>
                <c:pt idx="0">
                  <c:v>101.9</c:v>
                </c:pt>
              </c:numCache>
            </c:numRef>
          </c:yVal>
          <c:smooth val="0"/>
        </c:ser>
        <c:ser>
          <c:idx val="25"/>
          <c:order val="25"/>
          <c:tx>
            <c:strRef>
              <c:f>Медперсонал!$A$27</c:f>
              <c:strCache>
                <c:ptCount val="1"/>
                <c:pt idx="0">
                  <c:v>Шигонский</c:v>
                </c:pt>
              </c:strCache>
            </c:strRef>
          </c:tx>
          <c:spPr>
            <a:ln w="31856">
              <a:noFill/>
            </a:ln>
          </c:spPr>
          <c:marker>
            <c:symbol val="circle"/>
            <c:size val="4"/>
            <c:spPr>
              <a:solidFill>
                <a:schemeClr val="tx1">
                  <a:lumMod val="65000"/>
                  <a:lumOff val="35000"/>
                </a:schemeClr>
              </a:solidFill>
              <a:ln>
                <a:noFill/>
              </a:ln>
            </c:spPr>
          </c:marker>
          <c:dLbls>
            <c:dLbl>
              <c:idx val="0"/>
              <c:layout>
                <c:manualLayout>
                  <c:x val="-4.5361203066405564E-2"/>
                  <c:y val="-3.3095872432512455E-2"/>
                </c:manualLayout>
              </c:layout>
              <c:spPr>
                <a:noFill/>
                <a:ln w="16990">
                  <a:noFill/>
                </a:ln>
              </c:spPr>
              <c:txPr>
                <a:bodyPr/>
                <a:lstStyle/>
                <a:p>
                  <a:pPr>
                    <a:defRPr/>
                  </a:pPr>
                  <a:endParaRPr lang="ru-RU"/>
                </a:p>
              </c:txPr>
              <c:dLblPos val="r"/>
              <c:showLegendKey val="0"/>
              <c:showVal val="0"/>
              <c:showCatName val="0"/>
              <c:showSerName val="1"/>
              <c:showPercent val="0"/>
              <c:showBubbleSize val="0"/>
            </c:dLbl>
            <c:spPr>
              <a:noFill/>
              <a:ln w="16990">
                <a:noFill/>
              </a:ln>
            </c:spPr>
            <c:dLblPos val="t"/>
            <c:showLegendKey val="0"/>
            <c:showVal val="0"/>
            <c:showCatName val="0"/>
            <c:showSerName val="1"/>
            <c:showPercent val="0"/>
            <c:showBubbleSize val="0"/>
            <c:showLeaderLines val="0"/>
          </c:dLbls>
          <c:xVal>
            <c:numRef>
              <c:f>Медперсонал!$B$27</c:f>
              <c:numCache>
                <c:formatCode>General</c:formatCode>
                <c:ptCount val="1"/>
                <c:pt idx="0">
                  <c:v>32.4</c:v>
                </c:pt>
              </c:numCache>
            </c:numRef>
          </c:xVal>
          <c:yVal>
            <c:numRef>
              <c:f>Медперсонал!$C$27</c:f>
              <c:numCache>
                <c:formatCode>General</c:formatCode>
                <c:ptCount val="1"/>
                <c:pt idx="0">
                  <c:v>74.900000000000006</c:v>
                </c:pt>
              </c:numCache>
            </c:numRef>
          </c:yVal>
          <c:smooth val="0"/>
        </c:ser>
        <c:dLbls>
          <c:showLegendKey val="0"/>
          <c:showVal val="1"/>
          <c:showCatName val="0"/>
          <c:showSerName val="0"/>
          <c:showPercent val="0"/>
          <c:showBubbleSize val="0"/>
        </c:dLbls>
        <c:axId val="103940480"/>
        <c:axId val="103942400"/>
      </c:scatterChart>
      <c:valAx>
        <c:axId val="103940480"/>
        <c:scaling>
          <c:orientation val="minMax"/>
          <c:max val="33"/>
          <c:min val="15"/>
        </c:scaling>
        <c:delete val="0"/>
        <c:axPos val="b"/>
        <c:title>
          <c:tx>
            <c:rich>
              <a:bodyPr/>
              <a:lstStyle/>
              <a:p>
                <a:pPr>
                  <a:defRPr b="1"/>
                </a:pPr>
                <a:r>
                  <a:rPr lang="ru-RU" b="1"/>
                  <a:t>Обеспеченность населения врачами на 10 тыс. человек населения</a:t>
                </a:r>
              </a:p>
            </c:rich>
          </c:tx>
          <c:layout>
            <c:manualLayout>
              <c:xMode val="edge"/>
              <c:yMode val="edge"/>
              <c:x val="0.1549290284555567"/>
              <c:y val="0.93747698273082658"/>
            </c:manualLayout>
          </c:layout>
          <c:overlay val="0"/>
        </c:title>
        <c:numFmt formatCode="General" sourceLinked="1"/>
        <c:majorTickMark val="out"/>
        <c:minorTickMark val="none"/>
        <c:tickLblPos val="nextTo"/>
        <c:txPr>
          <a:bodyPr rot="0" vert="horz"/>
          <a:lstStyle/>
          <a:p>
            <a:pPr>
              <a:defRPr/>
            </a:pPr>
            <a:endParaRPr lang="ru-RU"/>
          </a:p>
        </c:txPr>
        <c:crossAx val="103942400"/>
        <c:crosses val="autoZero"/>
        <c:crossBetween val="midCat"/>
      </c:valAx>
      <c:valAx>
        <c:axId val="103942400"/>
        <c:scaling>
          <c:orientation val="minMax"/>
          <c:max val="112"/>
          <c:min val="40"/>
        </c:scaling>
        <c:delete val="0"/>
        <c:axPos val="l"/>
        <c:title>
          <c:tx>
            <c:rich>
              <a:bodyPr/>
              <a:lstStyle/>
              <a:p>
                <a:pPr>
                  <a:defRPr/>
                </a:pPr>
                <a:r>
                  <a:rPr lang="ru-RU"/>
                  <a:t>Обеспеченность  средним медицинским персоналом  на 10 тыс. человек населения</a:t>
                </a:r>
              </a:p>
            </c:rich>
          </c:tx>
          <c:layout>
            <c:manualLayout>
              <c:xMode val="edge"/>
              <c:yMode val="edge"/>
              <c:x val="1.5809384275773401E-3"/>
              <c:y val="9.3367266815419264E-2"/>
            </c:manualLayout>
          </c:layout>
          <c:overlay val="0"/>
        </c:title>
        <c:numFmt formatCode="General" sourceLinked="1"/>
        <c:majorTickMark val="out"/>
        <c:minorTickMark val="none"/>
        <c:tickLblPos val="nextTo"/>
        <c:crossAx val="103940480"/>
        <c:crosses val="autoZero"/>
        <c:crossBetween val="midCat"/>
      </c:valAx>
      <c:spPr>
        <a:noFill/>
        <a:ln>
          <a:solidFill>
            <a:schemeClr val="dk1">
              <a:shade val="95000"/>
              <a:satMod val="105000"/>
            </a:schemeClr>
          </a:solid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0.24237163216171784"/>
          <c:y val="0.18873798286658164"/>
          <c:w val="0.71567467856112899"/>
          <c:h val="0.739542511971232"/>
        </c:manualLayout>
      </c:layout>
      <c:barChart>
        <c:barDir val="bar"/>
        <c:grouping val="clustered"/>
        <c:varyColors val="0"/>
        <c:ser>
          <c:idx val="0"/>
          <c:order val="0"/>
          <c:spPr>
            <a:solidFill>
              <a:schemeClr val="accent1">
                <a:lumMod val="60000"/>
                <a:lumOff val="40000"/>
              </a:schemeClr>
            </a:solidFill>
          </c:spPr>
          <c:invertIfNegative val="0"/>
          <c:dPt>
            <c:idx val="3"/>
            <c:invertIfNegative val="0"/>
            <c:bubble3D val="0"/>
            <c:spPr>
              <a:solidFill>
                <a:srgbClr val="CC0000"/>
              </a:solidFill>
            </c:spPr>
          </c:dPt>
          <c:dLbls>
            <c:txPr>
              <a:bodyPr/>
              <a:lstStyle/>
              <a:p>
                <a:pPr>
                  <a:defRPr sz="8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dLbls>
          <c:cat>
            <c:strRef>
              <c:f>'Спорт 2'!$A$2:$A$28</c:f>
              <c:strCache>
                <c:ptCount val="27"/>
                <c:pt idx="0">
                  <c:v>Красноармейский</c:v>
                </c:pt>
                <c:pt idx="1">
                  <c:v>Кинельский</c:v>
                </c:pt>
                <c:pt idx="2">
                  <c:v>Исаклинский</c:v>
                </c:pt>
                <c:pt idx="3">
                  <c:v>Камышлинский</c:v>
                </c:pt>
                <c:pt idx="4">
                  <c:v>Большечерниговский</c:v>
                </c:pt>
                <c:pt idx="5">
                  <c:v>Богатовский</c:v>
                </c:pt>
                <c:pt idx="6">
                  <c:v>Челно-Вершинский</c:v>
                </c:pt>
                <c:pt idx="7">
                  <c:v>Кошкинский</c:v>
                </c:pt>
                <c:pt idx="8">
                  <c:v>Алексеевский</c:v>
                </c:pt>
                <c:pt idx="9">
                  <c:v>Шенталинский</c:v>
                </c:pt>
                <c:pt idx="10">
                  <c:v>Похвистневский</c:v>
                </c:pt>
                <c:pt idx="11">
                  <c:v>Елховский</c:v>
                </c:pt>
                <c:pt idx="12">
                  <c:v>Борский</c:v>
                </c:pt>
                <c:pt idx="13">
                  <c:v>Шигонский</c:v>
                </c:pt>
                <c:pt idx="14">
                  <c:v>Хворостянский</c:v>
                </c:pt>
                <c:pt idx="15">
                  <c:v>Кинель-Черкасский</c:v>
                </c:pt>
                <c:pt idx="16">
                  <c:v>Сергиевский</c:v>
                </c:pt>
                <c:pt idx="17">
                  <c:v>Красноярский</c:v>
                </c:pt>
                <c:pt idx="18">
                  <c:v>Большеглушицкий</c:v>
                </c:pt>
                <c:pt idx="19">
                  <c:v>Пестравский</c:v>
                </c:pt>
                <c:pt idx="20">
                  <c:v>Приволжский</c:v>
                </c:pt>
                <c:pt idx="21">
                  <c:v>Клявлинский</c:v>
                </c:pt>
                <c:pt idx="22">
                  <c:v>Безенчукский</c:v>
                </c:pt>
                <c:pt idx="23">
                  <c:v>Сызранский</c:v>
                </c:pt>
                <c:pt idx="24">
                  <c:v>Нефтегорский</c:v>
                </c:pt>
                <c:pt idx="25">
                  <c:v>Ставропольский</c:v>
                </c:pt>
                <c:pt idx="26">
                  <c:v>Волжский</c:v>
                </c:pt>
              </c:strCache>
            </c:strRef>
          </c:cat>
          <c:val>
            <c:numRef>
              <c:f>'Спорт 2'!$B$2:$B$28</c:f>
              <c:numCache>
                <c:formatCode>0.0</c:formatCode>
                <c:ptCount val="27"/>
                <c:pt idx="0">
                  <c:v>88.4</c:v>
                </c:pt>
                <c:pt idx="1">
                  <c:v>87.5</c:v>
                </c:pt>
                <c:pt idx="2">
                  <c:v>78.279580530273051</c:v>
                </c:pt>
                <c:pt idx="3">
                  <c:v>66.2</c:v>
                </c:pt>
                <c:pt idx="4">
                  <c:v>65.526081663232816</c:v>
                </c:pt>
                <c:pt idx="5">
                  <c:v>62.174667437825228</c:v>
                </c:pt>
                <c:pt idx="6">
                  <c:v>60.233537650241395</c:v>
                </c:pt>
                <c:pt idx="7">
                  <c:v>58.5</c:v>
                </c:pt>
                <c:pt idx="8">
                  <c:v>55.814501795494834</c:v>
                </c:pt>
                <c:pt idx="9">
                  <c:v>55.745183902496009</c:v>
                </c:pt>
                <c:pt idx="10">
                  <c:v>52.874572171813064</c:v>
                </c:pt>
                <c:pt idx="11">
                  <c:v>51.334533693076395</c:v>
                </c:pt>
                <c:pt idx="12">
                  <c:v>50.523694586122915</c:v>
                </c:pt>
                <c:pt idx="13">
                  <c:v>49.856239520202507</c:v>
                </c:pt>
                <c:pt idx="14">
                  <c:v>48.703652444409386</c:v>
                </c:pt>
                <c:pt idx="15">
                  <c:v>41.7</c:v>
                </c:pt>
                <c:pt idx="16">
                  <c:v>39.652981641326726</c:v>
                </c:pt>
                <c:pt idx="17">
                  <c:v>39</c:v>
                </c:pt>
                <c:pt idx="18">
                  <c:v>38.936061721278755</c:v>
                </c:pt>
                <c:pt idx="19">
                  <c:v>36.140268646775162</c:v>
                </c:pt>
                <c:pt idx="20">
                  <c:v>34.287017901715025</c:v>
                </c:pt>
                <c:pt idx="21">
                  <c:v>33.200000000000003</c:v>
                </c:pt>
                <c:pt idx="22">
                  <c:v>30.623149742499027</c:v>
                </c:pt>
                <c:pt idx="23">
                  <c:v>30.030530692202692</c:v>
                </c:pt>
                <c:pt idx="24">
                  <c:v>23.56077459566513</c:v>
                </c:pt>
                <c:pt idx="25">
                  <c:v>21.500224402906319</c:v>
                </c:pt>
                <c:pt idx="26">
                  <c:v>21.200813110762152</c:v>
                </c:pt>
              </c:numCache>
            </c:numRef>
          </c:val>
        </c:ser>
        <c:ser>
          <c:idx val="1"/>
          <c:order val="1"/>
          <c:tx>
            <c:v>1</c:v>
          </c:tx>
          <c:spPr>
            <a:noFill/>
            <a:ln>
              <a:noFill/>
            </a:ln>
          </c:spPr>
          <c:invertIfNegative val="0"/>
          <c:trendline>
            <c:spPr>
              <a:ln>
                <a:prstDash val="sysDash"/>
              </a:ln>
            </c:spPr>
            <c:trendlineType val="linear"/>
            <c:dispRSqr val="0"/>
            <c:dispEq val="0"/>
          </c:trendline>
          <c:val>
            <c:numRef>
              <c:f>'Спорт 2'!$C$2:$C$28</c:f>
              <c:numCache>
                <c:formatCode>General</c:formatCode>
                <c:ptCount val="27"/>
                <c:pt idx="0">
                  <c:v>39.700000000000003</c:v>
                </c:pt>
                <c:pt idx="1">
                  <c:v>39.700000000000003</c:v>
                </c:pt>
                <c:pt idx="2">
                  <c:v>39.700000000000003</c:v>
                </c:pt>
                <c:pt idx="3">
                  <c:v>39.700000000000003</c:v>
                </c:pt>
                <c:pt idx="4">
                  <c:v>39.700000000000003</c:v>
                </c:pt>
                <c:pt idx="5">
                  <c:v>39.700000000000003</c:v>
                </c:pt>
                <c:pt idx="6">
                  <c:v>39.700000000000003</c:v>
                </c:pt>
                <c:pt idx="7">
                  <c:v>39.700000000000003</c:v>
                </c:pt>
                <c:pt idx="8">
                  <c:v>39.700000000000003</c:v>
                </c:pt>
                <c:pt idx="9">
                  <c:v>39.700000000000003</c:v>
                </c:pt>
                <c:pt idx="10">
                  <c:v>39.700000000000003</c:v>
                </c:pt>
                <c:pt idx="11">
                  <c:v>39.700000000000003</c:v>
                </c:pt>
                <c:pt idx="12">
                  <c:v>39.700000000000003</c:v>
                </c:pt>
                <c:pt idx="13">
                  <c:v>39.700000000000003</c:v>
                </c:pt>
                <c:pt idx="14">
                  <c:v>39.700000000000003</c:v>
                </c:pt>
                <c:pt idx="15">
                  <c:v>39.700000000000003</c:v>
                </c:pt>
                <c:pt idx="16">
                  <c:v>39.700000000000003</c:v>
                </c:pt>
                <c:pt idx="17">
                  <c:v>39.700000000000003</c:v>
                </c:pt>
                <c:pt idx="18">
                  <c:v>39.700000000000003</c:v>
                </c:pt>
                <c:pt idx="19">
                  <c:v>39.700000000000003</c:v>
                </c:pt>
                <c:pt idx="20">
                  <c:v>39.700000000000003</c:v>
                </c:pt>
                <c:pt idx="21">
                  <c:v>39.700000000000003</c:v>
                </c:pt>
                <c:pt idx="22">
                  <c:v>39.700000000000003</c:v>
                </c:pt>
                <c:pt idx="23">
                  <c:v>39.700000000000003</c:v>
                </c:pt>
                <c:pt idx="24">
                  <c:v>39.700000000000003</c:v>
                </c:pt>
                <c:pt idx="25">
                  <c:v>39.700000000000003</c:v>
                </c:pt>
                <c:pt idx="26">
                  <c:v>39.700000000000003</c:v>
                </c:pt>
              </c:numCache>
            </c:numRef>
          </c:val>
        </c:ser>
        <c:dLbls>
          <c:showLegendKey val="0"/>
          <c:showVal val="0"/>
          <c:showCatName val="0"/>
          <c:showSerName val="0"/>
          <c:showPercent val="0"/>
          <c:showBubbleSize val="0"/>
        </c:dLbls>
        <c:gapWidth val="150"/>
        <c:axId val="104039552"/>
        <c:axId val="104041088"/>
      </c:barChart>
      <c:catAx>
        <c:axId val="104039552"/>
        <c:scaling>
          <c:orientation val="minMax"/>
        </c:scaling>
        <c:delete val="0"/>
        <c:axPos val="l"/>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4041088"/>
        <c:crosses val="autoZero"/>
        <c:auto val="1"/>
        <c:lblAlgn val="ctr"/>
        <c:lblOffset val="100"/>
        <c:noMultiLvlLbl val="0"/>
      </c:catAx>
      <c:valAx>
        <c:axId val="104041088"/>
        <c:scaling>
          <c:orientation val="minMax"/>
        </c:scaling>
        <c:delete val="1"/>
        <c:axPos val="b"/>
        <c:numFmt formatCode="0.0" sourceLinked="1"/>
        <c:majorTickMark val="out"/>
        <c:minorTickMark val="none"/>
        <c:tickLblPos val="none"/>
        <c:crossAx val="104039552"/>
        <c:crosses val="autoZero"/>
        <c:crossBetween val="between"/>
      </c:valAx>
      <c:spPr>
        <a:noFill/>
        <a:ln w="25415">
          <a:noFill/>
        </a:ln>
      </c:spPr>
    </c:plotArea>
    <c:plotVisOnly val="1"/>
    <c:dispBlanksAs val="gap"/>
    <c:showDLblsOverMax val="0"/>
  </c:chart>
  <c:spPr>
    <a:noFill/>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0.23472259522371774"/>
          <c:y val="9.4598061187050275E-2"/>
          <c:w val="0.73540639962230359"/>
          <c:h val="0.85054481570190377"/>
        </c:manualLayout>
      </c:layout>
      <c:barChart>
        <c:barDir val="bar"/>
        <c:grouping val="clustered"/>
        <c:varyColors val="0"/>
        <c:ser>
          <c:idx val="0"/>
          <c:order val="0"/>
          <c:spPr>
            <a:solidFill>
              <a:schemeClr val="tx2">
                <a:lumMod val="40000"/>
                <a:lumOff val="60000"/>
              </a:schemeClr>
            </a:solidFill>
          </c:spPr>
          <c:invertIfNegative val="0"/>
          <c:dPt>
            <c:idx val="19"/>
            <c:invertIfNegative val="0"/>
            <c:bubble3D val="0"/>
            <c:spPr>
              <a:solidFill>
                <a:srgbClr val="C00000"/>
              </a:solidFill>
            </c:spPr>
          </c:dPt>
          <c:dPt>
            <c:idx val="25"/>
            <c:invertIfNegative val="0"/>
            <c:bubble3D val="0"/>
            <c:spPr>
              <a:solidFill>
                <a:schemeClr val="accent1">
                  <a:lumMod val="60000"/>
                  <a:lumOff val="40000"/>
                </a:schemeClr>
              </a:solidFill>
            </c:spPr>
          </c:dPt>
          <c:dLbls>
            <c:showLegendKey val="0"/>
            <c:showVal val="1"/>
            <c:showCatName val="0"/>
            <c:showSerName val="0"/>
            <c:showPercent val="0"/>
            <c:showBubbleSize val="0"/>
            <c:showLeaderLines val="0"/>
          </c:dLbls>
          <c:cat>
            <c:strRef>
              <c:f>'Спорт 1'!$A$2:$A$28</c:f>
              <c:strCache>
                <c:ptCount val="27"/>
                <c:pt idx="0">
                  <c:v>Кинель-Черкасский</c:v>
                </c:pt>
                <c:pt idx="1">
                  <c:v>Хворостянский</c:v>
                </c:pt>
                <c:pt idx="2">
                  <c:v>Нефтегорский</c:v>
                </c:pt>
                <c:pt idx="3">
                  <c:v>Челно-Вершинский</c:v>
                </c:pt>
                <c:pt idx="4">
                  <c:v>Ставропольский</c:v>
                </c:pt>
                <c:pt idx="5">
                  <c:v>Сызранский</c:v>
                </c:pt>
                <c:pt idx="6">
                  <c:v>Кинельский</c:v>
                </c:pt>
                <c:pt idx="7">
                  <c:v>Кошкинский</c:v>
                </c:pt>
                <c:pt idx="8">
                  <c:v>Безенчукский</c:v>
                </c:pt>
                <c:pt idx="9">
                  <c:v>Приволжский</c:v>
                </c:pt>
                <c:pt idx="10">
                  <c:v>Пестравский</c:v>
                </c:pt>
                <c:pt idx="11">
                  <c:v>Большечерниговский</c:v>
                </c:pt>
                <c:pt idx="12">
                  <c:v>Похвистневский</c:v>
                </c:pt>
                <c:pt idx="13">
                  <c:v>Большеглушицкий</c:v>
                </c:pt>
                <c:pt idx="14">
                  <c:v>Красноярский</c:v>
                </c:pt>
                <c:pt idx="15">
                  <c:v>Богатовский</c:v>
                </c:pt>
                <c:pt idx="16">
                  <c:v>Шенталинский</c:v>
                </c:pt>
                <c:pt idx="17">
                  <c:v>Сергиевский</c:v>
                </c:pt>
                <c:pt idx="18">
                  <c:v>Борский</c:v>
                </c:pt>
                <c:pt idx="19">
                  <c:v>Камышлинский</c:v>
                </c:pt>
                <c:pt idx="20">
                  <c:v>Клявлинский</c:v>
                </c:pt>
                <c:pt idx="21">
                  <c:v>Волжский</c:v>
                </c:pt>
                <c:pt idx="22">
                  <c:v>Алексеевский</c:v>
                </c:pt>
                <c:pt idx="23">
                  <c:v>Исаклинский</c:v>
                </c:pt>
                <c:pt idx="24">
                  <c:v>Красноармейский</c:v>
                </c:pt>
                <c:pt idx="25">
                  <c:v>Шигонский</c:v>
                </c:pt>
                <c:pt idx="26">
                  <c:v>Елховский</c:v>
                </c:pt>
              </c:strCache>
            </c:strRef>
          </c:cat>
          <c:val>
            <c:numRef>
              <c:f>'Спорт 1'!$B$2:$B$28</c:f>
              <c:numCache>
                <c:formatCode>0.0%</c:formatCode>
                <c:ptCount val="27"/>
                <c:pt idx="0">
                  <c:v>0.39575386829795051</c:v>
                </c:pt>
                <c:pt idx="1">
                  <c:v>0.3900220691500052</c:v>
                </c:pt>
                <c:pt idx="2">
                  <c:v>0.38403053920789054</c:v>
                </c:pt>
                <c:pt idx="3">
                  <c:v>0.37609991484530231</c:v>
                </c:pt>
                <c:pt idx="4">
                  <c:v>0.36072910859195934</c:v>
                </c:pt>
                <c:pt idx="5">
                  <c:v>0.35886700559661638</c:v>
                </c:pt>
                <c:pt idx="6">
                  <c:v>0.35693282801881882</c:v>
                </c:pt>
                <c:pt idx="7">
                  <c:v>0.35456799542246914</c:v>
                </c:pt>
                <c:pt idx="8">
                  <c:v>0.35318876871437077</c:v>
                </c:pt>
                <c:pt idx="9">
                  <c:v>0.35089630133878025</c:v>
                </c:pt>
                <c:pt idx="10">
                  <c:v>0.34903640256959312</c:v>
                </c:pt>
                <c:pt idx="11">
                  <c:v>0.34900379221091932</c:v>
                </c:pt>
                <c:pt idx="12">
                  <c:v>0.34853357095811865</c:v>
                </c:pt>
                <c:pt idx="13">
                  <c:v>0.34768866060845643</c:v>
                </c:pt>
                <c:pt idx="14">
                  <c:v>0.34655616659616201</c:v>
                </c:pt>
                <c:pt idx="15">
                  <c:v>0.34502210702851088</c:v>
                </c:pt>
                <c:pt idx="16">
                  <c:v>0.34137573453162806</c:v>
                </c:pt>
                <c:pt idx="17">
                  <c:v>0.34110074933640344</c:v>
                </c:pt>
                <c:pt idx="18">
                  <c:v>0.33788103921833568</c:v>
                </c:pt>
                <c:pt idx="19">
                  <c:v>0.3368599660644796</c:v>
                </c:pt>
                <c:pt idx="20">
                  <c:v>0.32257596634999086</c:v>
                </c:pt>
                <c:pt idx="21">
                  <c:v>0.31965254379047586</c:v>
                </c:pt>
                <c:pt idx="22">
                  <c:v>0.31616274729376742</c:v>
                </c:pt>
                <c:pt idx="23">
                  <c:v>0.31371049949031632</c:v>
                </c:pt>
                <c:pt idx="24">
                  <c:v>0.29700000000000032</c:v>
                </c:pt>
                <c:pt idx="25">
                  <c:v>0.29415268002165756</c:v>
                </c:pt>
                <c:pt idx="26">
                  <c:v>0.21388325445120629</c:v>
                </c:pt>
              </c:numCache>
            </c:numRef>
          </c:val>
        </c:ser>
        <c:ser>
          <c:idx val="1"/>
          <c:order val="1"/>
          <c:tx>
            <c:v>2</c:v>
          </c:tx>
          <c:spPr>
            <a:noFill/>
            <a:ln>
              <a:noFill/>
            </a:ln>
          </c:spPr>
          <c:invertIfNegative val="0"/>
          <c:trendline>
            <c:spPr>
              <a:ln>
                <a:prstDash val="sysDash"/>
              </a:ln>
            </c:spPr>
            <c:trendlineType val="linear"/>
            <c:dispRSqr val="0"/>
            <c:dispEq val="0"/>
          </c:trendline>
          <c:val>
            <c:numRef>
              <c:f>'Спорт 1'!$C$2:$C$28</c:f>
              <c:numCache>
                <c:formatCode>0.00%</c:formatCode>
                <c:ptCount val="27"/>
                <c:pt idx="0">
                  <c:v>0.34700000000000031</c:v>
                </c:pt>
                <c:pt idx="1">
                  <c:v>0.34700000000000031</c:v>
                </c:pt>
                <c:pt idx="2">
                  <c:v>0.34700000000000031</c:v>
                </c:pt>
                <c:pt idx="3">
                  <c:v>0.34700000000000031</c:v>
                </c:pt>
                <c:pt idx="4">
                  <c:v>0.34700000000000031</c:v>
                </c:pt>
                <c:pt idx="5">
                  <c:v>0.34700000000000031</c:v>
                </c:pt>
                <c:pt idx="6">
                  <c:v>0.34700000000000031</c:v>
                </c:pt>
                <c:pt idx="7">
                  <c:v>0.34700000000000031</c:v>
                </c:pt>
                <c:pt idx="8">
                  <c:v>0.34700000000000031</c:v>
                </c:pt>
                <c:pt idx="9">
                  <c:v>0.34700000000000031</c:v>
                </c:pt>
                <c:pt idx="10">
                  <c:v>0.34700000000000031</c:v>
                </c:pt>
                <c:pt idx="11">
                  <c:v>0.34700000000000031</c:v>
                </c:pt>
                <c:pt idx="12">
                  <c:v>0.34700000000000031</c:v>
                </c:pt>
                <c:pt idx="13">
                  <c:v>0.34700000000000031</c:v>
                </c:pt>
                <c:pt idx="14">
                  <c:v>0.34700000000000031</c:v>
                </c:pt>
                <c:pt idx="15">
                  <c:v>0.34700000000000031</c:v>
                </c:pt>
                <c:pt idx="16">
                  <c:v>0.34700000000000031</c:v>
                </c:pt>
                <c:pt idx="17">
                  <c:v>0.34700000000000031</c:v>
                </c:pt>
                <c:pt idx="18">
                  <c:v>0.34700000000000031</c:v>
                </c:pt>
                <c:pt idx="19">
                  <c:v>0.34700000000000031</c:v>
                </c:pt>
                <c:pt idx="20">
                  <c:v>0.34700000000000031</c:v>
                </c:pt>
                <c:pt idx="21">
                  <c:v>0.34700000000000031</c:v>
                </c:pt>
                <c:pt idx="22">
                  <c:v>0.34700000000000031</c:v>
                </c:pt>
                <c:pt idx="23">
                  <c:v>0.34700000000000031</c:v>
                </c:pt>
                <c:pt idx="24">
                  <c:v>0.34700000000000031</c:v>
                </c:pt>
                <c:pt idx="25">
                  <c:v>0.34700000000000031</c:v>
                </c:pt>
                <c:pt idx="26">
                  <c:v>0.34700000000000031</c:v>
                </c:pt>
              </c:numCache>
            </c:numRef>
          </c:val>
        </c:ser>
        <c:dLbls>
          <c:showLegendKey val="0"/>
          <c:showVal val="0"/>
          <c:showCatName val="0"/>
          <c:showSerName val="0"/>
          <c:showPercent val="0"/>
          <c:showBubbleSize val="0"/>
        </c:dLbls>
        <c:gapWidth val="150"/>
        <c:axId val="104167296"/>
        <c:axId val="104168832"/>
      </c:barChart>
      <c:catAx>
        <c:axId val="104167296"/>
        <c:scaling>
          <c:orientation val="minMax"/>
        </c:scaling>
        <c:delete val="0"/>
        <c:axPos val="l"/>
        <c:numFmt formatCode="General" sourceLinked="1"/>
        <c:majorTickMark val="out"/>
        <c:minorTickMark val="none"/>
        <c:tickLblPos val="nextTo"/>
        <c:crossAx val="104168832"/>
        <c:crosses val="autoZero"/>
        <c:auto val="1"/>
        <c:lblAlgn val="ctr"/>
        <c:lblOffset val="100"/>
        <c:noMultiLvlLbl val="0"/>
      </c:catAx>
      <c:valAx>
        <c:axId val="104168832"/>
        <c:scaling>
          <c:orientation val="minMax"/>
        </c:scaling>
        <c:delete val="1"/>
        <c:axPos val="b"/>
        <c:numFmt formatCode="0.0%" sourceLinked="1"/>
        <c:majorTickMark val="out"/>
        <c:minorTickMark val="none"/>
        <c:tickLblPos val="none"/>
        <c:crossAx val="104167296"/>
        <c:crosses val="autoZero"/>
        <c:crossBetween val="between"/>
      </c:valAx>
      <c:spPr>
        <a:noFill/>
        <a:ln w="25397">
          <a:noFill/>
        </a:ln>
      </c:spPr>
    </c:plotArea>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93307086614223"/>
          <c:y val="0.27980751450306834"/>
          <c:w val="0.73761212391436037"/>
          <c:h val="0.50828685327496259"/>
        </c:manualLayout>
      </c:layout>
      <c:lineChart>
        <c:grouping val="standard"/>
        <c:varyColors val="0"/>
        <c:ser>
          <c:idx val="0"/>
          <c:order val="0"/>
          <c:cat>
            <c:numRef>
              <c:f>Экология!$A$21:$A$31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Экология!$B$21:$B$31</c:f>
              <c:numCache>
                <c:formatCode>General</c:formatCode>
                <c:ptCount val="11"/>
                <c:pt idx="0">
                  <c:v>0.1</c:v>
                </c:pt>
                <c:pt idx="1">
                  <c:v>0.1</c:v>
                </c:pt>
                <c:pt idx="2">
                  <c:v>0.1</c:v>
                </c:pt>
                <c:pt idx="3">
                  <c:v>3</c:v>
                </c:pt>
                <c:pt idx="4">
                  <c:v>3.1</c:v>
                </c:pt>
                <c:pt idx="5">
                  <c:v>0.1</c:v>
                </c:pt>
                <c:pt idx="6">
                  <c:v>1.7</c:v>
                </c:pt>
                <c:pt idx="7">
                  <c:v>1.7</c:v>
                </c:pt>
                <c:pt idx="8">
                  <c:v>0.30000000000000032</c:v>
                </c:pt>
                <c:pt idx="9">
                  <c:v>0.30000000000000032</c:v>
                </c:pt>
                <c:pt idx="10">
                  <c:v>2.2000000000000002</c:v>
                </c:pt>
              </c:numCache>
            </c:numRef>
          </c:val>
          <c:smooth val="0"/>
        </c:ser>
        <c:dLbls>
          <c:showLegendKey val="0"/>
          <c:showVal val="0"/>
          <c:showCatName val="0"/>
          <c:showSerName val="0"/>
          <c:showPercent val="0"/>
          <c:showBubbleSize val="0"/>
        </c:dLbls>
        <c:hiLowLines/>
        <c:marker val="1"/>
        <c:smooth val="0"/>
        <c:axId val="117368320"/>
        <c:axId val="117370240"/>
      </c:lineChart>
      <c:catAx>
        <c:axId val="117368320"/>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ru-RU"/>
                  <a:t>Годы</a:t>
                </a:r>
              </a:p>
            </c:rich>
          </c:tx>
          <c:overlay val="0"/>
        </c:title>
        <c:numFmt formatCode="General" sourceLinked="1"/>
        <c:majorTickMark val="none"/>
        <c:minorTickMark val="none"/>
        <c:tickLblPos val="nextTo"/>
        <c:crossAx val="117370240"/>
        <c:crosses val="autoZero"/>
        <c:auto val="1"/>
        <c:lblAlgn val="ctr"/>
        <c:lblOffset val="100"/>
        <c:noMultiLvlLbl val="0"/>
      </c:catAx>
      <c:valAx>
        <c:axId val="117370240"/>
        <c:scaling>
          <c:orientation val="minMax"/>
        </c:scaling>
        <c:delete val="0"/>
        <c:axPos val="l"/>
        <c:title>
          <c:tx>
            <c:rich>
              <a:bodyPr/>
              <a:lstStyle/>
              <a:p>
                <a:pPr>
                  <a:defRPr sz="800" b="1" i="0" u="none" strike="noStrike" baseline="0">
                    <a:solidFill>
                      <a:srgbClr val="000000"/>
                    </a:solidFill>
                    <a:latin typeface="Calibri"/>
                    <a:ea typeface="Calibri"/>
                    <a:cs typeface="Calibri"/>
                  </a:defRPr>
                </a:pPr>
                <a:r>
                  <a:rPr lang="ru-RU"/>
                  <a:t>Выбросы загрязняющих веществ в атмосферу, тыс. тонн
</a:t>
                </a:r>
              </a:p>
            </c:rich>
          </c:tx>
          <c:overlay val="0"/>
        </c:title>
        <c:numFmt formatCode="General" sourceLinked="1"/>
        <c:majorTickMark val="out"/>
        <c:minorTickMark val="none"/>
        <c:tickLblPos val="nextTo"/>
        <c:crossAx val="117368320"/>
        <c:crosses val="autoZero"/>
        <c:crossBetween val="between"/>
      </c:valAx>
    </c:plotArea>
    <c:plotVisOnly val="1"/>
    <c:dispBlanksAs val="gap"/>
    <c:showDLblsOverMax val="0"/>
  </c:chart>
  <c:txPr>
    <a:bodyPr/>
    <a:lstStyle/>
    <a:p>
      <a:pPr>
        <a:defRPr sz="800" baseline="0"/>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manualLayout>
          <c:layoutTarget val="inner"/>
          <c:xMode val="edge"/>
          <c:yMode val="edge"/>
          <c:x val="8.3882677480517309E-2"/>
          <c:y val="5.1080106214793315E-2"/>
          <c:w val="0.82604237979597051"/>
          <c:h val="0.77754938527420914"/>
        </c:manualLayout>
      </c:layout>
      <c:scatterChart>
        <c:scatterStyle val="lineMarker"/>
        <c:varyColors val="0"/>
        <c:ser>
          <c:idx val="0"/>
          <c:order val="0"/>
          <c:tx>
            <c:strRef>
              <c:f>культура!$A$3</c:f>
              <c:strCache>
                <c:ptCount val="1"/>
                <c:pt idx="0">
                  <c:v>Алексеевский </c:v>
                </c:pt>
              </c:strCache>
            </c:strRef>
          </c:tx>
          <c:spPr>
            <a:ln w="35719">
              <a:noFill/>
            </a:ln>
          </c:spPr>
          <c:marker>
            <c:symbol val="circle"/>
            <c:size val="4"/>
            <c:spPr>
              <a:solidFill>
                <a:schemeClr val="accent1">
                  <a:lumMod val="50000"/>
                </a:schemeClr>
              </a:solidFill>
              <a:ln>
                <a:noFill/>
              </a:ln>
            </c:spPr>
          </c:marker>
          <c:dLbls>
            <c:dLbl>
              <c:idx val="0"/>
              <c:layout>
                <c:manualLayout>
                  <c:x val="-5.7475283157653913E-2"/>
                  <c:y val="-4.9265905383360495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культура!$B$3</c:f>
              <c:numCache>
                <c:formatCode>General</c:formatCode>
                <c:ptCount val="1"/>
                <c:pt idx="0">
                  <c:v>19</c:v>
                </c:pt>
              </c:numCache>
            </c:numRef>
          </c:xVal>
          <c:yVal>
            <c:numRef>
              <c:f>культура!$C$3</c:f>
              <c:numCache>
                <c:formatCode>General</c:formatCode>
                <c:ptCount val="1"/>
                <c:pt idx="0">
                  <c:v>0</c:v>
                </c:pt>
              </c:numCache>
            </c:numRef>
          </c:yVal>
          <c:smooth val="0"/>
        </c:ser>
        <c:ser>
          <c:idx val="1"/>
          <c:order val="1"/>
          <c:tx>
            <c:strRef>
              <c:f>культура!$A$4</c:f>
              <c:strCache>
                <c:ptCount val="1"/>
                <c:pt idx="0">
                  <c:v>Безенчукский </c:v>
                </c:pt>
              </c:strCache>
            </c:strRef>
          </c:tx>
          <c:spPr>
            <a:ln w="35719">
              <a:noFill/>
            </a:ln>
          </c:spPr>
          <c:marker>
            <c:symbol val="circle"/>
            <c:size val="4"/>
            <c:spPr>
              <a:solidFill>
                <a:srgbClr val="4F81BD">
                  <a:lumMod val="50000"/>
                </a:srgbClr>
              </a:solidFill>
              <a:ln>
                <a:noFill/>
              </a:ln>
            </c:spPr>
          </c:marker>
          <c:dLbls>
            <c:dLbl>
              <c:idx val="0"/>
              <c:layout>
                <c:manualLayout>
                  <c:x val="-3.4619687539189606E-2"/>
                  <c:y val="-3.7088355003263108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культура!$B$4</c:f>
              <c:numCache>
                <c:formatCode>General</c:formatCode>
                <c:ptCount val="1"/>
                <c:pt idx="0">
                  <c:v>29</c:v>
                </c:pt>
              </c:numCache>
            </c:numRef>
          </c:xVal>
          <c:yVal>
            <c:numRef>
              <c:f>культура!$C$4</c:f>
              <c:numCache>
                <c:formatCode>General</c:formatCode>
                <c:ptCount val="1"/>
                <c:pt idx="0">
                  <c:v>0</c:v>
                </c:pt>
              </c:numCache>
            </c:numRef>
          </c:yVal>
          <c:smooth val="0"/>
        </c:ser>
        <c:ser>
          <c:idx val="2"/>
          <c:order val="2"/>
          <c:tx>
            <c:strRef>
              <c:f>культура!$A$5</c:f>
              <c:strCache>
                <c:ptCount val="1"/>
                <c:pt idx="0">
                  <c:v>Богатовский </c:v>
                </c:pt>
              </c:strCache>
            </c:strRef>
          </c:tx>
          <c:spPr>
            <a:ln w="35719">
              <a:noFill/>
            </a:ln>
          </c:spPr>
          <c:marker>
            <c:symbol val="circle"/>
            <c:size val="4"/>
            <c:spPr>
              <a:solidFill>
                <a:srgbClr val="4F81BD">
                  <a:lumMod val="50000"/>
                </a:srgbClr>
              </a:solidFill>
              <a:ln>
                <a:noFill/>
              </a:ln>
            </c:spPr>
          </c:marker>
          <c:dLbls>
            <c:dLbl>
              <c:idx val="0"/>
              <c:layout>
                <c:manualLayout>
                  <c:x val="-5.2220767846230965E-3"/>
                  <c:y val="-3.5889070146818986E-3"/>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культура!$B$5</c:f>
              <c:numCache>
                <c:formatCode>General</c:formatCode>
                <c:ptCount val="1"/>
                <c:pt idx="0">
                  <c:v>16</c:v>
                </c:pt>
              </c:numCache>
            </c:numRef>
          </c:xVal>
          <c:yVal>
            <c:numRef>
              <c:f>культура!$C$5</c:f>
              <c:numCache>
                <c:formatCode>General</c:formatCode>
                <c:ptCount val="1"/>
                <c:pt idx="0">
                  <c:v>16</c:v>
                </c:pt>
              </c:numCache>
            </c:numRef>
          </c:yVal>
          <c:smooth val="0"/>
        </c:ser>
        <c:ser>
          <c:idx val="3"/>
          <c:order val="3"/>
          <c:tx>
            <c:strRef>
              <c:f>культура!$A$6</c:f>
              <c:strCache>
                <c:ptCount val="1"/>
                <c:pt idx="0">
                  <c:v>Большеглушицкий </c:v>
                </c:pt>
              </c:strCache>
            </c:strRef>
          </c:tx>
          <c:spPr>
            <a:ln w="35719">
              <a:noFill/>
            </a:ln>
          </c:spPr>
          <c:marker>
            <c:symbol val="circle"/>
            <c:size val="4"/>
            <c:spPr>
              <a:solidFill>
                <a:srgbClr val="4F81BD">
                  <a:lumMod val="50000"/>
                </a:srgbClr>
              </a:solidFill>
              <a:ln>
                <a:noFill/>
              </a:ln>
            </c:spPr>
          </c:marker>
          <c:dLbls>
            <c:dLbl>
              <c:idx val="0"/>
              <c:layout>
                <c:manualLayout>
                  <c:x val="-5.8321490348661645E-2"/>
                  <c:y val="-8.1892332789559819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культура!$B$6</c:f>
              <c:numCache>
                <c:formatCode>General</c:formatCode>
                <c:ptCount val="1"/>
                <c:pt idx="0">
                  <c:v>17</c:v>
                </c:pt>
              </c:numCache>
            </c:numRef>
          </c:xVal>
          <c:yVal>
            <c:numRef>
              <c:f>культура!$C$6</c:f>
              <c:numCache>
                <c:formatCode>General</c:formatCode>
                <c:ptCount val="1"/>
                <c:pt idx="0">
                  <c:v>0</c:v>
                </c:pt>
              </c:numCache>
            </c:numRef>
          </c:yVal>
          <c:smooth val="0"/>
        </c:ser>
        <c:ser>
          <c:idx val="4"/>
          <c:order val="4"/>
          <c:tx>
            <c:strRef>
              <c:f>культура!$A$7</c:f>
              <c:strCache>
                <c:ptCount val="1"/>
                <c:pt idx="0">
                  <c:v>Большечерниговский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культура!$B$7</c:f>
              <c:numCache>
                <c:formatCode>General</c:formatCode>
                <c:ptCount val="1"/>
                <c:pt idx="0">
                  <c:v>29</c:v>
                </c:pt>
              </c:numCache>
            </c:numRef>
          </c:xVal>
          <c:yVal>
            <c:numRef>
              <c:f>культура!$C$7</c:f>
              <c:numCache>
                <c:formatCode>General</c:formatCode>
                <c:ptCount val="1"/>
                <c:pt idx="0">
                  <c:v>14</c:v>
                </c:pt>
              </c:numCache>
            </c:numRef>
          </c:yVal>
          <c:smooth val="0"/>
        </c:ser>
        <c:ser>
          <c:idx val="5"/>
          <c:order val="5"/>
          <c:tx>
            <c:strRef>
              <c:f>культура!$A$8</c:f>
              <c:strCache>
                <c:ptCount val="1"/>
                <c:pt idx="0">
                  <c:v>Борский </c:v>
                </c:pt>
              </c:strCache>
            </c:strRef>
          </c:tx>
          <c:spPr>
            <a:ln w="35719">
              <a:noFill/>
            </a:ln>
          </c:spPr>
          <c:marker>
            <c:symbol val="circle"/>
            <c:size val="4"/>
            <c:spPr>
              <a:solidFill>
                <a:srgbClr val="4F81BD">
                  <a:lumMod val="50000"/>
                </a:srgbClr>
              </a:solidFill>
              <a:ln>
                <a:noFill/>
              </a:ln>
            </c:spPr>
          </c:marker>
          <c:dLbls>
            <c:dLbl>
              <c:idx val="0"/>
              <c:layout>
                <c:manualLayout>
                  <c:x val="-5.3899135055024722E-2"/>
                  <c:y val="2.9037520391517132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trendline>
            <c:trendlineType val="linear"/>
            <c:dispRSqr val="0"/>
            <c:dispEq val="0"/>
          </c:trendline>
          <c:xVal>
            <c:numRef>
              <c:f>культура!$B$8</c:f>
              <c:numCache>
                <c:formatCode>General</c:formatCode>
                <c:ptCount val="1"/>
                <c:pt idx="0">
                  <c:v>26</c:v>
                </c:pt>
              </c:numCache>
            </c:numRef>
          </c:xVal>
          <c:yVal>
            <c:numRef>
              <c:f>культура!$C$8</c:f>
              <c:numCache>
                <c:formatCode>General</c:formatCode>
                <c:ptCount val="1"/>
                <c:pt idx="0">
                  <c:v>22</c:v>
                </c:pt>
              </c:numCache>
            </c:numRef>
          </c:yVal>
          <c:smooth val="0"/>
        </c:ser>
        <c:ser>
          <c:idx val="6"/>
          <c:order val="6"/>
          <c:tx>
            <c:strRef>
              <c:f>культура!$A$9</c:f>
              <c:strCache>
                <c:ptCount val="1"/>
                <c:pt idx="0">
                  <c:v>Волжский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культура!$B$9</c:f>
              <c:numCache>
                <c:formatCode>General</c:formatCode>
                <c:ptCount val="1"/>
                <c:pt idx="0">
                  <c:v>23</c:v>
                </c:pt>
              </c:numCache>
            </c:numRef>
          </c:xVal>
          <c:yVal>
            <c:numRef>
              <c:f>культура!$C$9</c:f>
              <c:numCache>
                <c:formatCode>General</c:formatCode>
                <c:ptCount val="1"/>
                <c:pt idx="0">
                  <c:v>2</c:v>
                </c:pt>
              </c:numCache>
            </c:numRef>
          </c:yVal>
          <c:smooth val="0"/>
        </c:ser>
        <c:ser>
          <c:idx val="7"/>
          <c:order val="7"/>
          <c:tx>
            <c:strRef>
              <c:f>культура!$A$10</c:f>
              <c:strCache>
                <c:ptCount val="1"/>
                <c:pt idx="0">
                  <c:v>Елховский </c:v>
                </c:pt>
              </c:strCache>
            </c:strRef>
          </c:tx>
          <c:spPr>
            <a:ln w="35719">
              <a:noFill/>
            </a:ln>
          </c:spPr>
          <c:marker>
            <c:symbol val="circle"/>
            <c:size val="4"/>
            <c:spPr>
              <a:solidFill>
                <a:srgbClr val="4F81BD">
                  <a:lumMod val="50000"/>
                </a:srgbClr>
              </a:solidFill>
              <a:ln>
                <a:noFill/>
              </a:ln>
            </c:spPr>
          </c:marker>
          <c:dLbls>
            <c:dLbl>
              <c:idx val="0"/>
              <c:tx>
                <c:rich>
                  <a:bodyPr/>
                  <a:lstStyle/>
                  <a:p>
                    <a:pPr>
                      <a:defRPr/>
                    </a:pPr>
                    <a:r>
                      <a:rPr lang="ru-RU"/>
                      <a:t>Елховский</a:t>
                    </a:r>
                    <a:endParaRPr lang="en-US"/>
                  </a:p>
                </c:rich>
              </c:tx>
              <c:spPr/>
              <c:dLblPos val="t"/>
              <c:showLegendKey val="0"/>
              <c:showVal val="0"/>
              <c:showCatName val="0"/>
              <c:showSerName val="0"/>
              <c:showPercent val="0"/>
              <c:showBubbleSize val="0"/>
            </c:dLbl>
            <c:dLblPos val="t"/>
            <c:showLegendKey val="0"/>
            <c:showVal val="1"/>
            <c:showCatName val="0"/>
            <c:showSerName val="0"/>
            <c:showPercent val="0"/>
            <c:showBubbleSize val="0"/>
            <c:showLeaderLines val="0"/>
          </c:dLbls>
          <c:xVal>
            <c:numRef>
              <c:f>культура!$B$10</c:f>
              <c:numCache>
                <c:formatCode>General</c:formatCode>
                <c:ptCount val="1"/>
                <c:pt idx="0">
                  <c:v>13</c:v>
                </c:pt>
              </c:numCache>
            </c:numRef>
          </c:xVal>
          <c:yVal>
            <c:numRef>
              <c:f>культура!$C$10</c:f>
              <c:numCache>
                <c:formatCode>General</c:formatCode>
                <c:ptCount val="1"/>
                <c:pt idx="0">
                  <c:v>10</c:v>
                </c:pt>
              </c:numCache>
            </c:numRef>
          </c:yVal>
          <c:smooth val="0"/>
        </c:ser>
        <c:ser>
          <c:idx val="8"/>
          <c:order val="8"/>
          <c:tx>
            <c:strRef>
              <c:f>культура!$A$11</c:f>
              <c:strCache>
                <c:ptCount val="1"/>
                <c:pt idx="0">
                  <c:v>Исаклинский </c:v>
                </c:pt>
              </c:strCache>
            </c:strRef>
          </c:tx>
          <c:spPr>
            <a:ln w="35719">
              <a:noFill/>
            </a:ln>
          </c:spPr>
          <c:marker>
            <c:symbol val="circle"/>
            <c:size val="4"/>
            <c:spPr>
              <a:solidFill>
                <a:srgbClr val="4F81BD">
                  <a:lumMod val="50000"/>
                </a:srgbClr>
              </a:solidFill>
              <a:ln>
                <a:noFill/>
              </a:ln>
            </c:spPr>
          </c:marker>
          <c:dLbls>
            <c:dLbl>
              <c:idx val="0"/>
              <c:layout>
                <c:manualLayout>
                  <c:x val="-9.4490683598777627E-3"/>
                  <c:y val="3.230023053664461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культура!$B$11</c:f>
              <c:numCache>
                <c:formatCode>General</c:formatCode>
                <c:ptCount val="1"/>
                <c:pt idx="0">
                  <c:v>29</c:v>
                </c:pt>
              </c:numCache>
            </c:numRef>
          </c:xVal>
          <c:yVal>
            <c:numRef>
              <c:f>культура!$C$11</c:f>
              <c:numCache>
                <c:formatCode>General</c:formatCode>
                <c:ptCount val="1"/>
                <c:pt idx="0">
                  <c:v>25</c:v>
                </c:pt>
              </c:numCache>
            </c:numRef>
          </c:yVal>
          <c:smooth val="0"/>
        </c:ser>
        <c:ser>
          <c:idx val="9"/>
          <c:order val="9"/>
          <c:tx>
            <c:strRef>
              <c:f>культура!$A$12</c:f>
              <c:strCache>
                <c:ptCount val="1"/>
                <c:pt idx="0">
                  <c:v>Камышлинский </c:v>
                </c:pt>
              </c:strCache>
            </c:strRef>
          </c:tx>
          <c:spPr>
            <a:ln w="35719">
              <a:noFill/>
            </a:ln>
          </c:spPr>
          <c:marker>
            <c:symbol val="circle"/>
            <c:size val="4"/>
            <c:spPr>
              <a:solidFill>
                <a:srgbClr val="4F81BD">
                  <a:lumMod val="50000"/>
                </a:srgbClr>
              </a:solidFill>
              <a:ln>
                <a:noFill/>
              </a:ln>
            </c:spPr>
          </c:marker>
          <c:dPt>
            <c:idx val="0"/>
            <c:marker>
              <c:spPr>
                <a:solidFill>
                  <a:srgbClr val="FF0000"/>
                </a:solidFill>
                <a:ln>
                  <a:noFill/>
                </a:ln>
              </c:spPr>
            </c:marker>
            <c:bubble3D val="0"/>
          </c:dPt>
          <c:dLbls>
            <c:dLblPos val="t"/>
            <c:showLegendKey val="0"/>
            <c:showVal val="0"/>
            <c:showCatName val="0"/>
            <c:showSerName val="1"/>
            <c:showPercent val="0"/>
            <c:showBubbleSize val="0"/>
            <c:showLeaderLines val="0"/>
          </c:dLbls>
          <c:xVal>
            <c:numRef>
              <c:f>культура!$B$12</c:f>
              <c:numCache>
                <c:formatCode>General</c:formatCode>
                <c:ptCount val="1"/>
                <c:pt idx="0">
                  <c:v>14</c:v>
                </c:pt>
              </c:numCache>
            </c:numRef>
          </c:xVal>
          <c:yVal>
            <c:numRef>
              <c:f>культура!$C$12</c:f>
              <c:numCache>
                <c:formatCode>General</c:formatCode>
                <c:ptCount val="1"/>
                <c:pt idx="0">
                  <c:v>0</c:v>
                </c:pt>
              </c:numCache>
            </c:numRef>
          </c:yVal>
          <c:smooth val="0"/>
        </c:ser>
        <c:ser>
          <c:idx val="10"/>
          <c:order val="10"/>
          <c:tx>
            <c:strRef>
              <c:f>культура!$A$13</c:f>
              <c:strCache>
                <c:ptCount val="1"/>
                <c:pt idx="0">
                  <c:v>Кинельский </c:v>
                </c:pt>
              </c:strCache>
            </c:strRef>
          </c:tx>
          <c:spPr>
            <a:ln w="35719">
              <a:noFill/>
            </a:ln>
          </c:spPr>
          <c:marker>
            <c:symbol val="circle"/>
            <c:size val="4"/>
            <c:spPr>
              <a:solidFill>
                <a:srgbClr val="4F81BD">
                  <a:lumMod val="50000"/>
                </a:srgbClr>
              </a:solidFill>
              <a:ln>
                <a:noFill/>
              </a:ln>
            </c:spPr>
          </c:marker>
          <c:dLbls>
            <c:dLbl>
              <c:idx val="0"/>
              <c:layout>
                <c:manualLayout>
                  <c:x val="-2.5601712754215116E-2"/>
                  <c:y val="-7.5367047308319821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культура!$B$13</c:f>
              <c:numCache>
                <c:formatCode>General</c:formatCode>
                <c:ptCount val="1"/>
                <c:pt idx="0">
                  <c:v>25</c:v>
                </c:pt>
              </c:numCache>
            </c:numRef>
          </c:xVal>
          <c:yVal>
            <c:numRef>
              <c:f>культура!$C$13</c:f>
              <c:numCache>
                <c:formatCode>General</c:formatCode>
                <c:ptCount val="1"/>
                <c:pt idx="0">
                  <c:v>0</c:v>
                </c:pt>
              </c:numCache>
            </c:numRef>
          </c:yVal>
          <c:smooth val="0"/>
        </c:ser>
        <c:ser>
          <c:idx val="11"/>
          <c:order val="11"/>
          <c:tx>
            <c:strRef>
              <c:f>культура!$A$14</c:f>
              <c:strCache>
                <c:ptCount val="1"/>
                <c:pt idx="0">
                  <c:v>Кинель-Черкасский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культура!$B$14</c:f>
              <c:numCache>
                <c:formatCode>General</c:formatCode>
                <c:ptCount val="1"/>
                <c:pt idx="0">
                  <c:v>28</c:v>
                </c:pt>
              </c:numCache>
            </c:numRef>
          </c:xVal>
          <c:yVal>
            <c:numRef>
              <c:f>культура!$C$14</c:f>
              <c:numCache>
                <c:formatCode>General</c:formatCode>
                <c:ptCount val="1"/>
                <c:pt idx="0">
                  <c:v>4</c:v>
                </c:pt>
              </c:numCache>
            </c:numRef>
          </c:yVal>
          <c:smooth val="0"/>
        </c:ser>
        <c:ser>
          <c:idx val="12"/>
          <c:order val="12"/>
          <c:tx>
            <c:strRef>
              <c:f>культура!$A$16</c:f>
              <c:strCache>
                <c:ptCount val="1"/>
                <c:pt idx="0">
                  <c:v>Кошкинский </c:v>
                </c:pt>
              </c:strCache>
            </c:strRef>
          </c:tx>
          <c:spPr>
            <a:ln w="35719">
              <a:noFill/>
            </a:ln>
          </c:spPr>
          <c:marker>
            <c:symbol val="circle"/>
            <c:size val="4"/>
            <c:spPr>
              <a:solidFill>
                <a:schemeClr val="accent1">
                  <a:lumMod val="50000"/>
                </a:schemeClr>
              </a:solidFill>
              <a:ln>
                <a:noFill/>
              </a:ln>
            </c:spPr>
          </c:marker>
          <c:dLbls>
            <c:dLbl>
              <c:idx val="0"/>
              <c:layout>
                <c:manualLayout>
                  <c:x val="-5.546602327332819E-2"/>
                  <c:y val="-4.6003262642740697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культура!$B$16</c:f>
              <c:numCache>
                <c:formatCode>General</c:formatCode>
                <c:ptCount val="1"/>
                <c:pt idx="0">
                  <c:v>37</c:v>
                </c:pt>
              </c:numCache>
            </c:numRef>
          </c:xVal>
          <c:yVal>
            <c:numRef>
              <c:f>культура!$C$16</c:f>
              <c:numCache>
                <c:formatCode>General</c:formatCode>
                <c:ptCount val="1"/>
                <c:pt idx="0">
                  <c:v>0</c:v>
                </c:pt>
              </c:numCache>
            </c:numRef>
          </c:yVal>
          <c:smooth val="0"/>
        </c:ser>
        <c:ser>
          <c:idx val="13"/>
          <c:order val="13"/>
          <c:tx>
            <c:strRef>
              <c:f>культура!$A$17</c:f>
              <c:strCache>
                <c:ptCount val="1"/>
                <c:pt idx="0">
                  <c:v>Красноармейский </c:v>
                </c:pt>
              </c:strCache>
            </c:strRef>
          </c:tx>
          <c:spPr>
            <a:ln w="35719">
              <a:noFill/>
            </a:ln>
          </c:spPr>
          <c:marker>
            <c:symbol val="circle"/>
            <c:size val="4"/>
            <c:spPr>
              <a:solidFill>
                <a:srgbClr val="4F81BD">
                  <a:lumMod val="50000"/>
                </a:srgbClr>
              </a:solidFill>
              <a:ln>
                <a:noFill/>
              </a:ln>
            </c:spPr>
          </c:marker>
          <c:dLbls>
            <c:dLbl>
              <c:idx val="0"/>
              <c:layout>
                <c:manualLayout>
                  <c:x val="-0.11708291725808539"/>
                  <c:y val="-2.6427406199021206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культура!$B$17</c:f>
              <c:numCache>
                <c:formatCode>General</c:formatCode>
                <c:ptCount val="1"/>
                <c:pt idx="0">
                  <c:v>23</c:v>
                </c:pt>
              </c:numCache>
            </c:numRef>
          </c:xVal>
          <c:yVal>
            <c:numRef>
              <c:f>культура!$C$17</c:f>
              <c:numCache>
                <c:formatCode>General</c:formatCode>
                <c:ptCount val="1"/>
                <c:pt idx="0">
                  <c:v>0</c:v>
                </c:pt>
              </c:numCache>
            </c:numRef>
          </c:yVal>
          <c:smooth val="0"/>
        </c:ser>
        <c:ser>
          <c:idx val="14"/>
          <c:order val="14"/>
          <c:tx>
            <c:strRef>
              <c:f>культура!$A$18</c:f>
              <c:strCache>
                <c:ptCount val="1"/>
                <c:pt idx="0">
                  <c:v>Красноярский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культура!$B$18</c:f>
              <c:numCache>
                <c:formatCode>General</c:formatCode>
                <c:ptCount val="1"/>
                <c:pt idx="0">
                  <c:v>24</c:v>
                </c:pt>
              </c:numCache>
            </c:numRef>
          </c:xVal>
          <c:yVal>
            <c:numRef>
              <c:f>культура!$C$18</c:f>
              <c:numCache>
                <c:formatCode>General</c:formatCode>
                <c:ptCount val="1"/>
                <c:pt idx="0">
                  <c:v>26</c:v>
                </c:pt>
              </c:numCache>
            </c:numRef>
          </c:yVal>
          <c:smooth val="0"/>
        </c:ser>
        <c:ser>
          <c:idx val="15"/>
          <c:order val="15"/>
          <c:tx>
            <c:strRef>
              <c:f>культура!$A$19</c:f>
              <c:strCache>
                <c:ptCount val="1"/>
                <c:pt idx="0">
                  <c:v>Нефтегорский </c:v>
                </c:pt>
              </c:strCache>
            </c:strRef>
          </c:tx>
          <c:spPr>
            <a:ln w="35719">
              <a:noFill/>
            </a:ln>
          </c:spPr>
          <c:marker>
            <c:symbol val="circle"/>
            <c:size val="4"/>
            <c:spPr>
              <a:solidFill>
                <a:schemeClr val="accent1">
                  <a:lumMod val="50000"/>
                </a:schemeClr>
              </a:solidFill>
            </c:spPr>
          </c:marker>
          <c:dLbls>
            <c:dLbl>
              <c:idx val="0"/>
              <c:layout>
                <c:manualLayout>
                  <c:x val="-0.10850595959629122"/>
                  <c:y val="7.9327369184686733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культура!$B$19</c:f>
              <c:numCache>
                <c:formatCode>General</c:formatCode>
                <c:ptCount val="1"/>
                <c:pt idx="0">
                  <c:v>16</c:v>
                </c:pt>
              </c:numCache>
            </c:numRef>
          </c:xVal>
          <c:yVal>
            <c:numRef>
              <c:f>культура!$C$19</c:f>
              <c:numCache>
                <c:formatCode>General</c:formatCode>
                <c:ptCount val="1"/>
                <c:pt idx="0">
                  <c:v>0</c:v>
                </c:pt>
              </c:numCache>
            </c:numRef>
          </c:yVal>
          <c:smooth val="0"/>
        </c:ser>
        <c:ser>
          <c:idx val="16"/>
          <c:order val="16"/>
          <c:tx>
            <c:strRef>
              <c:f>культура!$A$20</c:f>
              <c:strCache>
                <c:ptCount val="1"/>
                <c:pt idx="0">
                  <c:v>Пестравский </c:v>
                </c:pt>
              </c:strCache>
            </c:strRef>
          </c:tx>
          <c:spPr>
            <a:ln w="35719">
              <a:noFill/>
            </a:ln>
          </c:spPr>
          <c:marker>
            <c:symbol val="circle"/>
            <c:size val="4"/>
            <c:spPr>
              <a:solidFill>
                <a:srgbClr val="4F81BD">
                  <a:lumMod val="50000"/>
                </a:srgbClr>
              </a:solidFill>
              <a:ln>
                <a:noFill/>
              </a:ln>
            </c:spPr>
          </c:marker>
          <c:dLbls>
            <c:dLbl>
              <c:idx val="0"/>
              <c:layout>
                <c:manualLayout>
                  <c:x val="-1.8817852411716816E-3"/>
                  <c:y val="6.1990212071778138E-3"/>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культура!$B$20</c:f>
              <c:numCache>
                <c:formatCode>General</c:formatCode>
                <c:ptCount val="1"/>
                <c:pt idx="0">
                  <c:v>15</c:v>
                </c:pt>
              </c:numCache>
            </c:numRef>
          </c:xVal>
          <c:yVal>
            <c:numRef>
              <c:f>культура!$C$20</c:f>
              <c:numCache>
                <c:formatCode>General</c:formatCode>
                <c:ptCount val="1"/>
                <c:pt idx="0">
                  <c:v>14</c:v>
                </c:pt>
              </c:numCache>
            </c:numRef>
          </c:yVal>
          <c:smooth val="0"/>
        </c:ser>
        <c:ser>
          <c:idx val="17"/>
          <c:order val="17"/>
          <c:tx>
            <c:strRef>
              <c:f>культура!$A$21</c:f>
              <c:strCache>
                <c:ptCount val="1"/>
                <c:pt idx="0">
                  <c:v>Похвистневский </c:v>
                </c:pt>
              </c:strCache>
            </c:strRef>
          </c:tx>
          <c:spPr>
            <a:ln w="35719">
              <a:noFill/>
            </a:ln>
          </c:spPr>
          <c:marker>
            <c:symbol val="circle"/>
            <c:size val="4"/>
            <c:spPr>
              <a:solidFill>
                <a:srgbClr val="4F81BD">
                  <a:lumMod val="50000"/>
                </a:srgbClr>
              </a:solidFill>
              <a:ln>
                <a:noFill/>
              </a:ln>
            </c:spPr>
          </c:marker>
          <c:dLbls>
            <c:dLbl>
              <c:idx val="0"/>
              <c:tx>
                <c:rich>
                  <a:bodyPr/>
                  <a:lstStyle/>
                  <a:p>
                    <a:pPr>
                      <a:defRPr/>
                    </a:pPr>
                    <a:r>
                      <a:rPr lang="ru-RU"/>
                      <a:t>Похвистневский</a:t>
                    </a:r>
                    <a:endParaRPr lang="en-US"/>
                  </a:p>
                </c:rich>
              </c:tx>
              <c:spPr/>
              <c:dLblPos val="t"/>
              <c:showLegendKey val="0"/>
              <c:showVal val="0"/>
              <c:showCatName val="0"/>
              <c:showSerName val="0"/>
              <c:showPercent val="0"/>
              <c:showBubbleSize val="0"/>
            </c:dLbl>
            <c:dLblPos val="t"/>
            <c:showLegendKey val="0"/>
            <c:showVal val="1"/>
            <c:showCatName val="0"/>
            <c:showSerName val="0"/>
            <c:showPercent val="0"/>
            <c:showBubbleSize val="0"/>
            <c:showLeaderLines val="0"/>
          </c:dLbls>
          <c:xVal>
            <c:numRef>
              <c:f>культура!$B$21</c:f>
              <c:numCache>
                <c:formatCode>General</c:formatCode>
                <c:ptCount val="1"/>
                <c:pt idx="0">
                  <c:v>34</c:v>
                </c:pt>
              </c:numCache>
            </c:numRef>
          </c:xVal>
          <c:yVal>
            <c:numRef>
              <c:f>культура!$C$21</c:f>
              <c:numCache>
                <c:formatCode>General</c:formatCode>
                <c:ptCount val="1"/>
                <c:pt idx="0">
                  <c:v>0</c:v>
                </c:pt>
              </c:numCache>
            </c:numRef>
          </c:yVal>
          <c:smooth val="0"/>
        </c:ser>
        <c:ser>
          <c:idx val="18"/>
          <c:order val="18"/>
          <c:tx>
            <c:strRef>
              <c:f>культура!$A$22</c:f>
              <c:strCache>
                <c:ptCount val="1"/>
                <c:pt idx="0">
                  <c:v>Приволжский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культура!$B$22</c:f>
              <c:numCache>
                <c:formatCode>General</c:formatCode>
                <c:ptCount val="1"/>
                <c:pt idx="0">
                  <c:v>18</c:v>
                </c:pt>
              </c:numCache>
            </c:numRef>
          </c:xVal>
          <c:yVal>
            <c:numRef>
              <c:f>культура!$C$22</c:f>
              <c:numCache>
                <c:formatCode>General</c:formatCode>
                <c:ptCount val="1"/>
                <c:pt idx="0">
                  <c:v>19</c:v>
                </c:pt>
              </c:numCache>
            </c:numRef>
          </c:yVal>
          <c:smooth val="0"/>
        </c:ser>
        <c:ser>
          <c:idx val="19"/>
          <c:order val="19"/>
          <c:tx>
            <c:strRef>
              <c:f>культура!$A$23</c:f>
              <c:strCache>
                <c:ptCount val="1"/>
                <c:pt idx="0">
                  <c:v>Сергиевский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культура!$B$23</c:f>
              <c:numCache>
                <c:formatCode>General</c:formatCode>
                <c:ptCount val="1"/>
                <c:pt idx="0">
                  <c:v>31</c:v>
                </c:pt>
              </c:numCache>
            </c:numRef>
          </c:xVal>
          <c:yVal>
            <c:numRef>
              <c:f>культура!$C$23</c:f>
              <c:numCache>
                <c:formatCode>General</c:formatCode>
                <c:ptCount val="1"/>
                <c:pt idx="0">
                  <c:v>32</c:v>
                </c:pt>
              </c:numCache>
            </c:numRef>
          </c:yVal>
          <c:smooth val="0"/>
        </c:ser>
        <c:ser>
          <c:idx val="20"/>
          <c:order val="20"/>
          <c:tx>
            <c:strRef>
              <c:f>культура!$A$24</c:f>
              <c:strCache>
                <c:ptCount val="1"/>
                <c:pt idx="0">
                  <c:v>Ставропольский </c:v>
                </c:pt>
              </c:strCache>
            </c:strRef>
          </c:tx>
          <c:spPr>
            <a:ln w="35719">
              <a:noFill/>
            </a:ln>
          </c:spPr>
          <c:marker>
            <c:symbol val="circle"/>
            <c:size val="4"/>
            <c:spPr>
              <a:solidFill>
                <a:srgbClr val="4F81BD">
                  <a:lumMod val="50000"/>
                </a:srgbClr>
              </a:solidFill>
              <a:ln>
                <a:noFill/>
              </a:ln>
            </c:spPr>
          </c:marker>
          <c:dLbls>
            <c:dLblPos val="t"/>
            <c:showLegendKey val="0"/>
            <c:showVal val="0"/>
            <c:showCatName val="0"/>
            <c:showSerName val="1"/>
            <c:showPercent val="0"/>
            <c:showBubbleSize val="0"/>
            <c:showLeaderLines val="0"/>
          </c:dLbls>
          <c:xVal>
            <c:numRef>
              <c:f>культура!$B$24</c:f>
              <c:numCache>
                <c:formatCode>General</c:formatCode>
                <c:ptCount val="1"/>
                <c:pt idx="0">
                  <c:v>34</c:v>
                </c:pt>
              </c:numCache>
            </c:numRef>
          </c:xVal>
          <c:yVal>
            <c:numRef>
              <c:f>культура!$C$24</c:f>
              <c:numCache>
                <c:formatCode>General</c:formatCode>
                <c:ptCount val="1"/>
                <c:pt idx="0">
                  <c:v>35</c:v>
                </c:pt>
              </c:numCache>
            </c:numRef>
          </c:yVal>
          <c:smooth val="0"/>
        </c:ser>
        <c:ser>
          <c:idx val="21"/>
          <c:order val="21"/>
          <c:tx>
            <c:strRef>
              <c:f>культура!$A$26</c:f>
              <c:strCache>
                <c:ptCount val="1"/>
                <c:pt idx="0">
                  <c:v>Хворостянский </c:v>
                </c:pt>
              </c:strCache>
            </c:strRef>
          </c:tx>
          <c:spPr>
            <a:ln w="35719">
              <a:noFill/>
            </a:ln>
          </c:spPr>
          <c:marker>
            <c:symbol val="circle"/>
            <c:size val="4"/>
            <c:spPr>
              <a:solidFill>
                <a:srgbClr val="4F81BD">
                  <a:lumMod val="50000"/>
                </a:srgbClr>
              </a:solidFill>
              <a:ln>
                <a:noFill/>
              </a:ln>
            </c:spPr>
          </c:marker>
          <c:dLbls>
            <c:dLbl>
              <c:idx val="0"/>
              <c:layout>
                <c:manualLayout>
                  <c:x val="-2.8487219808403859E-2"/>
                  <c:y val="6.0679716628809145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культура!$B$26</c:f>
              <c:numCache>
                <c:formatCode>General</c:formatCode>
                <c:ptCount val="1"/>
                <c:pt idx="0">
                  <c:v>19</c:v>
                </c:pt>
              </c:numCache>
            </c:numRef>
          </c:xVal>
          <c:yVal>
            <c:numRef>
              <c:f>культура!$C$26</c:f>
              <c:numCache>
                <c:formatCode>General</c:formatCode>
                <c:ptCount val="1"/>
                <c:pt idx="0">
                  <c:v>0</c:v>
                </c:pt>
              </c:numCache>
            </c:numRef>
          </c:yVal>
          <c:smooth val="0"/>
        </c:ser>
        <c:ser>
          <c:idx val="22"/>
          <c:order val="22"/>
          <c:tx>
            <c:strRef>
              <c:f>культура!$A$27</c:f>
              <c:strCache>
                <c:ptCount val="1"/>
                <c:pt idx="0">
                  <c:v>Челно-Вершинский </c:v>
                </c:pt>
              </c:strCache>
            </c:strRef>
          </c:tx>
          <c:spPr>
            <a:ln w="35719">
              <a:noFill/>
            </a:ln>
          </c:spPr>
          <c:marker>
            <c:symbol val="circle"/>
            <c:size val="4"/>
            <c:spPr>
              <a:solidFill>
                <a:srgbClr val="4F81BD">
                  <a:lumMod val="50000"/>
                </a:srgbClr>
              </a:solidFill>
              <a:ln>
                <a:noFill/>
              </a:ln>
            </c:spPr>
          </c:marker>
          <c:dLbls>
            <c:dLbl>
              <c:idx val="0"/>
              <c:layout>
                <c:manualLayout>
                  <c:x val="-9.4603465859007571E-2"/>
                  <c:y val="-2.9690048939641112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культура!$B$27</c:f>
              <c:numCache>
                <c:formatCode>General</c:formatCode>
                <c:ptCount val="1"/>
                <c:pt idx="0">
                  <c:v>23</c:v>
                </c:pt>
              </c:numCache>
            </c:numRef>
          </c:xVal>
          <c:yVal>
            <c:numRef>
              <c:f>культура!$C$27</c:f>
              <c:numCache>
                <c:formatCode>General</c:formatCode>
                <c:ptCount val="1"/>
                <c:pt idx="0">
                  <c:v>22</c:v>
                </c:pt>
              </c:numCache>
            </c:numRef>
          </c:yVal>
          <c:smooth val="0"/>
        </c:ser>
        <c:ser>
          <c:idx val="23"/>
          <c:order val="23"/>
          <c:tx>
            <c:strRef>
              <c:f>культура!$A$28</c:f>
              <c:strCache>
                <c:ptCount val="1"/>
                <c:pt idx="0">
                  <c:v>Шенталинский </c:v>
                </c:pt>
              </c:strCache>
            </c:strRef>
          </c:tx>
          <c:spPr>
            <a:ln w="35719">
              <a:noFill/>
            </a:ln>
          </c:spPr>
          <c:marker>
            <c:symbol val="circle"/>
            <c:size val="4"/>
            <c:spPr>
              <a:solidFill>
                <a:srgbClr val="4F81BD">
                  <a:lumMod val="50000"/>
                </a:srgbClr>
              </a:solidFill>
              <a:ln>
                <a:noFill/>
              </a:ln>
            </c:spPr>
          </c:marker>
          <c:dLbls>
            <c:dLbl>
              <c:idx val="0"/>
              <c:layout>
                <c:manualLayout>
                  <c:x val="-3.2995467420017507E-2"/>
                  <c:y val="6.1510075812069499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культура!$B$28</c:f>
              <c:numCache>
                <c:formatCode>General</c:formatCode>
                <c:ptCount val="1"/>
                <c:pt idx="0">
                  <c:v>29</c:v>
                </c:pt>
              </c:numCache>
            </c:numRef>
          </c:xVal>
          <c:yVal>
            <c:numRef>
              <c:f>культура!$C$28</c:f>
              <c:numCache>
                <c:formatCode>General</c:formatCode>
                <c:ptCount val="1"/>
                <c:pt idx="0">
                  <c:v>0</c:v>
                </c:pt>
              </c:numCache>
            </c:numRef>
          </c:yVal>
          <c:smooth val="0"/>
        </c:ser>
        <c:ser>
          <c:idx val="24"/>
          <c:order val="24"/>
          <c:tx>
            <c:strRef>
              <c:f>культура!$A$29</c:f>
              <c:strCache>
                <c:ptCount val="1"/>
                <c:pt idx="0">
                  <c:v>Шигонский </c:v>
                </c:pt>
              </c:strCache>
            </c:strRef>
          </c:tx>
          <c:spPr>
            <a:ln w="35719">
              <a:noFill/>
            </a:ln>
          </c:spPr>
          <c:marker>
            <c:symbol val="circle"/>
            <c:size val="4"/>
            <c:spPr>
              <a:solidFill>
                <a:srgbClr val="FF0000"/>
              </a:solidFill>
              <a:ln>
                <a:noFill/>
              </a:ln>
            </c:spPr>
          </c:marker>
          <c:dPt>
            <c:idx val="0"/>
            <c:marker>
              <c:spPr>
                <a:solidFill>
                  <a:schemeClr val="tx2">
                    <a:lumMod val="75000"/>
                  </a:schemeClr>
                </a:solidFill>
                <a:ln>
                  <a:noFill/>
                </a:ln>
              </c:spPr>
            </c:marker>
            <c:bubble3D val="0"/>
          </c:dPt>
          <c:dLbls>
            <c:dLbl>
              <c:idx val="0"/>
              <c:layout>
                <c:manualLayout>
                  <c:x val="-6.2768881965849871E-2"/>
                  <c:y val="2.4214553542811438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культура!$B$27</c:f>
              <c:numCache>
                <c:formatCode>General</c:formatCode>
                <c:ptCount val="1"/>
                <c:pt idx="0">
                  <c:v>23</c:v>
                </c:pt>
              </c:numCache>
            </c:numRef>
          </c:xVal>
          <c:yVal>
            <c:numRef>
              <c:f>культура!$C$29</c:f>
              <c:numCache>
                <c:formatCode>General</c:formatCode>
                <c:ptCount val="1"/>
                <c:pt idx="0">
                  <c:v>20</c:v>
                </c:pt>
              </c:numCache>
            </c:numRef>
          </c:yVal>
          <c:smooth val="0"/>
        </c:ser>
        <c:ser>
          <c:idx val="25"/>
          <c:order val="25"/>
          <c:tx>
            <c:strRef>
              <c:f>культура!$A$15</c:f>
              <c:strCache>
                <c:ptCount val="1"/>
                <c:pt idx="0">
                  <c:v>Клявлинский</c:v>
                </c:pt>
              </c:strCache>
            </c:strRef>
          </c:tx>
          <c:spPr>
            <a:ln w="35719">
              <a:noFill/>
            </a:ln>
          </c:spPr>
          <c:marker>
            <c:symbol val="circle"/>
            <c:size val="4"/>
            <c:spPr>
              <a:solidFill>
                <a:schemeClr val="accent1">
                  <a:lumMod val="50000"/>
                </a:schemeClr>
              </a:solidFill>
              <a:ln>
                <a:noFill/>
              </a:ln>
            </c:spPr>
          </c:marker>
          <c:dLbls>
            <c:dLbl>
              <c:idx val="0"/>
              <c:layout>
                <c:manualLayout>
                  <c:x val="-4.2512515446693849E-2"/>
                  <c:y val="-4.1109298531810771E-2"/>
                </c:manualLayout>
              </c:layout>
              <c:spPr/>
              <c:txPr>
                <a:bodyPr/>
                <a:lstStyle/>
                <a:p>
                  <a:pPr>
                    <a:defRPr/>
                  </a:pPr>
                  <a:endParaRPr lang="ru-RU"/>
                </a:p>
              </c:txPr>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культура!$B$15</c:f>
              <c:numCache>
                <c:formatCode>General</c:formatCode>
                <c:ptCount val="1"/>
                <c:pt idx="0">
                  <c:v>25</c:v>
                </c:pt>
              </c:numCache>
            </c:numRef>
          </c:xVal>
          <c:yVal>
            <c:numRef>
              <c:f>культура!$C$15</c:f>
              <c:numCache>
                <c:formatCode>General</c:formatCode>
                <c:ptCount val="1"/>
                <c:pt idx="0">
                  <c:v>0</c:v>
                </c:pt>
              </c:numCache>
            </c:numRef>
          </c:yVal>
          <c:smooth val="0"/>
        </c:ser>
        <c:dLbls>
          <c:showLegendKey val="0"/>
          <c:showVal val="0"/>
          <c:showCatName val="0"/>
          <c:showSerName val="0"/>
          <c:showPercent val="0"/>
          <c:showBubbleSize val="0"/>
        </c:dLbls>
        <c:axId val="104990976"/>
        <c:axId val="104997248"/>
      </c:scatterChart>
      <c:valAx>
        <c:axId val="104990976"/>
        <c:scaling>
          <c:orientation val="minMax"/>
          <c:min val="13"/>
        </c:scaling>
        <c:delete val="0"/>
        <c:axPos val="b"/>
        <c:title>
          <c:tx>
            <c:rich>
              <a:bodyPr/>
              <a:lstStyle/>
              <a:p>
                <a:pPr>
                  <a:defRPr sz="750" b="1" i="0" u="none" strike="noStrike" baseline="0">
                    <a:solidFill>
                      <a:srgbClr val="000000"/>
                    </a:solidFill>
                    <a:latin typeface="Times New Roman"/>
                    <a:ea typeface="Times New Roman"/>
                    <a:cs typeface="Times New Roman"/>
                  </a:defRPr>
                </a:pPr>
                <a:r>
                  <a:rPr lang="ru-RU"/>
                  <a:t>Число учреждений культурно-досугового типа</a:t>
                </a:r>
              </a:p>
            </c:rich>
          </c:tx>
          <c:overlay val="0"/>
        </c:title>
        <c:numFmt formatCode="General" sourceLinked="1"/>
        <c:majorTickMark val="out"/>
        <c:minorTickMark val="none"/>
        <c:tickLblPos val="nextTo"/>
        <c:txPr>
          <a:bodyPr rot="0" vert="horz"/>
          <a:lstStyle/>
          <a:p>
            <a:pPr>
              <a:defRPr sz="750" b="0" i="0" u="none" strike="noStrike" baseline="0">
                <a:solidFill>
                  <a:srgbClr val="000000"/>
                </a:solidFill>
                <a:latin typeface="Times New Roman"/>
                <a:ea typeface="Times New Roman"/>
                <a:cs typeface="Times New Roman"/>
              </a:defRPr>
            </a:pPr>
            <a:endParaRPr lang="ru-RU"/>
          </a:p>
        </c:txPr>
        <c:crossAx val="104997248"/>
        <c:crosses val="autoZero"/>
        <c:crossBetween val="midCat"/>
      </c:valAx>
      <c:valAx>
        <c:axId val="104997248"/>
        <c:scaling>
          <c:orientation val="minMax"/>
          <c:min val="0"/>
        </c:scaling>
        <c:delete val="0"/>
        <c:axPos val="l"/>
        <c:title>
          <c:tx>
            <c:rich>
              <a:bodyPr/>
              <a:lstStyle/>
              <a:p>
                <a:pPr>
                  <a:defRPr sz="750" b="1" i="0" u="none" strike="noStrike" baseline="0">
                    <a:solidFill>
                      <a:srgbClr val="000000"/>
                    </a:solidFill>
                    <a:latin typeface="Times New Roman"/>
                    <a:ea typeface="Times New Roman"/>
                    <a:cs typeface="Times New Roman"/>
                  </a:defRPr>
                </a:pPr>
                <a:r>
                  <a:rPr lang="ru-RU"/>
                  <a:t>Число общедоступных  библиотек</a:t>
                </a:r>
              </a:p>
            </c:rich>
          </c:tx>
          <c:overlay val="0"/>
        </c:title>
        <c:numFmt formatCode="General" sourceLinked="1"/>
        <c:majorTickMark val="out"/>
        <c:minorTickMark val="none"/>
        <c:tickLblPos val="nextTo"/>
        <c:crossAx val="104990976"/>
        <c:crosses val="autoZero"/>
        <c:crossBetween val="midCat"/>
      </c:valAx>
      <c:spPr>
        <a:noFill/>
        <a:ln>
          <a:solidFill>
            <a:schemeClr val="dk1">
              <a:shade val="95000"/>
              <a:satMod val="105000"/>
            </a:schemeClr>
          </a:solidFill>
        </a:ln>
      </c:spPr>
    </c:plotArea>
    <c:plotVisOnly val="1"/>
    <c:dispBlanksAs val="gap"/>
    <c:showDLblsOverMax val="0"/>
  </c:chart>
  <c:spPr>
    <a:noFill/>
  </c:spPr>
  <c:txPr>
    <a:bodyPr/>
    <a:lstStyle/>
    <a:p>
      <a:pPr>
        <a:defRPr sz="75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26749781277414"/>
          <c:y val="0"/>
          <c:w val="0.47189334053580134"/>
          <c:h val="0.98578762512840834"/>
        </c:manualLayout>
      </c:layout>
      <c:pieChart>
        <c:varyColors val="1"/>
        <c:ser>
          <c:idx val="0"/>
          <c:order val="0"/>
          <c:spPr>
            <a:solidFill>
              <a:schemeClr val="accent1"/>
            </a:solidFill>
          </c:spPr>
          <c:explosion val="2"/>
          <c:dPt>
            <c:idx val="0"/>
            <c:bubble3D val="0"/>
            <c:spPr>
              <a:solidFill>
                <a:srgbClr val="376092"/>
              </a:solidFill>
            </c:spPr>
          </c:dPt>
          <c:dPt>
            <c:idx val="1"/>
            <c:bubble3D val="0"/>
            <c:spPr>
              <a:solidFill>
                <a:srgbClr val="C50000"/>
              </a:solidFill>
            </c:spPr>
          </c:dPt>
          <c:dPt>
            <c:idx val="2"/>
            <c:bubble3D val="0"/>
            <c:spPr>
              <a:solidFill>
                <a:srgbClr val="7F7F7F"/>
              </a:solidFill>
            </c:spPr>
          </c:dPt>
          <c:dLbls>
            <c:txPr>
              <a:bodyPr/>
              <a:lstStyle/>
              <a:p>
                <a:pPr>
                  <a:defRPr sz="8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dLbls>
          <c:cat>
            <c:strRef>
              <c:f>Молодежь!$D$13:$D$15</c:f>
              <c:strCache>
                <c:ptCount val="3"/>
                <c:pt idx="0">
                  <c:v>От 0 до 13 лет</c:v>
                </c:pt>
                <c:pt idx="1">
                  <c:v>От 14-29 лет </c:v>
                </c:pt>
                <c:pt idx="2">
                  <c:v>Больше 30 лет</c:v>
                </c:pt>
              </c:strCache>
            </c:strRef>
          </c:cat>
          <c:val>
            <c:numRef>
              <c:f>Молодежь!$E$13:$E$15</c:f>
              <c:numCache>
                <c:formatCode>General</c:formatCode>
                <c:ptCount val="3"/>
                <c:pt idx="0">
                  <c:v>1784</c:v>
                </c:pt>
                <c:pt idx="1">
                  <c:v>2107</c:v>
                </c:pt>
                <c:pt idx="2">
                  <c:v>6957</c:v>
                </c:pt>
              </c:numCache>
            </c:numRef>
          </c:val>
        </c:ser>
        <c:dLbls>
          <c:showLegendKey val="0"/>
          <c:showVal val="0"/>
          <c:showCatName val="0"/>
          <c:showSerName val="0"/>
          <c:showPercent val="0"/>
          <c:showBubbleSize val="0"/>
          <c:showLeaderLines val="1"/>
        </c:dLbls>
        <c:firstSliceAng val="0"/>
      </c:pieChart>
      <c:spPr>
        <a:noFill/>
        <a:ln w="25413">
          <a:noFill/>
        </a:ln>
      </c:spPr>
    </c:plotArea>
    <c:legend>
      <c:legendPos val="r"/>
      <c:overlay val="0"/>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ln>
      <a:noFill/>
    </a:ln>
  </c:spPr>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286753238371157"/>
          <c:y val="0.14591614820089707"/>
          <c:w val="0.65965235186340265"/>
          <c:h val="0.75330829388663678"/>
        </c:manualLayout>
      </c:layout>
      <c:barChart>
        <c:barDir val="bar"/>
        <c:grouping val="clustered"/>
        <c:varyColors val="0"/>
        <c:ser>
          <c:idx val="0"/>
          <c:order val="0"/>
          <c:invertIfNegative val="0"/>
          <c:dPt>
            <c:idx val="11"/>
            <c:invertIfNegative val="0"/>
            <c:bubble3D val="0"/>
            <c:spPr>
              <a:solidFill>
                <a:srgbClr val="FF0000"/>
              </a:solidFill>
            </c:spPr>
          </c:dPt>
          <c:cat>
            <c:strRef>
              <c:f>Правонарушения!$A$3:$A$29</c:f>
              <c:strCache>
                <c:ptCount val="27"/>
                <c:pt idx="0">
                  <c:v>Сызранский</c:v>
                </c:pt>
                <c:pt idx="1">
                  <c:v>Богатовский</c:v>
                </c:pt>
                <c:pt idx="2">
                  <c:v>Красноярский</c:v>
                </c:pt>
                <c:pt idx="3">
                  <c:v>Красноармейский</c:v>
                </c:pt>
                <c:pt idx="4">
                  <c:v>Ставропольский</c:v>
                </c:pt>
                <c:pt idx="5">
                  <c:v>Елховский</c:v>
                </c:pt>
                <c:pt idx="6">
                  <c:v>Безенчукский</c:v>
                </c:pt>
                <c:pt idx="7">
                  <c:v>Кинель-Черкасский</c:v>
                </c:pt>
                <c:pt idx="8">
                  <c:v>Хворостянский</c:v>
                </c:pt>
                <c:pt idx="9">
                  <c:v>Исаклинский</c:v>
                </c:pt>
                <c:pt idx="10">
                  <c:v>Волжский</c:v>
                </c:pt>
                <c:pt idx="11">
                  <c:v>Камышлинский</c:v>
                </c:pt>
                <c:pt idx="12">
                  <c:v>Большечерниговский</c:v>
                </c:pt>
                <c:pt idx="13">
                  <c:v>Клявлинский</c:v>
                </c:pt>
                <c:pt idx="14">
                  <c:v>Сергиевский</c:v>
                </c:pt>
                <c:pt idx="15">
                  <c:v>Похвистневский</c:v>
                </c:pt>
                <c:pt idx="16">
                  <c:v>Большеглушицкий</c:v>
                </c:pt>
                <c:pt idx="17">
                  <c:v>Шенталинский</c:v>
                </c:pt>
                <c:pt idx="18">
                  <c:v>Кошкинский</c:v>
                </c:pt>
                <c:pt idx="19">
                  <c:v>Шигонский</c:v>
                </c:pt>
                <c:pt idx="20">
                  <c:v>Челно-Вершинский</c:v>
                </c:pt>
                <c:pt idx="21">
                  <c:v>Пестравский</c:v>
                </c:pt>
                <c:pt idx="22">
                  <c:v>Кинельский</c:v>
                </c:pt>
                <c:pt idx="23">
                  <c:v>Алексеевский</c:v>
                </c:pt>
                <c:pt idx="24">
                  <c:v>Приволжский</c:v>
                </c:pt>
                <c:pt idx="25">
                  <c:v>Борский</c:v>
                </c:pt>
                <c:pt idx="26">
                  <c:v>Нефтегорский</c:v>
                </c:pt>
              </c:strCache>
            </c:strRef>
          </c:cat>
          <c:val>
            <c:numRef>
              <c:f>Правонарушения!$C$3:$C$29</c:f>
              <c:numCache>
                <c:formatCode>General</c:formatCode>
                <c:ptCount val="27"/>
                <c:pt idx="0">
                  <c:v>1830</c:v>
                </c:pt>
                <c:pt idx="1">
                  <c:v>1622</c:v>
                </c:pt>
                <c:pt idx="2">
                  <c:v>1588</c:v>
                </c:pt>
                <c:pt idx="3">
                  <c:v>1537</c:v>
                </c:pt>
                <c:pt idx="4">
                  <c:v>1532</c:v>
                </c:pt>
                <c:pt idx="5">
                  <c:v>1454</c:v>
                </c:pt>
                <c:pt idx="6">
                  <c:v>1293</c:v>
                </c:pt>
                <c:pt idx="7">
                  <c:v>1282</c:v>
                </c:pt>
                <c:pt idx="8">
                  <c:v>1273</c:v>
                </c:pt>
                <c:pt idx="9">
                  <c:v>1255</c:v>
                </c:pt>
                <c:pt idx="10">
                  <c:v>1196</c:v>
                </c:pt>
                <c:pt idx="11">
                  <c:v>1186</c:v>
                </c:pt>
                <c:pt idx="12">
                  <c:v>1140</c:v>
                </c:pt>
                <c:pt idx="13">
                  <c:v>1139</c:v>
                </c:pt>
                <c:pt idx="14">
                  <c:v>1132</c:v>
                </c:pt>
                <c:pt idx="15">
                  <c:v>1124</c:v>
                </c:pt>
                <c:pt idx="16">
                  <c:v>1112</c:v>
                </c:pt>
                <c:pt idx="17">
                  <c:v>1070</c:v>
                </c:pt>
                <c:pt idx="18">
                  <c:v>1069</c:v>
                </c:pt>
                <c:pt idx="19">
                  <c:v>1050</c:v>
                </c:pt>
                <c:pt idx="20">
                  <c:v>1031</c:v>
                </c:pt>
                <c:pt idx="21">
                  <c:v>1010</c:v>
                </c:pt>
                <c:pt idx="22">
                  <c:v>995</c:v>
                </c:pt>
                <c:pt idx="23">
                  <c:v>977</c:v>
                </c:pt>
                <c:pt idx="24">
                  <c:v>974</c:v>
                </c:pt>
                <c:pt idx="25">
                  <c:v>916</c:v>
                </c:pt>
                <c:pt idx="26">
                  <c:v>856</c:v>
                </c:pt>
              </c:numCache>
            </c:numRef>
          </c:val>
        </c:ser>
        <c:ser>
          <c:idx val="1"/>
          <c:order val="1"/>
          <c:spPr>
            <a:noFill/>
          </c:spPr>
          <c:invertIfNegative val="0"/>
          <c:trendline>
            <c:spPr>
              <a:ln>
                <a:prstDash val="sysDash"/>
              </a:ln>
            </c:spPr>
            <c:trendlineType val="linear"/>
            <c:dispRSqr val="0"/>
            <c:dispEq val="0"/>
          </c:trendline>
          <c:cat>
            <c:strRef>
              <c:f>Правонарушения!$A$3:$A$29</c:f>
              <c:strCache>
                <c:ptCount val="27"/>
                <c:pt idx="0">
                  <c:v>Сызранский</c:v>
                </c:pt>
                <c:pt idx="1">
                  <c:v>Богатовский</c:v>
                </c:pt>
                <c:pt idx="2">
                  <c:v>Красноярский</c:v>
                </c:pt>
                <c:pt idx="3">
                  <c:v>Красноармейский</c:v>
                </c:pt>
                <c:pt idx="4">
                  <c:v>Ставропольский</c:v>
                </c:pt>
                <c:pt idx="5">
                  <c:v>Елховский</c:v>
                </c:pt>
                <c:pt idx="6">
                  <c:v>Безенчукский</c:v>
                </c:pt>
                <c:pt idx="7">
                  <c:v>Кинель-Черкасский</c:v>
                </c:pt>
                <c:pt idx="8">
                  <c:v>Хворостянский</c:v>
                </c:pt>
                <c:pt idx="9">
                  <c:v>Исаклинский</c:v>
                </c:pt>
                <c:pt idx="10">
                  <c:v>Волжский</c:v>
                </c:pt>
                <c:pt idx="11">
                  <c:v>Камышлинский</c:v>
                </c:pt>
                <c:pt idx="12">
                  <c:v>Большечерниговский</c:v>
                </c:pt>
                <c:pt idx="13">
                  <c:v>Клявлинский</c:v>
                </c:pt>
                <c:pt idx="14">
                  <c:v>Сергиевский</c:v>
                </c:pt>
                <c:pt idx="15">
                  <c:v>Похвистневский</c:v>
                </c:pt>
                <c:pt idx="16">
                  <c:v>Большеглушицкий</c:v>
                </c:pt>
                <c:pt idx="17">
                  <c:v>Шенталинский</c:v>
                </c:pt>
                <c:pt idx="18">
                  <c:v>Кошкинский</c:v>
                </c:pt>
                <c:pt idx="19">
                  <c:v>Шигонский</c:v>
                </c:pt>
                <c:pt idx="20">
                  <c:v>Челно-Вершинский</c:v>
                </c:pt>
                <c:pt idx="21">
                  <c:v>Пестравский</c:v>
                </c:pt>
                <c:pt idx="22">
                  <c:v>Кинельский</c:v>
                </c:pt>
                <c:pt idx="23">
                  <c:v>Алексеевский</c:v>
                </c:pt>
                <c:pt idx="24">
                  <c:v>Приволжский</c:v>
                </c:pt>
                <c:pt idx="25">
                  <c:v>Борский</c:v>
                </c:pt>
                <c:pt idx="26">
                  <c:v>Нефтегорский</c:v>
                </c:pt>
              </c:strCache>
            </c:strRef>
          </c:cat>
          <c:val>
            <c:numRef>
              <c:f>Правонарушения!$D$3:$D$29</c:f>
              <c:numCache>
                <c:formatCode>General</c:formatCode>
                <c:ptCount val="27"/>
                <c:pt idx="0">
                  <c:v>1209</c:v>
                </c:pt>
                <c:pt idx="1">
                  <c:v>1209</c:v>
                </c:pt>
                <c:pt idx="2">
                  <c:v>1209</c:v>
                </c:pt>
                <c:pt idx="3">
                  <c:v>1209</c:v>
                </c:pt>
                <c:pt idx="4">
                  <c:v>1209</c:v>
                </c:pt>
                <c:pt idx="5">
                  <c:v>1209</c:v>
                </c:pt>
                <c:pt idx="6">
                  <c:v>1209</c:v>
                </c:pt>
                <c:pt idx="7">
                  <c:v>1209</c:v>
                </c:pt>
                <c:pt idx="8">
                  <c:v>1209</c:v>
                </c:pt>
                <c:pt idx="9">
                  <c:v>1209</c:v>
                </c:pt>
                <c:pt idx="10">
                  <c:v>1209</c:v>
                </c:pt>
                <c:pt idx="11">
                  <c:v>1209</c:v>
                </c:pt>
                <c:pt idx="12">
                  <c:v>1209</c:v>
                </c:pt>
                <c:pt idx="13">
                  <c:v>1209</c:v>
                </c:pt>
                <c:pt idx="14">
                  <c:v>1209</c:v>
                </c:pt>
                <c:pt idx="15">
                  <c:v>1209</c:v>
                </c:pt>
                <c:pt idx="16">
                  <c:v>1209</c:v>
                </c:pt>
                <c:pt idx="17">
                  <c:v>1209</c:v>
                </c:pt>
                <c:pt idx="18">
                  <c:v>1209</c:v>
                </c:pt>
                <c:pt idx="19">
                  <c:v>1209</c:v>
                </c:pt>
                <c:pt idx="20">
                  <c:v>1209</c:v>
                </c:pt>
                <c:pt idx="21">
                  <c:v>1209</c:v>
                </c:pt>
                <c:pt idx="22">
                  <c:v>1209</c:v>
                </c:pt>
                <c:pt idx="23">
                  <c:v>1209</c:v>
                </c:pt>
                <c:pt idx="24">
                  <c:v>1209</c:v>
                </c:pt>
                <c:pt idx="25">
                  <c:v>1209</c:v>
                </c:pt>
                <c:pt idx="26">
                  <c:v>1209</c:v>
                </c:pt>
              </c:numCache>
            </c:numRef>
          </c:val>
        </c:ser>
        <c:dLbls>
          <c:showLegendKey val="0"/>
          <c:showVal val="0"/>
          <c:showCatName val="0"/>
          <c:showSerName val="0"/>
          <c:showPercent val="0"/>
          <c:showBubbleSize val="0"/>
        </c:dLbls>
        <c:gapWidth val="150"/>
        <c:axId val="104500224"/>
        <c:axId val="105132800"/>
      </c:barChart>
      <c:catAx>
        <c:axId val="104500224"/>
        <c:scaling>
          <c:orientation val="minMax"/>
        </c:scaling>
        <c:delete val="0"/>
        <c:axPos val="l"/>
        <c:numFmt formatCode="General" sourceLinked="1"/>
        <c:majorTickMark val="none"/>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5132800"/>
        <c:crosses val="autoZero"/>
        <c:auto val="1"/>
        <c:lblAlgn val="ctr"/>
        <c:lblOffset val="100"/>
        <c:tickLblSkip val="1"/>
        <c:noMultiLvlLbl val="0"/>
      </c:catAx>
      <c:valAx>
        <c:axId val="105132800"/>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4500224"/>
        <c:crosses val="autoZero"/>
        <c:crossBetween val="between"/>
      </c:valAx>
    </c:plotArea>
    <c:plotVisOnly val="1"/>
    <c:dispBlanksAs val="gap"/>
    <c:showDLblsOverMax val="0"/>
  </c:chart>
  <c:txPr>
    <a:bodyPr/>
    <a:lstStyle/>
    <a:p>
      <a:pPr>
        <a:defRPr sz="800" b="0" i="0" u="none" strike="noStrike" baseline="0">
          <a:solidFill>
            <a:srgbClr val="000000"/>
          </a:solidFill>
          <a:latin typeface="Times New Roman"/>
          <a:ea typeface="Times New Roman"/>
          <a:cs typeface="Times New Roman"/>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26618547681601"/>
          <c:y val="0.28288203557888753"/>
          <c:w val="0.71490048118985161"/>
          <c:h val="0.5052121609798752"/>
        </c:manualLayout>
      </c:layout>
      <c:scatterChart>
        <c:scatterStyle val="lineMarker"/>
        <c:varyColors val="0"/>
        <c:ser>
          <c:idx val="0"/>
          <c:order val="0"/>
          <c:spPr>
            <a:ln w="28550">
              <a:noFill/>
            </a:ln>
          </c:spPr>
          <c:xVal>
            <c:numRef>
              <c:f>Правонарушения!$A$41:$A$51</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xVal>
          <c:yVal>
            <c:numRef>
              <c:f>Правонарушения!$B$41:$B$51</c:f>
              <c:numCache>
                <c:formatCode>General</c:formatCode>
                <c:ptCount val="11"/>
                <c:pt idx="0">
                  <c:v>2216</c:v>
                </c:pt>
                <c:pt idx="1">
                  <c:v>1770</c:v>
                </c:pt>
                <c:pt idx="2">
                  <c:v>1781</c:v>
                </c:pt>
                <c:pt idx="3">
                  <c:v>1456</c:v>
                </c:pt>
                <c:pt idx="4">
                  <c:v>1434</c:v>
                </c:pt>
                <c:pt idx="5">
                  <c:v>1466</c:v>
                </c:pt>
                <c:pt idx="6">
                  <c:v>1198</c:v>
                </c:pt>
                <c:pt idx="7">
                  <c:v>909</c:v>
                </c:pt>
                <c:pt idx="8">
                  <c:v>1184</c:v>
                </c:pt>
                <c:pt idx="9">
                  <c:v>1549</c:v>
                </c:pt>
                <c:pt idx="10">
                  <c:v>1186</c:v>
                </c:pt>
              </c:numCache>
            </c:numRef>
          </c:yVal>
          <c:smooth val="0"/>
        </c:ser>
        <c:dLbls>
          <c:showLegendKey val="0"/>
          <c:showVal val="0"/>
          <c:showCatName val="0"/>
          <c:showSerName val="0"/>
          <c:showPercent val="0"/>
          <c:showBubbleSize val="0"/>
        </c:dLbls>
        <c:axId val="106459520"/>
        <c:axId val="106461440"/>
      </c:scatterChart>
      <c:valAx>
        <c:axId val="106459520"/>
        <c:scaling>
          <c:orientation val="minMax"/>
          <c:max val="2016"/>
          <c:min val="2006"/>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ru-RU"/>
                  <a:t>Годы</a:t>
                </a:r>
              </a:p>
            </c:rich>
          </c:tx>
          <c:overlay val="0"/>
        </c:title>
        <c:numFmt formatCode="General" sourceLinked="1"/>
        <c:majorTickMark val="none"/>
        <c:minorTickMark val="none"/>
        <c:tickLblPos val="nextTo"/>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06461440"/>
        <c:crosses val="autoZero"/>
        <c:crossBetween val="midCat"/>
        <c:majorUnit val="1"/>
      </c:valAx>
      <c:valAx>
        <c:axId val="106461440"/>
        <c:scaling>
          <c:orientation val="minMax"/>
        </c:scaling>
        <c:delete val="0"/>
        <c:axPos val="l"/>
        <c:title>
          <c:tx>
            <c:rich>
              <a:bodyPr/>
              <a:lstStyle/>
              <a:p>
                <a:pPr>
                  <a:defRPr sz="800" b="1" i="0" u="none" strike="noStrike" baseline="0">
                    <a:solidFill>
                      <a:srgbClr val="000000"/>
                    </a:solidFill>
                    <a:latin typeface="Times New Roman"/>
                    <a:ea typeface="Times New Roman"/>
                    <a:cs typeface="Times New Roman"/>
                  </a:defRPr>
                </a:pPr>
                <a:r>
                  <a:rPr lang="ru-RU"/>
                  <a:t>Число зарегистрированных преступлений на 100 тыс. населения</a:t>
                </a:r>
              </a:p>
            </c:rich>
          </c:tx>
          <c:layout>
            <c:manualLayout>
              <c:xMode val="edge"/>
              <c:yMode val="edge"/>
              <c:x val="3.0555639143833135E-2"/>
              <c:y val="0.21417849650514159"/>
            </c:manualLayout>
          </c:layout>
          <c:overlay val="0"/>
        </c:title>
        <c:numFmt formatCode="General" sourceLinked="1"/>
        <c:majorTickMark val="none"/>
        <c:minorTickMark val="none"/>
        <c:tickLblPos val="nextTo"/>
        <c:crossAx val="106459520"/>
        <c:crosses val="autoZero"/>
        <c:crossBetween val="midCat"/>
      </c:valAx>
    </c:plotArea>
    <c:plotVisOnly val="1"/>
    <c:dispBlanksAs val="gap"/>
    <c:showDLblsOverMax val="0"/>
  </c:chart>
  <c:txPr>
    <a:bodyPr/>
    <a:lstStyle/>
    <a:p>
      <a:pPr>
        <a:defRPr sz="800" baseline="0">
          <a:solidFill>
            <a:sysClr val="windowText" lastClr="000000"/>
          </a:solidFill>
          <a:latin typeface="Times New Roman" pitchFamily="18" charset="0"/>
        </a:defRPr>
      </a:pPr>
      <a:endParaRPr lang="ru-RU"/>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24624194702963E-2"/>
          <c:y val="3.1796579962080351E-2"/>
          <c:w val="0.87205399325084365"/>
          <c:h val="0.71843444456185435"/>
        </c:manualLayout>
      </c:layout>
      <c:barChart>
        <c:barDir val="col"/>
        <c:grouping val="clustered"/>
        <c:varyColors val="0"/>
        <c:ser>
          <c:idx val="0"/>
          <c:order val="0"/>
          <c:tx>
            <c:strRef>
              <c:f>жкх!$B$7</c:f>
              <c:strCache>
                <c:ptCount val="1"/>
                <c:pt idx="0">
                  <c:v>Жилищный фонд (общая площадь жилых помещений), тыс кв. метров</c:v>
                </c:pt>
              </c:strCache>
            </c:strRef>
          </c:tx>
          <c:spPr>
            <a:solidFill>
              <a:srgbClr val="4F81BD">
                <a:lumMod val="75000"/>
              </a:srgbClr>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жкх!$C$6:$G$6</c:f>
              <c:numCache>
                <c:formatCode>General</c:formatCode>
                <c:ptCount val="5"/>
                <c:pt idx="0">
                  <c:v>2012</c:v>
                </c:pt>
                <c:pt idx="1">
                  <c:v>2013</c:v>
                </c:pt>
                <c:pt idx="2">
                  <c:v>2014</c:v>
                </c:pt>
                <c:pt idx="3">
                  <c:v>2015</c:v>
                </c:pt>
                <c:pt idx="4">
                  <c:v>2016</c:v>
                </c:pt>
              </c:numCache>
            </c:numRef>
          </c:cat>
          <c:val>
            <c:numRef>
              <c:f>жкх!$C$7:$G$7</c:f>
              <c:numCache>
                <c:formatCode>General</c:formatCode>
                <c:ptCount val="5"/>
                <c:pt idx="0">
                  <c:v>234</c:v>
                </c:pt>
                <c:pt idx="1">
                  <c:v>267</c:v>
                </c:pt>
                <c:pt idx="2">
                  <c:v>271.3</c:v>
                </c:pt>
                <c:pt idx="3" formatCode="0.0">
                  <c:v>274.3</c:v>
                </c:pt>
                <c:pt idx="4">
                  <c:v>276.5</c:v>
                </c:pt>
              </c:numCache>
            </c:numRef>
          </c:val>
        </c:ser>
        <c:dLbls>
          <c:showLegendKey val="0"/>
          <c:showVal val="0"/>
          <c:showCatName val="0"/>
          <c:showSerName val="0"/>
          <c:showPercent val="0"/>
          <c:showBubbleSize val="0"/>
        </c:dLbls>
        <c:gapWidth val="150"/>
        <c:axId val="112256128"/>
        <c:axId val="112257664"/>
      </c:barChart>
      <c:lineChart>
        <c:grouping val="standard"/>
        <c:varyColors val="0"/>
        <c:ser>
          <c:idx val="1"/>
          <c:order val="1"/>
          <c:tx>
            <c:strRef>
              <c:f>жкх!$B$8</c:f>
              <c:strCache>
                <c:ptCount val="1"/>
                <c:pt idx="0">
                  <c:v>Общая площадь жилых помещений, приходящаяся в среднем на одного жителя, кв. метров</c:v>
                </c:pt>
              </c:strCache>
            </c:strRef>
          </c:tx>
          <c:spPr>
            <a:ln>
              <a:solidFill>
                <a:srgbClr val="FF0000"/>
              </a:solidFill>
            </a:ln>
          </c:spPr>
          <c:marker>
            <c:spPr>
              <a:solidFill>
                <a:srgbClr val="FF0000"/>
              </a:solidFill>
            </c:spPr>
          </c:marker>
          <c:dLbls>
            <c:dLbl>
              <c:idx val="0"/>
              <c:layout>
                <c:manualLayout>
                  <c:x val="0"/>
                  <c:y val="3.4883720930232558E-2"/>
                </c:manualLayout>
              </c:layout>
              <c:dLblPos val="r"/>
              <c:showLegendKey val="0"/>
              <c:showVal val="1"/>
              <c:showCatName val="0"/>
              <c:showSerName val="0"/>
              <c:showPercent val="0"/>
              <c:showBubbleSize val="0"/>
            </c:dLbl>
            <c:dLbl>
              <c:idx val="1"/>
              <c:layout>
                <c:manualLayout>
                  <c:x val="-4.5266966784071865E-17"/>
                  <c:y val="4.2635658914728813E-2"/>
                </c:manualLayout>
              </c:layout>
              <c:dLblPos val="r"/>
              <c:showLegendKey val="0"/>
              <c:showVal val="1"/>
              <c:showCatName val="0"/>
              <c:showSerName val="0"/>
              <c:showPercent val="0"/>
              <c:showBubbleSize val="0"/>
            </c:dLbl>
            <c:dLbl>
              <c:idx val="2"/>
              <c:layout>
                <c:manualLayout>
                  <c:x val="0"/>
                  <c:y val="3.4883720930232558E-2"/>
                </c:manualLayout>
              </c:layout>
              <c:dLblPos val="r"/>
              <c:showLegendKey val="0"/>
              <c:showVal val="1"/>
              <c:showCatName val="0"/>
              <c:showSerName val="0"/>
              <c:showPercent val="0"/>
              <c:showBubbleSize val="0"/>
            </c:dLbl>
            <c:dLbl>
              <c:idx val="3"/>
              <c:layout>
                <c:manualLayout>
                  <c:x val="-9.0533933568143977E-17"/>
                  <c:y val="4.2635658914728813E-2"/>
                </c:manualLayout>
              </c:layout>
              <c:dLblPos val="r"/>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жкх!$C$6:$G$6</c:f>
              <c:numCache>
                <c:formatCode>General</c:formatCode>
                <c:ptCount val="5"/>
                <c:pt idx="0">
                  <c:v>2012</c:v>
                </c:pt>
                <c:pt idx="1">
                  <c:v>2013</c:v>
                </c:pt>
                <c:pt idx="2">
                  <c:v>2014</c:v>
                </c:pt>
                <c:pt idx="3">
                  <c:v>2015</c:v>
                </c:pt>
                <c:pt idx="4">
                  <c:v>2016</c:v>
                </c:pt>
              </c:numCache>
            </c:numRef>
          </c:cat>
          <c:val>
            <c:numRef>
              <c:f>жкх!$C$8:$G$8</c:f>
              <c:numCache>
                <c:formatCode>General</c:formatCode>
                <c:ptCount val="5"/>
                <c:pt idx="0">
                  <c:v>21</c:v>
                </c:pt>
                <c:pt idx="1">
                  <c:v>24</c:v>
                </c:pt>
                <c:pt idx="2">
                  <c:v>24.6</c:v>
                </c:pt>
                <c:pt idx="3" formatCode="0.0">
                  <c:v>25</c:v>
                </c:pt>
                <c:pt idx="4">
                  <c:v>25.5</c:v>
                </c:pt>
              </c:numCache>
            </c:numRef>
          </c:val>
          <c:smooth val="0"/>
        </c:ser>
        <c:dLbls>
          <c:showLegendKey val="0"/>
          <c:showVal val="0"/>
          <c:showCatName val="0"/>
          <c:showSerName val="0"/>
          <c:showPercent val="0"/>
          <c:showBubbleSize val="0"/>
        </c:dLbls>
        <c:marker val="1"/>
        <c:smooth val="0"/>
        <c:axId val="112472448"/>
        <c:axId val="112473984"/>
      </c:lineChart>
      <c:catAx>
        <c:axId val="112256128"/>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12257664"/>
        <c:crosses val="autoZero"/>
        <c:auto val="1"/>
        <c:lblAlgn val="ctr"/>
        <c:lblOffset val="100"/>
        <c:noMultiLvlLbl val="0"/>
      </c:catAx>
      <c:valAx>
        <c:axId val="112257664"/>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12256128"/>
        <c:crosses val="autoZero"/>
        <c:crossBetween val="between"/>
      </c:valAx>
      <c:catAx>
        <c:axId val="112472448"/>
        <c:scaling>
          <c:orientation val="minMax"/>
        </c:scaling>
        <c:delete val="1"/>
        <c:axPos val="b"/>
        <c:numFmt formatCode="General" sourceLinked="1"/>
        <c:majorTickMark val="out"/>
        <c:minorTickMark val="none"/>
        <c:tickLblPos val="none"/>
        <c:crossAx val="112473984"/>
        <c:crosses val="autoZero"/>
        <c:auto val="1"/>
        <c:lblAlgn val="ctr"/>
        <c:lblOffset val="100"/>
        <c:noMultiLvlLbl val="0"/>
      </c:catAx>
      <c:valAx>
        <c:axId val="112473984"/>
        <c:scaling>
          <c:orientation val="minMax"/>
        </c:scaling>
        <c:delete val="0"/>
        <c:axPos val="r"/>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2472448"/>
        <c:crosses val="max"/>
        <c:crossBetween val="between"/>
      </c:valAx>
    </c:plotArea>
    <c:legend>
      <c:legendPos val="b"/>
      <c:layout>
        <c:manualLayout>
          <c:xMode val="edge"/>
          <c:yMode val="edge"/>
          <c:x val="1.7351803246816448E-2"/>
          <c:y val="0.82647536326000492"/>
          <c:w val="0.96776552930883664"/>
          <c:h val="0.16181670590145303"/>
        </c:manualLayout>
      </c:layout>
      <c:overlay val="0"/>
      <c:txPr>
        <a:bodyPr/>
        <a:lstStyle/>
        <a:p>
          <a:pPr>
            <a:defRPr sz="800" baseline="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803336476025132"/>
          <c:y val="2.2537529886724483E-2"/>
          <c:w val="0.71196663523974901"/>
          <c:h val="0.51262425732628036"/>
        </c:manualLayout>
      </c:layout>
      <c:barChart>
        <c:barDir val="col"/>
        <c:grouping val="clustered"/>
        <c:varyColors val="0"/>
        <c:ser>
          <c:idx val="0"/>
          <c:order val="0"/>
          <c:tx>
            <c:strRef>
              <c:f>жкх1!$K$4</c:f>
              <c:strCache>
                <c:ptCount val="1"/>
                <c:pt idx="0">
                  <c:v> водопровод</c:v>
                </c:pt>
              </c:strCache>
            </c:strRef>
          </c:tx>
          <c:spPr>
            <a:solidFill>
              <a:sysClr val="window" lastClr="FFFFFF">
                <a:lumMod val="50000"/>
              </a:sysClr>
            </a:solidFill>
            <a:ln>
              <a:solidFill>
                <a:schemeClr val="tx1"/>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жкх1!$L$4:$P$4</c:f>
              <c:numCache>
                <c:formatCode>General</c:formatCode>
                <c:ptCount val="5"/>
                <c:pt idx="0">
                  <c:v>28</c:v>
                </c:pt>
                <c:pt idx="1">
                  <c:v>28</c:v>
                </c:pt>
                <c:pt idx="2">
                  <c:v>47</c:v>
                </c:pt>
                <c:pt idx="3" formatCode="0.0">
                  <c:v>47.575647101713237</c:v>
                </c:pt>
                <c:pt idx="4" formatCode="0.0">
                  <c:v>48.065099457504495</c:v>
                </c:pt>
              </c:numCache>
            </c:numRef>
          </c:val>
        </c:ser>
        <c:ser>
          <c:idx val="1"/>
          <c:order val="1"/>
          <c:tx>
            <c:strRef>
              <c:f>жкх1!$K$5</c:f>
              <c:strCache>
                <c:ptCount val="1"/>
                <c:pt idx="0">
                  <c:v>канализация</c:v>
                </c:pt>
              </c:strCache>
            </c:strRef>
          </c:tx>
          <c:spPr>
            <a:solidFill>
              <a:schemeClr val="tx2">
                <a:lumMod val="20000"/>
                <a:lumOff val="80000"/>
              </a:schemeClr>
            </a:solidFill>
            <a:ln>
              <a:solidFill>
                <a:schemeClr val="tx1"/>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жкх1!$L$5:$P$5</c:f>
              <c:numCache>
                <c:formatCode>General</c:formatCode>
                <c:ptCount val="5"/>
                <c:pt idx="0">
                  <c:v>28</c:v>
                </c:pt>
                <c:pt idx="1">
                  <c:v>28</c:v>
                </c:pt>
                <c:pt idx="2">
                  <c:v>37</c:v>
                </c:pt>
                <c:pt idx="3" formatCode="0.0">
                  <c:v>37.112650382792545</c:v>
                </c:pt>
                <c:pt idx="4" formatCode="0.0">
                  <c:v>36.817359855334338</c:v>
                </c:pt>
              </c:numCache>
            </c:numRef>
          </c:val>
        </c:ser>
        <c:ser>
          <c:idx val="2"/>
          <c:order val="2"/>
          <c:tx>
            <c:strRef>
              <c:f>жкх1!$K$6</c:f>
              <c:strCache>
                <c:ptCount val="1"/>
                <c:pt idx="0">
                  <c:v>центральное отопление</c:v>
                </c:pt>
              </c:strCache>
            </c:strRef>
          </c:tx>
          <c:spPr>
            <a:solidFill>
              <a:schemeClr val="tx2">
                <a:lumMod val="60000"/>
                <a:lumOff val="40000"/>
              </a:schemeClr>
            </a:solidFill>
            <a:ln>
              <a:solidFill>
                <a:schemeClr val="tx1"/>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жкх1!$L$6:$P$6</c:f>
              <c:numCache>
                <c:formatCode>General</c:formatCode>
                <c:ptCount val="5"/>
                <c:pt idx="0">
                  <c:v>14</c:v>
                </c:pt>
                <c:pt idx="1">
                  <c:v>14</c:v>
                </c:pt>
                <c:pt idx="2">
                  <c:v>6</c:v>
                </c:pt>
                <c:pt idx="3" formatCode="0.0">
                  <c:v>5.760116660590576</c:v>
                </c:pt>
                <c:pt idx="4" formatCode="0.0">
                  <c:v>5.7142857142857055</c:v>
                </c:pt>
              </c:numCache>
            </c:numRef>
          </c:val>
        </c:ser>
        <c:ser>
          <c:idx val="3"/>
          <c:order val="3"/>
          <c:tx>
            <c:strRef>
              <c:f>жкх1!$K$7</c:f>
              <c:strCache>
                <c:ptCount val="1"/>
                <c:pt idx="0">
                  <c:v>ванна (душ)</c:v>
                </c:pt>
              </c:strCache>
            </c:strRef>
          </c:tx>
          <c:spPr>
            <a:solidFill>
              <a:srgbClr val="C00000"/>
            </a:solidFill>
            <a:ln>
              <a:solidFill>
                <a:prstClr val="black"/>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жкх1!$L$7:$P$7</c:f>
              <c:numCache>
                <c:formatCode>General</c:formatCode>
                <c:ptCount val="5"/>
                <c:pt idx="0">
                  <c:v>19.399999999999999</c:v>
                </c:pt>
                <c:pt idx="1">
                  <c:v>19.399999999999999</c:v>
                </c:pt>
                <c:pt idx="2">
                  <c:v>7.2</c:v>
                </c:pt>
                <c:pt idx="3" formatCode="0.0">
                  <c:v>7.5829383886255846</c:v>
                </c:pt>
                <c:pt idx="4" formatCode="0.0">
                  <c:v>7.5949367088607396</c:v>
                </c:pt>
              </c:numCache>
            </c:numRef>
          </c:val>
        </c:ser>
        <c:ser>
          <c:idx val="4"/>
          <c:order val="4"/>
          <c:tx>
            <c:strRef>
              <c:f>жкх1!$K$8</c:f>
              <c:strCache>
                <c:ptCount val="1"/>
                <c:pt idx="0">
                  <c:v>газ</c:v>
                </c:pt>
              </c:strCache>
            </c:strRef>
          </c:tx>
          <c:spPr>
            <a:solidFill>
              <a:sysClr val="window" lastClr="FFFFFF">
                <a:lumMod val="75000"/>
              </a:sysClr>
            </a:solidFill>
            <a:ln>
              <a:solidFill>
                <a:prstClr val="black"/>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жкх1!$L$8:$P$8</c:f>
              <c:numCache>
                <c:formatCode>General</c:formatCode>
                <c:ptCount val="5"/>
                <c:pt idx="0">
                  <c:v>93.4</c:v>
                </c:pt>
                <c:pt idx="1">
                  <c:v>93.4</c:v>
                </c:pt>
                <c:pt idx="2">
                  <c:v>98.1</c:v>
                </c:pt>
                <c:pt idx="3" formatCode="0.0">
                  <c:v>98.213634706525681</c:v>
                </c:pt>
                <c:pt idx="4" formatCode="0.0">
                  <c:v>98.300180831826054</c:v>
                </c:pt>
              </c:numCache>
            </c:numRef>
          </c:val>
        </c:ser>
        <c:ser>
          <c:idx val="5"/>
          <c:order val="5"/>
          <c:tx>
            <c:strRef>
              <c:f>жкх1!$K$9</c:f>
              <c:strCache>
                <c:ptCount val="1"/>
                <c:pt idx="0">
                  <c:v>электроплиты</c:v>
                </c:pt>
              </c:strCache>
            </c:strRef>
          </c:tx>
          <c:invertIfNegative val="0"/>
          <c:cat>
            <c:numRef>
              <c:f>жкх1!$L$3:$P$3</c:f>
              <c:numCache>
                <c:formatCode>General</c:formatCode>
                <c:ptCount val="5"/>
                <c:pt idx="0">
                  <c:v>2012</c:v>
                </c:pt>
                <c:pt idx="1">
                  <c:v>2013</c:v>
                </c:pt>
                <c:pt idx="2">
                  <c:v>2014</c:v>
                </c:pt>
                <c:pt idx="3">
                  <c:v>2015</c:v>
                </c:pt>
                <c:pt idx="4">
                  <c:v>2016</c:v>
                </c:pt>
              </c:numCache>
            </c:numRef>
          </c:cat>
          <c:val>
            <c:numRef>
              <c:f>жкх1!$L$9:$P$9</c:f>
              <c:numCache>
                <c:formatCode>General</c:formatCode>
                <c:ptCount val="5"/>
                <c:pt idx="0">
                  <c:v>0.70000000000000062</c:v>
                </c:pt>
                <c:pt idx="1">
                  <c:v>0.70000000000000062</c:v>
                </c:pt>
                <c:pt idx="2">
                  <c:v>0.70000000000000062</c:v>
                </c:pt>
                <c:pt idx="3">
                  <c:v>0.70000000000000062</c:v>
                </c:pt>
                <c:pt idx="4">
                  <c:v>0.70000000000000062</c:v>
                </c:pt>
              </c:numCache>
            </c:numRef>
          </c:val>
        </c:ser>
        <c:ser>
          <c:idx val="6"/>
          <c:order val="6"/>
          <c:tx>
            <c:strRef>
              <c:f>жкх1!$K$10</c:f>
              <c:strCache>
                <c:ptCount val="1"/>
                <c:pt idx="0">
                  <c:v>горячее водоснабжение</c:v>
                </c:pt>
              </c:strCache>
            </c:strRef>
          </c:tx>
          <c:spPr>
            <a:solidFill>
              <a:schemeClr val="accent1"/>
            </a:solidFill>
            <a:ln>
              <a:solidFill>
                <a:prstClr val="black"/>
              </a:solidFill>
            </a:ln>
          </c:spPr>
          <c:invertIfNegative val="0"/>
          <c:cat>
            <c:numRef>
              <c:f>жкх1!$L$3:$P$3</c:f>
              <c:numCache>
                <c:formatCode>General</c:formatCode>
                <c:ptCount val="5"/>
                <c:pt idx="0">
                  <c:v>2012</c:v>
                </c:pt>
                <c:pt idx="1">
                  <c:v>2013</c:v>
                </c:pt>
                <c:pt idx="2">
                  <c:v>2014</c:v>
                </c:pt>
                <c:pt idx="3">
                  <c:v>2015</c:v>
                </c:pt>
                <c:pt idx="4">
                  <c:v>2016</c:v>
                </c:pt>
              </c:numCache>
            </c:numRef>
          </c:cat>
          <c:val>
            <c:numRef>
              <c:f>жкх1!$L$10:$P$10</c:f>
              <c:numCache>
                <c:formatCode>General</c:formatCode>
                <c:ptCount val="5"/>
                <c:pt idx="0">
                  <c:v>23.2</c:v>
                </c:pt>
                <c:pt idx="1">
                  <c:v>23.2</c:v>
                </c:pt>
                <c:pt idx="2">
                  <c:v>9.4</c:v>
                </c:pt>
                <c:pt idx="3" formatCode="0.0">
                  <c:v>9.9890630696317881</c:v>
                </c:pt>
                <c:pt idx="4" formatCode="0.0">
                  <c:v>11.2115732368897</c:v>
                </c:pt>
              </c:numCache>
            </c:numRef>
          </c:val>
        </c:ser>
        <c:dLbls>
          <c:showLegendKey val="0"/>
          <c:showVal val="0"/>
          <c:showCatName val="0"/>
          <c:showSerName val="0"/>
          <c:showPercent val="0"/>
          <c:showBubbleSize val="0"/>
        </c:dLbls>
        <c:gapWidth val="150"/>
        <c:axId val="112523520"/>
        <c:axId val="112529408"/>
      </c:barChart>
      <c:catAx>
        <c:axId val="112523520"/>
        <c:scaling>
          <c:orientation val="minMax"/>
        </c:scaling>
        <c:delete val="0"/>
        <c:axPos val="b"/>
        <c:numFmt formatCode="General" sourceLinked="1"/>
        <c:majorTickMark val="none"/>
        <c:minorTickMark val="none"/>
        <c:tickLblPos val="nextTo"/>
        <c:crossAx val="112529408"/>
        <c:crosses val="autoZero"/>
        <c:auto val="1"/>
        <c:lblAlgn val="ctr"/>
        <c:lblOffset val="100"/>
        <c:noMultiLvlLbl val="0"/>
      </c:catAx>
      <c:valAx>
        <c:axId val="112529408"/>
        <c:scaling>
          <c:orientation val="minMax"/>
        </c:scaling>
        <c:delete val="0"/>
        <c:axPos val="l"/>
        <c:numFmt formatCode="General" sourceLinked="1"/>
        <c:majorTickMark val="none"/>
        <c:minorTickMark val="none"/>
        <c:tickLblPos val="nextTo"/>
        <c:crossAx val="11252352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рейтинг!$J$3</c:f>
              <c:strCache>
                <c:ptCount val="1"/>
                <c:pt idx="0">
                  <c:v>Индекс промышленного производства по крупным и средним предприятиям, %</c:v>
                </c:pt>
              </c:strCache>
            </c:strRef>
          </c:tx>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рейтинг!$J$4:$J$8</c:f>
              <c:numCache>
                <c:formatCode>General</c:formatCode>
                <c:ptCount val="5"/>
                <c:pt idx="0">
                  <c:v>9</c:v>
                </c:pt>
                <c:pt idx="1">
                  <c:v>4</c:v>
                </c:pt>
                <c:pt idx="2">
                  <c:v>6</c:v>
                </c:pt>
                <c:pt idx="3">
                  <c:v>14</c:v>
                </c:pt>
                <c:pt idx="4">
                  <c:v>19</c:v>
                </c:pt>
              </c:numCache>
            </c:numRef>
          </c:val>
        </c:ser>
        <c:ser>
          <c:idx val="1"/>
          <c:order val="1"/>
          <c:tx>
            <c:strRef>
              <c:f>рейтинг!$K$3</c:f>
              <c:strCache>
                <c:ptCount val="1"/>
                <c:pt idx="0">
                  <c:v>Отгружено товаров собственного производства (С, Д, Е) на душу населения, тыс. руб.</c:v>
                </c:pt>
              </c:strCache>
            </c:strRef>
          </c:tx>
          <c:spPr>
            <a:solidFill>
              <a:srgbClr val="FF0000"/>
            </a:solidFill>
            <a:ln>
              <a:solidFill>
                <a:srgbClr val="FF0000"/>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рейтинг!$K$4:$K$8</c:f>
              <c:numCache>
                <c:formatCode>General</c:formatCode>
                <c:ptCount val="5"/>
                <c:pt idx="0">
                  <c:v>19</c:v>
                </c:pt>
                <c:pt idx="1">
                  <c:v>19</c:v>
                </c:pt>
                <c:pt idx="2">
                  <c:v>19</c:v>
                </c:pt>
                <c:pt idx="3">
                  <c:v>19</c:v>
                </c:pt>
                <c:pt idx="4">
                  <c:v>19</c:v>
                </c:pt>
              </c:numCache>
            </c:numRef>
          </c:val>
        </c:ser>
        <c:ser>
          <c:idx val="2"/>
          <c:order val="2"/>
          <c:tx>
            <c:strRef>
              <c:f>рейтинг!$L$3</c:f>
              <c:strCache>
                <c:ptCount val="1"/>
                <c:pt idx="0">
                  <c:v>Инвестиции в основной  капитал на душу населения, рублей</c:v>
                </c:pt>
              </c:strCache>
            </c:strRef>
          </c:tx>
          <c:spPr>
            <a:solidFill>
              <a:schemeClr val="bg1">
                <a:lumMod val="50000"/>
              </a:schemeClr>
            </a:solidFill>
            <a:ln>
              <a:solidFill>
                <a:schemeClr val="bg1">
                  <a:lumMod val="50000"/>
                </a:schemeClr>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рейтинг!$L$4:$L$8</c:f>
              <c:numCache>
                <c:formatCode>General</c:formatCode>
                <c:ptCount val="5"/>
                <c:pt idx="0">
                  <c:v>12</c:v>
                </c:pt>
                <c:pt idx="1">
                  <c:v>14</c:v>
                </c:pt>
                <c:pt idx="2">
                  <c:v>10</c:v>
                </c:pt>
                <c:pt idx="3">
                  <c:v>12</c:v>
                </c:pt>
                <c:pt idx="4">
                  <c:v>7</c:v>
                </c:pt>
              </c:numCache>
            </c:numRef>
          </c:val>
        </c:ser>
        <c:ser>
          <c:idx val="3"/>
          <c:order val="3"/>
          <c:tx>
            <c:strRef>
              <c:f>рейтинг!$M$3</c:f>
              <c:strCache>
                <c:ptCount val="1"/>
                <c:pt idx="0">
                  <c:v>Бюджетная  обеспеченность за счет налоговых и неналоговых доходов на душу населения, рублей</c:v>
                </c:pt>
              </c:strCache>
            </c:strRef>
          </c:tx>
          <c:spPr>
            <a:solidFill>
              <a:schemeClr val="accent1">
                <a:lumMod val="50000"/>
              </a:schemeClr>
            </a:solidFill>
            <a:ln>
              <a:solidFill>
                <a:schemeClr val="tx2"/>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рейтинг!$I$4:$I$8</c:f>
              <c:numCache>
                <c:formatCode>General</c:formatCode>
                <c:ptCount val="5"/>
                <c:pt idx="0">
                  <c:v>2013</c:v>
                </c:pt>
                <c:pt idx="1">
                  <c:v>2014</c:v>
                </c:pt>
                <c:pt idx="2">
                  <c:v>2015</c:v>
                </c:pt>
                <c:pt idx="3">
                  <c:v>2016</c:v>
                </c:pt>
                <c:pt idx="4">
                  <c:v>2017</c:v>
                </c:pt>
              </c:numCache>
            </c:numRef>
          </c:cat>
          <c:val>
            <c:numRef>
              <c:f>рейтинг!$M$4:$M$8</c:f>
              <c:numCache>
                <c:formatCode>General</c:formatCode>
                <c:ptCount val="5"/>
                <c:pt idx="0">
                  <c:v>25</c:v>
                </c:pt>
                <c:pt idx="1">
                  <c:v>23</c:v>
                </c:pt>
                <c:pt idx="2">
                  <c:v>20</c:v>
                </c:pt>
                <c:pt idx="3">
                  <c:v>23</c:v>
                </c:pt>
                <c:pt idx="4">
                  <c:v>27</c:v>
                </c:pt>
              </c:numCache>
            </c:numRef>
          </c:val>
        </c:ser>
        <c:dLbls>
          <c:showLegendKey val="0"/>
          <c:showVal val="0"/>
          <c:showCatName val="0"/>
          <c:showSerName val="0"/>
          <c:showPercent val="0"/>
          <c:showBubbleSize val="0"/>
        </c:dLbls>
        <c:gapWidth val="271"/>
        <c:overlap val="-1"/>
        <c:axId val="112583424"/>
        <c:axId val="112584960"/>
      </c:barChart>
      <c:catAx>
        <c:axId val="112583424"/>
        <c:scaling>
          <c:orientation val="minMax"/>
        </c:scaling>
        <c:delete val="0"/>
        <c:axPos val="b"/>
        <c:numFmt formatCode="General" sourceLinked="1"/>
        <c:majorTickMark val="none"/>
        <c:minorTickMark val="none"/>
        <c:tickLblPos val="nextTo"/>
        <c:txPr>
          <a:bodyPr/>
          <a:lstStyle/>
          <a:p>
            <a:pPr>
              <a:defRPr sz="1200" baseline="0">
                <a:latin typeface="Times New Roman" pitchFamily="18" charset="0"/>
              </a:defRPr>
            </a:pPr>
            <a:endParaRPr lang="ru-RU"/>
          </a:p>
        </c:txPr>
        <c:crossAx val="112584960"/>
        <c:crosses val="autoZero"/>
        <c:auto val="1"/>
        <c:lblAlgn val="ctr"/>
        <c:lblOffset val="100"/>
        <c:noMultiLvlLbl val="0"/>
      </c:catAx>
      <c:valAx>
        <c:axId val="112584960"/>
        <c:scaling>
          <c:orientation val="minMax"/>
        </c:scaling>
        <c:delete val="1"/>
        <c:axPos val="l"/>
        <c:numFmt formatCode="General" sourceLinked="1"/>
        <c:majorTickMark val="out"/>
        <c:minorTickMark val="none"/>
        <c:tickLblPos val="none"/>
        <c:crossAx val="112583424"/>
        <c:crosses val="autoZero"/>
        <c:crossBetween val="between"/>
      </c:valAx>
    </c:plotArea>
    <c:legend>
      <c:legendPos val="b"/>
      <c:layout>
        <c:manualLayout>
          <c:xMode val="edge"/>
          <c:yMode val="edge"/>
          <c:x val="7.7248027144779283E-2"/>
          <c:y val="0.65069797968685561"/>
          <c:w val="0.84550377885868055"/>
          <c:h val="0.31732906490182927"/>
        </c:manualLayout>
      </c:layout>
      <c:overlay val="0"/>
      <c:txPr>
        <a:bodyPr/>
        <a:lstStyle/>
        <a:p>
          <a:pPr>
            <a:defRPr baseline="0">
              <a:latin typeface="Times New Roman" pitchFamily="18" charset="0"/>
            </a:defRPr>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baseline="0">
                <a:solidFill>
                  <a:sysClr val="windowText" lastClr="000000"/>
                </a:solidFill>
              </a:defRPr>
            </a:pPr>
            <a:r>
              <a:rPr lang="ru-RU" sz="1200" b="1" i="0" u="none" strike="noStrike" baseline="0">
                <a:solidFill>
                  <a:sysClr val="windowText" lastClr="000000"/>
                </a:solidFill>
                <a:latin typeface="Times New Roman" pitchFamily="18" charset="0"/>
              </a:rPr>
              <a:t>Сальдированный финансовый результат по всем видам деятельности организаций Камышлинского района </a:t>
            </a:r>
          </a:p>
          <a:p>
            <a:pPr algn="ctr">
              <a:defRPr baseline="0">
                <a:solidFill>
                  <a:sysClr val="windowText" lastClr="000000"/>
                </a:solidFill>
              </a:defRPr>
            </a:pPr>
            <a:r>
              <a:rPr lang="ru-RU" sz="1200" b="1" i="0" u="none" strike="noStrike" baseline="0">
                <a:solidFill>
                  <a:sysClr val="windowText" lastClr="000000"/>
                </a:solidFill>
                <a:latin typeface="Times New Roman" pitchFamily="18" charset="0"/>
              </a:rPr>
              <a:t>в 2012 - 2016 гг., млн. рублей </a:t>
            </a:r>
            <a:endParaRPr lang="ru-RU" baseline="0">
              <a:solidFill>
                <a:sysClr val="windowText" lastClr="000000"/>
              </a:solidFill>
            </a:endParaRPr>
          </a:p>
        </c:rich>
      </c:tx>
      <c:layout>
        <c:manualLayout>
          <c:xMode val="edge"/>
          <c:yMode val="edge"/>
          <c:x val="0.1273661321531889"/>
          <c:y val="8.3857442348009847E-3"/>
        </c:manualLayout>
      </c:layout>
      <c:overlay val="0"/>
    </c:title>
    <c:autoTitleDeleted val="0"/>
    <c:plotArea>
      <c:layout/>
      <c:scatterChart>
        <c:scatterStyle val="lineMarker"/>
        <c:varyColors val="0"/>
        <c:ser>
          <c:idx val="0"/>
          <c:order val="0"/>
          <c:xVal>
            <c:numRef>
              <c:f>фин_результ!$B$5:$B$9</c:f>
              <c:numCache>
                <c:formatCode>General</c:formatCode>
                <c:ptCount val="5"/>
                <c:pt idx="0">
                  <c:v>2012</c:v>
                </c:pt>
                <c:pt idx="1">
                  <c:v>2013</c:v>
                </c:pt>
                <c:pt idx="2">
                  <c:v>2014</c:v>
                </c:pt>
                <c:pt idx="3">
                  <c:v>2015</c:v>
                </c:pt>
                <c:pt idx="4">
                  <c:v>2016</c:v>
                </c:pt>
              </c:numCache>
            </c:numRef>
          </c:xVal>
          <c:yVal>
            <c:numRef>
              <c:f>фин_результ!$C$5:$C$9</c:f>
              <c:numCache>
                <c:formatCode>General</c:formatCode>
                <c:ptCount val="5"/>
                <c:pt idx="0">
                  <c:v>8.3000000000000007</c:v>
                </c:pt>
                <c:pt idx="1">
                  <c:v>5.8</c:v>
                </c:pt>
                <c:pt idx="2">
                  <c:v>11.4</c:v>
                </c:pt>
                <c:pt idx="3">
                  <c:v>3.7</c:v>
                </c:pt>
                <c:pt idx="4">
                  <c:v>1.5</c:v>
                </c:pt>
              </c:numCache>
            </c:numRef>
          </c:yVal>
          <c:smooth val="0"/>
        </c:ser>
        <c:dLbls>
          <c:showLegendKey val="0"/>
          <c:showVal val="0"/>
          <c:showCatName val="0"/>
          <c:showSerName val="0"/>
          <c:showPercent val="0"/>
          <c:showBubbleSize val="0"/>
        </c:dLbls>
        <c:axId val="112600960"/>
        <c:axId val="112602496"/>
      </c:scatterChart>
      <c:valAx>
        <c:axId val="112600960"/>
        <c:scaling>
          <c:orientation val="minMax"/>
        </c:scaling>
        <c:delete val="0"/>
        <c:axPos val="b"/>
        <c:numFmt formatCode="#,##0" sourceLinked="0"/>
        <c:majorTickMark val="none"/>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2602496"/>
        <c:crosses val="autoZero"/>
        <c:crossBetween val="midCat"/>
      </c:valAx>
      <c:valAx>
        <c:axId val="112602496"/>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12600960"/>
        <c:crosses val="autoZero"/>
        <c:crossBetween val="midCat"/>
      </c:valAx>
    </c:plotArea>
    <c:plotVisOnly val="1"/>
    <c:dispBlanksAs val="gap"/>
    <c:showDLblsOverMax val="0"/>
  </c:chart>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20886862826359"/>
          <c:y val="0.21243908592370345"/>
          <c:w val="0.49323187622286707"/>
          <c:h val="0.71743658518233"/>
        </c:manualLayout>
      </c:layout>
      <c:radarChart>
        <c:radarStyle val="marker"/>
        <c:varyColors val="0"/>
        <c:ser>
          <c:idx val="0"/>
          <c:order val="0"/>
          <c:tx>
            <c:strRef>
              <c:f>ипп!$C$2</c:f>
              <c:strCache>
                <c:ptCount val="1"/>
                <c:pt idx="0">
                  <c:v> Камышлинский район</c:v>
                </c:pt>
              </c:strCache>
            </c:strRef>
          </c:tx>
          <c:marker>
            <c:symbol val="none"/>
          </c:marker>
          <c:dLbls>
            <c:dLbl>
              <c:idx val="0"/>
              <c:layout>
                <c:manualLayout>
                  <c:x val="2.1750951604132679E-3"/>
                  <c:y val="1.6681637945614801E-2"/>
                </c:manualLayout>
              </c:layout>
              <c:showLegendKey val="0"/>
              <c:showVal val="1"/>
              <c:showCatName val="0"/>
              <c:showSerName val="0"/>
              <c:showPercent val="0"/>
              <c:showBubbleSize val="0"/>
            </c:dLbl>
            <c:dLbl>
              <c:idx val="1"/>
              <c:layout>
                <c:manualLayout>
                  <c:x val="-3.0451337461105472E-2"/>
                  <c:y val="-2.9629629629629752E-2"/>
                </c:manualLayout>
              </c:layout>
              <c:showLegendKey val="0"/>
              <c:showVal val="1"/>
              <c:showCatName val="0"/>
              <c:showSerName val="0"/>
              <c:showPercent val="0"/>
              <c:showBubbleSize val="0"/>
            </c:dLbl>
            <c:dLbl>
              <c:idx val="2"/>
              <c:layout>
                <c:manualLayout>
                  <c:x val="8.7003806416530716E-3"/>
                  <c:y val="-5.9146198610615222E-2"/>
                </c:manualLayout>
              </c:layout>
              <c:showLegendKey val="0"/>
              <c:showVal val="1"/>
              <c:showCatName val="0"/>
              <c:showSerName val="0"/>
              <c:showPercent val="0"/>
              <c:showBubbleSize val="0"/>
            </c:dLbl>
            <c:dLbl>
              <c:idx val="3"/>
              <c:layout>
                <c:manualLayout>
                  <c:x val="0"/>
                  <c:y val="-3.9833875180877158E-2"/>
                </c:manualLayout>
              </c:layout>
              <c:showLegendKey val="0"/>
              <c:showVal val="1"/>
              <c:showCatName val="0"/>
              <c:showSerName val="0"/>
              <c:showPercent val="0"/>
              <c:showBubbleSize val="0"/>
            </c:dLbl>
            <c:dLbl>
              <c:idx val="4"/>
              <c:layout>
                <c:manualLayout>
                  <c:x val="6.5252854812398392E-3"/>
                  <c:y val="0"/>
                </c:manualLayout>
              </c:layout>
              <c:showLegendKey val="0"/>
              <c:showVal val="1"/>
              <c:showCatName val="0"/>
              <c:showSerName val="0"/>
              <c:showPercent val="0"/>
              <c:showBubbleSize val="0"/>
            </c:dLbl>
            <c:txPr>
              <a:bodyPr/>
              <a:lstStyle/>
              <a:p>
                <a:pPr>
                  <a:defRPr b="1" i="0" baseline="0">
                    <a:latin typeface="Times New Roman" pitchFamily="18" charset="0"/>
                  </a:defRPr>
                </a:pPr>
                <a:endParaRPr lang="ru-RU"/>
              </a:p>
            </c:txPr>
            <c:showLegendKey val="0"/>
            <c:showVal val="1"/>
            <c:showCatName val="0"/>
            <c:showSerName val="0"/>
            <c:showPercent val="0"/>
            <c:showBubbleSize val="0"/>
            <c:showLeaderLines val="0"/>
          </c:dLbls>
          <c:cat>
            <c:numRef>
              <c:f>ипп!$B$3:$B$7</c:f>
              <c:numCache>
                <c:formatCode>General</c:formatCode>
                <c:ptCount val="5"/>
                <c:pt idx="0">
                  <c:v>2012</c:v>
                </c:pt>
                <c:pt idx="1">
                  <c:v>2013</c:v>
                </c:pt>
                <c:pt idx="2">
                  <c:v>2014</c:v>
                </c:pt>
                <c:pt idx="3">
                  <c:v>2015</c:v>
                </c:pt>
                <c:pt idx="4">
                  <c:v>2016</c:v>
                </c:pt>
              </c:numCache>
            </c:numRef>
          </c:cat>
          <c:val>
            <c:numRef>
              <c:f>ипп!$C$3:$C$7</c:f>
              <c:numCache>
                <c:formatCode>General</c:formatCode>
                <c:ptCount val="5"/>
                <c:pt idx="0">
                  <c:v>89.5</c:v>
                </c:pt>
                <c:pt idx="1">
                  <c:v>115.3</c:v>
                </c:pt>
                <c:pt idx="2">
                  <c:v>141</c:v>
                </c:pt>
                <c:pt idx="3">
                  <c:v>117.3</c:v>
                </c:pt>
                <c:pt idx="4">
                  <c:v>102.5</c:v>
                </c:pt>
              </c:numCache>
            </c:numRef>
          </c:val>
        </c:ser>
        <c:ser>
          <c:idx val="1"/>
          <c:order val="1"/>
          <c:tx>
            <c:strRef>
              <c:f>ипп!$D$2</c:f>
              <c:strCache>
                <c:ptCount val="1"/>
                <c:pt idx="0">
                  <c:v>Самарская область</c:v>
                </c:pt>
              </c:strCache>
            </c:strRef>
          </c:tx>
          <c:spPr>
            <a:ln>
              <a:solidFill>
                <a:srgbClr val="FF0000"/>
              </a:solidFill>
            </a:ln>
          </c:spPr>
          <c:marker>
            <c:symbol val="none"/>
          </c:marker>
          <c:cat>
            <c:numRef>
              <c:f>ипп!$B$3:$B$7</c:f>
              <c:numCache>
                <c:formatCode>General</c:formatCode>
                <c:ptCount val="5"/>
                <c:pt idx="0">
                  <c:v>2012</c:v>
                </c:pt>
                <c:pt idx="1">
                  <c:v>2013</c:v>
                </c:pt>
                <c:pt idx="2">
                  <c:v>2014</c:v>
                </c:pt>
                <c:pt idx="3">
                  <c:v>2015</c:v>
                </c:pt>
                <c:pt idx="4">
                  <c:v>2016</c:v>
                </c:pt>
              </c:numCache>
            </c:numRef>
          </c:cat>
          <c:val>
            <c:numRef>
              <c:f>ипп!$D$3:$D$7</c:f>
              <c:numCache>
                <c:formatCode>General</c:formatCode>
                <c:ptCount val="5"/>
                <c:pt idx="0">
                  <c:v>102.2</c:v>
                </c:pt>
                <c:pt idx="1">
                  <c:v>101</c:v>
                </c:pt>
                <c:pt idx="2">
                  <c:v>99.4</c:v>
                </c:pt>
                <c:pt idx="3">
                  <c:v>99.4</c:v>
                </c:pt>
                <c:pt idx="4">
                  <c:v>99.1</c:v>
                </c:pt>
              </c:numCache>
            </c:numRef>
          </c:val>
        </c:ser>
        <c:dLbls>
          <c:showLegendKey val="0"/>
          <c:showVal val="0"/>
          <c:showCatName val="0"/>
          <c:showSerName val="0"/>
          <c:showPercent val="0"/>
          <c:showBubbleSize val="0"/>
        </c:dLbls>
        <c:axId val="112644864"/>
        <c:axId val="112646400"/>
      </c:radarChart>
      <c:catAx>
        <c:axId val="112644864"/>
        <c:scaling>
          <c:orientation val="minMax"/>
        </c:scaling>
        <c:delete val="0"/>
        <c:axPos val="b"/>
        <c:majorGridlines/>
        <c:numFmt formatCode="General" sourceLinked="1"/>
        <c:majorTickMark val="out"/>
        <c:minorTickMark val="none"/>
        <c:tickLblPos val="nextTo"/>
        <c:txPr>
          <a:bodyPr/>
          <a:lstStyle/>
          <a:p>
            <a:pPr>
              <a:defRPr b="1" i="0" baseline="0">
                <a:latin typeface="Times New Roman" pitchFamily="18" charset="0"/>
              </a:defRPr>
            </a:pPr>
            <a:endParaRPr lang="ru-RU"/>
          </a:p>
        </c:txPr>
        <c:crossAx val="112646400"/>
        <c:crosses val="autoZero"/>
        <c:auto val="0"/>
        <c:lblAlgn val="ctr"/>
        <c:lblOffset val="100"/>
        <c:noMultiLvlLbl val="0"/>
      </c:catAx>
      <c:valAx>
        <c:axId val="112646400"/>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12644864"/>
        <c:crosses val="autoZero"/>
        <c:crossBetween val="between"/>
      </c:valAx>
    </c:plotArea>
    <c:legend>
      <c:legendPos val="b"/>
      <c:layout>
        <c:manualLayout>
          <c:xMode val="edge"/>
          <c:yMode val="edge"/>
          <c:x val="5.5670672744854285E-3"/>
          <c:y val="0.86531030754913663"/>
          <c:w val="0.96904593582149257"/>
          <c:h val="9.7430942151339725E-2"/>
        </c:manualLayout>
      </c:layout>
      <c:overlay val="0"/>
      <c:txPr>
        <a:bodyPr/>
        <a:lstStyle/>
        <a:p>
          <a:pPr>
            <a:defRPr baseline="0">
              <a:latin typeface="Times New Roman" pitchFamily="18" charset="0"/>
            </a:defRPr>
          </a:pPr>
          <a:endParaRPr lang="ru-RU"/>
        </a:p>
      </c:txPr>
    </c:legend>
    <c:plotVisOnly val="1"/>
    <c:dispBlanksAs val="gap"/>
    <c:showDLblsOverMax val="0"/>
  </c:chart>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602115092103435E-2"/>
          <c:y val="0.22755193736376172"/>
          <c:w val="0.92782795203616064"/>
          <c:h val="0.44262051989264223"/>
        </c:manualLayout>
      </c:layout>
      <c:barChart>
        <c:barDir val="col"/>
        <c:grouping val="clustered"/>
        <c:varyColors val="0"/>
        <c:ser>
          <c:idx val="0"/>
          <c:order val="0"/>
          <c:tx>
            <c:strRef>
              <c:f>рейтинг1!$C$2</c:f>
              <c:strCache>
                <c:ptCount val="1"/>
                <c:pt idx="0">
                  <c:v>Валовой сбор зерновых и зернобобовых культур, тыс. т.</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рейтинг1!$C$3:$C$7</c:f>
              <c:numCache>
                <c:formatCode>General</c:formatCode>
                <c:ptCount val="5"/>
                <c:pt idx="0">
                  <c:v>27</c:v>
                </c:pt>
                <c:pt idx="1">
                  <c:v>27</c:v>
                </c:pt>
                <c:pt idx="2">
                  <c:v>27</c:v>
                </c:pt>
                <c:pt idx="3">
                  <c:v>27</c:v>
                </c:pt>
                <c:pt idx="4">
                  <c:v>27</c:v>
                </c:pt>
              </c:numCache>
            </c:numRef>
          </c:val>
        </c:ser>
        <c:ser>
          <c:idx val="1"/>
          <c:order val="1"/>
          <c:tx>
            <c:strRef>
              <c:f>рейтинг1!$D$2</c:f>
              <c:strCache>
                <c:ptCount val="1"/>
                <c:pt idx="0">
                  <c:v>Урожайность зерновых и зернобобовых культур с 1 га убранной площади, ц/га</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рейтинг1!$D$3:$D$7</c:f>
              <c:numCache>
                <c:formatCode>General</c:formatCode>
                <c:ptCount val="5"/>
                <c:pt idx="0">
                  <c:v>21</c:v>
                </c:pt>
                <c:pt idx="1">
                  <c:v>25</c:v>
                </c:pt>
                <c:pt idx="2">
                  <c:v>15</c:v>
                </c:pt>
                <c:pt idx="3">
                  <c:v>23</c:v>
                </c:pt>
                <c:pt idx="4">
                  <c:v>26</c:v>
                </c:pt>
              </c:numCache>
            </c:numRef>
          </c:val>
        </c:ser>
        <c:ser>
          <c:idx val="2"/>
          <c:order val="2"/>
          <c:tx>
            <c:strRef>
              <c:f>рейтинг1!$E$2</c:f>
              <c:strCache>
                <c:ptCount val="1"/>
                <c:pt idx="0">
                  <c:v>Произведено скота и птицы на 100 га сельскохозяйственных угодий, кг</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рейтинг1!$E$3:$E$7</c:f>
              <c:numCache>
                <c:formatCode>General</c:formatCode>
                <c:ptCount val="5"/>
                <c:pt idx="0">
                  <c:v>25</c:v>
                </c:pt>
                <c:pt idx="1">
                  <c:v>26</c:v>
                </c:pt>
                <c:pt idx="2">
                  <c:v>25</c:v>
                </c:pt>
                <c:pt idx="3">
                  <c:v>27</c:v>
                </c:pt>
                <c:pt idx="4">
                  <c:v>26</c:v>
                </c:pt>
              </c:numCache>
            </c:numRef>
          </c:val>
        </c:ser>
        <c:ser>
          <c:idx val="3"/>
          <c:order val="3"/>
          <c:tx>
            <c:strRef>
              <c:f>рейтинг1!$F$2</c:f>
              <c:strCache>
                <c:ptCount val="1"/>
                <c:pt idx="0">
                  <c:v>Произведено молока на 100 га сельскохозяйственных угодий, кг</c:v>
                </c:pt>
              </c:strCache>
            </c:strRef>
          </c:tx>
          <c:invertIfNegative val="0"/>
          <c:dLbls>
            <c:showLegendKey val="0"/>
            <c:showVal val="1"/>
            <c:showCatName val="0"/>
            <c:showSerName val="0"/>
            <c:showPercent val="0"/>
            <c:showBubbleSize val="0"/>
            <c:showLeaderLines val="0"/>
          </c:dLbls>
          <c:cat>
            <c:numRef>
              <c:f>рейтинг1!$B$3:$B$7</c:f>
              <c:numCache>
                <c:formatCode>General</c:formatCode>
                <c:ptCount val="5"/>
                <c:pt idx="0">
                  <c:v>2013</c:v>
                </c:pt>
                <c:pt idx="1">
                  <c:v>2014</c:v>
                </c:pt>
                <c:pt idx="2">
                  <c:v>2015</c:v>
                </c:pt>
                <c:pt idx="3">
                  <c:v>2016</c:v>
                </c:pt>
                <c:pt idx="4">
                  <c:v>2017</c:v>
                </c:pt>
              </c:numCache>
            </c:numRef>
          </c:cat>
          <c:val>
            <c:numRef>
              <c:f>рейтинг1!$F$3:$F$7</c:f>
              <c:numCache>
                <c:formatCode>General</c:formatCode>
                <c:ptCount val="5"/>
                <c:pt idx="0">
                  <c:v>15</c:v>
                </c:pt>
                <c:pt idx="1">
                  <c:v>19</c:v>
                </c:pt>
                <c:pt idx="2">
                  <c:v>19</c:v>
                </c:pt>
                <c:pt idx="3">
                  <c:v>19</c:v>
                </c:pt>
                <c:pt idx="4">
                  <c:v>19</c:v>
                </c:pt>
              </c:numCache>
            </c:numRef>
          </c:val>
        </c:ser>
        <c:dLbls>
          <c:showLegendKey val="0"/>
          <c:showVal val="0"/>
          <c:showCatName val="0"/>
          <c:showSerName val="0"/>
          <c:showPercent val="0"/>
          <c:showBubbleSize val="0"/>
        </c:dLbls>
        <c:gapWidth val="150"/>
        <c:axId val="117352704"/>
        <c:axId val="117370880"/>
      </c:barChart>
      <c:catAx>
        <c:axId val="117352704"/>
        <c:scaling>
          <c:orientation val="minMax"/>
        </c:scaling>
        <c:delete val="0"/>
        <c:axPos val="b"/>
        <c:numFmt formatCode="General" sourceLinked="1"/>
        <c:majorTickMark val="none"/>
        <c:minorTickMark val="none"/>
        <c:tickLblPos val="nextTo"/>
        <c:crossAx val="117370880"/>
        <c:crosses val="autoZero"/>
        <c:auto val="1"/>
        <c:lblAlgn val="ctr"/>
        <c:lblOffset val="100"/>
        <c:noMultiLvlLbl val="0"/>
      </c:catAx>
      <c:valAx>
        <c:axId val="117370880"/>
        <c:scaling>
          <c:orientation val="minMax"/>
        </c:scaling>
        <c:delete val="1"/>
        <c:axPos val="l"/>
        <c:numFmt formatCode="General" sourceLinked="1"/>
        <c:majorTickMark val="out"/>
        <c:minorTickMark val="none"/>
        <c:tickLblPos val="none"/>
        <c:crossAx val="117352704"/>
        <c:crosses val="autoZero"/>
        <c:crossBetween val="between"/>
      </c:valAx>
    </c:plotArea>
    <c:legend>
      <c:legendPos val="b"/>
      <c:layout>
        <c:manualLayout>
          <c:xMode val="edge"/>
          <c:yMode val="edge"/>
          <c:x val="0.11662937684627939"/>
          <c:y val="0.72671043465411633"/>
          <c:w val="0.78771682408512766"/>
          <c:h val="0.27328940392761497"/>
        </c:manualLayout>
      </c:layout>
      <c:overlay val="0"/>
    </c:legend>
    <c:plotVisOnly val="1"/>
    <c:dispBlanksAs val="gap"/>
    <c:showDLblsOverMax val="0"/>
  </c:chart>
  <c:txPr>
    <a:bodyPr/>
    <a:lstStyle/>
    <a:p>
      <a:pPr>
        <a:defRPr sz="1000" baseline="0">
          <a:latin typeface="Times New Roman" pitchFamily="18" charset="0"/>
          <a:cs typeface="Times New Roman"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453723887016528E-2"/>
          <c:y val="0.19259043797640368"/>
          <c:w val="0.85183860931979105"/>
          <c:h val="0.66652851500591181"/>
        </c:manualLayout>
      </c:layout>
      <c:scatterChart>
        <c:scatterStyle val="lineMarker"/>
        <c:varyColors val="0"/>
        <c:ser>
          <c:idx val="0"/>
          <c:order val="0"/>
          <c:tx>
            <c:strRef>
              <c:f>Рождаемость!$A$3</c:f>
              <c:strCache>
                <c:ptCount val="1"/>
                <c:pt idx="0">
                  <c:v>Алексеевский</c:v>
                </c:pt>
              </c:strCache>
            </c:strRef>
          </c:tx>
          <c:spPr>
            <a:ln w="47625">
              <a:noFill/>
            </a:ln>
          </c:spPr>
          <c:marker>
            <c:symbol val="circle"/>
            <c:size val="6"/>
            <c:spPr>
              <a:solidFill>
                <a:srgbClr val="4F81BD">
                  <a:lumMod val="50000"/>
                </a:srgbClr>
              </a:solidFill>
              <a:ln>
                <a:noFill/>
              </a:ln>
            </c:spPr>
          </c:marker>
          <c:dLbls>
            <c:dLbl>
              <c:idx val="0"/>
              <c:layout>
                <c:manualLayout>
                  <c:x val="-7.0426065162907314E-3"/>
                  <c:y val="-2.108388519629263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Рождаемость!$D$3</c:f>
              <c:numCache>
                <c:formatCode>0.0</c:formatCode>
                <c:ptCount val="1"/>
                <c:pt idx="0">
                  <c:v>-0.76926123306574989</c:v>
                </c:pt>
              </c:numCache>
            </c:numRef>
          </c:xVal>
          <c:yVal>
            <c:numRef>
              <c:f>Рождаемость!$B$3</c:f>
              <c:numCache>
                <c:formatCode>General</c:formatCode>
                <c:ptCount val="1"/>
                <c:pt idx="0">
                  <c:v>12.8</c:v>
                </c:pt>
              </c:numCache>
            </c:numRef>
          </c:yVal>
          <c:smooth val="0"/>
        </c:ser>
        <c:ser>
          <c:idx val="1"/>
          <c:order val="1"/>
          <c:tx>
            <c:strRef>
              <c:f>Рождаемость!$A$4</c:f>
              <c:strCache>
                <c:ptCount val="1"/>
                <c:pt idx="0">
                  <c:v>Безенчукский</c:v>
                </c:pt>
              </c:strCache>
            </c:strRef>
          </c:tx>
          <c:spPr>
            <a:ln w="47625">
              <a:noFill/>
            </a:ln>
          </c:spPr>
          <c:marker>
            <c:symbol val="circle"/>
            <c:size val="6"/>
            <c:spPr>
              <a:solidFill>
                <a:srgbClr val="4F81BD">
                  <a:lumMod val="50000"/>
                </a:srgbClr>
              </a:solidFill>
              <a:ln>
                <a:noFill/>
              </a:ln>
            </c:spPr>
          </c:marker>
          <c:dLbls>
            <c:dLbl>
              <c:idx val="0"/>
              <c:layout>
                <c:manualLayout>
                  <c:x val="-3.8095238095238095E-3"/>
                  <c:y val="5.642166460979732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Рождаемость!$D$4</c:f>
              <c:numCache>
                <c:formatCode>0.0</c:formatCode>
                <c:ptCount val="1"/>
                <c:pt idx="0">
                  <c:v>-3.5356053116230211</c:v>
                </c:pt>
              </c:numCache>
            </c:numRef>
          </c:xVal>
          <c:yVal>
            <c:numRef>
              <c:f>Рождаемость!$B$4</c:f>
              <c:numCache>
                <c:formatCode>General</c:formatCode>
                <c:ptCount val="1"/>
                <c:pt idx="0">
                  <c:v>11.4</c:v>
                </c:pt>
              </c:numCache>
            </c:numRef>
          </c:yVal>
          <c:smooth val="0"/>
        </c:ser>
        <c:ser>
          <c:idx val="2"/>
          <c:order val="2"/>
          <c:tx>
            <c:strRef>
              <c:f>Рождаемость!$A$5</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6.6540366664693098E-3"/>
                  <c:y val="-2.969561295252505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Рождаемость!$D$5</c:f>
              <c:numCache>
                <c:formatCode>0.0</c:formatCode>
                <c:ptCount val="1"/>
                <c:pt idx="0">
                  <c:v>-0.51948988993706047</c:v>
                </c:pt>
              </c:numCache>
            </c:numRef>
          </c:xVal>
          <c:yVal>
            <c:numRef>
              <c:f>Рождаемость!$B$5</c:f>
              <c:numCache>
                <c:formatCode>General</c:formatCode>
                <c:ptCount val="1"/>
                <c:pt idx="0">
                  <c:v>12.7</c:v>
                </c:pt>
              </c:numCache>
            </c:numRef>
          </c:yVal>
          <c:smooth val="0"/>
        </c:ser>
        <c:ser>
          <c:idx val="3"/>
          <c:order val="3"/>
          <c:tx>
            <c:strRef>
              <c:f>Рождаемость!$A$6</c:f>
              <c:strCache>
                <c:ptCount val="1"/>
                <c:pt idx="0">
                  <c:v>Большеглушицкий</c:v>
                </c:pt>
              </c:strCache>
            </c:strRef>
          </c:tx>
          <c:spPr>
            <a:ln w="47625">
              <a:noFill/>
            </a:ln>
          </c:spPr>
          <c:marker>
            <c:symbol val="circle"/>
            <c:size val="6"/>
            <c:spPr>
              <a:solidFill>
                <a:srgbClr val="4F81BD">
                  <a:lumMod val="50000"/>
                </a:srgbClr>
              </a:solidFill>
              <a:ln>
                <a:noFill/>
              </a:ln>
            </c:spPr>
          </c:marker>
          <c:dLbls>
            <c:dLbl>
              <c:idx val="0"/>
              <c:layout>
                <c:manualLayout>
                  <c:x val="2.4214078503345058E-4"/>
                  <c:y val="-9.9258170853124645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Рождаемость!$D$6</c:f>
              <c:numCache>
                <c:formatCode>0.0</c:formatCode>
                <c:ptCount val="1"/>
                <c:pt idx="0">
                  <c:v>-3.2022229686390062</c:v>
                </c:pt>
              </c:numCache>
            </c:numRef>
          </c:xVal>
          <c:yVal>
            <c:numRef>
              <c:f>Рождаемость!$B$6</c:f>
              <c:numCache>
                <c:formatCode>General</c:formatCode>
                <c:ptCount val="1"/>
                <c:pt idx="0">
                  <c:v>11.7</c:v>
                </c:pt>
              </c:numCache>
            </c:numRef>
          </c:yVal>
          <c:smooth val="0"/>
        </c:ser>
        <c:ser>
          <c:idx val="4"/>
          <c:order val="4"/>
          <c:tx>
            <c:strRef>
              <c:f>Рождаемость!$A$7</c:f>
              <c:strCache>
                <c:ptCount val="1"/>
                <c:pt idx="0">
                  <c:v>Большечерниговский</c:v>
                </c:pt>
              </c:strCache>
            </c:strRef>
          </c:tx>
          <c:spPr>
            <a:ln w="47625">
              <a:noFill/>
            </a:ln>
          </c:spPr>
          <c:marker>
            <c:symbol val="circle"/>
            <c:size val="6"/>
            <c:spPr>
              <a:solidFill>
                <a:srgbClr val="4F81BD">
                  <a:lumMod val="50000"/>
                </a:srgbClr>
              </a:solidFill>
              <a:ln>
                <a:noFill/>
              </a:ln>
            </c:spPr>
          </c:marker>
          <c:dLbls>
            <c:dLbl>
              <c:idx val="0"/>
              <c:layout>
                <c:manualLayout>
                  <c:x val="-0.10144430975667212"/>
                  <c:y val="3.952855847688123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Рождаемость!$D$7</c:f>
              <c:numCache>
                <c:formatCode>0.0</c:formatCode>
                <c:ptCount val="1"/>
                <c:pt idx="0">
                  <c:v>0</c:v>
                </c:pt>
              </c:numCache>
            </c:numRef>
          </c:xVal>
          <c:yVal>
            <c:numRef>
              <c:f>Рождаемость!$B$7</c:f>
              <c:numCache>
                <c:formatCode>General</c:formatCode>
                <c:ptCount val="1"/>
                <c:pt idx="0">
                  <c:v>15.7</c:v>
                </c:pt>
              </c:numCache>
            </c:numRef>
          </c:yVal>
          <c:smooth val="0"/>
        </c:ser>
        <c:ser>
          <c:idx val="5"/>
          <c:order val="5"/>
          <c:tx>
            <c:strRef>
              <c:f>Рождаемость!$A$8</c:f>
              <c:strCache>
                <c:ptCount val="1"/>
                <c:pt idx="0">
                  <c:v>Борский</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Рождаемость!$D$8</c:f>
              <c:numCache>
                <c:formatCode>0.0</c:formatCode>
                <c:ptCount val="1"/>
                <c:pt idx="0">
                  <c:v>-2.8365940912728149</c:v>
                </c:pt>
              </c:numCache>
            </c:numRef>
          </c:xVal>
          <c:yVal>
            <c:numRef>
              <c:f>Рождаемость!$B$8</c:f>
              <c:numCache>
                <c:formatCode>General</c:formatCode>
                <c:ptCount val="1"/>
                <c:pt idx="0">
                  <c:v>12.2</c:v>
                </c:pt>
              </c:numCache>
            </c:numRef>
          </c:yVal>
          <c:smooth val="0"/>
        </c:ser>
        <c:ser>
          <c:idx val="6"/>
          <c:order val="6"/>
          <c:tx>
            <c:strRef>
              <c:f>Рождаемость!$A$9</c:f>
              <c:strCache>
                <c:ptCount val="1"/>
                <c:pt idx="0">
                  <c:v>Волжский </c:v>
                </c:pt>
              </c:strCache>
            </c:strRef>
          </c:tx>
          <c:spPr>
            <a:ln w="47625">
              <a:noFill/>
            </a:ln>
          </c:spPr>
          <c:marker>
            <c:symbol val="circle"/>
            <c:size val="6"/>
            <c:spPr>
              <a:solidFill>
                <a:schemeClr val="accent1">
                  <a:lumMod val="50000"/>
                </a:schemeClr>
              </a:solidFill>
              <a:ln>
                <a:noFill/>
              </a:ln>
            </c:spPr>
          </c:marker>
          <c:dLbls>
            <c:dLbl>
              <c:idx val="0"/>
              <c:layout>
                <c:manualLayout>
                  <c:x val="5.0125313283208477E-3"/>
                  <c:y val="-2.969561295251415E-4"/>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Рождаемость!$D$9</c:f>
              <c:numCache>
                <c:formatCode>0.0</c:formatCode>
                <c:ptCount val="1"/>
                <c:pt idx="0">
                  <c:v>-3.6067859040201138</c:v>
                </c:pt>
              </c:numCache>
            </c:numRef>
          </c:xVal>
          <c:yVal>
            <c:numRef>
              <c:f>Рождаемость!$B$9</c:f>
              <c:numCache>
                <c:formatCode>General</c:formatCode>
                <c:ptCount val="1"/>
                <c:pt idx="0">
                  <c:v>10.3</c:v>
                </c:pt>
              </c:numCache>
            </c:numRef>
          </c:yVal>
          <c:smooth val="0"/>
        </c:ser>
        <c:ser>
          <c:idx val="7"/>
          <c:order val="7"/>
          <c:tx>
            <c:strRef>
              <c:f>Рождаемость!$A$10</c:f>
              <c:strCache>
                <c:ptCount val="1"/>
                <c:pt idx="0">
                  <c:v>Елховский</c:v>
                </c:pt>
              </c:strCache>
            </c:strRef>
          </c:tx>
          <c:spPr>
            <a:ln w="47625">
              <a:noFill/>
            </a:ln>
          </c:spPr>
          <c:marker>
            <c:symbol val="circle"/>
            <c:size val="6"/>
            <c:spPr>
              <a:solidFill>
                <a:srgbClr val="4F81BD">
                  <a:lumMod val="50000"/>
                </a:srgbClr>
              </a:solidFill>
              <a:ln>
                <a:noFill/>
              </a:ln>
            </c:spPr>
          </c:marker>
          <c:dLbls>
            <c:dLbl>
              <c:idx val="0"/>
              <c:layout>
                <c:manualLayout>
                  <c:x val="-8.0832001263000063E-4"/>
                  <c:y val="-6.236078720030254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Рождаемость!$D$10</c:f>
              <c:numCache>
                <c:formatCode>0.0</c:formatCode>
                <c:ptCount val="1"/>
                <c:pt idx="0">
                  <c:v>0.27700972535929314</c:v>
                </c:pt>
              </c:numCache>
            </c:numRef>
          </c:xVal>
          <c:yVal>
            <c:numRef>
              <c:f>Рождаемость!$B$10</c:f>
              <c:numCache>
                <c:formatCode>General</c:formatCode>
                <c:ptCount val="1"/>
                <c:pt idx="0">
                  <c:v>12.1</c:v>
                </c:pt>
              </c:numCache>
            </c:numRef>
          </c:yVal>
          <c:smooth val="0"/>
        </c:ser>
        <c:ser>
          <c:idx val="8"/>
          <c:order val="8"/>
          <c:tx>
            <c:strRef>
              <c:f>Рождаемость!$A$11</c:f>
              <c:strCache>
                <c:ptCount val="1"/>
                <c:pt idx="0">
                  <c:v>Исаклинский </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Рождаемость!$D$11</c:f>
              <c:numCache>
                <c:formatCode>0.0</c:formatCode>
                <c:ptCount val="1"/>
                <c:pt idx="0">
                  <c:v>-10.279789798545298</c:v>
                </c:pt>
              </c:numCache>
            </c:numRef>
          </c:xVal>
          <c:yVal>
            <c:numRef>
              <c:f>Рождаемость!$B$11</c:f>
              <c:numCache>
                <c:formatCode>General</c:formatCode>
                <c:ptCount val="1"/>
                <c:pt idx="0">
                  <c:v>10.4</c:v>
                </c:pt>
              </c:numCache>
            </c:numRef>
          </c:yVal>
          <c:smooth val="0"/>
        </c:ser>
        <c:ser>
          <c:idx val="9"/>
          <c:order val="9"/>
          <c:tx>
            <c:strRef>
              <c:f>Рождаемость!$A$12</c:f>
              <c:strCache>
                <c:ptCount val="1"/>
                <c:pt idx="0">
                  <c:v>Камышлинский</c:v>
                </c:pt>
              </c:strCache>
            </c:strRef>
          </c:tx>
          <c:spPr>
            <a:ln w="47625">
              <a:noFill/>
            </a:ln>
          </c:spPr>
          <c:marker>
            <c:symbol val="circle"/>
            <c:size val="6"/>
            <c:spPr>
              <a:solidFill>
                <a:srgbClr val="FF0000"/>
              </a:solidFill>
              <a:ln>
                <a:noFill/>
              </a:ln>
            </c:spPr>
          </c:marker>
          <c:dLbls>
            <c:dLblPos val="t"/>
            <c:showLegendKey val="0"/>
            <c:showVal val="0"/>
            <c:showCatName val="0"/>
            <c:showSerName val="1"/>
            <c:showPercent val="0"/>
            <c:showBubbleSize val="0"/>
            <c:showLeaderLines val="0"/>
          </c:dLbls>
          <c:xVal>
            <c:numRef>
              <c:f>Рождаемость!$D$12</c:f>
              <c:numCache>
                <c:formatCode>0.0</c:formatCode>
                <c:ptCount val="1"/>
                <c:pt idx="0">
                  <c:v>-10.695475015043327</c:v>
                </c:pt>
              </c:numCache>
            </c:numRef>
          </c:xVal>
          <c:yVal>
            <c:numRef>
              <c:f>Рождаемость!$B$12</c:f>
              <c:numCache>
                <c:formatCode>General</c:formatCode>
                <c:ptCount val="1"/>
                <c:pt idx="0">
                  <c:v>9.9</c:v>
                </c:pt>
              </c:numCache>
            </c:numRef>
          </c:yVal>
          <c:smooth val="0"/>
        </c:ser>
        <c:ser>
          <c:idx val="10"/>
          <c:order val="10"/>
          <c:tx>
            <c:strRef>
              <c:f>Рождаемость!$A$13</c:f>
              <c:strCache>
                <c:ptCount val="1"/>
                <c:pt idx="0">
                  <c:v>Кинельский </c:v>
                </c:pt>
              </c:strCache>
            </c:strRef>
          </c:tx>
          <c:spPr>
            <a:ln w="47625">
              <a:noFill/>
            </a:ln>
          </c:spPr>
          <c:marker>
            <c:symbol val="circle"/>
            <c:size val="6"/>
            <c:spPr>
              <a:solidFill>
                <a:srgbClr val="4F81BD">
                  <a:lumMod val="50000"/>
                </a:srgbClr>
              </a:solidFill>
              <a:ln>
                <a:noFill/>
              </a:ln>
            </c:spPr>
          </c:marker>
          <c:dLbls>
            <c:dLbl>
              <c:idx val="0"/>
              <c:layout>
                <c:manualLayout>
                  <c:x val="-5.8198646221853424E-3"/>
                  <c:y val="-3.498938206469162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Рождаемость!$D$13</c:f>
              <c:numCache>
                <c:formatCode>0.0</c:formatCode>
                <c:ptCount val="1"/>
                <c:pt idx="0">
                  <c:v>-8.0358607872959684</c:v>
                </c:pt>
              </c:numCache>
            </c:numRef>
          </c:xVal>
          <c:yVal>
            <c:numRef>
              <c:f>Рождаемость!$B$13</c:f>
              <c:numCache>
                <c:formatCode>General</c:formatCode>
                <c:ptCount val="1"/>
                <c:pt idx="0">
                  <c:v>9.8000000000000007</c:v>
                </c:pt>
              </c:numCache>
            </c:numRef>
          </c:yVal>
          <c:smooth val="0"/>
        </c:ser>
        <c:ser>
          <c:idx val="11"/>
          <c:order val="11"/>
          <c:tx>
            <c:strRef>
              <c:f>Рождаемость!$A$14</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Рождаемость!$D$14</c:f>
              <c:numCache>
                <c:formatCode>0.0</c:formatCode>
                <c:ptCount val="1"/>
                <c:pt idx="0">
                  <c:v>-5.1947600007991213</c:v>
                </c:pt>
              </c:numCache>
            </c:numRef>
          </c:xVal>
          <c:yVal>
            <c:numRef>
              <c:f>Рождаемость!$B$14</c:f>
              <c:numCache>
                <c:formatCode>General</c:formatCode>
                <c:ptCount val="1"/>
                <c:pt idx="0">
                  <c:v>12.1</c:v>
                </c:pt>
              </c:numCache>
            </c:numRef>
          </c:yVal>
          <c:smooth val="0"/>
        </c:ser>
        <c:ser>
          <c:idx val="12"/>
          <c:order val="12"/>
          <c:tx>
            <c:strRef>
              <c:f>Рождаемость!$A$15</c:f>
              <c:strCache>
                <c:ptCount val="1"/>
                <c:pt idx="0">
                  <c:v>Клявлинский </c:v>
                </c:pt>
              </c:strCache>
            </c:strRef>
          </c:tx>
          <c:spPr>
            <a:ln w="47625">
              <a:noFill/>
            </a:ln>
          </c:spPr>
          <c:marker>
            <c:symbol val="circle"/>
            <c:size val="6"/>
            <c:spPr>
              <a:solidFill>
                <a:srgbClr val="4F81BD">
                  <a:lumMod val="50000"/>
                </a:srgbClr>
              </a:solidFill>
              <a:ln>
                <a:noFill/>
              </a:ln>
            </c:spPr>
          </c:marker>
          <c:dLbls>
            <c:dLbl>
              <c:idx val="0"/>
              <c:layout>
                <c:manualLayout>
                  <c:x val="8.3646123181970664E-3"/>
                  <c:y val="5.642166460979732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Рождаемость!$D$15</c:f>
              <c:numCache>
                <c:formatCode>0.0</c:formatCode>
                <c:ptCount val="1"/>
                <c:pt idx="0">
                  <c:v>-7.9999793403415964</c:v>
                </c:pt>
              </c:numCache>
            </c:numRef>
          </c:xVal>
          <c:yVal>
            <c:numRef>
              <c:f>Рождаемость!$B$15</c:f>
              <c:numCache>
                <c:formatCode>General</c:formatCode>
                <c:ptCount val="1"/>
                <c:pt idx="0">
                  <c:v>9.5</c:v>
                </c:pt>
              </c:numCache>
            </c:numRef>
          </c:yVal>
          <c:smooth val="0"/>
        </c:ser>
        <c:ser>
          <c:idx val="13"/>
          <c:order val="13"/>
          <c:tx>
            <c:strRef>
              <c:f>Рождаемость!$A$16</c:f>
              <c:strCache>
                <c:ptCount val="1"/>
                <c:pt idx="0">
                  <c:v>Кошкинский</c:v>
                </c:pt>
              </c:strCache>
            </c:strRef>
          </c:tx>
          <c:spPr>
            <a:ln w="47625">
              <a:noFill/>
            </a:ln>
          </c:spPr>
          <c:marker>
            <c:symbol val="circle"/>
            <c:size val="6"/>
            <c:spPr>
              <a:solidFill>
                <a:srgbClr val="4F81BD">
                  <a:lumMod val="50000"/>
                </a:srgbClr>
              </a:solidFill>
              <a:ln>
                <a:noFill/>
              </a:ln>
            </c:spPr>
          </c:marker>
          <c:dLbls>
            <c:dLbl>
              <c:idx val="0"/>
              <c:layout>
                <c:manualLayout>
                  <c:x val="8.1305626270492776E-5"/>
                  <c:y val="1.158128905148472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Рождаемость!$D$16</c:f>
              <c:numCache>
                <c:formatCode>0.0</c:formatCode>
                <c:ptCount val="1"/>
                <c:pt idx="0">
                  <c:v>-0.27624450122512201</c:v>
                </c:pt>
              </c:numCache>
            </c:numRef>
          </c:xVal>
          <c:yVal>
            <c:numRef>
              <c:f>Рождаемость!$B$16</c:f>
              <c:numCache>
                <c:formatCode>General</c:formatCode>
                <c:ptCount val="1"/>
                <c:pt idx="0">
                  <c:v>12</c:v>
                </c:pt>
              </c:numCache>
            </c:numRef>
          </c:yVal>
          <c:smooth val="0"/>
        </c:ser>
        <c:ser>
          <c:idx val="14"/>
          <c:order val="14"/>
          <c:tx>
            <c:strRef>
              <c:f>Рождаемость!$A$17</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Рождаемость!$D$18</c:f>
              <c:numCache>
                <c:formatCode>0.0</c:formatCode>
                <c:ptCount val="1"/>
                <c:pt idx="0">
                  <c:v>-5.0851191326387664</c:v>
                </c:pt>
              </c:numCache>
            </c:numRef>
          </c:xVal>
          <c:yVal>
            <c:numRef>
              <c:f>Рождаемость!$B$17</c:f>
              <c:numCache>
                <c:formatCode>General</c:formatCode>
                <c:ptCount val="1"/>
                <c:pt idx="0">
                  <c:v>14.3</c:v>
                </c:pt>
              </c:numCache>
            </c:numRef>
          </c:yVal>
          <c:smooth val="0"/>
        </c:ser>
        <c:ser>
          <c:idx val="15"/>
          <c:order val="15"/>
          <c:tx>
            <c:strRef>
              <c:f>Рождаемость!$A$18</c:f>
              <c:strCache>
                <c:ptCount val="1"/>
                <c:pt idx="0">
                  <c:v>Красноярский </c:v>
                </c:pt>
              </c:strCache>
            </c:strRef>
          </c:tx>
          <c:spPr>
            <a:ln w="47625">
              <a:noFill/>
            </a:ln>
          </c:spPr>
          <c:marker>
            <c:symbol val="circle"/>
            <c:size val="6"/>
            <c:spPr>
              <a:solidFill>
                <a:srgbClr val="4F81BD">
                  <a:lumMod val="50000"/>
                </a:srgbClr>
              </a:solidFill>
              <a:ln>
                <a:noFill/>
              </a:ln>
            </c:spPr>
          </c:marker>
          <c:dLbls>
            <c:dLbl>
              <c:idx val="0"/>
              <c:layout>
                <c:manualLayout>
                  <c:x val="-1.9162078424407572E-4"/>
                  <c:y val="-1.418468239489740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Рождаемость!$D$18</c:f>
              <c:numCache>
                <c:formatCode>0.0</c:formatCode>
                <c:ptCount val="1"/>
                <c:pt idx="0">
                  <c:v>-5.0851191326387664</c:v>
                </c:pt>
              </c:numCache>
            </c:numRef>
          </c:xVal>
          <c:yVal>
            <c:numRef>
              <c:f>Рождаемость!$B$18</c:f>
              <c:numCache>
                <c:formatCode>General</c:formatCode>
                <c:ptCount val="1"/>
                <c:pt idx="0">
                  <c:v>11.8</c:v>
                </c:pt>
              </c:numCache>
            </c:numRef>
          </c:yVal>
          <c:smooth val="0"/>
        </c:ser>
        <c:ser>
          <c:idx val="16"/>
          <c:order val="16"/>
          <c:tx>
            <c:strRef>
              <c:f>Рождаемость!$A$19</c:f>
              <c:strCache>
                <c:ptCount val="1"/>
                <c:pt idx="0">
                  <c:v>Нефтегорский </c:v>
                </c:pt>
              </c:strCache>
            </c:strRef>
          </c:tx>
          <c:spPr>
            <a:ln w="47625">
              <a:noFill/>
            </a:ln>
          </c:spPr>
          <c:marker>
            <c:symbol val="circle"/>
            <c:size val="6"/>
            <c:spPr>
              <a:solidFill>
                <a:srgbClr val="4F81BD">
                  <a:lumMod val="50000"/>
                </a:srgbClr>
              </a:solidFill>
              <a:ln>
                <a:noFill/>
              </a:ln>
            </c:spPr>
          </c:marker>
          <c:dLbls>
            <c:dLbl>
              <c:idx val="0"/>
              <c:layout>
                <c:manualLayout>
                  <c:x val="-5.8555902908231983E-2"/>
                  <c:y val="3.5902085222121488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Рождаемость!$D$19</c:f>
              <c:numCache>
                <c:formatCode>0.0</c:formatCode>
                <c:ptCount val="1"/>
                <c:pt idx="0">
                  <c:v>0</c:v>
                </c:pt>
              </c:numCache>
            </c:numRef>
          </c:xVal>
          <c:yVal>
            <c:numRef>
              <c:f>Рождаемость!$B$19</c:f>
              <c:numCache>
                <c:formatCode>General</c:formatCode>
                <c:ptCount val="1"/>
                <c:pt idx="0">
                  <c:v>11</c:v>
                </c:pt>
              </c:numCache>
            </c:numRef>
          </c:yVal>
          <c:smooth val="0"/>
        </c:ser>
        <c:ser>
          <c:idx val="17"/>
          <c:order val="17"/>
          <c:tx>
            <c:strRef>
              <c:f>Рождаемость!$A$20</c:f>
              <c:strCache>
                <c:ptCount val="1"/>
                <c:pt idx="0">
                  <c:v>Пестравский </c:v>
                </c:pt>
              </c:strCache>
            </c:strRef>
          </c:tx>
          <c:spPr>
            <a:ln w="47625">
              <a:noFill/>
            </a:ln>
          </c:spPr>
          <c:marker>
            <c:symbol val="circle"/>
            <c:size val="6"/>
            <c:spPr>
              <a:solidFill>
                <a:schemeClr val="accent1">
                  <a:lumMod val="50000"/>
                </a:schemeClr>
              </a:solidFill>
              <a:ln>
                <a:noFill/>
              </a:ln>
            </c:spPr>
          </c:marker>
          <c:dLbls>
            <c:dLbl>
              <c:idx val="0"/>
              <c:layout>
                <c:manualLayout>
                  <c:x val="-0.10427959662936837"/>
                  <c:y val="-2.8884244630121281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Рождаемость!$D$20</c:f>
              <c:numCache>
                <c:formatCode>0.0</c:formatCode>
                <c:ptCount val="1"/>
                <c:pt idx="0">
                  <c:v>-1.0959786502667868</c:v>
                </c:pt>
              </c:numCache>
            </c:numRef>
          </c:xVal>
          <c:yVal>
            <c:numRef>
              <c:f>Рождаемость!$B$20</c:f>
              <c:numCache>
                <c:formatCode>General</c:formatCode>
                <c:ptCount val="1"/>
                <c:pt idx="0">
                  <c:v>11.9</c:v>
                </c:pt>
              </c:numCache>
            </c:numRef>
          </c:yVal>
          <c:smooth val="0"/>
        </c:ser>
        <c:ser>
          <c:idx val="18"/>
          <c:order val="18"/>
          <c:tx>
            <c:strRef>
              <c:f>Рождаемость!$A$21</c:f>
              <c:strCache>
                <c:ptCount val="1"/>
                <c:pt idx="0">
                  <c:v>Похвистневский</c:v>
                </c:pt>
              </c:strCache>
            </c:strRef>
          </c:tx>
          <c:spPr>
            <a:ln w="47625">
              <a:noFill/>
            </a:ln>
          </c:spPr>
          <c:marker>
            <c:symbol val="circle"/>
            <c:size val="6"/>
            <c:spPr>
              <a:solidFill>
                <a:srgbClr val="4F81BD">
                  <a:lumMod val="50000"/>
                </a:srgbClr>
              </a:solidFill>
              <a:ln>
                <a:noFill/>
              </a:ln>
            </c:spPr>
          </c:marker>
          <c:dLbls>
            <c:dLbl>
              <c:idx val="0"/>
              <c:layout>
                <c:manualLayout>
                  <c:x val="-9.3130266611410564E-2"/>
                  <c:y val="3.85834865268430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Рождаемость!$D$21</c:f>
              <c:numCache>
                <c:formatCode>0.0</c:formatCode>
                <c:ptCount val="1"/>
                <c:pt idx="0">
                  <c:v>-11.512641091512336</c:v>
                </c:pt>
              </c:numCache>
            </c:numRef>
          </c:xVal>
          <c:yVal>
            <c:numRef>
              <c:f>Рождаемость!$B$21</c:f>
              <c:numCache>
                <c:formatCode>General</c:formatCode>
                <c:ptCount val="1"/>
                <c:pt idx="0">
                  <c:v>9.7000000000000011</c:v>
                </c:pt>
              </c:numCache>
            </c:numRef>
          </c:yVal>
          <c:smooth val="0"/>
        </c:ser>
        <c:ser>
          <c:idx val="19"/>
          <c:order val="19"/>
          <c:tx>
            <c:strRef>
              <c:f>Рождаемость!$A$22</c:f>
              <c:strCache>
                <c:ptCount val="1"/>
                <c:pt idx="0">
                  <c:v>Приволжский</c:v>
                </c:pt>
              </c:strCache>
            </c:strRef>
          </c:tx>
          <c:spPr>
            <a:ln w="47625">
              <a:noFill/>
            </a:ln>
          </c:spPr>
          <c:marker>
            <c:symbol val="circle"/>
            <c:size val="6"/>
            <c:spPr>
              <a:solidFill>
                <a:srgbClr val="4F81BD">
                  <a:lumMod val="50000"/>
                </a:srgbClr>
              </a:solidFill>
              <a:ln>
                <a:noFill/>
              </a:ln>
            </c:spPr>
          </c:marker>
          <c:dLbls>
            <c:dLbl>
              <c:idx val="0"/>
              <c:layout>
                <c:manualLayout>
                  <c:x val="-7.436090225563935E-2"/>
                  <c:y val="2.6429095527747092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Рождаемость!$D$22</c:f>
              <c:numCache>
                <c:formatCode>0.0</c:formatCode>
                <c:ptCount val="1"/>
                <c:pt idx="0">
                  <c:v>-9.4509187440051079</c:v>
                </c:pt>
              </c:numCache>
            </c:numRef>
          </c:xVal>
          <c:yVal>
            <c:numRef>
              <c:f>Рождаемость!$B$22</c:f>
              <c:numCache>
                <c:formatCode>General</c:formatCode>
                <c:ptCount val="1"/>
                <c:pt idx="0">
                  <c:v>9.8000000000000007</c:v>
                </c:pt>
              </c:numCache>
            </c:numRef>
          </c:yVal>
          <c:smooth val="0"/>
        </c:ser>
        <c:ser>
          <c:idx val="20"/>
          <c:order val="20"/>
          <c:tx>
            <c:strRef>
              <c:f>Рождаемость!$A$23</c:f>
              <c:strCache>
                <c:ptCount val="1"/>
                <c:pt idx="0">
                  <c:v>Сергиевский</c:v>
                </c:pt>
              </c:strCache>
            </c:strRef>
          </c:tx>
          <c:spPr>
            <a:ln w="47625">
              <a:noFill/>
            </a:ln>
          </c:spPr>
          <c:marker>
            <c:symbol val="circle"/>
            <c:size val="6"/>
            <c:spPr>
              <a:solidFill>
                <a:srgbClr val="4F81BD">
                  <a:lumMod val="50000"/>
                </a:srgbClr>
              </a:solidFill>
              <a:ln>
                <a:noFill/>
              </a:ln>
            </c:spPr>
          </c:marker>
          <c:dLbls>
            <c:dLbl>
              <c:idx val="0"/>
              <c:layout>
                <c:manualLayout>
                  <c:x val="-7.0003749531308748E-3"/>
                  <c:y val="1.319934922181126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Рождаемость!$D$23</c:f>
              <c:numCache>
                <c:formatCode>0.0</c:formatCode>
                <c:ptCount val="1"/>
                <c:pt idx="0">
                  <c:v>-4.4257907824376872</c:v>
                </c:pt>
              </c:numCache>
            </c:numRef>
          </c:xVal>
          <c:yVal>
            <c:numRef>
              <c:f>Рождаемость!$B$23</c:f>
              <c:numCache>
                <c:formatCode>General</c:formatCode>
                <c:ptCount val="1"/>
                <c:pt idx="0">
                  <c:v>11</c:v>
                </c:pt>
              </c:numCache>
            </c:numRef>
          </c:yVal>
          <c:smooth val="0"/>
        </c:ser>
        <c:ser>
          <c:idx val="21"/>
          <c:order val="21"/>
          <c:tx>
            <c:strRef>
              <c:f>Рождаемость!$A$24</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
              <c:idx val="0"/>
              <c:layout>
                <c:manualLayout>
                  <c:x val="-6.6275926035561364E-3"/>
                  <c:y val="-5.8114548371815261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Рождаемость!$D$24</c:f>
              <c:numCache>
                <c:formatCode>0.0</c:formatCode>
                <c:ptCount val="1"/>
                <c:pt idx="0">
                  <c:v>-6.1699556404279647</c:v>
                </c:pt>
              </c:numCache>
            </c:numRef>
          </c:xVal>
          <c:yVal>
            <c:numRef>
              <c:f>Рождаемость!$B$24</c:f>
              <c:numCache>
                <c:formatCode>General</c:formatCode>
                <c:ptCount val="1"/>
                <c:pt idx="0">
                  <c:v>11.4</c:v>
                </c:pt>
              </c:numCache>
            </c:numRef>
          </c:yVal>
          <c:smooth val="0"/>
        </c:ser>
        <c:ser>
          <c:idx val="22"/>
          <c:order val="22"/>
          <c:tx>
            <c:strRef>
              <c:f>Рождаемость!$A$25</c:f>
              <c:strCache>
                <c:ptCount val="1"/>
                <c:pt idx="0">
                  <c:v>Сызранский </c:v>
                </c:pt>
              </c:strCache>
            </c:strRef>
          </c:tx>
          <c:spPr>
            <a:ln w="47625">
              <a:noFill/>
            </a:ln>
          </c:spPr>
          <c:marker>
            <c:symbol val="circle"/>
            <c:size val="6"/>
            <c:spPr>
              <a:solidFill>
                <a:srgbClr val="4F81BD">
                  <a:lumMod val="50000"/>
                </a:srgbClr>
              </a:solidFill>
              <a:ln>
                <a:noFill/>
              </a:ln>
            </c:spPr>
          </c:marker>
          <c:dLbls>
            <c:dLbl>
              <c:idx val="0"/>
              <c:layout>
                <c:manualLayout>
                  <c:x val="-4.6304738223511693E-3"/>
                  <c:y val="-9.205640015282868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Рождаемость!$D$25</c:f>
              <c:numCache>
                <c:formatCode>0.0</c:formatCode>
                <c:ptCount val="1"/>
                <c:pt idx="0">
                  <c:v>-4.3534408613805455</c:v>
                </c:pt>
              </c:numCache>
            </c:numRef>
          </c:xVal>
          <c:yVal>
            <c:numRef>
              <c:f>Рождаемость!$B$25</c:f>
              <c:numCache>
                <c:formatCode>General</c:formatCode>
                <c:ptCount val="1"/>
                <c:pt idx="0">
                  <c:v>10.5</c:v>
                </c:pt>
              </c:numCache>
            </c:numRef>
          </c:yVal>
          <c:smooth val="0"/>
        </c:ser>
        <c:ser>
          <c:idx val="23"/>
          <c:order val="23"/>
          <c:tx>
            <c:strRef>
              <c:f>Рождаемость!$A$26</c:f>
              <c:strCache>
                <c:ptCount val="1"/>
                <c:pt idx="0">
                  <c:v>Хворостянский </c:v>
                </c:pt>
              </c:strCache>
            </c:strRef>
          </c:tx>
          <c:spPr>
            <a:ln w="47625">
              <a:noFill/>
            </a:ln>
          </c:spPr>
          <c:marker>
            <c:symbol val="circle"/>
            <c:size val="6"/>
            <c:spPr>
              <a:solidFill>
                <a:srgbClr val="4F81BD">
                  <a:lumMod val="50000"/>
                </a:srgbClr>
              </a:solidFill>
              <a:ln>
                <a:noFill/>
              </a:ln>
            </c:spPr>
          </c:marker>
          <c:dLbls>
            <c:dLbl>
              <c:idx val="0"/>
              <c:layout>
                <c:manualLayout>
                  <c:x val="1.8169439346396627E-3"/>
                  <c:y val="8.6117277562321112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Рождаемость!$D$26</c:f>
              <c:numCache>
                <c:formatCode>0.0</c:formatCode>
                <c:ptCount val="1"/>
                <c:pt idx="0">
                  <c:v>-0.78743425198753358</c:v>
                </c:pt>
              </c:numCache>
            </c:numRef>
          </c:xVal>
          <c:yVal>
            <c:numRef>
              <c:f>Рождаемость!$B$26</c:f>
              <c:numCache>
                <c:formatCode>General</c:formatCode>
                <c:ptCount val="1"/>
                <c:pt idx="0">
                  <c:v>12.5</c:v>
                </c:pt>
              </c:numCache>
            </c:numRef>
          </c:yVal>
          <c:smooth val="0"/>
        </c:ser>
        <c:ser>
          <c:idx val="24"/>
          <c:order val="24"/>
          <c:tx>
            <c:strRef>
              <c:f>Рождаемость!$A$27</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3.4022063031594742E-3"/>
                  <c:y val="-2.9695612952535861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Рождаемость!$D$27</c:f>
              <c:numCache>
                <c:formatCode>0.0</c:formatCode>
                <c:ptCount val="1"/>
                <c:pt idx="0">
                  <c:v>-9.365571310611486</c:v>
                </c:pt>
              </c:numCache>
            </c:numRef>
          </c:xVal>
          <c:yVal>
            <c:numRef>
              <c:f>Рождаемость!$B$27</c:f>
              <c:numCache>
                <c:formatCode>General</c:formatCode>
                <c:ptCount val="1"/>
                <c:pt idx="0">
                  <c:v>10.200000000000001</c:v>
                </c:pt>
              </c:numCache>
            </c:numRef>
          </c:yVal>
          <c:smooth val="0"/>
        </c:ser>
        <c:ser>
          <c:idx val="25"/>
          <c:order val="25"/>
          <c:tx>
            <c:strRef>
              <c:f>Рождаемость!$A$28</c:f>
              <c:strCache>
                <c:ptCount val="1"/>
                <c:pt idx="0">
                  <c:v>Шенталинский</c:v>
                </c:pt>
              </c:strCache>
            </c:strRef>
          </c:tx>
          <c:spPr>
            <a:ln w="47625">
              <a:noFill/>
            </a:ln>
          </c:spPr>
          <c:marker>
            <c:symbol val="circle"/>
            <c:size val="6"/>
            <c:spPr>
              <a:solidFill>
                <a:srgbClr val="4F81BD">
                  <a:lumMod val="50000"/>
                </a:srgbClr>
              </a:solidFill>
              <a:ln>
                <a:noFill/>
              </a:ln>
            </c:spPr>
          </c:marker>
          <c:dLbls>
            <c:dLbl>
              <c:idx val="0"/>
              <c:layout>
                <c:manualLayout>
                  <c:x val="-8.7080299173129677E-2"/>
                  <c:y val="3.533777941350464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Рождаемость!$D$28</c:f>
              <c:numCache>
                <c:formatCode>0.0</c:formatCode>
                <c:ptCount val="1"/>
                <c:pt idx="0">
                  <c:v>-4.0670722090412745</c:v>
                </c:pt>
              </c:numCache>
            </c:numRef>
          </c:xVal>
          <c:yVal>
            <c:numRef>
              <c:f>Рождаемость!$B$28</c:f>
              <c:numCache>
                <c:formatCode>General</c:formatCode>
                <c:ptCount val="1"/>
                <c:pt idx="0">
                  <c:v>9.8000000000000007</c:v>
                </c:pt>
              </c:numCache>
            </c:numRef>
          </c:yVal>
          <c:smooth val="0"/>
        </c:ser>
        <c:ser>
          <c:idx val="26"/>
          <c:order val="26"/>
          <c:tx>
            <c:strRef>
              <c:f>Рождаемость!$A$29</c:f>
              <c:strCache>
                <c:ptCount val="1"/>
                <c:pt idx="0">
                  <c:v>Шигонский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Рождаемость!$D$29</c:f>
              <c:numCache>
                <c:formatCode>0.0</c:formatCode>
                <c:ptCount val="1"/>
                <c:pt idx="0">
                  <c:v>-6.9940544828743745</c:v>
                </c:pt>
              </c:numCache>
            </c:numRef>
          </c:xVal>
          <c:yVal>
            <c:numRef>
              <c:f>Рождаемость!$B$29</c:f>
              <c:numCache>
                <c:formatCode>General</c:formatCode>
                <c:ptCount val="1"/>
                <c:pt idx="0">
                  <c:v>10.7</c:v>
                </c:pt>
              </c:numCache>
            </c:numRef>
          </c:yVal>
          <c:smooth val="0"/>
        </c:ser>
        <c:dLbls>
          <c:showLegendKey val="0"/>
          <c:showVal val="1"/>
          <c:showCatName val="0"/>
          <c:showSerName val="0"/>
          <c:showPercent val="0"/>
          <c:showBubbleSize val="0"/>
        </c:dLbls>
        <c:axId val="63721472"/>
        <c:axId val="63723392"/>
      </c:scatterChart>
      <c:valAx>
        <c:axId val="63721472"/>
        <c:scaling>
          <c:orientation val="minMax"/>
          <c:max val="2"/>
          <c:min val="-12"/>
        </c:scaling>
        <c:delete val="0"/>
        <c:axPos val="b"/>
        <c:title>
          <c:tx>
            <c:rich>
              <a:bodyPr/>
              <a:lstStyle/>
              <a:p>
                <a:pPr>
                  <a:defRPr baseline="0"/>
                </a:pPr>
                <a:r>
                  <a:rPr lang="ru-RU" baseline="0"/>
                  <a:t>Среднегодовой темп снижения числа родившихся в расчете на 1000 чел. населения в 2014-2016 гг., %</a:t>
                </a:r>
              </a:p>
            </c:rich>
          </c:tx>
          <c:layout>
            <c:manualLayout>
              <c:xMode val="edge"/>
              <c:yMode val="edge"/>
              <c:x val="0.14963315953433942"/>
              <c:y val="0.89049961007270262"/>
            </c:manualLayout>
          </c:layout>
          <c:overlay val="0"/>
        </c:title>
        <c:numFmt formatCode="0.0" sourceLinked="1"/>
        <c:majorTickMark val="out"/>
        <c:minorTickMark val="none"/>
        <c:tickLblPos val="nextTo"/>
        <c:spPr>
          <a:ln>
            <a:noFill/>
          </a:ln>
        </c:spPr>
        <c:crossAx val="63723392"/>
        <c:crosses val="autoZero"/>
        <c:crossBetween val="midCat"/>
      </c:valAx>
      <c:valAx>
        <c:axId val="63723392"/>
        <c:scaling>
          <c:orientation val="minMax"/>
          <c:max val="16"/>
          <c:min val="9"/>
        </c:scaling>
        <c:delete val="0"/>
        <c:axPos val="l"/>
        <c:title>
          <c:tx>
            <c:rich>
              <a:bodyPr rot="-5400000" vert="horz"/>
              <a:lstStyle/>
              <a:p>
                <a:pPr>
                  <a:defRPr/>
                </a:pPr>
                <a:r>
                  <a:rPr lang="ru-RU"/>
                  <a:t>Число родившихся  (на 1000 чел. населения)</a:t>
                </a:r>
              </a:p>
            </c:rich>
          </c:tx>
          <c:overlay val="0"/>
        </c:title>
        <c:numFmt formatCode="General" sourceLinked="1"/>
        <c:majorTickMark val="out"/>
        <c:minorTickMark val="none"/>
        <c:tickLblPos val="low"/>
        <c:spPr>
          <a:ln>
            <a:noFill/>
          </a:ln>
        </c:spPr>
        <c:crossAx val="63721472"/>
        <c:crosses val="autoZero"/>
        <c:crossBetween val="midCat"/>
      </c:valAx>
      <c:spPr>
        <a:noFill/>
        <a:ln>
          <a:solidFill>
            <a:schemeClr val="tx1"/>
          </a:solidFill>
        </a:ln>
      </c:spPr>
    </c:plotArea>
    <c:plotVisOnly val="1"/>
    <c:dispBlanksAs val="gap"/>
    <c:showDLblsOverMax val="0"/>
  </c:chart>
  <c:spPr>
    <a:noFill/>
  </c:spPr>
  <c:txPr>
    <a:bodyPr/>
    <a:lstStyle/>
    <a:p>
      <a:pPr>
        <a:defRPr sz="700" baseline="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2712756163664"/>
          <c:y val="6.334168622376242E-2"/>
          <c:w val="0.57474183850542415"/>
          <c:h val="0.83013373763516363"/>
        </c:manualLayout>
      </c:layout>
      <c:radarChart>
        <c:radarStyle val="marker"/>
        <c:varyColors val="0"/>
        <c:ser>
          <c:idx val="0"/>
          <c:order val="0"/>
          <c:tx>
            <c:strRef>
              <c:f>сх!$D$7</c:f>
              <c:strCache>
                <c:ptCount val="1"/>
                <c:pt idx="0">
                  <c:v> Камышлинский район</c:v>
                </c:pt>
              </c:strCache>
            </c:strRef>
          </c:tx>
          <c:marker>
            <c:symbol val="none"/>
          </c:marker>
          <c:cat>
            <c:numRef>
              <c:f>сх!$C$8:$C$12</c:f>
              <c:numCache>
                <c:formatCode>General</c:formatCode>
                <c:ptCount val="5"/>
                <c:pt idx="0">
                  <c:v>2012</c:v>
                </c:pt>
                <c:pt idx="1">
                  <c:v>2013</c:v>
                </c:pt>
                <c:pt idx="2">
                  <c:v>2014</c:v>
                </c:pt>
                <c:pt idx="3">
                  <c:v>2015</c:v>
                </c:pt>
                <c:pt idx="4">
                  <c:v>2016</c:v>
                </c:pt>
              </c:numCache>
            </c:numRef>
          </c:cat>
          <c:val>
            <c:numRef>
              <c:f>сх!$D$8:$D$12</c:f>
              <c:numCache>
                <c:formatCode>General</c:formatCode>
                <c:ptCount val="5"/>
                <c:pt idx="0">
                  <c:v>101.3</c:v>
                </c:pt>
                <c:pt idx="1">
                  <c:v>103.4</c:v>
                </c:pt>
                <c:pt idx="2">
                  <c:v>105.1</c:v>
                </c:pt>
                <c:pt idx="3">
                  <c:v>102.4</c:v>
                </c:pt>
                <c:pt idx="4">
                  <c:v>101.8</c:v>
                </c:pt>
              </c:numCache>
            </c:numRef>
          </c:val>
        </c:ser>
        <c:ser>
          <c:idx val="1"/>
          <c:order val="1"/>
          <c:tx>
            <c:strRef>
              <c:f>сх!$E$7</c:f>
              <c:strCache>
                <c:ptCount val="1"/>
                <c:pt idx="0">
                  <c:v>Самарская область</c:v>
                </c:pt>
              </c:strCache>
            </c:strRef>
          </c:tx>
          <c:spPr>
            <a:ln>
              <a:solidFill>
                <a:srgbClr val="FF0000"/>
              </a:solidFill>
            </a:ln>
          </c:spPr>
          <c:marker>
            <c:symbol val="none"/>
          </c:marker>
          <c:dLbls>
            <c:dLbl>
              <c:idx val="0"/>
              <c:layout>
                <c:manualLayout>
                  <c:x val="4.9382716049383116E-2"/>
                  <c:y val="3.3229480305318734E-2"/>
                </c:manualLayout>
              </c:layout>
              <c:showLegendKey val="0"/>
              <c:showVal val="1"/>
              <c:showCatName val="0"/>
              <c:showSerName val="0"/>
              <c:showPercent val="0"/>
              <c:showBubbleSize val="0"/>
            </c:dLbl>
            <c:dLbl>
              <c:idx val="1"/>
              <c:layout>
                <c:manualLayout>
                  <c:x val="-1.7283950617284001E-2"/>
                  <c:y val="-3.7383165343483592E-2"/>
                </c:manualLayout>
              </c:layout>
              <c:showLegendKey val="0"/>
              <c:showVal val="1"/>
              <c:showCatName val="0"/>
              <c:showSerName val="0"/>
              <c:showPercent val="0"/>
              <c:showBubbleSize val="0"/>
            </c:dLbl>
            <c:dLbl>
              <c:idx val="2"/>
              <c:layout>
                <c:manualLayout>
                  <c:x val="2.9629629629629752E-2"/>
                  <c:y val="-7.4766330686967183E-2"/>
                </c:manualLayout>
              </c:layout>
              <c:showLegendKey val="0"/>
              <c:showVal val="1"/>
              <c:showCatName val="0"/>
              <c:showSerName val="0"/>
              <c:showPercent val="0"/>
              <c:showBubbleSize val="0"/>
            </c:dLbl>
            <c:dLbl>
              <c:idx val="3"/>
              <c:layout>
                <c:manualLayout>
                  <c:x val="-2.9629629629629752E-2"/>
                  <c:y val="-3.3229480305318734E-2"/>
                </c:manualLayout>
              </c:layout>
              <c:showLegendKey val="0"/>
              <c:showVal val="1"/>
              <c:showCatName val="0"/>
              <c:showSerName val="0"/>
              <c:showPercent val="0"/>
              <c:showBubbleSize val="0"/>
            </c:dLbl>
            <c:dLbl>
              <c:idx val="4"/>
              <c:layout>
                <c:manualLayout>
                  <c:x val="2.7160493827160494E-2"/>
                  <c:y val="-3.7383165343483592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сх!$C$8:$C$12</c:f>
              <c:numCache>
                <c:formatCode>General</c:formatCode>
                <c:ptCount val="5"/>
                <c:pt idx="0">
                  <c:v>2012</c:v>
                </c:pt>
                <c:pt idx="1">
                  <c:v>2013</c:v>
                </c:pt>
                <c:pt idx="2">
                  <c:v>2014</c:v>
                </c:pt>
                <c:pt idx="3">
                  <c:v>2015</c:v>
                </c:pt>
                <c:pt idx="4">
                  <c:v>2016</c:v>
                </c:pt>
              </c:numCache>
            </c:numRef>
          </c:cat>
          <c:val>
            <c:numRef>
              <c:f>сх!$E$8:$E$12</c:f>
              <c:numCache>
                <c:formatCode>General</c:formatCode>
                <c:ptCount val="5"/>
                <c:pt idx="0">
                  <c:v>107.1</c:v>
                </c:pt>
                <c:pt idx="1">
                  <c:v>106.2</c:v>
                </c:pt>
                <c:pt idx="2">
                  <c:v>103.8</c:v>
                </c:pt>
                <c:pt idx="3">
                  <c:v>93.5</c:v>
                </c:pt>
                <c:pt idx="4">
                  <c:v>115</c:v>
                </c:pt>
              </c:numCache>
            </c:numRef>
          </c:val>
        </c:ser>
        <c:dLbls>
          <c:showLegendKey val="0"/>
          <c:showVal val="0"/>
          <c:showCatName val="0"/>
          <c:showSerName val="0"/>
          <c:showPercent val="0"/>
          <c:showBubbleSize val="0"/>
        </c:dLbls>
        <c:axId val="117429760"/>
        <c:axId val="117431296"/>
      </c:radarChart>
      <c:catAx>
        <c:axId val="117429760"/>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7431296"/>
        <c:crosses val="autoZero"/>
        <c:auto val="0"/>
        <c:lblAlgn val="ctr"/>
        <c:lblOffset val="100"/>
        <c:noMultiLvlLbl val="0"/>
      </c:catAx>
      <c:valAx>
        <c:axId val="117431296"/>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17429760"/>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616463239979193E-2"/>
          <c:y val="2.8054254488680718E-2"/>
          <c:w val="0.90486386341183966"/>
          <c:h val="0.8588017174082776"/>
        </c:manualLayout>
      </c:layout>
      <c:barChart>
        <c:barDir val="col"/>
        <c:grouping val="stacked"/>
        <c:varyColors val="0"/>
        <c:ser>
          <c:idx val="0"/>
          <c:order val="0"/>
          <c:tx>
            <c:strRef>
              <c:f>сх2!$D$7</c:f>
              <c:strCache>
                <c:ptCount val="1"/>
                <c:pt idx="0">
                  <c:v>растениеводство</c:v>
                </c:pt>
              </c:strCache>
            </c:strRef>
          </c:tx>
          <c:spPr>
            <a:solidFill>
              <a:srgbClr val="C0504D"/>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сх2!$C$8:$C$12</c:f>
              <c:numCache>
                <c:formatCode>General</c:formatCode>
                <c:ptCount val="5"/>
                <c:pt idx="0">
                  <c:v>2012</c:v>
                </c:pt>
                <c:pt idx="1">
                  <c:v>2013</c:v>
                </c:pt>
                <c:pt idx="2">
                  <c:v>2014</c:v>
                </c:pt>
                <c:pt idx="3">
                  <c:v>2015</c:v>
                </c:pt>
                <c:pt idx="4">
                  <c:v>2016</c:v>
                </c:pt>
              </c:numCache>
            </c:numRef>
          </c:cat>
          <c:val>
            <c:numRef>
              <c:f>сх2!$D$8:$D$12</c:f>
              <c:numCache>
                <c:formatCode>General</c:formatCode>
                <c:ptCount val="5"/>
                <c:pt idx="0">
                  <c:v>181.4</c:v>
                </c:pt>
                <c:pt idx="1">
                  <c:v>275.60000000000002</c:v>
                </c:pt>
                <c:pt idx="2">
                  <c:v>284.3</c:v>
                </c:pt>
                <c:pt idx="3">
                  <c:v>317.89999999999969</c:v>
                </c:pt>
                <c:pt idx="4">
                  <c:v>366.2</c:v>
                </c:pt>
              </c:numCache>
            </c:numRef>
          </c:val>
        </c:ser>
        <c:ser>
          <c:idx val="1"/>
          <c:order val="1"/>
          <c:tx>
            <c:strRef>
              <c:f>сх2!$E$7</c:f>
              <c:strCache>
                <c:ptCount val="1"/>
                <c:pt idx="0">
                  <c:v>животноводство</c:v>
                </c:pt>
              </c:strCache>
            </c:strRef>
          </c:tx>
          <c:spPr>
            <a:solidFill>
              <a:sysClr val="window" lastClr="FFFFFF">
                <a:lumMod val="65000"/>
              </a:sysClr>
            </a:solidFill>
          </c:spPr>
          <c:invertIfNegative val="0"/>
          <c:dLbls>
            <c:dLbl>
              <c:idx val="0"/>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4"/>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numRef>
              <c:f>сх2!$C$8:$C$12</c:f>
              <c:numCache>
                <c:formatCode>General</c:formatCode>
                <c:ptCount val="5"/>
                <c:pt idx="0">
                  <c:v>2012</c:v>
                </c:pt>
                <c:pt idx="1">
                  <c:v>2013</c:v>
                </c:pt>
                <c:pt idx="2">
                  <c:v>2014</c:v>
                </c:pt>
                <c:pt idx="3">
                  <c:v>2015</c:v>
                </c:pt>
                <c:pt idx="4">
                  <c:v>2016</c:v>
                </c:pt>
              </c:numCache>
            </c:numRef>
          </c:cat>
          <c:val>
            <c:numRef>
              <c:f>сх2!$E$8:$E$12</c:f>
              <c:numCache>
                <c:formatCode>General</c:formatCode>
                <c:ptCount val="5"/>
                <c:pt idx="0">
                  <c:v>254.2</c:v>
                </c:pt>
                <c:pt idx="1">
                  <c:v>224.3</c:v>
                </c:pt>
                <c:pt idx="2">
                  <c:v>243.5</c:v>
                </c:pt>
                <c:pt idx="3">
                  <c:v>275.60000000000002</c:v>
                </c:pt>
                <c:pt idx="4">
                  <c:v>267.89999999999969</c:v>
                </c:pt>
              </c:numCache>
            </c:numRef>
          </c:val>
        </c:ser>
        <c:dLbls>
          <c:showLegendKey val="0"/>
          <c:showVal val="0"/>
          <c:showCatName val="0"/>
          <c:showSerName val="0"/>
          <c:showPercent val="0"/>
          <c:showBubbleSize val="0"/>
        </c:dLbls>
        <c:gapWidth val="150"/>
        <c:overlap val="100"/>
        <c:axId val="117484160"/>
        <c:axId val="117485952"/>
      </c:barChart>
      <c:catAx>
        <c:axId val="11748416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7485952"/>
        <c:crosses val="autoZero"/>
        <c:auto val="1"/>
        <c:lblAlgn val="ctr"/>
        <c:lblOffset val="100"/>
        <c:noMultiLvlLbl val="0"/>
      </c:catAx>
      <c:valAx>
        <c:axId val="117485952"/>
        <c:scaling>
          <c:orientation val="minMax"/>
        </c:scaling>
        <c:delete val="0"/>
        <c:axPos val="l"/>
        <c:majorGridlines>
          <c:spPr>
            <a:ln>
              <a:solidFill>
                <a:sysClr val="window" lastClr="FFFFFF"/>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7484160"/>
        <c:crosses val="autoZero"/>
        <c:crossBetween val="between"/>
      </c:valAx>
    </c:plotArea>
    <c:legend>
      <c:legendPos val="b"/>
      <c:layout>
        <c:manualLayout>
          <c:xMode val="edge"/>
          <c:yMode val="edge"/>
          <c:x val="0.10132004483570962"/>
          <c:y val="5.3648647402681222E-2"/>
          <c:w val="0.47256388504053931"/>
          <c:h val="8.2768214424016634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266185476815402E-2"/>
          <c:y val="0.22852242306071838"/>
          <c:w val="0.89984492563429574"/>
          <c:h val="0.67864592538182811"/>
        </c:manualLayout>
      </c:layout>
      <c:barChart>
        <c:barDir val="col"/>
        <c:grouping val="clustered"/>
        <c:varyColors val="0"/>
        <c:ser>
          <c:idx val="0"/>
          <c:order val="0"/>
          <c:tx>
            <c:strRef>
              <c:f>сх5!$D$7</c:f>
              <c:strCache>
                <c:ptCount val="1"/>
                <c:pt idx="0">
                  <c:v>прибыль (убыток)</c:v>
                </c:pt>
              </c:strCache>
            </c:strRef>
          </c:tx>
          <c:spPr>
            <a:solidFill>
              <a:srgbClr val="C00000"/>
            </a:solidFill>
          </c:spPr>
          <c:invertIfNegative val="0"/>
          <c:dLbls>
            <c:showLegendKey val="0"/>
            <c:showVal val="1"/>
            <c:showCatName val="0"/>
            <c:showSerName val="0"/>
            <c:showPercent val="0"/>
            <c:showBubbleSize val="0"/>
            <c:showLeaderLines val="0"/>
          </c:dLbls>
          <c:cat>
            <c:numRef>
              <c:f>сх5!$C$8:$C$12</c:f>
              <c:numCache>
                <c:formatCode>General</c:formatCode>
                <c:ptCount val="5"/>
                <c:pt idx="0">
                  <c:v>2012</c:v>
                </c:pt>
                <c:pt idx="1">
                  <c:v>2013</c:v>
                </c:pt>
                <c:pt idx="2">
                  <c:v>2014</c:v>
                </c:pt>
                <c:pt idx="3">
                  <c:v>2015</c:v>
                </c:pt>
                <c:pt idx="4">
                  <c:v>2016</c:v>
                </c:pt>
              </c:numCache>
            </c:numRef>
          </c:cat>
          <c:val>
            <c:numRef>
              <c:f>сх5!$D$8:$D$12</c:f>
              <c:numCache>
                <c:formatCode>General</c:formatCode>
                <c:ptCount val="5"/>
                <c:pt idx="0">
                  <c:v>3746</c:v>
                </c:pt>
                <c:pt idx="1">
                  <c:v>5082</c:v>
                </c:pt>
                <c:pt idx="2">
                  <c:v>7967</c:v>
                </c:pt>
                <c:pt idx="3">
                  <c:v>2815</c:v>
                </c:pt>
                <c:pt idx="4">
                  <c:v>4902</c:v>
                </c:pt>
              </c:numCache>
            </c:numRef>
          </c:val>
        </c:ser>
        <c:dLbls>
          <c:showLegendKey val="0"/>
          <c:showVal val="0"/>
          <c:showCatName val="0"/>
          <c:showSerName val="0"/>
          <c:showPercent val="0"/>
          <c:showBubbleSize val="0"/>
        </c:dLbls>
        <c:gapWidth val="150"/>
        <c:axId val="117506432"/>
        <c:axId val="117507968"/>
      </c:barChart>
      <c:catAx>
        <c:axId val="117506432"/>
        <c:scaling>
          <c:orientation val="minMax"/>
        </c:scaling>
        <c:delete val="0"/>
        <c:axPos val="b"/>
        <c:numFmt formatCode="General" sourceLinked="1"/>
        <c:majorTickMark val="out"/>
        <c:minorTickMark val="none"/>
        <c:tickLblPos val="nextTo"/>
        <c:crossAx val="117507968"/>
        <c:crosses val="autoZero"/>
        <c:auto val="1"/>
        <c:lblAlgn val="ctr"/>
        <c:lblOffset val="100"/>
        <c:tickMarkSkip val="1"/>
        <c:noMultiLvlLbl val="0"/>
      </c:catAx>
      <c:valAx>
        <c:axId val="117507968"/>
        <c:scaling>
          <c:orientation val="minMax"/>
        </c:scaling>
        <c:delete val="0"/>
        <c:axPos val="l"/>
        <c:numFmt formatCode="General" sourceLinked="1"/>
        <c:majorTickMark val="out"/>
        <c:minorTickMark val="none"/>
        <c:tickLblPos val="nextTo"/>
        <c:crossAx val="117506432"/>
        <c:crosses val="autoZero"/>
        <c:crossBetween val="between"/>
      </c:valAx>
    </c:plotArea>
    <c:plotVisOnly val="1"/>
    <c:dispBlanksAs val="gap"/>
    <c:showDLblsOverMax val="0"/>
  </c:chart>
  <c:txPr>
    <a:bodyPr/>
    <a:lstStyle/>
    <a:p>
      <a:pPr>
        <a:defRPr baseline="0">
          <a:latin typeface="Times New Roman" pitchFamily="18" charset="0"/>
        </a:defRPr>
      </a:pPr>
      <a:endParaRPr lang="ru-RU"/>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057116906954274"/>
          <c:y val="0.313918949039517"/>
          <c:w val="0.76507806054552485"/>
          <c:h val="0.6855187024932109"/>
        </c:manualLayout>
      </c:layout>
      <c:pieChart>
        <c:varyColors val="1"/>
        <c:ser>
          <c:idx val="0"/>
          <c:order val="0"/>
          <c:dPt>
            <c:idx val="0"/>
            <c:bubble3D val="0"/>
            <c:spPr>
              <a:solidFill>
                <a:schemeClr val="accent2">
                  <a:lumMod val="60000"/>
                  <a:lumOff val="40000"/>
                </a:schemeClr>
              </a:solidFill>
            </c:spPr>
          </c:dPt>
          <c:dPt>
            <c:idx val="2"/>
            <c:bubble3D val="0"/>
            <c:explosion val="34"/>
            <c:spPr>
              <a:solidFill>
                <a:srgbClr val="C00000"/>
              </a:solidFill>
            </c:spPr>
          </c:dPt>
          <c:dPt>
            <c:idx val="4"/>
            <c:bubble3D val="0"/>
            <c:spPr>
              <a:solidFill>
                <a:schemeClr val="accent1">
                  <a:lumMod val="75000"/>
                </a:schemeClr>
              </a:solidFill>
            </c:spPr>
          </c:dPt>
          <c:dPt>
            <c:idx val="6"/>
            <c:bubble3D val="0"/>
            <c:spPr>
              <a:solidFill>
                <a:schemeClr val="accent2">
                  <a:lumMod val="40000"/>
                  <a:lumOff val="60000"/>
                </a:schemeClr>
              </a:solidFill>
            </c:spPr>
          </c:dPt>
          <c:dPt>
            <c:idx val="7"/>
            <c:bubble3D val="0"/>
            <c:spPr>
              <a:solidFill>
                <a:schemeClr val="accent1">
                  <a:lumMod val="60000"/>
                  <a:lumOff val="40000"/>
                </a:schemeClr>
              </a:solidFill>
            </c:spPr>
          </c:dPt>
          <c:dLbls>
            <c:dLbl>
              <c:idx val="0"/>
              <c:tx>
                <c:rich>
                  <a:bodyPr/>
                  <a:lstStyle/>
                  <a:p>
                    <a:r>
                      <a:rPr lang="ru-RU"/>
                      <a:t>сельское хозяйство, охота и лесное хозяйство
</a:t>
                    </a:r>
                    <a:r>
                      <a:rPr lang="ru-RU" b="1"/>
                      <a:t>15%</a:t>
                    </a:r>
                  </a:p>
                </c:rich>
              </c:tx>
              <c:showLegendKey val="0"/>
              <c:showVal val="0"/>
              <c:showCatName val="0"/>
              <c:showSerName val="0"/>
              <c:showPercent val="0"/>
              <c:showBubbleSize val="0"/>
            </c:dLbl>
            <c:dLbl>
              <c:idx val="1"/>
              <c:tx>
                <c:rich>
                  <a:bodyPr/>
                  <a:lstStyle/>
                  <a:p>
                    <a:r>
                      <a:rPr lang="ru-RU"/>
                      <a:t>обрабатывающие производства
</a:t>
                    </a:r>
                    <a:r>
                      <a:rPr lang="ru-RU" b="1"/>
                      <a:t>7%</a:t>
                    </a:r>
                  </a:p>
                </c:rich>
              </c:tx>
              <c:showLegendKey val="0"/>
              <c:showVal val="0"/>
              <c:showCatName val="0"/>
              <c:showSerName val="0"/>
              <c:showPercent val="0"/>
              <c:showBubbleSize val="0"/>
            </c:dLbl>
            <c:dLbl>
              <c:idx val="2"/>
              <c:layout>
                <c:manualLayout>
                  <c:x val="0.21781539236744249"/>
                  <c:y val="-1.9221627842446931E-3"/>
                </c:manualLayout>
              </c:layout>
              <c:tx>
                <c:rich>
                  <a:bodyPr/>
                  <a:lstStyle/>
                  <a:p>
                    <a:r>
                      <a:rPr lang="ru-RU"/>
                      <a:t>оптовая и розничная торговля; ремонт автотранспортных средств, мотоциклов, бытовых изделий и предметов личного пользования
</a:t>
                    </a:r>
                    <a:r>
                      <a:rPr lang="ru-RU" b="1"/>
                      <a:t>50%</a:t>
                    </a:r>
                  </a:p>
                </c:rich>
              </c:tx>
              <c:dLblPos val="bestFit"/>
              <c:showLegendKey val="0"/>
              <c:showVal val="0"/>
              <c:showCatName val="0"/>
              <c:showSerName val="0"/>
              <c:showPercent val="0"/>
              <c:showBubbleSize val="0"/>
            </c:dLbl>
            <c:dLbl>
              <c:idx val="3"/>
              <c:tx>
                <c:rich>
                  <a:bodyPr/>
                  <a:lstStyle/>
                  <a:p>
                    <a:r>
                      <a:rPr lang="ru-RU"/>
                      <a:t>гостиницы и рестораны
</a:t>
                    </a:r>
                    <a:r>
                      <a:rPr lang="ru-RU" b="1"/>
                      <a:t>7%</a:t>
                    </a:r>
                  </a:p>
                </c:rich>
              </c:tx>
              <c:showLegendKey val="0"/>
              <c:showVal val="0"/>
              <c:showCatName val="0"/>
              <c:showSerName val="0"/>
              <c:showPercent val="0"/>
              <c:showBubbleSize val="0"/>
            </c:dLbl>
            <c:dLbl>
              <c:idx val="4"/>
              <c:tx>
                <c:rich>
                  <a:bodyPr/>
                  <a:lstStyle/>
                  <a:p>
                    <a:r>
                      <a:rPr lang="ru-RU"/>
                      <a:t>транспорт и связь
</a:t>
                    </a:r>
                    <a:r>
                      <a:rPr lang="ru-RU" b="1"/>
                      <a:t>9%</a:t>
                    </a:r>
                  </a:p>
                </c:rich>
              </c:tx>
              <c:showLegendKey val="0"/>
              <c:showVal val="0"/>
              <c:showCatName val="0"/>
              <c:showSerName val="0"/>
              <c:showPercent val="0"/>
              <c:showBubbleSize val="0"/>
            </c:dLbl>
            <c:dLbl>
              <c:idx val="5"/>
              <c:tx>
                <c:rich>
                  <a:bodyPr/>
                  <a:lstStyle/>
                  <a:p>
                    <a:r>
                      <a:rPr lang="ru-RU"/>
                      <a:t>предоставление прочих коммунальных, социальных и персональных услуг
</a:t>
                    </a:r>
                    <a:r>
                      <a:rPr lang="ru-RU" b="1"/>
                      <a:t>6%</a:t>
                    </a:r>
                  </a:p>
                </c:rich>
              </c:tx>
              <c:showLegendKey val="0"/>
              <c:showVal val="0"/>
              <c:showCatName val="0"/>
              <c:showSerName val="0"/>
              <c:showPercent val="0"/>
              <c:showBubbleSize val="0"/>
            </c:dLbl>
            <c:dLbl>
              <c:idx val="6"/>
              <c:layout>
                <c:manualLayout>
                  <c:x val="4.7089594150076589E-2"/>
                  <c:y val="3.017579637077741E-2"/>
                </c:manualLayout>
              </c:layout>
              <c:tx>
                <c:rich>
                  <a:bodyPr/>
                  <a:lstStyle/>
                  <a:p>
                    <a:r>
                      <a:rPr lang="ru-RU"/>
                      <a:t>рыболовство, рыбоводство; строительство; финансовая деятельность; образование
</a:t>
                    </a:r>
                    <a:r>
                      <a:rPr lang="ru-RU" b="1">
                        <a:solidFill>
                          <a:sysClr val="windowText" lastClr="000000"/>
                        </a:solidFill>
                      </a:rPr>
                      <a:t>3%</a:t>
                    </a:r>
                  </a:p>
                </c:rich>
              </c:tx>
              <c:dLblPos val="bestFit"/>
              <c:showLegendKey val="0"/>
              <c:showVal val="0"/>
              <c:showCatName val="0"/>
              <c:showSerName val="0"/>
              <c:showPercent val="0"/>
              <c:showBubbleSize val="0"/>
            </c:dLbl>
            <c:dLbl>
              <c:idx val="7"/>
              <c:layout>
                <c:manualLayout>
                  <c:x val="0.12893560179977503"/>
                  <c:y val="5.9957749183791103E-3"/>
                </c:manualLayout>
              </c:layout>
              <c:tx>
                <c:rich>
                  <a:bodyPr/>
                  <a:lstStyle/>
                  <a:p>
                    <a:r>
                      <a:rPr lang="ru-RU"/>
                      <a:t>операции с недвижимым имуществом, аренда и предоставление услуг
</a:t>
                    </a:r>
                    <a:r>
                      <a:rPr lang="ru-RU" b="1"/>
                      <a:t>3%</a:t>
                    </a:r>
                  </a:p>
                </c:rich>
              </c:tx>
              <c:dLblPos val="bestFit"/>
              <c:showLegendKey val="0"/>
              <c:showVal val="0"/>
              <c:showCatName val="0"/>
              <c:showSerName val="0"/>
              <c:showPercent val="0"/>
              <c:showBubbleSize val="0"/>
            </c:dLbl>
            <c:showLegendKey val="0"/>
            <c:showVal val="0"/>
            <c:showCatName val="1"/>
            <c:showSerName val="0"/>
            <c:showPercent val="1"/>
            <c:showBubbleSize val="0"/>
            <c:showLeaderLines val="1"/>
          </c:dLbls>
          <c:cat>
            <c:strRef>
              <c:f>мал_биз!$B$36:$B$43</c:f>
              <c:strCache>
                <c:ptCount val="8"/>
                <c:pt idx="0">
                  <c:v>сельское хозяйство, охота и лесное хозяйство</c:v>
                </c:pt>
                <c:pt idx="1">
                  <c:v>обрабатывающие производства</c:v>
                </c:pt>
                <c:pt idx="2">
                  <c:v>оптовая и розничная торговля; ремонт автотранспортных средств, мотоциклов, бытовых изделий и предметов личного пользования</c:v>
                </c:pt>
                <c:pt idx="3">
                  <c:v>гостиницы и рестораны</c:v>
                </c:pt>
                <c:pt idx="4">
                  <c:v>транспорт и связь</c:v>
                </c:pt>
                <c:pt idx="5">
                  <c:v>предоставление прочих коммунальных, социальных и персональных услуг</c:v>
                </c:pt>
                <c:pt idx="6">
                  <c:v>рыболовство, рыбоводство; строительство; финансовая деятельность; образование</c:v>
                </c:pt>
                <c:pt idx="7">
                  <c:v>операции с недвижимым имуществом, аренда и предоставление услуг</c:v>
                </c:pt>
              </c:strCache>
            </c:strRef>
          </c:cat>
          <c:val>
            <c:numRef>
              <c:f>мал_биз!$C$36:$C$43</c:f>
              <c:numCache>
                <c:formatCode>0.0</c:formatCode>
                <c:ptCount val="8"/>
                <c:pt idx="0">
                  <c:v>15.165876777251185</c:v>
                </c:pt>
                <c:pt idx="1">
                  <c:v>7.1090047393364744</c:v>
                </c:pt>
                <c:pt idx="2">
                  <c:v>49.763033175355453</c:v>
                </c:pt>
                <c:pt idx="3">
                  <c:v>6.6350710900473935</c:v>
                </c:pt>
                <c:pt idx="4">
                  <c:v>9.0047393364928947</c:v>
                </c:pt>
                <c:pt idx="5">
                  <c:v>5.6872037914692024</c:v>
                </c:pt>
                <c:pt idx="6">
                  <c:v>3.3175355450236972</c:v>
                </c:pt>
                <c:pt idx="7">
                  <c:v>3.3175355450236972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88226471691048E-2"/>
          <c:y val="2.605720447527226E-2"/>
          <c:w val="0.8834538807649015"/>
          <c:h val="0.89647866809931254"/>
        </c:manualLayout>
      </c:layout>
      <c:barChart>
        <c:barDir val="col"/>
        <c:grouping val="clustered"/>
        <c:varyColors val="0"/>
        <c:ser>
          <c:idx val="0"/>
          <c:order val="0"/>
          <c:tx>
            <c:strRef>
              <c:f>мал_биз1!$C$2</c:f>
              <c:strCache>
                <c:ptCount val="1"/>
                <c:pt idx="0">
                  <c:v>Число субъектов малого и среднего предпринимательства в расчете на 10 тыс. человек населения</c:v>
                </c:pt>
              </c:strCache>
            </c:strRef>
          </c:tx>
          <c:spPr>
            <a:solidFill>
              <a:srgbClr val="4F81BD">
                <a:lumMod val="75000"/>
              </a:srgbClr>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мал_биз1!$B$3:$B$7</c:f>
              <c:numCache>
                <c:formatCode>General</c:formatCode>
                <c:ptCount val="5"/>
                <c:pt idx="0">
                  <c:v>2012</c:v>
                </c:pt>
                <c:pt idx="1">
                  <c:v>2013</c:v>
                </c:pt>
                <c:pt idx="2">
                  <c:v>2014</c:v>
                </c:pt>
                <c:pt idx="3">
                  <c:v>2015</c:v>
                </c:pt>
                <c:pt idx="4">
                  <c:v>2016</c:v>
                </c:pt>
              </c:numCache>
            </c:numRef>
          </c:cat>
          <c:val>
            <c:numRef>
              <c:f>мал_биз1!$C$3:$C$7</c:f>
              <c:numCache>
                <c:formatCode>General</c:formatCode>
                <c:ptCount val="5"/>
                <c:pt idx="0">
                  <c:v>292</c:v>
                </c:pt>
                <c:pt idx="1">
                  <c:v>221</c:v>
                </c:pt>
                <c:pt idx="2">
                  <c:v>251</c:v>
                </c:pt>
                <c:pt idx="3">
                  <c:v>248</c:v>
                </c:pt>
                <c:pt idx="4">
                  <c:v>252</c:v>
                </c:pt>
              </c:numCache>
            </c:numRef>
          </c:val>
        </c:ser>
        <c:dLbls>
          <c:showLegendKey val="0"/>
          <c:showVal val="0"/>
          <c:showCatName val="0"/>
          <c:showSerName val="0"/>
          <c:showPercent val="0"/>
          <c:showBubbleSize val="0"/>
        </c:dLbls>
        <c:gapWidth val="150"/>
        <c:axId val="117802880"/>
        <c:axId val="117804416"/>
      </c:barChart>
      <c:catAx>
        <c:axId val="117802880"/>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117804416"/>
        <c:crosses val="autoZero"/>
        <c:auto val="1"/>
        <c:lblAlgn val="ctr"/>
        <c:lblOffset val="100"/>
        <c:noMultiLvlLbl val="0"/>
      </c:catAx>
      <c:valAx>
        <c:axId val="117804416"/>
        <c:scaling>
          <c:orientation val="minMax"/>
        </c:scaling>
        <c:delete val="0"/>
        <c:axPos val="l"/>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17802880"/>
        <c:crosses val="autoZero"/>
        <c:crossBetween val="between"/>
      </c:valAx>
    </c:plotArea>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856238010676223E-2"/>
          <c:y val="3.0516442531794776E-2"/>
          <c:w val="0.92027964858823064"/>
          <c:h val="0.89702477939712377"/>
        </c:manualLayout>
      </c:layout>
      <c:barChart>
        <c:barDir val="col"/>
        <c:grouping val="clustered"/>
        <c:varyColors val="0"/>
        <c:ser>
          <c:idx val="0"/>
          <c:order val="0"/>
          <c:tx>
            <c:strRef>
              <c:f>мал_биз1!$G$2</c:f>
              <c:strCache>
                <c:ptCount val="1"/>
                <c:pt idx="0">
                  <c:v>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c:v>
                </c:pt>
              </c:strCache>
            </c:strRef>
          </c:tx>
          <c:spPr>
            <a:solidFill>
              <a:sysClr val="window" lastClr="FFFFFF">
                <a:lumMod val="65000"/>
              </a:sysClr>
            </a:solidFill>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мал_биз1!$F$3:$F$7</c:f>
              <c:numCache>
                <c:formatCode>General</c:formatCode>
                <c:ptCount val="5"/>
                <c:pt idx="0">
                  <c:v>2012</c:v>
                </c:pt>
                <c:pt idx="1">
                  <c:v>2013</c:v>
                </c:pt>
                <c:pt idx="2">
                  <c:v>2014</c:v>
                </c:pt>
                <c:pt idx="3">
                  <c:v>2015</c:v>
                </c:pt>
                <c:pt idx="4">
                  <c:v>2016</c:v>
                </c:pt>
              </c:numCache>
            </c:numRef>
          </c:cat>
          <c:val>
            <c:numRef>
              <c:f>мал_биз1!$G$3:$G$7</c:f>
              <c:numCache>
                <c:formatCode>General</c:formatCode>
                <c:ptCount val="5"/>
                <c:pt idx="0">
                  <c:v>63.5</c:v>
                </c:pt>
                <c:pt idx="1">
                  <c:v>26.4</c:v>
                </c:pt>
                <c:pt idx="2">
                  <c:v>26</c:v>
                </c:pt>
                <c:pt idx="3">
                  <c:v>28</c:v>
                </c:pt>
                <c:pt idx="4">
                  <c:v>29.3</c:v>
                </c:pt>
              </c:numCache>
            </c:numRef>
          </c:val>
        </c:ser>
        <c:dLbls>
          <c:showLegendKey val="0"/>
          <c:showVal val="0"/>
          <c:showCatName val="0"/>
          <c:showSerName val="0"/>
          <c:showPercent val="0"/>
          <c:showBubbleSize val="0"/>
        </c:dLbls>
        <c:gapWidth val="150"/>
        <c:axId val="124906496"/>
        <c:axId val="125141760"/>
      </c:barChart>
      <c:catAx>
        <c:axId val="124906496"/>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25141760"/>
        <c:crosses val="autoZero"/>
        <c:auto val="1"/>
        <c:lblAlgn val="ctr"/>
        <c:lblOffset val="100"/>
        <c:tickMarkSkip val="1"/>
        <c:noMultiLvlLbl val="0"/>
      </c:catAx>
      <c:valAx>
        <c:axId val="125141760"/>
        <c:scaling>
          <c:orientation val="minMax"/>
        </c:scaling>
        <c:delete val="0"/>
        <c:axPos val="l"/>
        <c:numFmt formatCode="General" sourceLinked="1"/>
        <c:majorTickMark val="none"/>
        <c:minorTickMark val="none"/>
        <c:tickLblPos val="nextTo"/>
        <c:txPr>
          <a:bodyPr rot="0"/>
          <a:lstStyle/>
          <a:p>
            <a:pPr>
              <a:defRPr>
                <a:latin typeface="Times New Roman" pitchFamily="18" charset="0"/>
                <a:cs typeface="Times New Roman" pitchFamily="18" charset="0"/>
              </a:defRPr>
            </a:pPr>
            <a:endParaRPr lang="ru-RU"/>
          </a:p>
        </c:txPr>
        <c:crossAx val="124906496"/>
        <c:crosses val="autoZero"/>
        <c:crossBetween val="between"/>
      </c:valAx>
    </c:plotArea>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63215709147474"/>
          <c:y val="2.0248023730761434E-3"/>
          <c:w val="0.86836784290852564"/>
          <c:h val="0.56276952067382269"/>
        </c:manualLayout>
      </c:layout>
      <c:barChart>
        <c:barDir val="col"/>
        <c:grouping val="clustered"/>
        <c:varyColors val="0"/>
        <c:ser>
          <c:idx val="0"/>
          <c:order val="0"/>
          <c:spPr>
            <a:solidFill>
              <a:schemeClr val="accent1">
                <a:lumMod val="75000"/>
              </a:schemeClr>
            </a:solidFill>
          </c:spPr>
          <c:invertIfNegative val="0"/>
          <c:dLbls>
            <c:showLegendKey val="0"/>
            <c:showVal val="1"/>
            <c:showCatName val="0"/>
            <c:showSerName val="0"/>
            <c:showPercent val="0"/>
            <c:showBubbleSize val="0"/>
            <c:showLeaderLines val="0"/>
          </c:dLbls>
          <c:cat>
            <c:strRef>
              <c:f>быт_обслуж!$C$7:$J$7</c:f>
              <c:strCache>
                <c:ptCount val="8"/>
                <c:pt idx="0">
                  <c:v>Автозаправочные станции</c:v>
                </c:pt>
                <c:pt idx="1">
                  <c:v>Магазины</c:v>
                </c:pt>
                <c:pt idx="2">
                  <c:v>Павильоны</c:v>
                </c:pt>
                <c:pt idx="3">
                  <c:v>Палатки</c:v>
                </c:pt>
                <c:pt idx="4">
                  <c:v>Аптеки и  аптечные магазины</c:v>
                </c:pt>
                <c:pt idx="5">
                  <c:v>Аптечные киоски и пункты</c:v>
                </c:pt>
                <c:pt idx="6">
                  <c:v>Общедоступные столовые, закусочные</c:v>
                </c:pt>
                <c:pt idx="7">
                  <c:v>Рестораны, кафе, бары</c:v>
                </c:pt>
              </c:strCache>
            </c:strRef>
          </c:cat>
          <c:val>
            <c:numRef>
              <c:f>быт_обслуж!$C$8:$J$8</c:f>
              <c:numCache>
                <c:formatCode>General</c:formatCode>
                <c:ptCount val="8"/>
                <c:pt idx="0">
                  <c:v>4</c:v>
                </c:pt>
                <c:pt idx="1">
                  <c:v>54</c:v>
                </c:pt>
                <c:pt idx="2">
                  <c:v>17</c:v>
                </c:pt>
                <c:pt idx="3">
                  <c:v>1</c:v>
                </c:pt>
                <c:pt idx="4">
                  <c:v>5</c:v>
                </c:pt>
                <c:pt idx="5">
                  <c:v>1</c:v>
                </c:pt>
                <c:pt idx="6">
                  <c:v>23</c:v>
                </c:pt>
                <c:pt idx="7">
                  <c:v>4</c:v>
                </c:pt>
              </c:numCache>
            </c:numRef>
          </c:val>
        </c:ser>
        <c:dLbls>
          <c:showLegendKey val="0"/>
          <c:showVal val="0"/>
          <c:showCatName val="0"/>
          <c:showSerName val="0"/>
          <c:showPercent val="0"/>
          <c:showBubbleSize val="0"/>
        </c:dLbls>
        <c:gapWidth val="150"/>
        <c:axId val="126235008"/>
        <c:axId val="126236544"/>
      </c:barChart>
      <c:catAx>
        <c:axId val="126235008"/>
        <c:scaling>
          <c:orientation val="minMax"/>
        </c:scaling>
        <c:delete val="0"/>
        <c:axPos val="b"/>
        <c:numFmt formatCode="General" sourceLinked="1"/>
        <c:majorTickMark val="out"/>
        <c:minorTickMark val="none"/>
        <c:tickLblPos val="nextTo"/>
        <c:crossAx val="126236544"/>
        <c:crosses val="autoZero"/>
        <c:auto val="1"/>
        <c:lblAlgn val="ctr"/>
        <c:lblOffset val="100"/>
        <c:noMultiLvlLbl val="0"/>
      </c:catAx>
      <c:valAx>
        <c:axId val="126236544"/>
        <c:scaling>
          <c:orientation val="minMax"/>
        </c:scaling>
        <c:delete val="1"/>
        <c:axPos val="l"/>
        <c:numFmt formatCode="General" sourceLinked="1"/>
        <c:majorTickMark val="out"/>
        <c:minorTickMark val="none"/>
        <c:tickLblPos val="none"/>
        <c:crossAx val="126235008"/>
        <c:crosses val="autoZero"/>
        <c:crossBetween val="between"/>
      </c:valAx>
    </c:plotArea>
    <c:plotVisOnly val="1"/>
    <c:dispBlanksAs val="gap"/>
    <c:showDLblsOverMax val="0"/>
  </c:chart>
  <c:spPr>
    <a:ln>
      <a:noFill/>
    </a:ln>
  </c:spPr>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82746009207963"/>
          <c:y val="0.1577138426934937"/>
          <c:w val="0.7153270270746358"/>
          <c:h val="0.80243489585005556"/>
        </c:manualLayout>
      </c:layout>
      <c:barChart>
        <c:barDir val="bar"/>
        <c:grouping val="clustered"/>
        <c:varyColors val="0"/>
        <c:ser>
          <c:idx val="0"/>
          <c:order val="0"/>
          <c:spPr>
            <a:solidFill>
              <a:schemeClr val="accent1">
                <a:lumMod val="60000"/>
                <a:lumOff val="40000"/>
              </a:schemeClr>
            </a:solidFill>
          </c:spPr>
          <c:invertIfNegative val="0"/>
          <c:dPt>
            <c:idx val="12"/>
            <c:invertIfNegative val="0"/>
            <c:bubble3D val="0"/>
            <c:spPr>
              <a:solidFill>
                <a:schemeClr val="tx2">
                  <a:lumMod val="40000"/>
                  <a:lumOff val="60000"/>
                </a:schemeClr>
              </a:solidFill>
              <a:ln>
                <a:solidFill>
                  <a:schemeClr val="tx2">
                    <a:lumMod val="60000"/>
                    <a:lumOff val="40000"/>
                  </a:schemeClr>
                </a:solidFill>
              </a:ln>
            </c:spPr>
          </c:dPt>
          <c:dPt>
            <c:idx val="16"/>
            <c:invertIfNegative val="0"/>
            <c:bubble3D val="0"/>
            <c:spPr>
              <a:solidFill>
                <a:srgbClr val="C00000"/>
              </a:solidFill>
              <a:ln>
                <a:solidFill>
                  <a:srgbClr val="FF0000"/>
                </a:solidFill>
              </a:ln>
            </c:spPr>
          </c:dPt>
          <c:dLbls>
            <c:txPr>
              <a:bodyPr/>
              <a:lstStyle/>
              <a:p>
                <a:pPr>
                  <a:defRPr>
                    <a:solidFill>
                      <a:sysClr val="windowText" lastClr="000000"/>
                    </a:solidFill>
                  </a:defRPr>
                </a:pPr>
                <a:endParaRPr lang="ru-RU"/>
              </a:p>
            </c:txPr>
            <c:dLblPos val="outEnd"/>
            <c:showLegendKey val="0"/>
            <c:showVal val="1"/>
            <c:showCatName val="0"/>
            <c:showSerName val="0"/>
            <c:showPercent val="0"/>
            <c:showBubbleSize val="0"/>
            <c:showLeaderLines val="0"/>
          </c:dLbls>
          <c:cat>
            <c:strRef>
              <c:f>'Дети 5-18'!$A$4:$A$30</c:f>
              <c:strCache>
                <c:ptCount val="27"/>
                <c:pt idx="0">
                  <c:v>Похвистневский</c:v>
                </c:pt>
                <c:pt idx="1">
                  <c:v>Хворостянский</c:v>
                </c:pt>
                <c:pt idx="2">
                  <c:v>Кинельский</c:v>
                </c:pt>
                <c:pt idx="3">
                  <c:v>Алексеевский</c:v>
                </c:pt>
                <c:pt idx="4">
                  <c:v>Сызранский</c:v>
                </c:pt>
                <c:pt idx="5">
                  <c:v>Челно-Вершинский</c:v>
                </c:pt>
                <c:pt idx="6">
                  <c:v>Елховский</c:v>
                </c:pt>
                <c:pt idx="7">
                  <c:v>Красноармейский</c:v>
                </c:pt>
                <c:pt idx="8">
                  <c:v>Шигонский</c:v>
                </c:pt>
                <c:pt idx="9">
                  <c:v>Шенталинский</c:v>
                </c:pt>
                <c:pt idx="10">
                  <c:v>Борский</c:v>
                </c:pt>
                <c:pt idx="11">
                  <c:v>Кинель-Черкасский</c:v>
                </c:pt>
                <c:pt idx="12">
                  <c:v>Пестравский</c:v>
                </c:pt>
                <c:pt idx="13">
                  <c:v>Исаклинский</c:v>
                </c:pt>
                <c:pt idx="14">
                  <c:v>Большеглушицкий</c:v>
                </c:pt>
                <c:pt idx="15">
                  <c:v>Клявлинский</c:v>
                </c:pt>
                <c:pt idx="16">
                  <c:v>Камышлинский</c:v>
                </c:pt>
                <c:pt idx="17">
                  <c:v>Нефтегорский</c:v>
                </c:pt>
                <c:pt idx="18">
                  <c:v>Большечерниговский</c:v>
                </c:pt>
                <c:pt idx="19">
                  <c:v>Приволжский</c:v>
                </c:pt>
                <c:pt idx="20">
                  <c:v>Богатовский</c:v>
                </c:pt>
                <c:pt idx="21">
                  <c:v>Сергиевский</c:v>
                </c:pt>
                <c:pt idx="22">
                  <c:v>Волжский</c:v>
                </c:pt>
                <c:pt idx="23">
                  <c:v>Безенчукский</c:v>
                </c:pt>
                <c:pt idx="24">
                  <c:v>Кошкинский</c:v>
                </c:pt>
                <c:pt idx="25">
                  <c:v>Красноярский</c:v>
                </c:pt>
                <c:pt idx="26">
                  <c:v>Ставропольский</c:v>
                </c:pt>
              </c:strCache>
            </c:strRef>
          </c:cat>
          <c:val>
            <c:numRef>
              <c:f>'Дети 5-18'!$B$4:$B$30</c:f>
              <c:numCache>
                <c:formatCode>General</c:formatCode>
                <c:ptCount val="27"/>
                <c:pt idx="0">
                  <c:v>19025.3</c:v>
                </c:pt>
                <c:pt idx="1">
                  <c:v>25562.799999999996</c:v>
                </c:pt>
                <c:pt idx="2">
                  <c:v>28614.799999999996</c:v>
                </c:pt>
                <c:pt idx="3">
                  <c:v>36254.400000000001</c:v>
                </c:pt>
                <c:pt idx="4">
                  <c:v>36629.699999999997</c:v>
                </c:pt>
                <c:pt idx="5">
                  <c:v>38144</c:v>
                </c:pt>
                <c:pt idx="6">
                  <c:v>40038.300000000003</c:v>
                </c:pt>
                <c:pt idx="7">
                  <c:v>40980</c:v>
                </c:pt>
                <c:pt idx="8">
                  <c:v>43774.1</c:v>
                </c:pt>
                <c:pt idx="9">
                  <c:v>44966.9</c:v>
                </c:pt>
                <c:pt idx="10">
                  <c:v>46644.7</c:v>
                </c:pt>
                <c:pt idx="11">
                  <c:v>46739.6</c:v>
                </c:pt>
                <c:pt idx="12">
                  <c:v>46825.1</c:v>
                </c:pt>
                <c:pt idx="13">
                  <c:v>48386.7</c:v>
                </c:pt>
                <c:pt idx="14">
                  <c:v>48845.8</c:v>
                </c:pt>
                <c:pt idx="15">
                  <c:v>51126.3</c:v>
                </c:pt>
                <c:pt idx="16">
                  <c:v>52070.5</c:v>
                </c:pt>
                <c:pt idx="17">
                  <c:v>54171.7</c:v>
                </c:pt>
                <c:pt idx="18">
                  <c:v>56759.5</c:v>
                </c:pt>
                <c:pt idx="19">
                  <c:v>57231</c:v>
                </c:pt>
                <c:pt idx="20">
                  <c:v>68092.899999999994</c:v>
                </c:pt>
                <c:pt idx="21">
                  <c:v>68124.800000000003</c:v>
                </c:pt>
                <c:pt idx="22">
                  <c:v>72918.7</c:v>
                </c:pt>
                <c:pt idx="23">
                  <c:v>73766.2</c:v>
                </c:pt>
                <c:pt idx="24">
                  <c:v>75100</c:v>
                </c:pt>
                <c:pt idx="25">
                  <c:v>86575.3</c:v>
                </c:pt>
                <c:pt idx="26">
                  <c:v>91184.6</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5-18'!$C$4:$C$30</c:f>
              <c:numCache>
                <c:formatCode>General</c:formatCode>
                <c:ptCount val="27"/>
                <c:pt idx="0">
                  <c:v>51798.285185185174</c:v>
                </c:pt>
                <c:pt idx="1">
                  <c:v>51798.285185185174</c:v>
                </c:pt>
                <c:pt idx="2">
                  <c:v>51798.285185185174</c:v>
                </c:pt>
                <c:pt idx="3">
                  <c:v>51798.285185185174</c:v>
                </c:pt>
                <c:pt idx="4">
                  <c:v>51798.285185185174</c:v>
                </c:pt>
                <c:pt idx="5">
                  <c:v>51798.285185185174</c:v>
                </c:pt>
                <c:pt idx="6">
                  <c:v>51798.285185185174</c:v>
                </c:pt>
                <c:pt idx="7">
                  <c:v>51798.285185185174</c:v>
                </c:pt>
                <c:pt idx="8">
                  <c:v>51798.285185185174</c:v>
                </c:pt>
                <c:pt idx="9">
                  <c:v>51798.285185185174</c:v>
                </c:pt>
                <c:pt idx="10">
                  <c:v>51798.285185185174</c:v>
                </c:pt>
                <c:pt idx="11">
                  <c:v>51798.285185185174</c:v>
                </c:pt>
                <c:pt idx="12">
                  <c:v>51798.285185185174</c:v>
                </c:pt>
                <c:pt idx="13">
                  <c:v>51798.285185185174</c:v>
                </c:pt>
                <c:pt idx="14">
                  <c:v>51798.285185185174</c:v>
                </c:pt>
                <c:pt idx="15">
                  <c:v>51798.285185185174</c:v>
                </c:pt>
                <c:pt idx="16">
                  <c:v>51798.285185185174</c:v>
                </c:pt>
                <c:pt idx="17">
                  <c:v>51798.285185185174</c:v>
                </c:pt>
                <c:pt idx="18">
                  <c:v>51798.285185185174</c:v>
                </c:pt>
                <c:pt idx="19">
                  <c:v>51798.285185185174</c:v>
                </c:pt>
                <c:pt idx="20">
                  <c:v>51798.285185185174</c:v>
                </c:pt>
                <c:pt idx="21">
                  <c:v>51798.285185185174</c:v>
                </c:pt>
                <c:pt idx="22">
                  <c:v>51798.285185185174</c:v>
                </c:pt>
                <c:pt idx="23">
                  <c:v>51798.285185185174</c:v>
                </c:pt>
                <c:pt idx="24">
                  <c:v>51798.285185185174</c:v>
                </c:pt>
                <c:pt idx="25">
                  <c:v>51798.285185185174</c:v>
                </c:pt>
                <c:pt idx="26">
                  <c:v>51798.285185185174</c:v>
                </c:pt>
              </c:numCache>
            </c:numRef>
          </c:val>
        </c:ser>
        <c:dLbls>
          <c:showLegendKey val="0"/>
          <c:showVal val="1"/>
          <c:showCatName val="0"/>
          <c:showSerName val="0"/>
          <c:showPercent val="0"/>
          <c:showBubbleSize val="0"/>
        </c:dLbls>
        <c:gapWidth val="150"/>
        <c:axId val="126325120"/>
        <c:axId val="126326656"/>
      </c:barChart>
      <c:catAx>
        <c:axId val="126325120"/>
        <c:scaling>
          <c:orientation val="minMax"/>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126326656"/>
        <c:crosses val="autoZero"/>
        <c:auto val="1"/>
        <c:lblAlgn val="ctr"/>
        <c:lblOffset val="100"/>
        <c:noMultiLvlLbl val="0"/>
      </c:catAx>
      <c:valAx>
        <c:axId val="126326656"/>
        <c:scaling>
          <c:orientation val="minMax"/>
        </c:scaling>
        <c:delete val="1"/>
        <c:axPos val="b"/>
        <c:numFmt formatCode="General" sourceLinked="1"/>
        <c:majorTickMark val="out"/>
        <c:minorTickMark val="none"/>
        <c:tickLblPos val="none"/>
        <c:crossAx val="126325120"/>
        <c:crosses val="autoZero"/>
        <c:crossBetween val="between"/>
      </c:valAx>
      <c:spPr>
        <a:noFill/>
        <a:ln w="25400">
          <a:noFill/>
        </a:ln>
      </c:spPr>
    </c:plotArea>
    <c:plotVisOnly val="1"/>
    <c:dispBlanksAs val="gap"/>
    <c:showDLblsOverMax val="0"/>
  </c:chart>
  <c:spPr>
    <a:noFill/>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lgn="ctr">
              <a:defRPr/>
            </a:pPr>
            <a:r>
              <a:rPr lang="ru-RU"/>
              <a:t>Камышлинский район занимает 1 место по обороту общественного питания на душу населения в 2016 году по ым м Самасрской </a:t>
            </a:r>
          </a:p>
        </c:rich>
      </c:tx>
      <c:layout>
        <c:manualLayout>
          <c:xMode val="edge"/>
          <c:yMode val="edge"/>
          <c:x val="0.10627640510453452"/>
          <c:y val="0"/>
        </c:manualLayout>
      </c:layout>
      <c:overlay val="0"/>
    </c:title>
    <c:autoTitleDeleted val="0"/>
    <c:plotArea>
      <c:layout>
        <c:manualLayout>
          <c:layoutTarget val="inner"/>
          <c:xMode val="edge"/>
          <c:yMode val="edge"/>
          <c:x val="0.24723842252769346"/>
          <c:y val="0.16230139048115941"/>
          <c:w val="0.72793944372061403"/>
          <c:h val="0.81742919735839614"/>
        </c:manualLayout>
      </c:layout>
      <c:barChart>
        <c:barDir val="bar"/>
        <c:grouping val="clustered"/>
        <c:varyColors val="0"/>
        <c:ser>
          <c:idx val="0"/>
          <c:order val="0"/>
          <c:tx>
            <c:strRef>
              <c:f>Возраст!$B$2</c:f>
              <c:strCache>
                <c:ptCount val="1"/>
                <c:pt idx="0">
                  <c:v>До 17 лет</c:v>
                </c:pt>
              </c:strCache>
            </c:strRef>
          </c:tx>
          <c:invertIfNegative val="0"/>
          <c:dPt>
            <c:idx val="26"/>
            <c:invertIfNegative val="0"/>
            <c:bubble3D val="0"/>
            <c:spPr>
              <a:solidFill>
                <a:srgbClr val="C00000"/>
              </a:solidFill>
              <a:ln>
                <a:solidFill>
                  <a:srgbClr val="FF0000"/>
                </a:solidFill>
              </a:ln>
            </c:spPr>
          </c:dPt>
          <c:dLbls>
            <c:dLbl>
              <c:idx val="2"/>
              <c:layout>
                <c:manualLayout>
                  <c:x val="-3.595780535049265E-4"/>
                  <c:y val="0"/>
                </c:manualLayout>
              </c:layout>
              <c:dLblPos val="outEnd"/>
              <c:showLegendKey val="0"/>
              <c:showVal val="1"/>
              <c:showCatName val="0"/>
              <c:showSerName val="0"/>
              <c:showPercent val="0"/>
              <c:showBubbleSize val="0"/>
            </c:dLbl>
            <c:dLbl>
              <c:idx val="3"/>
              <c:layout>
                <c:manualLayout>
                  <c:x val="2.5873308106098493E-3"/>
                  <c:y val="0"/>
                </c:manualLayout>
              </c:layout>
              <c:dLblPos val="outEnd"/>
              <c:showLegendKey val="0"/>
              <c:showVal val="1"/>
              <c:showCatName val="0"/>
              <c:showSerName val="0"/>
              <c:showPercent val="0"/>
              <c:showBubbleSize val="0"/>
            </c:dLbl>
            <c:dLbl>
              <c:idx val="4"/>
              <c:layout>
                <c:manualLayout>
                  <c:x val="7.8497880072683334E-3"/>
                  <c:y val="0"/>
                </c:manualLayout>
              </c:layout>
              <c:dLblPos val="outEnd"/>
              <c:showLegendKey val="0"/>
              <c:showVal val="1"/>
              <c:showCatName val="0"/>
              <c:showSerName val="0"/>
              <c:showPercent val="0"/>
              <c:showBubbleSize val="0"/>
            </c:dLbl>
            <c:dLbl>
              <c:idx val="5"/>
              <c:layout>
                <c:manualLayout>
                  <c:x val="1.5590671120413081E-2"/>
                  <c:y val="0"/>
                </c:manualLayout>
              </c:layout>
              <c:dLblPos val="outEnd"/>
              <c:showLegendKey val="0"/>
              <c:showVal val="1"/>
              <c:showCatName val="0"/>
              <c:showSerName val="0"/>
              <c:showPercent val="0"/>
              <c:showBubbleSize val="0"/>
            </c:dLbl>
            <c:dLbl>
              <c:idx val="6"/>
              <c:layout>
                <c:manualLayout>
                  <c:x val="5.956905805662366E-3"/>
                  <c:y val="0"/>
                </c:manualLayout>
              </c:layout>
              <c:dLblPos val="outEnd"/>
              <c:showLegendKey val="0"/>
              <c:showVal val="1"/>
              <c:showCatName val="0"/>
              <c:showSerName val="0"/>
              <c:showPercent val="0"/>
              <c:showBubbleSize val="0"/>
            </c:dLbl>
            <c:dLbl>
              <c:idx val="7"/>
              <c:layout>
                <c:manualLayout>
                  <c:x val="2.260376249617722E-3"/>
                  <c:y val="0"/>
                </c:manualLayout>
              </c:layout>
              <c:dLblPos val="outEnd"/>
              <c:showLegendKey val="0"/>
              <c:showVal val="1"/>
              <c:showCatName val="0"/>
              <c:showSerName val="0"/>
              <c:showPercent val="0"/>
              <c:showBubbleSize val="0"/>
            </c:dLbl>
            <c:dLbl>
              <c:idx val="8"/>
              <c:layout>
                <c:manualLayout>
                  <c:x val="1.9101534623480662E-3"/>
                  <c:y val="8.7578600628457038E-17"/>
                </c:manualLayout>
              </c:layout>
              <c:dLblPos val="outEnd"/>
              <c:showLegendKey val="0"/>
              <c:showVal val="1"/>
              <c:showCatName val="0"/>
              <c:showSerName val="0"/>
              <c:showPercent val="0"/>
              <c:showBubbleSize val="0"/>
            </c:dLbl>
            <c:dLbl>
              <c:idx val="9"/>
              <c:layout>
                <c:manualLayout>
                  <c:x val="-2.4832234889146229E-3"/>
                  <c:y val="0"/>
                </c:manualLayout>
              </c:layout>
              <c:dLblPos val="outEnd"/>
              <c:showLegendKey val="0"/>
              <c:showVal val="1"/>
              <c:showCatName val="0"/>
              <c:showSerName val="0"/>
              <c:showPercent val="0"/>
              <c:showBubbleSize val="0"/>
            </c:dLbl>
            <c:dLbl>
              <c:idx val="10"/>
              <c:layout>
                <c:manualLayout>
                  <c:x val="-1.1082632188112821E-2"/>
                  <c:y val="0"/>
                </c:manualLayout>
              </c:layout>
              <c:dLblPos val="outEnd"/>
              <c:showLegendKey val="0"/>
              <c:showVal val="1"/>
              <c:showCatName val="0"/>
              <c:showSerName val="0"/>
              <c:showPercent val="0"/>
              <c:showBubbleSize val="0"/>
            </c:dLbl>
            <c:dLbl>
              <c:idx val="11"/>
              <c:layout>
                <c:manualLayout>
                  <c:x val="-6.8293443517580192E-4"/>
                  <c:y val="0"/>
                </c:manualLayout>
              </c:layout>
              <c:dLblPos val="outEnd"/>
              <c:showLegendKey val="0"/>
              <c:showVal val="1"/>
              <c:showCatName val="0"/>
              <c:showSerName val="0"/>
              <c:showPercent val="0"/>
              <c:showBubbleSize val="0"/>
            </c:dLbl>
            <c:dLbl>
              <c:idx val="12"/>
              <c:layout>
                <c:manualLayout>
                  <c:x val="-1.1807545382036768E-2"/>
                  <c:y val="-2.388534882107024E-3"/>
                </c:manualLayout>
              </c:layout>
              <c:dLblPos val="outEnd"/>
              <c:showLegendKey val="0"/>
              <c:showVal val="1"/>
              <c:showCatName val="0"/>
              <c:showSerName val="0"/>
              <c:showPercent val="0"/>
              <c:showBubbleSize val="0"/>
            </c:dLbl>
            <c:dLbl>
              <c:idx val="13"/>
              <c:layout>
                <c:manualLayout>
                  <c:x val="-1.270828960545964E-2"/>
                  <c:y val="0"/>
                </c:manualLayout>
              </c:layout>
              <c:dLblPos val="outEnd"/>
              <c:showLegendKey val="0"/>
              <c:showVal val="1"/>
              <c:showCatName val="0"/>
              <c:showSerName val="0"/>
              <c:showPercent val="0"/>
              <c:showBubbleSize val="0"/>
            </c:dLbl>
            <c:dLbl>
              <c:idx val="14"/>
              <c:layout>
                <c:manualLayout>
                  <c:x val="-1.2881721848744561E-2"/>
                  <c:y val="0"/>
                </c:manualLayout>
              </c:layout>
              <c:dLblPos val="outEnd"/>
              <c:showLegendKey val="0"/>
              <c:showVal val="1"/>
              <c:showCatName val="0"/>
              <c:showSerName val="0"/>
              <c:showPercent val="0"/>
              <c:showBubbleSize val="0"/>
            </c:dLbl>
            <c:dLbl>
              <c:idx val="15"/>
              <c:layout>
                <c:manualLayout>
                  <c:x val="-2.1814801710334591E-2"/>
                  <c:y val="0"/>
                </c:manualLayout>
              </c:layout>
              <c:dLblPos val="outEnd"/>
              <c:showLegendKey val="0"/>
              <c:showVal val="1"/>
              <c:showCatName val="0"/>
              <c:showSerName val="0"/>
              <c:showPercent val="0"/>
              <c:showBubbleSize val="0"/>
            </c:dLbl>
            <c:dLbl>
              <c:idx val="16"/>
              <c:layout>
                <c:manualLayout>
                  <c:x val="-8.4075058020641746E-3"/>
                  <c:y val="-2.388534882107024E-3"/>
                </c:manualLayout>
              </c:layout>
              <c:dLblPos val="outEnd"/>
              <c:showLegendKey val="0"/>
              <c:showVal val="1"/>
              <c:showCatName val="0"/>
              <c:showSerName val="0"/>
              <c:showPercent val="0"/>
              <c:showBubbleSize val="0"/>
            </c:dLbl>
            <c:dLbl>
              <c:idx val="17"/>
              <c:layout>
                <c:manualLayout>
                  <c:x val="-6.1715971718310841E-3"/>
                  <c:y val="-2.388534882107024E-3"/>
                </c:manualLayout>
              </c:layout>
              <c:dLblPos val="outEnd"/>
              <c:showLegendKey val="0"/>
              <c:showVal val="1"/>
              <c:showCatName val="0"/>
              <c:showSerName val="0"/>
              <c:showPercent val="0"/>
              <c:showBubbleSize val="0"/>
            </c:dLbl>
            <c:dLbl>
              <c:idx val="18"/>
              <c:layout>
                <c:manualLayout>
                  <c:x val="-5.411661699180275E-4"/>
                  <c:y val="-4.3789300314228581E-17"/>
                </c:manualLayout>
              </c:layout>
              <c:dLblPos val="outEnd"/>
              <c:showLegendKey val="0"/>
              <c:showVal val="1"/>
              <c:showCatName val="0"/>
              <c:showSerName val="0"/>
              <c:showPercent val="0"/>
              <c:showBubbleSize val="0"/>
            </c:dLbl>
            <c:dLbl>
              <c:idx val="19"/>
              <c:layout>
                <c:manualLayout>
                  <c:x val="-3.7082836084941229E-3"/>
                  <c:y val="0"/>
                </c:manualLayout>
              </c:layout>
              <c:dLblPos val="outEnd"/>
              <c:showLegendKey val="0"/>
              <c:showVal val="1"/>
              <c:showCatName val="0"/>
              <c:showSerName val="0"/>
              <c:showPercent val="0"/>
              <c:showBubbleSize val="0"/>
            </c:dLbl>
            <c:dLbl>
              <c:idx val="20"/>
              <c:layout>
                <c:manualLayout>
                  <c:x val="-3.7646550845272402E-3"/>
                  <c:y val="0"/>
                </c:manualLayout>
              </c:layout>
              <c:dLblPos val="outEnd"/>
              <c:showLegendKey val="0"/>
              <c:showVal val="1"/>
              <c:showCatName val="0"/>
              <c:showSerName val="0"/>
              <c:showPercent val="0"/>
              <c:showBubbleSize val="0"/>
            </c:dLbl>
            <c:dLbl>
              <c:idx val="21"/>
              <c:layout>
                <c:manualLayout>
                  <c:x val="-2.3604056347488168E-3"/>
                  <c:y val="0"/>
                </c:manualLayout>
              </c:layout>
              <c:dLblPos val="outEnd"/>
              <c:showLegendKey val="0"/>
              <c:showVal val="1"/>
              <c:showCatName val="0"/>
              <c:showSerName val="0"/>
              <c:showPercent val="0"/>
              <c:showBubbleSize val="0"/>
            </c:dLbl>
            <c:dLbl>
              <c:idx val="22"/>
              <c:layout>
                <c:manualLayout>
                  <c:x val="-1.6231626796840797E-2"/>
                  <c:y val="0"/>
                </c:manualLayout>
              </c:layout>
              <c:dLblPos val="outEnd"/>
              <c:showLegendKey val="0"/>
              <c:showVal val="1"/>
              <c:showCatName val="0"/>
              <c:showSerName val="0"/>
              <c:showPercent val="0"/>
              <c:showBubbleSize val="0"/>
            </c:dLbl>
            <c:dLbl>
              <c:idx val="23"/>
              <c:layout>
                <c:manualLayout>
                  <c:x val="-4.3842615636487938E-3"/>
                  <c:y val="0"/>
                </c:manualLayout>
              </c:layout>
              <c:dLblPos val="outEnd"/>
              <c:showLegendKey val="0"/>
              <c:showVal val="1"/>
              <c:showCatName val="0"/>
              <c:showSerName val="0"/>
              <c:showPercent val="0"/>
              <c:showBubbleSize val="0"/>
            </c:dLbl>
            <c:dLbl>
              <c:idx val="24"/>
              <c:layout>
                <c:manualLayout>
                  <c:x val="-1.1630994716673363E-2"/>
                  <c:y val="0"/>
                </c:manualLayout>
              </c:layout>
              <c:dLblPos val="outEnd"/>
              <c:showLegendKey val="0"/>
              <c:showVal val="1"/>
              <c:showCatName val="0"/>
              <c:showSerName val="0"/>
              <c:showPercent val="0"/>
              <c:showBubbleSize val="0"/>
            </c:dLbl>
            <c:dLbl>
              <c:idx val="25"/>
              <c:layout>
                <c:manualLayout>
                  <c:x val="-1.0817086554203574E-2"/>
                  <c:y val="-2.1894650157114321E-17"/>
                </c:manualLayout>
              </c:layout>
              <c:dLblPos val="outEnd"/>
              <c:showLegendKey val="0"/>
              <c:showVal val="1"/>
              <c:showCatName val="0"/>
              <c:showSerName val="0"/>
              <c:showPercent val="0"/>
              <c:showBubbleSize val="0"/>
            </c:dLbl>
            <c:dLbl>
              <c:idx val="26"/>
              <c:layout>
                <c:manualLayout>
                  <c:x val="-7.5041229138056425E-3"/>
                  <c:y val="-2.388534882107024E-3"/>
                </c:manualLayout>
              </c:layout>
              <c:dLblPos val="outEnd"/>
              <c:showLegendKey val="0"/>
              <c:showVal val="1"/>
              <c:showCatName val="0"/>
              <c:showSerName val="0"/>
              <c:showPercent val="0"/>
              <c:showBubbleSize val="0"/>
            </c:dLbl>
            <c:txPr>
              <a:bodyPr/>
              <a:lstStyle/>
              <a:p>
                <a:pPr>
                  <a:defRPr sz="1000" b="0">
                    <a:solidFill>
                      <a:sysClr val="windowText" lastClr="000000"/>
                    </a:solidFill>
                  </a:defRPr>
                </a:pPr>
                <a:endParaRPr lang="ru-RU"/>
              </a:p>
            </c:txPr>
            <c:dLblPos val="inBase"/>
            <c:showLegendKey val="0"/>
            <c:showVal val="1"/>
            <c:showCatName val="0"/>
            <c:showSerName val="0"/>
            <c:showPercent val="0"/>
            <c:showBubbleSize val="0"/>
            <c:showLeaderLines val="0"/>
          </c:dLbls>
          <c:cat>
            <c:strRef>
              <c:f>Возраст!$A$3:$A$29</c:f>
              <c:strCache>
                <c:ptCount val="27"/>
                <c:pt idx="0">
                  <c:v>Пестравский</c:v>
                </c:pt>
                <c:pt idx="1">
                  <c:v>Сызранский</c:v>
                </c:pt>
                <c:pt idx="2">
                  <c:v>Борский</c:v>
                </c:pt>
                <c:pt idx="3">
                  <c:v>Большеглушицкий</c:v>
                </c:pt>
                <c:pt idx="4">
                  <c:v>Алексеевский</c:v>
                </c:pt>
                <c:pt idx="5">
                  <c:v>Хворостянский</c:v>
                </c:pt>
                <c:pt idx="6">
                  <c:v>Красноярский</c:v>
                </c:pt>
                <c:pt idx="7">
                  <c:v>Похвистневский</c:v>
                </c:pt>
                <c:pt idx="8">
                  <c:v>Безенчукский</c:v>
                </c:pt>
                <c:pt idx="9">
                  <c:v>Челно-Вершинский</c:v>
                </c:pt>
                <c:pt idx="10">
                  <c:v>Большечерниговский</c:v>
                </c:pt>
                <c:pt idx="11">
                  <c:v>Приволжский</c:v>
                </c:pt>
                <c:pt idx="12">
                  <c:v>Нефтегорский</c:v>
                </c:pt>
                <c:pt idx="13">
                  <c:v>Сергиевский</c:v>
                </c:pt>
                <c:pt idx="14">
                  <c:v>Шенталинский</c:v>
                </c:pt>
                <c:pt idx="15">
                  <c:v>Исаклинский</c:v>
                </c:pt>
                <c:pt idx="16">
                  <c:v>Кинельский</c:v>
                </c:pt>
                <c:pt idx="17">
                  <c:v>Шигонский</c:v>
                </c:pt>
                <c:pt idx="18">
                  <c:v>Кинель-Черкасский</c:v>
                </c:pt>
                <c:pt idx="19">
                  <c:v>Клявлинский</c:v>
                </c:pt>
                <c:pt idx="20">
                  <c:v>Елховский</c:v>
                </c:pt>
                <c:pt idx="21">
                  <c:v>Красноармейский</c:v>
                </c:pt>
                <c:pt idx="22">
                  <c:v>Волжский</c:v>
                </c:pt>
                <c:pt idx="23">
                  <c:v>Кошкинский</c:v>
                </c:pt>
                <c:pt idx="24">
                  <c:v>Ставропольский</c:v>
                </c:pt>
                <c:pt idx="25">
                  <c:v>Богатовский</c:v>
                </c:pt>
                <c:pt idx="26">
                  <c:v>Камышлинский</c:v>
                </c:pt>
              </c:strCache>
            </c:strRef>
          </c:cat>
          <c:val>
            <c:numRef>
              <c:f>Возраст!$B$3:$B$29</c:f>
              <c:numCache>
                <c:formatCode>General</c:formatCode>
                <c:ptCount val="27"/>
                <c:pt idx="0">
                  <c:v>238.6</c:v>
                </c:pt>
                <c:pt idx="1">
                  <c:v>391.3</c:v>
                </c:pt>
                <c:pt idx="2">
                  <c:v>422.3</c:v>
                </c:pt>
                <c:pt idx="3">
                  <c:v>424</c:v>
                </c:pt>
                <c:pt idx="4">
                  <c:v>490.2</c:v>
                </c:pt>
                <c:pt idx="5">
                  <c:v>566.1</c:v>
                </c:pt>
                <c:pt idx="6">
                  <c:v>730.6</c:v>
                </c:pt>
                <c:pt idx="7">
                  <c:v>741.7</c:v>
                </c:pt>
                <c:pt idx="8">
                  <c:v>799.7</c:v>
                </c:pt>
                <c:pt idx="9">
                  <c:v>822.7</c:v>
                </c:pt>
                <c:pt idx="10">
                  <c:v>865.5</c:v>
                </c:pt>
                <c:pt idx="11">
                  <c:v>896</c:v>
                </c:pt>
                <c:pt idx="12">
                  <c:v>929.9</c:v>
                </c:pt>
                <c:pt idx="13">
                  <c:v>997.3</c:v>
                </c:pt>
                <c:pt idx="14">
                  <c:v>1104.3</c:v>
                </c:pt>
                <c:pt idx="15">
                  <c:v>1152.8</c:v>
                </c:pt>
                <c:pt idx="16">
                  <c:v>1288</c:v>
                </c:pt>
                <c:pt idx="17">
                  <c:v>1457.9</c:v>
                </c:pt>
                <c:pt idx="18">
                  <c:v>1465.8</c:v>
                </c:pt>
                <c:pt idx="19">
                  <c:v>1571.9</c:v>
                </c:pt>
                <c:pt idx="20">
                  <c:v>1937</c:v>
                </c:pt>
                <c:pt idx="21">
                  <c:v>2381.1999999999998</c:v>
                </c:pt>
                <c:pt idx="22">
                  <c:v>2982.2</c:v>
                </c:pt>
                <c:pt idx="23">
                  <c:v>3040</c:v>
                </c:pt>
                <c:pt idx="24">
                  <c:v>4100.1000000000004</c:v>
                </c:pt>
                <c:pt idx="25">
                  <c:v>4346.3</c:v>
                </c:pt>
                <c:pt idx="26">
                  <c:v>10480.1</c:v>
                </c:pt>
              </c:numCache>
            </c:numRef>
          </c:val>
        </c:ser>
        <c:dLbls>
          <c:showLegendKey val="0"/>
          <c:showVal val="1"/>
          <c:showCatName val="0"/>
          <c:showSerName val="0"/>
          <c:showPercent val="0"/>
          <c:showBubbleSize val="0"/>
        </c:dLbls>
        <c:gapWidth val="150"/>
        <c:axId val="126375424"/>
        <c:axId val="132981504"/>
      </c:barChart>
      <c:catAx>
        <c:axId val="126375424"/>
        <c:scaling>
          <c:orientation val="minMax"/>
        </c:scaling>
        <c:delete val="0"/>
        <c:axPos val="l"/>
        <c:numFmt formatCode="General" sourceLinked="1"/>
        <c:majorTickMark val="out"/>
        <c:minorTickMark val="none"/>
        <c:tickLblPos val="nextTo"/>
        <c:txPr>
          <a:bodyPr/>
          <a:lstStyle/>
          <a:p>
            <a:pPr>
              <a:defRPr sz="800">
                <a:solidFill>
                  <a:sysClr val="windowText" lastClr="000000"/>
                </a:solidFill>
              </a:defRPr>
            </a:pPr>
            <a:endParaRPr lang="ru-RU"/>
          </a:p>
        </c:txPr>
        <c:crossAx val="132981504"/>
        <c:crosses val="autoZero"/>
        <c:auto val="1"/>
        <c:lblAlgn val="ctr"/>
        <c:lblOffset val="100"/>
        <c:noMultiLvlLbl val="0"/>
      </c:catAx>
      <c:valAx>
        <c:axId val="132981504"/>
        <c:scaling>
          <c:orientation val="minMax"/>
        </c:scaling>
        <c:delete val="1"/>
        <c:axPos val="b"/>
        <c:numFmt formatCode="General" sourceLinked="1"/>
        <c:majorTickMark val="out"/>
        <c:minorTickMark val="none"/>
        <c:tickLblPos val="none"/>
        <c:crossAx val="126375424"/>
        <c:crosses val="autoZero"/>
        <c:crossBetween val="between"/>
      </c:valAx>
      <c:spPr>
        <a:noFill/>
        <a:ln w="25400">
          <a:noFill/>
        </a:ln>
      </c:spPr>
    </c:plotArea>
    <c:plotVisOnly val="1"/>
    <c:dispBlanksAs val="gap"/>
    <c:showDLblsOverMax val="0"/>
  </c:chart>
  <c:spPr>
    <a:noFill/>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34955265070131"/>
          <c:y val="1.0982172273675764E-2"/>
          <c:w val="0.86665044734930086"/>
          <c:h val="0.57306099083406559"/>
        </c:manualLayout>
      </c:layout>
      <c:barChart>
        <c:barDir val="col"/>
        <c:grouping val="clustered"/>
        <c:varyColors val="0"/>
        <c:ser>
          <c:idx val="0"/>
          <c:order val="0"/>
          <c:spPr>
            <a:solidFill>
              <a:srgbClr val="4F81BD">
                <a:lumMod val="75000"/>
              </a:srgbClr>
            </a:solidFill>
            <a:ln>
              <a:solidFill>
                <a:schemeClr val="tx2"/>
              </a:solidFill>
            </a:ln>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быт_обслуж!$C$17:$H$17</c:f>
              <c:strCache>
                <c:ptCount val="6"/>
                <c:pt idx="0">
                  <c:v>Ремонт и пошив одежды</c:v>
                </c:pt>
                <c:pt idx="1">
                  <c:v>Техобслуживание транспорта</c:v>
                </c:pt>
                <c:pt idx="2">
                  <c:v>Ремонт и изготовление мебели</c:v>
                </c:pt>
                <c:pt idx="3">
                  <c:v>Парикмахерские </c:v>
                </c:pt>
                <c:pt idx="4">
                  <c:v>Фотоателье</c:v>
                </c:pt>
                <c:pt idx="5">
                  <c:v>Ритуальные услуги</c:v>
                </c:pt>
              </c:strCache>
            </c:strRef>
          </c:cat>
          <c:val>
            <c:numRef>
              <c:f>быт_обслуж!$C$18:$H$18</c:f>
              <c:numCache>
                <c:formatCode>General</c:formatCode>
                <c:ptCount val="6"/>
                <c:pt idx="0">
                  <c:v>2</c:v>
                </c:pt>
                <c:pt idx="1">
                  <c:v>3</c:v>
                </c:pt>
                <c:pt idx="2">
                  <c:v>6</c:v>
                </c:pt>
                <c:pt idx="3">
                  <c:v>6</c:v>
                </c:pt>
                <c:pt idx="4">
                  <c:v>1</c:v>
                </c:pt>
                <c:pt idx="5">
                  <c:v>1</c:v>
                </c:pt>
              </c:numCache>
            </c:numRef>
          </c:val>
        </c:ser>
        <c:dLbls>
          <c:showLegendKey val="0"/>
          <c:showVal val="0"/>
          <c:showCatName val="0"/>
          <c:showSerName val="0"/>
          <c:showPercent val="0"/>
          <c:showBubbleSize val="0"/>
        </c:dLbls>
        <c:gapWidth val="150"/>
        <c:axId val="133014272"/>
        <c:axId val="133015808"/>
      </c:barChart>
      <c:catAx>
        <c:axId val="133014272"/>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33015808"/>
        <c:crosses val="autoZero"/>
        <c:auto val="1"/>
        <c:lblAlgn val="ctr"/>
        <c:lblOffset val="100"/>
        <c:noMultiLvlLbl val="0"/>
      </c:catAx>
      <c:valAx>
        <c:axId val="133015808"/>
        <c:scaling>
          <c:orientation val="minMax"/>
        </c:scaling>
        <c:delete val="1"/>
        <c:axPos val="l"/>
        <c:numFmt formatCode="General" sourceLinked="1"/>
        <c:majorTickMark val="out"/>
        <c:minorTickMark val="none"/>
        <c:tickLblPos val="none"/>
        <c:crossAx val="133014272"/>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3564729242019"/>
          <c:y val="0.18462567793276455"/>
          <c:w val="0.8217216160492119"/>
          <c:h val="0.66468494263770073"/>
        </c:manualLayout>
      </c:layout>
      <c:scatterChart>
        <c:scatterStyle val="lineMarker"/>
        <c:varyColors val="0"/>
        <c:ser>
          <c:idx val="0"/>
          <c:order val="0"/>
          <c:tx>
            <c:strRef>
              <c:f>Смертность!$A$3</c:f>
              <c:strCache>
                <c:ptCount val="1"/>
                <c:pt idx="0">
                  <c:v>Алексеевский</c:v>
                </c:pt>
              </c:strCache>
            </c:strRef>
          </c:tx>
          <c:spPr>
            <a:ln w="47625">
              <a:noFill/>
            </a:ln>
          </c:spPr>
          <c:marker>
            <c:symbol val="circle"/>
            <c:size val="6"/>
            <c:spPr>
              <a:solidFill>
                <a:srgbClr val="4F81BD">
                  <a:lumMod val="50000"/>
                </a:srgbClr>
              </a:solidFill>
              <a:ln>
                <a:noFill/>
              </a:ln>
            </c:spPr>
          </c:marker>
          <c:dLbls>
            <c:dLbl>
              <c:idx val="0"/>
              <c:layout>
                <c:manualLayout>
                  <c:x val="-6.3585326405030354E-2"/>
                  <c:y val="2.243084929260922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Смертность!$C$3</c:f>
              <c:numCache>
                <c:formatCode>0.0</c:formatCode>
                <c:ptCount val="1"/>
                <c:pt idx="0">
                  <c:v>-5.9646376020279606</c:v>
                </c:pt>
              </c:numCache>
            </c:numRef>
          </c:xVal>
          <c:yVal>
            <c:numRef>
              <c:f>Смертность!$B$3</c:f>
              <c:numCache>
                <c:formatCode>General</c:formatCode>
                <c:ptCount val="1"/>
                <c:pt idx="0">
                  <c:v>15.3</c:v>
                </c:pt>
              </c:numCache>
            </c:numRef>
          </c:yVal>
          <c:smooth val="0"/>
        </c:ser>
        <c:ser>
          <c:idx val="1"/>
          <c:order val="1"/>
          <c:tx>
            <c:strRef>
              <c:f>Смертность!$A$4</c:f>
              <c:strCache>
                <c:ptCount val="1"/>
                <c:pt idx="0">
                  <c:v>Безенчукский</c:v>
                </c:pt>
              </c:strCache>
            </c:strRef>
          </c:tx>
          <c:spPr>
            <a:ln w="47625">
              <a:noFill/>
            </a:ln>
          </c:spPr>
          <c:marker>
            <c:symbol val="circle"/>
            <c:size val="6"/>
            <c:spPr>
              <a:solidFill>
                <a:srgbClr val="4F81BD">
                  <a:lumMod val="50000"/>
                </a:srgbClr>
              </a:solidFill>
              <a:ln>
                <a:noFill/>
              </a:ln>
            </c:spPr>
          </c:marker>
          <c:dLbls>
            <c:dLbl>
              <c:idx val="0"/>
              <c:layout>
                <c:manualLayout>
                  <c:x val="-8.8347022208304732E-2"/>
                  <c:y val="1.9034486893181955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Смертность!$C$4</c:f>
              <c:numCache>
                <c:formatCode>0.0</c:formatCode>
                <c:ptCount val="1"/>
                <c:pt idx="0">
                  <c:v>-0.88500216547802757</c:v>
                </c:pt>
              </c:numCache>
            </c:numRef>
          </c:xVal>
          <c:yVal>
            <c:numRef>
              <c:f>Смертность!$B$4</c:f>
              <c:numCache>
                <c:formatCode>General</c:formatCode>
                <c:ptCount val="1"/>
                <c:pt idx="0">
                  <c:v>14.8</c:v>
                </c:pt>
              </c:numCache>
            </c:numRef>
          </c:yVal>
          <c:smooth val="0"/>
        </c:ser>
        <c:ser>
          <c:idx val="2"/>
          <c:order val="2"/>
          <c:tx>
            <c:strRef>
              <c:f>Смертность!$A$5</c:f>
              <c:strCache>
                <c:ptCount val="1"/>
                <c:pt idx="0">
                  <c:v>Богатовский </c:v>
                </c:pt>
              </c:strCache>
            </c:strRef>
          </c:tx>
          <c:spPr>
            <a:ln w="47625">
              <a:noFill/>
            </a:ln>
          </c:spPr>
          <c:marker>
            <c:symbol val="circle"/>
            <c:size val="6"/>
            <c:spPr>
              <a:solidFill>
                <a:srgbClr val="4F81BD">
                  <a:lumMod val="50000"/>
                </a:srgbClr>
              </a:solidFill>
              <a:ln>
                <a:noFill/>
              </a:ln>
            </c:spPr>
          </c:marker>
          <c:dLbls>
            <c:dLbl>
              <c:idx val="0"/>
              <c:layout>
                <c:manualLayout>
                  <c:x val="-5.9376182013291895E-2"/>
                  <c:y val="4.449983982059912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Смертность!$C$5</c:f>
              <c:numCache>
                <c:formatCode>0.0</c:formatCode>
                <c:ptCount val="1"/>
                <c:pt idx="0">
                  <c:v>-7.3263697611949974</c:v>
                </c:pt>
              </c:numCache>
            </c:numRef>
          </c:xVal>
          <c:yVal>
            <c:numRef>
              <c:f>Смертность!$B$5</c:f>
              <c:numCache>
                <c:formatCode>General</c:formatCode>
                <c:ptCount val="1"/>
                <c:pt idx="0">
                  <c:v>15.6</c:v>
                </c:pt>
              </c:numCache>
            </c:numRef>
          </c:yVal>
          <c:smooth val="0"/>
        </c:ser>
        <c:ser>
          <c:idx val="3"/>
          <c:order val="3"/>
          <c:tx>
            <c:strRef>
              <c:f>Смертность!$A$6</c:f>
              <c:strCache>
                <c:ptCount val="1"/>
                <c:pt idx="0">
                  <c:v>Большеглушицкий</c:v>
                </c:pt>
              </c:strCache>
            </c:strRef>
          </c:tx>
          <c:spPr>
            <a:ln w="47625">
              <a:noFill/>
            </a:ln>
          </c:spPr>
          <c:marker>
            <c:symbol val="circle"/>
            <c:size val="6"/>
            <c:spPr>
              <a:solidFill>
                <a:srgbClr val="4F81BD">
                  <a:lumMod val="50000"/>
                </a:srgbClr>
              </a:solidFill>
              <a:ln>
                <a:noFill/>
              </a:ln>
            </c:spPr>
          </c:marker>
          <c:dLbls>
            <c:dLbl>
              <c:idx val="0"/>
              <c:layout>
                <c:manualLayout>
                  <c:x val="-8.2553233449117649E-2"/>
                  <c:y val="2.5802428131271649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Смертность!$C$6</c:f>
              <c:numCache>
                <c:formatCode>0.0</c:formatCode>
                <c:ptCount val="1"/>
                <c:pt idx="0">
                  <c:v>-3.1695761610941275</c:v>
                </c:pt>
              </c:numCache>
            </c:numRef>
          </c:xVal>
          <c:yVal>
            <c:numRef>
              <c:f>Смертность!$B$6</c:f>
              <c:numCache>
                <c:formatCode>General</c:formatCode>
                <c:ptCount val="1"/>
                <c:pt idx="0">
                  <c:v>13.8</c:v>
                </c:pt>
              </c:numCache>
            </c:numRef>
          </c:yVal>
          <c:smooth val="0"/>
        </c:ser>
        <c:ser>
          <c:idx val="4"/>
          <c:order val="4"/>
          <c:tx>
            <c:strRef>
              <c:f>Смертность!$A$7</c:f>
              <c:strCache>
                <c:ptCount val="1"/>
                <c:pt idx="0">
                  <c:v>Большечерниговский</c:v>
                </c:pt>
              </c:strCache>
            </c:strRef>
          </c:tx>
          <c:spPr>
            <a:ln w="47625">
              <a:noFill/>
            </a:ln>
          </c:spPr>
          <c:marker>
            <c:symbol val="circle"/>
            <c:size val="6"/>
            <c:spPr>
              <a:solidFill>
                <a:srgbClr val="4F81BD">
                  <a:lumMod val="50000"/>
                </a:srgbClr>
              </a:solidFill>
              <a:ln>
                <a:noFill/>
              </a:ln>
            </c:spPr>
          </c:marker>
          <c:dLbls>
            <c:dLbl>
              <c:idx val="0"/>
              <c:layout>
                <c:manualLayout>
                  <c:x val="-1.2319729954815661E-3"/>
                  <c:y val="-5.79310470662072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Смертность!$C$7</c:f>
              <c:numCache>
                <c:formatCode>0.0</c:formatCode>
                <c:ptCount val="1"/>
                <c:pt idx="0">
                  <c:v>0.66227095601129993</c:v>
                </c:pt>
              </c:numCache>
            </c:numRef>
          </c:xVal>
          <c:yVal>
            <c:numRef>
              <c:f>Смертность!$B$7</c:f>
              <c:numCache>
                <c:formatCode>General</c:formatCode>
                <c:ptCount val="1"/>
                <c:pt idx="0">
                  <c:v>15.3</c:v>
                </c:pt>
              </c:numCache>
            </c:numRef>
          </c:yVal>
          <c:smooth val="0"/>
        </c:ser>
        <c:ser>
          <c:idx val="5"/>
          <c:order val="5"/>
          <c:tx>
            <c:strRef>
              <c:f>Смертность!$A$8</c:f>
              <c:strCache>
                <c:ptCount val="1"/>
                <c:pt idx="0">
                  <c:v>Борский</c:v>
                </c:pt>
              </c:strCache>
            </c:strRef>
          </c:tx>
          <c:spPr>
            <a:ln w="47625">
              <a:noFill/>
            </a:ln>
          </c:spPr>
          <c:marker>
            <c:symbol val="circle"/>
            <c:size val="6"/>
            <c:spPr>
              <a:solidFill>
                <a:srgbClr val="4F81BD">
                  <a:lumMod val="50000"/>
                </a:srgbClr>
              </a:solidFill>
              <a:ln>
                <a:noFill/>
              </a:ln>
            </c:spPr>
          </c:marker>
          <c:dLbls>
            <c:dLbl>
              <c:idx val="0"/>
              <c:layout>
                <c:manualLayout>
                  <c:x val="-5.6774967325075198E-2"/>
                  <c:y val="-4.248906706251802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Смертность!$C$8</c:f>
              <c:numCache>
                <c:formatCode>0.0</c:formatCode>
                <c:ptCount val="1"/>
                <c:pt idx="0">
                  <c:v>-1.3515170267811987</c:v>
                </c:pt>
              </c:numCache>
            </c:numRef>
          </c:xVal>
          <c:yVal>
            <c:numRef>
              <c:f>Смертность!$B$8</c:f>
              <c:numCache>
                <c:formatCode>General</c:formatCode>
                <c:ptCount val="1"/>
                <c:pt idx="0">
                  <c:v>16.8</c:v>
                </c:pt>
              </c:numCache>
            </c:numRef>
          </c:yVal>
          <c:smooth val="0"/>
        </c:ser>
        <c:ser>
          <c:idx val="6"/>
          <c:order val="6"/>
          <c:tx>
            <c:strRef>
              <c:f>Смертность!$A$9</c:f>
              <c:strCache>
                <c:ptCount val="1"/>
                <c:pt idx="0">
                  <c:v>Волжский </c:v>
                </c:pt>
              </c:strCache>
            </c:strRef>
          </c:tx>
          <c:spPr>
            <a:ln w="47625">
              <a:noFill/>
            </a:ln>
          </c:spPr>
          <c:marker>
            <c:symbol val="circle"/>
            <c:size val="6"/>
            <c:spPr>
              <a:solidFill>
                <a:srgbClr val="4F81BD">
                  <a:lumMod val="50000"/>
                </a:srgbClr>
              </a:solidFill>
              <a:ln>
                <a:noFill/>
              </a:ln>
            </c:spPr>
          </c:marker>
          <c:dLbls>
            <c:dLblPos val="t"/>
            <c:showLegendKey val="0"/>
            <c:showVal val="0"/>
            <c:showCatName val="0"/>
            <c:showSerName val="1"/>
            <c:showPercent val="0"/>
            <c:showBubbleSize val="0"/>
            <c:showLeaderLines val="0"/>
          </c:dLbls>
          <c:xVal>
            <c:numRef>
              <c:f>Смертность!$C$9</c:f>
              <c:numCache>
                <c:formatCode>0.0</c:formatCode>
                <c:ptCount val="1"/>
                <c:pt idx="0">
                  <c:v>-4.3534408613805455</c:v>
                </c:pt>
              </c:numCache>
            </c:numRef>
          </c:xVal>
          <c:yVal>
            <c:numRef>
              <c:f>Смертность!$B$9</c:f>
              <c:numCache>
                <c:formatCode>General</c:formatCode>
                <c:ptCount val="1"/>
                <c:pt idx="0">
                  <c:v>9.8000000000000007</c:v>
                </c:pt>
              </c:numCache>
            </c:numRef>
          </c:yVal>
          <c:smooth val="0"/>
        </c:ser>
        <c:ser>
          <c:idx val="7"/>
          <c:order val="7"/>
          <c:tx>
            <c:strRef>
              <c:f>Смертность!$A$10</c:f>
              <c:strCache>
                <c:ptCount val="1"/>
                <c:pt idx="0">
                  <c:v>Елховский</c:v>
                </c:pt>
              </c:strCache>
            </c:strRef>
          </c:tx>
          <c:spPr>
            <a:ln w="47625">
              <a:noFill/>
            </a:ln>
          </c:spPr>
          <c:marker>
            <c:symbol val="circle"/>
            <c:size val="6"/>
            <c:spPr>
              <a:noFill/>
              <a:ln>
                <a:noFill/>
              </a:ln>
            </c:spPr>
          </c:marker>
          <c:dLbls>
            <c:dLbl>
              <c:idx val="0"/>
              <c:layout>
                <c:manualLayout>
                  <c:x val="-5.2483662698568634E-2"/>
                  <c:y val="4.263009865166639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Смертность!$C$10</c:f>
              <c:numCache>
                <c:formatCode>0.0</c:formatCode>
                <c:ptCount val="1"/>
                <c:pt idx="0">
                  <c:v>-0.20000053386986849</c:v>
                </c:pt>
              </c:numCache>
            </c:numRef>
          </c:xVal>
          <c:yVal>
            <c:numRef>
              <c:f>Смертность!$B$10</c:f>
              <c:numCache>
                <c:formatCode>General</c:formatCode>
                <c:ptCount val="1"/>
                <c:pt idx="0">
                  <c:v>16.600000000000001</c:v>
                </c:pt>
              </c:numCache>
            </c:numRef>
          </c:yVal>
          <c:smooth val="0"/>
        </c:ser>
        <c:ser>
          <c:idx val="8"/>
          <c:order val="8"/>
          <c:tx>
            <c:strRef>
              <c:f>Смертность!$A$11</c:f>
              <c:strCache>
                <c:ptCount val="1"/>
                <c:pt idx="0">
                  <c:v>Исаклинский </c:v>
                </c:pt>
              </c:strCache>
            </c:strRef>
          </c:tx>
          <c:spPr>
            <a:ln w="47625">
              <a:noFill/>
            </a:ln>
          </c:spPr>
          <c:marker>
            <c:symbol val="circle"/>
            <c:size val="6"/>
          </c:marker>
          <c:dPt>
            <c:idx val="0"/>
            <c:marker>
              <c:spPr>
                <a:solidFill>
                  <a:srgbClr val="4F81BD">
                    <a:lumMod val="50000"/>
                  </a:srgbClr>
                </a:solidFill>
                <a:ln>
                  <a:noFill/>
                </a:ln>
              </c:spPr>
            </c:marker>
            <c:bubble3D val="0"/>
          </c:dPt>
          <c:dLbls>
            <c:dLbl>
              <c:idx val="0"/>
              <c:layout>
                <c:manualLayout>
                  <c:x val="5.1182846870529352E-3"/>
                  <c:y val="2.48275915998026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Смертность!$C$11</c:f>
              <c:numCache>
                <c:formatCode>0.0</c:formatCode>
                <c:ptCount val="1"/>
                <c:pt idx="0">
                  <c:v>0</c:v>
                </c:pt>
              </c:numCache>
            </c:numRef>
          </c:xVal>
          <c:yVal>
            <c:numRef>
              <c:f>Смертность!$B$11</c:f>
              <c:numCache>
                <c:formatCode>General</c:formatCode>
                <c:ptCount val="1"/>
                <c:pt idx="0">
                  <c:v>16</c:v>
                </c:pt>
              </c:numCache>
            </c:numRef>
          </c:yVal>
          <c:smooth val="0"/>
        </c:ser>
        <c:ser>
          <c:idx val="9"/>
          <c:order val="9"/>
          <c:tx>
            <c:strRef>
              <c:f>Смертность!$A$12</c:f>
              <c:strCache>
                <c:ptCount val="1"/>
                <c:pt idx="0">
                  <c:v>Камышлинский</c:v>
                </c:pt>
              </c:strCache>
            </c:strRef>
          </c:tx>
          <c:spPr>
            <a:ln w="47625">
              <a:noFill/>
            </a:ln>
          </c:spPr>
          <c:marker>
            <c:symbol val="circle"/>
            <c:size val="6"/>
            <c:spPr>
              <a:solidFill>
                <a:srgbClr val="FF0000"/>
              </a:solidFill>
              <a:ln>
                <a:noFill/>
              </a:ln>
            </c:spPr>
          </c:marker>
          <c:dLbls>
            <c:dLbl>
              <c:idx val="0"/>
              <c:layout>
                <c:manualLayout>
                  <c:x val="-6.7858603973387777E-2"/>
                  <c:y val="-3.451925810898888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Смертность!$C$12</c:f>
              <c:numCache>
                <c:formatCode>0.0</c:formatCode>
                <c:ptCount val="1"/>
                <c:pt idx="0">
                  <c:v>-2.0497602283710852</c:v>
                </c:pt>
              </c:numCache>
            </c:numRef>
          </c:xVal>
          <c:yVal>
            <c:numRef>
              <c:f>Смертность!$B$12</c:f>
              <c:numCache>
                <c:formatCode>General</c:formatCode>
                <c:ptCount val="1"/>
                <c:pt idx="0">
                  <c:v>15.6</c:v>
                </c:pt>
              </c:numCache>
            </c:numRef>
          </c:yVal>
          <c:smooth val="0"/>
        </c:ser>
        <c:ser>
          <c:idx val="10"/>
          <c:order val="10"/>
          <c:tx>
            <c:strRef>
              <c:f>Смертность!$A$13</c:f>
              <c:strCache>
                <c:ptCount val="1"/>
                <c:pt idx="0">
                  <c:v>Кинельский </c:v>
                </c:pt>
              </c:strCache>
            </c:strRef>
          </c:tx>
          <c:spPr>
            <a:ln w="47625">
              <a:noFill/>
            </a:ln>
          </c:spPr>
          <c:marker>
            <c:symbol val="circle"/>
            <c:size val="6"/>
            <c:spPr>
              <a:solidFill>
                <a:schemeClr val="accent1">
                  <a:lumMod val="50000"/>
                </a:schemeClr>
              </a:solidFill>
              <a:ln>
                <a:noFill/>
              </a:ln>
            </c:spPr>
          </c:marker>
          <c:dLbls>
            <c:dLbl>
              <c:idx val="0"/>
              <c:layout>
                <c:manualLayout>
                  <c:x val="2.8294573643410851E-3"/>
                  <c:y val="-4.1134305716520065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Смертность!$C$13</c:f>
              <c:numCache>
                <c:formatCode>0.0</c:formatCode>
                <c:ptCount val="1"/>
                <c:pt idx="0">
                  <c:v>-2.0413891284438535</c:v>
                </c:pt>
              </c:numCache>
            </c:numRef>
          </c:xVal>
          <c:yVal>
            <c:numRef>
              <c:f>Смертность!$B$13</c:f>
              <c:numCache>
                <c:formatCode>General</c:formatCode>
                <c:ptCount val="1"/>
                <c:pt idx="0">
                  <c:v>14.1</c:v>
                </c:pt>
              </c:numCache>
            </c:numRef>
          </c:yVal>
          <c:smooth val="0"/>
        </c:ser>
        <c:ser>
          <c:idx val="11"/>
          <c:order val="11"/>
          <c:tx>
            <c:strRef>
              <c:f>Смертность!$A$14</c:f>
              <c:strCache>
                <c:ptCount val="1"/>
                <c:pt idx="0">
                  <c:v>Кинель-Черкасский </c:v>
                </c:pt>
              </c:strCache>
            </c:strRef>
          </c:tx>
          <c:spPr>
            <a:ln w="47625">
              <a:noFill/>
            </a:ln>
          </c:spPr>
          <c:marker>
            <c:symbol val="circle"/>
            <c:size val="6"/>
            <c:spPr>
              <a:solidFill>
                <a:srgbClr val="4F81BD">
                  <a:lumMod val="50000"/>
                </a:srgbClr>
              </a:solidFill>
              <a:ln>
                <a:noFill/>
              </a:ln>
            </c:spPr>
          </c:marker>
          <c:dLbls>
            <c:dLbl>
              <c:idx val="0"/>
              <c:layout>
                <c:manualLayout>
                  <c:x val="-8.2342698971966857E-3"/>
                  <c:y val="-2.3969595214682637E-3"/>
                </c:manualLayout>
              </c:layout>
              <c:dLblPos val="r"/>
              <c:showLegendKey val="0"/>
              <c:showVal val="0"/>
              <c:showCatName val="0"/>
              <c:showSerName val="1"/>
              <c:showPercent val="0"/>
              <c:showBubbleSize val="0"/>
            </c:dLbl>
            <c:dLblPos val="t"/>
            <c:showLegendKey val="0"/>
            <c:showVal val="1"/>
            <c:showCatName val="0"/>
            <c:showSerName val="0"/>
            <c:showPercent val="0"/>
            <c:showBubbleSize val="0"/>
            <c:showLeaderLines val="0"/>
          </c:dLbls>
          <c:xVal>
            <c:numRef>
              <c:f>Смертность!$C$14</c:f>
              <c:numCache>
                <c:formatCode>0.0</c:formatCode>
                <c:ptCount val="1"/>
                <c:pt idx="0">
                  <c:v>0.60977116624192762</c:v>
                </c:pt>
              </c:numCache>
            </c:numRef>
          </c:xVal>
          <c:yVal>
            <c:numRef>
              <c:f>Смертность!$B$14</c:f>
              <c:numCache>
                <c:formatCode>General</c:formatCode>
                <c:ptCount val="1"/>
                <c:pt idx="0">
                  <c:v>16.600000000000001</c:v>
                </c:pt>
              </c:numCache>
            </c:numRef>
          </c:yVal>
          <c:smooth val="0"/>
        </c:ser>
        <c:ser>
          <c:idx val="12"/>
          <c:order val="12"/>
          <c:tx>
            <c:strRef>
              <c:f>Смертность!$A$15</c:f>
              <c:strCache>
                <c:ptCount val="1"/>
                <c:pt idx="0">
                  <c:v>Клявлинский </c:v>
                </c:pt>
              </c:strCache>
            </c:strRef>
          </c:tx>
          <c:spPr>
            <a:ln w="47625">
              <a:noFill/>
            </a:ln>
          </c:spPr>
          <c:marker>
            <c:symbol val="circle"/>
            <c:size val="6"/>
            <c:spPr>
              <a:solidFill>
                <a:schemeClr val="accent1">
                  <a:lumMod val="50000"/>
                </a:schemeClr>
              </a:solidFill>
              <a:ln>
                <a:noFill/>
              </a:ln>
            </c:spPr>
          </c:marker>
          <c:dLbls>
            <c:dLbl>
              <c:idx val="0"/>
              <c:layout>
                <c:manualLayout>
                  <c:x val="-3.6248436213207956E-3"/>
                  <c:y val="-5.7931047066207284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Смертность!$C$15</c:f>
              <c:numCache>
                <c:formatCode>0.0</c:formatCode>
                <c:ptCount val="1"/>
                <c:pt idx="0">
                  <c:v>-5.5888668118973985</c:v>
                </c:pt>
              </c:numCache>
            </c:numRef>
          </c:xVal>
          <c:yVal>
            <c:numRef>
              <c:f>Смертность!$B$15</c:f>
              <c:numCache>
                <c:formatCode>General</c:formatCode>
                <c:ptCount val="1"/>
                <c:pt idx="0">
                  <c:v>15.4</c:v>
                </c:pt>
              </c:numCache>
            </c:numRef>
          </c:yVal>
          <c:smooth val="0"/>
        </c:ser>
        <c:ser>
          <c:idx val="13"/>
          <c:order val="13"/>
          <c:tx>
            <c:strRef>
              <c:f>Смертность!$A$16</c:f>
              <c:strCache>
                <c:ptCount val="1"/>
                <c:pt idx="0">
                  <c:v>Кошкинский</c:v>
                </c:pt>
              </c:strCache>
            </c:strRef>
          </c:tx>
          <c:spPr>
            <a:ln w="47625">
              <a:noFill/>
            </a:ln>
          </c:spPr>
          <c:marker>
            <c:symbol val="circle"/>
            <c:size val="6"/>
            <c:spPr>
              <a:solidFill>
                <a:srgbClr val="4F81BD">
                  <a:lumMod val="50000"/>
                </a:srgbClr>
              </a:solidFill>
              <a:ln>
                <a:noFill/>
              </a:ln>
            </c:spPr>
          </c:marker>
          <c:dLbls>
            <c:dLbl>
              <c:idx val="0"/>
              <c:layout>
                <c:manualLayout>
                  <c:x val="-4.055416123086051E-3"/>
                  <c:y val="1.145740134833594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Смертность!$C$16</c:f>
              <c:numCache>
                <c:formatCode>0.0</c:formatCode>
                <c:ptCount val="1"/>
                <c:pt idx="0">
                  <c:v>-0.21834130604088425</c:v>
                </c:pt>
              </c:numCache>
            </c:numRef>
          </c:xVal>
          <c:yVal>
            <c:numRef>
              <c:f>Смертность!$B$16</c:f>
              <c:numCache>
                <c:formatCode>General</c:formatCode>
                <c:ptCount val="1"/>
                <c:pt idx="0">
                  <c:v>15.2</c:v>
                </c:pt>
              </c:numCache>
            </c:numRef>
          </c:yVal>
          <c:smooth val="0"/>
        </c:ser>
        <c:ser>
          <c:idx val="14"/>
          <c:order val="14"/>
          <c:tx>
            <c:strRef>
              <c:f>Смертность!$A$17</c:f>
              <c:strCache>
                <c:ptCount val="1"/>
                <c:pt idx="0">
                  <c:v>Красноармейский </c:v>
                </c:pt>
              </c:strCache>
            </c:strRef>
          </c:tx>
          <c:spPr>
            <a:ln w="47625">
              <a:noFill/>
            </a:ln>
          </c:spPr>
          <c:marker>
            <c:symbol val="circle"/>
            <c:size val="6"/>
            <c:spPr>
              <a:solidFill>
                <a:srgbClr val="4F81BD">
                  <a:lumMod val="50000"/>
                </a:srgbClr>
              </a:solidFill>
              <a:ln>
                <a:noFill/>
              </a:ln>
            </c:spPr>
          </c:marker>
          <c:dLbls>
            <c:dLbl>
              <c:idx val="0"/>
              <c:layout>
                <c:manualLayout>
                  <c:x val="3.1013924419419064E-3"/>
                  <c:y val="-1.406896857322147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Смертность!$C$17</c:f>
              <c:numCache>
                <c:formatCode>0.0</c:formatCode>
                <c:ptCount val="1"/>
                <c:pt idx="0">
                  <c:v>-0.58824890417834297</c:v>
                </c:pt>
              </c:numCache>
            </c:numRef>
          </c:xVal>
          <c:yVal>
            <c:numRef>
              <c:f>Смертность!$B$17</c:f>
              <c:numCache>
                <c:formatCode>General</c:formatCode>
                <c:ptCount val="1"/>
                <c:pt idx="0">
                  <c:v>16.8</c:v>
                </c:pt>
              </c:numCache>
            </c:numRef>
          </c:yVal>
          <c:smooth val="0"/>
        </c:ser>
        <c:ser>
          <c:idx val="15"/>
          <c:order val="15"/>
          <c:tx>
            <c:strRef>
              <c:f>Смертность!$A$18</c:f>
              <c:strCache>
                <c:ptCount val="1"/>
                <c:pt idx="0">
                  <c:v>Красноярский </c:v>
                </c:pt>
              </c:strCache>
            </c:strRef>
          </c:tx>
          <c:spPr>
            <a:ln w="47625">
              <a:noFill/>
            </a:ln>
          </c:spPr>
          <c:marker>
            <c:symbol val="circle"/>
            <c:size val="6"/>
            <c:spPr>
              <a:solidFill>
                <a:srgbClr val="4F81BD">
                  <a:lumMod val="50000"/>
                </a:srgbClr>
              </a:solidFill>
              <a:ln>
                <a:noFill/>
              </a:ln>
            </c:spPr>
          </c:marker>
          <c:dLbls>
            <c:dLbl>
              <c:idx val="0"/>
              <c:layout>
                <c:manualLayout>
                  <c:x val="-1.5842595878349881E-3"/>
                  <c:y val="8.5191438542805292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Смертность!$C$18</c:f>
              <c:numCache>
                <c:formatCode>0.0</c:formatCode>
                <c:ptCount val="1"/>
                <c:pt idx="0">
                  <c:v>-0.68029316900496706</c:v>
                </c:pt>
              </c:numCache>
            </c:numRef>
          </c:xVal>
          <c:yVal>
            <c:numRef>
              <c:f>Смертность!$B$18</c:f>
              <c:numCache>
                <c:formatCode>General</c:formatCode>
                <c:ptCount val="1"/>
                <c:pt idx="0">
                  <c:v>14.5</c:v>
                </c:pt>
              </c:numCache>
            </c:numRef>
          </c:yVal>
          <c:smooth val="0"/>
        </c:ser>
        <c:ser>
          <c:idx val="16"/>
          <c:order val="16"/>
          <c:tx>
            <c:strRef>
              <c:f>Смертность!$A$19</c:f>
              <c:strCache>
                <c:ptCount val="1"/>
                <c:pt idx="0">
                  <c:v>Нефтегорский </c:v>
                </c:pt>
              </c:strCache>
            </c:strRef>
          </c:tx>
          <c:spPr>
            <a:ln w="47625">
              <a:noFill/>
            </a:ln>
          </c:spPr>
          <c:marker>
            <c:symbol val="circle"/>
            <c:size val="6"/>
            <c:spPr>
              <a:solidFill>
                <a:srgbClr val="4F81BD">
                  <a:lumMod val="50000"/>
                </a:srgbClr>
              </a:solidFill>
              <a:ln>
                <a:noFill/>
              </a:ln>
            </c:spPr>
          </c:marker>
          <c:dLbls>
            <c:dLbl>
              <c:idx val="0"/>
              <c:layout>
                <c:manualLayout>
                  <c:x val="-4.7315248258181522E-2"/>
                  <c:y val="-3.372273336361310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Смертность!$C$19</c:f>
              <c:numCache>
                <c:formatCode>0.0</c:formatCode>
                <c:ptCount val="1"/>
                <c:pt idx="0">
                  <c:v>2.3818422453631727</c:v>
                </c:pt>
              </c:numCache>
            </c:numRef>
          </c:xVal>
          <c:yVal>
            <c:numRef>
              <c:f>Смертность!$B$19</c:f>
              <c:numCache>
                <c:formatCode>General</c:formatCode>
                <c:ptCount val="1"/>
                <c:pt idx="0">
                  <c:v>13.2</c:v>
                </c:pt>
              </c:numCache>
            </c:numRef>
          </c:yVal>
          <c:smooth val="0"/>
        </c:ser>
        <c:ser>
          <c:idx val="17"/>
          <c:order val="17"/>
          <c:tx>
            <c:strRef>
              <c:f>Смертность!$A$20</c:f>
              <c:strCache>
                <c:ptCount val="1"/>
                <c:pt idx="0">
                  <c:v>Пестравский </c:v>
                </c:pt>
              </c:strCache>
            </c:strRef>
          </c:tx>
          <c:spPr>
            <a:ln w="47625">
              <a:noFill/>
            </a:ln>
          </c:spPr>
          <c:marker>
            <c:symbol val="circle"/>
            <c:size val="6"/>
            <c:spPr>
              <a:solidFill>
                <a:srgbClr val="4F81BD">
                  <a:lumMod val="50000"/>
                </a:srgbClr>
              </a:solidFill>
              <a:ln>
                <a:noFill/>
              </a:ln>
            </c:spPr>
          </c:marker>
          <c:dLbls>
            <c:dLbl>
              <c:idx val="0"/>
              <c:layout>
                <c:manualLayout>
                  <c:x val="-7.2318325615475784E-2"/>
                  <c:y val="3.6103184600202562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Смертность!$C$20</c:f>
              <c:numCache>
                <c:formatCode>0.0</c:formatCode>
                <c:ptCount val="1"/>
                <c:pt idx="0">
                  <c:v>2.7518608116575511</c:v>
                </c:pt>
              </c:numCache>
            </c:numRef>
          </c:xVal>
          <c:yVal>
            <c:numRef>
              <c:f>Смертность!$B$20</c:f>
              <c:numCache>
                <c:formatCode>General</c:formatCode>
                <c:ptCount val="1"/>
                <c:pt idx="0">
                  <c:v>17.899999999999999</c:v>
                </c:pt>
              </c:numCache>
            </c:numRef>
          </c:yVal>
          <c:smooth val="0"/>
        </c:ser>
        <c:ser>
          <c:idx val="18"/>
          <c:order val="18"/>
          <c:tx>
            <c:strRef>
              <c:f>Смертность!$A$21</c:f>
              <c:strCache>
                <c:ptCount val="1"/>
                <c:pt idx="0">
                  <c:v>Похвистневский</c:v>
                </c:pt>
              </c:strCache>
            </c:strRef>
          </c:tx>
          <c:spPr>
            <a:ln w="47625">
              <a:noFill/>
            </a:ln>
          </c:spPr>
          <c:marker>
            <c:symbol val="circle"/>
            <c:size val="6"/>
            <c:spPr>
              <a:solidFill>
                <a:srgbClr val="4F81BD">
                  <a:lumMod val="50000"/>
                </a:srgbClr>
              </a:solidFill>
              <a:ln>
                <a:noFill/>
              </a:ln>
            </c:spPr>
          </c:marker>
          <c:dLbls>
            <c:dLbl>
              <c:idx val="0"/>
              <c:layout>
                <c:manualLayout>
                  <c:x val="-8.3668752402441704E-2"/>
                  <c:y val="-3.9730445773651014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Смертность!$C$21</c:f>
              <c:numCache>
                <c:formatCode>0.0</c:formatCode>
                <c:ptCount val="1"/>
                <c:pt idx="0">
                  <c:v>-0.86772270246503236</c:v>
                </c:pt>
              </c:numCache>
            </c:numRef>
          </c:xVal>
          <c:yVal>
            <c:numRef>
              <c:f>Смертность!$B$21</c:f>
              <c:numCache>
                <c:formatCode>General</c:formatCode>
                <c:ptCount val="1"/>
                <c:pt idx="0">
                  <c:v>15.1</c:v>
                </c:pt>
              </c:numCache>
            </c:numRef>
          </c:yVal>
          <c:smooth val="0"/>
        </c:ser>
        <c:ser>
          <c:idx val="19"/>
          <c:order val="19"/>
          <c:tx>
            <c:strRef>
              <c:f>Смертность!$A$22</c:f>
              <c:strCache>
                <c:ptCount val="1"/>
                <c:pt idx="0">
                  <c:v>Приволжский</c:v>
                </c:pt>
              </c:strCache>
            </c:strRef>
          </c:tx>
          <c:spPr>
            <a:ln w="47625">
              <a:noFill/>
            </a:ln>
          </c:spPr>
          <c:marker>
            <c:symbol val="circle"/>
            <c:size val="6"/>
            <c:spPr>
              <a:solidFill>
                <a:srgbClr val="4F81BD">
                  <a:lumMod val="50000"/>
                </a:srgbClr>
              </a:solidFill>
              <a:ln>
                <a:noFill/>
              </a:ln>
            </c:spPr>
          </c:marker>
          <c:dLbls>
            <c:dLbl>
              <c:idx val="0"/>
              <c:layout>
                <c:manualLayout>
                  <c:x val="-1.2977262922024943E-3"/>
                  <c:y val="-1.18373091148107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Смертность!$C$22</c:f>
              <c:numCache>
                <c:formatCode>0.0</c:formatCode>
                <c:ptCount val="1"/>
                <c:pt idx="0">
                  <c:v>-0.72995303069919593</c:v>
                </c:pt>
              </c:numCache>
            </c:numRef>
          </c:xVal>
          <c:yVal>
            <c:numRef>
              <c:f>Смертность!$B$22</c:f>
              <c:numCache>
                <c:formatCode>General</c:formatCode>
                <c:ptCount val="1"/>
                <c:pt idx="0">
                  <c:v>13.5</c:v>
                </c:pt>
              </c:numCache>
            </c:numRef>
          </c:yVal>
          <c:smooth val="0"/>
        </c:ser>
        <c:ser>
          <c:idx val="20"/>
          <c:order val="20"/>
          <c:tx>
            <c:strRef>
              <c:f>Смертность!$A$23</c:f>
              <c:strCache>
                <c:ptCount val="1"/>
                <c:pt idx="0">
                  <c:v>Сергиевский</c:v>
                </c:pt>
              </c:strCache>
            </c:strRef>
          </c:tx>
          <c:spPr>
            <a:ln w="47625">
              <a:noFill/>
            </a:ln>
          </c:spPr>
          <c:marker>
            <c:symbol val="circle"/>
            <c:size val="6"/>
            <c:spPr>
              <a:solidFill>
                <a:srgbClr val="4F81BD">
                  <a:lumMod val="50000"/>
                </a:srgbClr>
              </a:solidFill>
              <a:ln>
                <a:noFill/>
              </a:ln>
            </c:spPr>
          </c:marker>
          <c:dLbls>
            <c:dLbl>
              <c:idx val="0"/>
              <c:layout>
                <c:manualLayout>
                  <c:x val="1.3325772562609388E-3"/>
                  <c:y val="-7.6081471861302779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Смертность!$C$23</c:f>
              <c:numCache>
                <c:formatCode>0.0</c:formatCode>
                <c:ptCount val="1"/>
                <c:pt idx="0">
                  <c:v>0</c:v>
                </c:pt>
              </c:numCache>
            </c:numRef>
          </c:xVal>
          <c:yVal>
            <c:numRef>
              <c:f>Смертность!$B$23</c:f>
              <c:numCache>
                <c:formatCode>General</c:formatCode>
                <c:ptCount val="1"/>
                <c:pt idx="0">
                  <c:v>14.8</c:v>
                </c:pt>
              </c:numCache>
            </c:numRef>
          </c:yVal>
          <c:smooth val="0"/>
        </c:ser>
        <c:ser>
          <c:idx val="21"/>
          <c:order val="21"/>
          <c:tx>
            <c:strRef>
              <c:f>Смертность!$A$24</c:f>
              <c:strCache>
                <c:ptCount val="1"/>
                <c:pt idx="0">
                  <c:v>Ставропольский </c:v>
                </c:pt>
              </c:strCache>
            </c:strRef>
          </c:tx>
          <c:spPr>
            <a:ln w="47625">
              <a:noFill/>
            </a:ln>
          </c:spPr>
          <c:marker>
            <c:symbol val="circle"/>
            <c:size val="6"/>
            <c:spPr>
              <a:solidFill>
                <a:srgbClr val="4F81BD">
                  <a:lumMod val="50000"/>
                </a:srgbClr>
              </a:solidFill>
              <a:ln>
                <a:noFill/>
              </a:ln>
            </c:spPr>
          </c:marker>
          <c:dLbls>
            <c:dLbl>
              <c:idx val="0"/>
              <c:layout>
                <c:manualLayout>
                  <c:x val="-5.2768451398987594E-2"/>
                  <c:y val="4.0760357482733746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Смертность!$C$24</c:f>
              <c:numCache>
                <c:formatCode>0.0</c:formatCode>
                <c:ptCount val="1"/>
                <c:pt idx="0">
                  <c:v>-2.9272278063685206</c:v>
                </c:pt>
              </c:numCache>
            </c:numRef>
          </c:xVal>
          <c:yVal>
            <c:numRef>
              <c:f>Смертность!$B$24</c:f>
              <c:numCache>
                <c:formatCode>General</c:formatCode>
                <c:ptCount val="1"/>
                <c:pt idx="0">
                  <c:v>11.8</c:v>
                </c:pt>
              </c:numCache>
            </c:numRef>
          </c:yVal>
          <c:smooth val="0"/>
        </c:ser>
        <c:ser>
          <c:idx val="22"/>
          <c:order val="22"/>
          <c:tx>
            <c:strRef>
              <c:f>Смертность!$A$25</c:f>
              <c:strCache>
                <c:ptCount val="1"/>
                <c:pt idx="0">
                  <c:v>Сызранский </c:v>
                </c:pt>
              </c:strCache>
            </c:strRef>
          </c:tx>
          <c:spPr>
            <a:ln w="47625">
              <a:noFill/>
            </a:ln>
          </c:spPr>
          <c:marker>
            <c:symbol val="circle"/>
            <c:size val="6"/>
            <c:spPr>
              <a:solidFill>
                <a:srgbClr val="4F81BD">
                  <a:lumMod val="50000"/>
                </a:srgbClr>
              </a:solidFill>
              <a:ln>
                <a:noFill/>
              </a:ln>
            </c:spPr>
          </c:marker>
          <c:dLbls>
            <c:dLbl>
              <c:idx val="0"/>
              <c:layout>
                <c:manualLayout>
                  <c:x val="-1.6584200175178703E-3"/>
                  <c:y val="-3.7394823378654788E-4"/>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Смертность!$C$25</c:f>
              <c:numCache>
                <c:formatCode>0.0</c:formatCode>
                <c:ptCount val="1"/>
                <c:pt idx="0">
                  <c:v>-1.6307262030967706</c:v>
                </c:pt>
              </c:numCache>
            </c:numRef>
          </c:xVal>
          <c:yVal>
            <c:numRef>
              <c:f>Смертность!$B$25</c:f>
              <c:numCache>
                <c:formatCode>General</c:formatCode>
                <c:ptCount val="1"/>
                <c:pt idx="0">
                  <c:v>17.8</c:v>
                </c:pt>
              </c:numCache>
            </c:numRef>
          </c:yVal>
          <c:smooth val="0"/>
        </c:ser>
        <c:ser>
          <c:idx val="23"/>
          <c:order val="23"/>
          <c:tx>
            <c:strRef>
              <c:f>Смертность!$A$26</c:f>
              <c:strCache>
                <c:ptCount val="1"/>
                <c:pt idx="0">
                  <c:v>Хворостянский </c:v>
                </c:pt>
              </c:strCache>
            </c:strRef>
          </c:tx>
          <c:spPr>
            <a:ln w="47625">
              <a:noFill/>
            </a:ln>
          </c:spPr>
          <c:marker>
            <c:symbol val="circle"/>
            <c:size val="6"/>
            <c:spPr>
              <a:solidFill>
                <a:srgbClr val="4F81BD">
                  <a:lumMod val="50000"/>
                </a:srgbClr>
              </a:solidFill>
              <a:ln>
                <a:noFill/>
              </a:ln>
            </c:spPr>
          </c:marker>
          <c:dLbls>
            <c:dLbl>
              <c:idx val="0"/>
              <c:layout>
                <c:manualLayout>
                  <c:x val="-8.1205321450356346E-2"/>
                  <c:y val="1.7158624416752623E-2"/>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Смертность!$C$26</c:f>
              <c:numCache>
                <c:formatCode>0.0</c:formatCode>
                <c:ptCount val="1"/>
                <c:pt idx="0">
                  <c:v>-1.4600630094815301</c:v>
                </c:pt>
              </c:numCache>
            </c:numRef>
          </c:xVal>
          <c:yVal>
            <c:numRef>
              <c:f>Смертность!$B$26</c:f>
              <c:numCache>
                <c:formatCode>General</c:formatCode>
                <c:ptCount val="1"/>
                <c:pt idx="0">
                  <c:v>13.3</c:v>
                </c:pt>
              </c:numCache>
            </c:numRef>
          </c:yVal>
          <c:smooth val="0"/>
        </c:ser>
        <c:ser>
          <c:idx val="24"/>
          <c:order val="24"/>
          <c:tx>
            <c:strRef>
              <c:f>Смертность!$A$27</c:f>
              <c:strCache>
                <c:ptCount val="1"/>
                <c:pt idx="0">
                  <c:v>Челно-Вершинский </c:v>
                </c:pt>
              </c:strCache>
            </c:strRef>
          </c:tx>
          <c:spPr>
            <a:ln w="47625">
              <a:noFill/>
            </a:ln>
          </c:spPr>
          <c:marker>
            <c:symbol val="circle"/>
            <c:size val="6"/>
            <c:spPr>
              <a:solidFill>
                <a:srgbClr val="4F81BD">
                  <a:lumMod val="50000"/>
                </a:srgbClr>
              </a:solidFill>
              <a:ln>
                <a:noFill/>
              </a:ln>
            </c:spPr>
          </c:marker>
          <c:dLbls>
            <c:dLbl>
              <c:idx val="0"/>
              <c:layout>
                <c:manualLayout>
                  <c:x val="6.0767720384706861E-3"/>
                  <c:y val="-7.3010062016848317E-3"/>
                </c:manualLayout>
              </c:layout>
              <c:dLblPos val="r"/>
              <c:showLegendKey val="0"/>
              <c:showVal val="0"/>
              <c:showCatName val="0"/>
              <c:showSerName val="1"/>
              <c:showPercent val="0"/>
              <c:showBubbleSize val="0"/>
            </c:dLbl>
            <c:dLblPos val="t"/>
            <c:showLegendKey val="0"/>
            <c:showVal val="0"/>
            <c:showCatName val="0"/>
            <c:showSerName val="1"/>
            <c:showPercent val="0"/>
            <c:showBubbleSize val="0"/>
            <c:showLeaderLines val="0"/>
          </c:dLbls>
          <c:xVal>
            <c:numRef>
              <c:f>Смертность!$C$27</c:f>
              <c:numCache>
                <c:formatCode>0.0</c:formatCode>
                <c:ptCount val="1"/>
                <c:pt idx="0">
                  <c:v>-5.772331572199036</c:v>
                </c:pt>
              </c:numCache>
            </c:numRef>
          </c:xVal>
          <c:yVal>
            <c:numRef>
              <c:f>Смертность!$B$27</c:f>
              <c:numCache>
                <c:formatCode>General</c:formatCode>
                <c:ptCount val="1"/>
                <c:pt idx="0">
                  <c:v>16.899999999999999</c:v>
                </c:pt>
              </c:numCache>
            </c:numRef>
          </c:yVal>
          <c:smooth val="0"/>
        </c:ser>
        <c:ser>
          <c:idx val="25"/>
          <c:order val="25"/>
          <c:tx>
            <c:strRef>
              <c:f>Смертность!$A$28</c:f>
              <c:strCache>
                <c:ptCount val="1"/>
                <c:pt idx="0">
                  <c:v>Шенталинский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Смертность!$C$28</c:f>
              <c:numCache>
                <c:formatCode>0.0</c:formatCode>
                <c:ptCount val="1"/>
                <c:pt idx="0">
                  <c:v>2.4866716989808424</c:v>
                </c:pt>
              </c:numCache>
            </c:numRef>
          </c:xVal>
          <c:yVal>
            <c:numRef>
              <c:f>Смертность!$B$28</c:f>
              <c:numCache>
                <c:formatCode>General</c:formatCode>
                <c:ptCount val="1"/>
                <c:pt idx="0">
                  <c:v>18.3</c:v>
                </c:pt>
              </c:numCache>
            </c:numRef>
          </c:yVal>
          <c:smooth val="0"/>
        </c:ser>
        <c:ser>
          <c:idx val="26"/>
          <c:order val="26"/>
          <c:tx>
            <c:strRef>
              <c:f>Смертность!$A$29</c:f>
              <c:strCache>
                <c:ptCount val="1"/>
                <c:pt idx="0">
                  <c:v>Шигонский</c:v>
                </c:pt>
              </c:strCache>
            </c:strRef>
          </c:tx>
          <c:spPr>
            <a:ln w="47625">
              <a:noFill/>
            </a:ln>
          </c:spPr>
          <c:marker>
            <c:symbol val="circle"/>
            <c:size val="6"/>
            <c:spPr>
              <a:solidFill>
                <a:schemeClr val="accent1">
                  <a:lumMod val="50000"/>
                </a:schemeClr>
              </a:solidFill>
              <a:ln>
                <a:noFill/>
              </a:ln>
            </c:spPr>
          </c:marker>
          <c:dLbls>
            <c:dLblPos val="t"/>
            <c:showLegendKey val="0"/>
            <c:showVal val="0"/>
            <c:showCatName val="0"/>
            <c:showSerName val="1"/>
            <c:showPercent val="0"/>
            <c:showBubbleSize val="0"/>
            <c:showLeaderLines val="0"/>
          </c:dLbls>
          <c:xVal>
            <c:numRef>
              <c:f>Смертность!$C$29</c:f>
              <c:numCache>
                <c:formatCode>0.0</c:formatCode>
                <c:ptCount val="1"/>
                <c:pt idx="0">
                  <c:v>-2.2616493144028027</c:v>
                </c:pt>
              </c:numCache>
            </c:numRef>
          </c:xVal>
          <c:yVal>
            <c:numRef>
              <c:f>Смертность!$B$29</c:f>
              <c:numCache>
                <c:formatCode>General</c:formatCode>
                <c:ptCount val="1"/>
                <c:pt idx="0">
                  <c:v>18.3</c:v>
                </c:pt>
              </c:numCache>
            </c:numRef>
          </c:yVal>
          <c:smooth val="0"/>
        </c:ser>
        <c:dLbls>
          <c:showLegendKey val="0"/>
          <c:showVal val="1"/>
          <c:showCatName val="0"/>
          <c:showSerName val="0"/>
          <c:showPercent val="0"/>
          <c:showBubbleSize val="0"/>
        </c:dLbls>
        <c:axId val="64022400"/>
        <c:axId val="64106496"/>
      </c:scatterChart>
      <c:valAx>
        <c:axId val="64022400"/>
        <c:scaling>
          <c:orientation val="minMax"/>
          <c:max val="3"/>
          <c:min val="-6.5"/>
        </c:scaling>
        <c:delete val="0"/>
        <c:axPos val="b"/>
        <c:title>
          <c:tx>
            <c:rich>
              <a:bodyPr/>
              <a:lstStyle/>
              <a:p>
                <a:pPr>
                  <a:defRPr/>
                </a:pPr>
                <a:r>
                  <a:rPr lang="ru-RU"/>
                  <a:t>Среднегодовой темп прироста числа умерших на 1000 чел. населения в 2014-2016 гг., %</a:t>
                </a:r>
              </a:p>
            </c:rich>
          </c:tx>
          <c:overlay val="0"/>
        </c:title>
        <c:numFmt formatCode="0.0" sourceLinked="1"/>
        <c:majorTickMark val="out"/>
        <c:minorTickMark val="none"/>
        <c:tickLblPos val="nextTo"/>
        <c:spPr>
          <a:ln>
            <a:noFill/>
          </a:ln>
        </c:spPr>
        <c:crossAx val="64106496"/>
        <c:crosses val="autoZero"/>
        <c:crossBetween val="midCat"/>
      </c:valAx>
      <c:valAx>
        <c:axId val="64106496"/>
        <c:scaling>
          <c:orientation val="minMax"/>
          <c:max val="19"/>
          <c:min val="13"/>
        </c:scaling>
        <c:delete val="0"/>
        <c:axPos val="l"/>
        <c:title>
          <c:tx>
            <c:rich>
              <a:bodyPr rot="-5400000" vert="horz"/>
              <a:lstStyle/>
              <a:p>
                <a:pPr>
                  <a:defRPr/>
                </a:pPr>
                <a:r>
                  <a:rPr lang="ru-RU"/>
                  <a:t>Число умерших (на 1000 чел. населения)</a:t>
                </a:r>
              </a:p>
            </c:rich>
          </c:tx>
          <c:overlay val="0"/>
        </c:title>
        <c:numFmt formatCode="General" sourceLinked="1"/>
        <c:majorTickMark val="out"/>
        <c:minorTickMark val="none"/>
        <c:tickLblPos val="low"/>
        <c:spPr>
          <a:ln>
            <a:noFill/>
          </a:ln>
        </c:spPr>
        <c:crossAx val="64022400"/>
        <c:crosses val="autoZero"/>
        <c:crossBetween val="midCat"/>
      </c:valAx>
      <c:spPr>
        <a:noFill/>
        <a:ln>
          <a:solidFill>
            <a:schemeClr val="tx1"/>
          </a:solidFill>
        </a:ln>
      </c:spPr>
    </c:plotArea>
    <c:plotVisOnly val="1"/>
    <c:dispBlanksAs val="gap"/>
    <c:showDLblsOverMax val="0"/>
  </c:chart>
  <c:spPr>
    <a:noFill/>
  </c:spPr>
  <c:txPr>
    <a:bodyPr/>
    <a:lstStyle/>
    <a:p>
      <a:pPr>
        <a:defRPr sz="700" baseline="0">
          <a:solidFill>
            <a:sysClr val="windowText" lastClr="000000"/>
          </a:solidFill>
          <a:latin typeface="Times New Roman" pitchFamily="18" charset="0"/>
          <a:cs typeface="Times New Roman" pitchFamily="18" charset="0"/>
        </a:defRPr>
      </a:pPr>
      <a:endParaRPr lang="ru-RU"/>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a:pPr>
            <a:r>
              <a:rPr lang="ru-RU"/>
              <a:t>Камышлинский район занимает 20 место среди муниципальных районов Самарской области по </a:t>
            </a:r>
            <a:r>
              <a:rPr lang="ru-RU" sz="960" b="1" i="0" u="none" strike="noStrike" baseline="0"/>
              <a:t>вводу в действие общей площади </a:t>
            </a:r>
            <a:br>
              <a:rPr lang="ru-RU" sz="960" b="1" i="0" u="none" strike="noStrike" baseline="0"/>
            </a:br>
            <a:r>
              <a:rPr lang="ru-RU" sz="960" b="1" i="0" u="none" strike="noStrike" baseline="0"/>
              <a:t>
</a:t>
            </a:r>
            <a:endParaRPr lang="ru-RU"/>
          </a:p>
        </c:rich>
      </c:tx>
      <c:layout>
        <c:manualLayout>
          <c:xMode val="edge"/>
          <c:yMode val="edge"/>
          <c:x val="0.1101857646722071"/>
          <c:y val="2.5345968030387792E-3"/>
        </c:manualLayout>
      </c:layout>
      <c:overlay val="0"/>
    </c:title>
    <c:autoTitleDeleted val="0"/>
    <c:plotArea>
      <c:layout>
        <c:manualLayout>
          <c:layoutTarget val="inner"/>
          <c:xMode val="edge"/>
          <c:yMode val="edge"/>
          <c:x val="0.25169774115211963"/>
          <c:y val="0.12372783503778496"/>
          <c:w val="0.72713762113693159"/>
          <c:h val="0.86308506573359989"/>
        </c:manualLayout>
      </c:layout>
      <c:barChart>
        <c:barDir val="bar"/>
        <c:grouping val="clustered"/>
        <c:varyColors val="0"/>
        <c:ser>
          <c:idx val="0"/>
          <c:order val="0"/>
          <c:invertIfNegative val="0"/>
          <c:dPt>
            <c:idx val="7"/>
            <c:invertIfNegative val="0"/>
            <c:bubble3D val="0"/>
            <c:spPr>
              <a:solidFill>
                <a:schemeClr val="tx2"/>
              </a:solidFill>
              <a:ln>
                <a:solidFill>
                  <a:schemeClr val="tx2"/>
                </a:solidFill>
              </a:ln>
            </c:spPr>
          </c:dPt>
          <c:dPt>
            <c:idx val="10"/>
            <c:invertIfNegative val="0"/>
            <c:bubble3D val="0"/>
            <c:spPr>
              <a:solidFill>
                <a:schemeClr val="accent1"/>
              </a:solidFill>
              <a:ln>
                <a:solidFill>
                  <a:schemeClr val="accent1"/>
                </a:solidFill>
              </a:ln>
            </c:spPr>
          </c:dPt>
          <c:dPt>
            <c:idx val="15"/>
            <c:invertIfNegative val="0"/>
            <c:bubble3D val="0"/>
            <c:spPr>
              <a:solidFill>
                <a:srgbClr val="FF0000"/>
              </a:solidFill>
              <a:ln>
                <a:solidFill>
                  <a:srgbClr val="FF0000"/>
                </a:solidFill>
              </a:ln>
            </c:spPr>
          </c:dPt>
          <c:dPt>
            <c:idx val="16"/>
            <c:invertIfNegative val="0"/>
            <c:bubble3D val="0"/>
            <c:spPr>
              <a:solidFill>
                <a:schemeClr val="accent1"/>
              </a:solidFill>
              <a:ln>
                <a:noFill/>
              </a:ln>
            </c:spPr>
          </c:dPt>
          <c:dPt>
            <c:idx val="17"/>
            <c:invertIfNegative val="0"/>
            <c:bubble3D val="0"/>
            <c:spPr>
              <a:solidFill>
                <a:schemeClr val="accent1"/>
              </a:solidFill>
              <a:ln>
                <a:noFill/>
              </a:ln>
            </c:spPr>
          </c:dPt>
          <c:dLbls>
            <c:txPr>
              <a:bodyPr/>
              <a:lstStyle/>
              <a:p>
                <a:pPr>
                  <a:defRPr b="1">
                    <a:solidFill>
                      <a:sysClr val="windowText" lastClr="000000"/>
                    </a:solidFill>
                  </a:defRPr>
                </a:pPr>
                <a:endParaRPr lang="ru-RU"/>
              </a:p>
            </c:txPr>
            <c:dLblPos val="outEnd"/>
            <c:showLegendKey val="0"/>
            <c:showVal val="1"/>
            <c:showCatName val="0"/>
            <c:showSerName val="0"/>
            <c:showPercent val="0"/>
            <c:showBubbleSize val="0"/>
            <c:showLeaderLines val="0"/>
          </c:dLbls>
          <c:cat>
            <c:strRef>
              <c:f>'Дети 1-7 '!$A$4:$A$30</c:f>
              <c:strCache>
                <c:ptCount val="27"/>
                <c:pt idx="0">
                  <c:v>Шигонский</c:v>
                </c:pt>
                <c:pt idx="1">
                  <c:v>Приволжский</c:v>
                </c:pt>
                <c:pt idx="2">
                  <c:v>Борский</c:v>
                </c:pt>
                <c:pt idx="3">
                  <c:v>Сызранский</c:v>
                </c:pt>
                <c:pt idx="4">
                  <c:v>Шенталинский</c:v>
                </c:pt>
                <c:pt idx="5">
                  <c:v>Богатовский</c:v>
                </c:pt>
                <c:pt idx="6">
                  <c:v>Клявлинский</c:v>
                </c:pt>
                <c:pt idx="7">
                  <c:v>Красноярский</c:v>
                </c:pt>
                <c:pt idx="8">
                  <c:v>Похвистневский</c:v>
                </c:pt>
                <c:pt idx="9">
                  <c:v>Сергиевский</c:v>
                </c:pt>
                <c:pt idx="10">
                  <c:v>Елховский</c:v>
                </c:pt>
                <c:pt idx="11">
                  <c:v>Челно-Вершинский</c:v>
                </c:pt>
                <c:pt idx="12">
                  <c:v>Исаклинский</c:v>
                </c:pt>
                <c:pt idx="13">
                  <c:v>Красноармейский</c:v>
                </c:pt>
                <c:pt idx="14">
                  <c:v>Большечерниговский</c:v>
                </c:pt>
                <c:pt idx="15">
                  <c:v>Камышлинский</c:v>
                </c:pt>
                <c:pt idx="16">
                  <c:v>Ставропольский</c:v>
                </c:pt>
                <c:pt idx="17">
                  <c:v>Безенчукский</c:v>
                </c:pt>
                <c:pt idx="18">
                  <c:v>Большеглушицкий</c:v>
                </c:pt>
                <c:pt idx="19">
                  <c:v>Нефтегорский</c:v>
                </c:pt>
                <c:pt idx="20">
                  <c:v>Кинель-Черкасский</c:v>
                </c:pt>
                <c:pt idx="21">
                  <c:v>Кошкинский</c:v>
                </c:pt>
                <c:pt idx="22">
                  <c:v>Пестравский</c:v>
                </c:pt>
                <c:pt idx="23">
                  <c:v>Кинельский</c:v>
                </c:pt>
                <c:pt idx="24">
                  <c:v>Алексеевский</c:v>
                </c:pt>
                <c:pt idx="25">
                  <c:v>Волжский</c:v>
                </c:pt>
                <c:pt idx="26">
                  <c:v>Хворостянский</c:v>
                </c:pt>
              </c:strCache>
            </c:strRef>
          </c:cat>
          <c:val>
            <c:numRef>
              <c:f>'Дети 1-7 '!$B$4:$B$30</c:f>
              <c:numCache>
                <c:formatCode>0.0</c:formatCode>
                <c:ptCount val="27"/>
                <c:pt idx="0">
                  <c:v>4.3755374576356845</c:v>
                </c:pt>
                <c:pt idx="1">
                  <c:v>19.213248754736259</c:v>
                </c:pt>
                <c:pt idx="2">
                  <c:v>21.740038426196641</c:v>
                </c:pt>
                <c:pt idx="3">
                  <c:v>22.029831647138799</c:v>
                </c:pt>
                <c:pt idx="4">
                  <c:v>25.460024363659681</c:v>
                </c:pt>
                <c:pt idx="5">
                  <c:v>27.204030226700226</c:v>
                </c:pt>
                <c:pt idx="6">
                  <c:v>32.66057548070367</c:v>
                </c:pt>
                <c:pt idx="7">
                  <c:v>33.155137010550163</c:v>
                </c:pt>
                <c:pt idx="8">
                  <c:v>43.21308633950818</c:v>
                </c:pt>
                <c:pt idx="9">
                  <c:v>55.334259688127226</c:v>
                </c:pt>
                <c:pt idx="10">
                  <c:v>55.842105263157912</c:v>
                </c:pt>
                <c:pt idx="11">
                  <c:v>58.488564799469543</c:v>
                </c:pt>
                <c:pt idx="12">
                  <c:v>63.87872035651759</c:v>
                </c:pt>
                <c:pt idx="13">
                  <c:v>67.56788050714988</c:v>
                </c:pt>
                <c:pt idx="14">
                  <c:v>71.141090500281052</c:v>
                </c:pt>
                <c:pt idx="15">
                  <c:v>73.79240412979351</c:v>
                </c:pt>
                <c:pt idx="16">
                  <c:v>74.307741371898928</c:v>
                </c:pt>
                <c:pt idx="17">
                  <c:v>84.140266985455327</c:v>
                </c:pt>
                <c:pt idx="18">
                  <c:v>93.922445935868751</c:v>
                </c:pt>
                <c:pt idx="19">
                  <c:v>96.153154772604267</c:v>
                </c:pt>
                <c:pt idx="20">
                  <c:v>101.35760845133763</c:v>
                </c:pt>
                <c:pt idx="21">
                  <c:v>105.02678571428538</c:v>
                </c:pt>
                <c:pt idx="22">
                  <c:v>120.32617106124636</c:v>
                </c:pt>
                <c:pt idx="23">
                  <c:v>180.44908073052045</c:v>
                </c:pt>
                <c:pt idx="24">
                  <c:v>189.75954979536081</c:v>
                </c:pt>
                <c:pt idx="25">
                  <c:v>198.42592195999552</c:v>
                </c:pt>
                <c:pt idx="26">
                  <c:v>236.89550009335838</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1-7 '!$C$4:$C$30</c:f>
              <c:numCache>
                <c:formatCode>0.0</c:formatCode>
                <c:ptCount val="27"/>
                <c:pt idx="0">
                  <c:v>79.8</c:v>
                </c:pt>
                <c:pt idx="1">
                  <c:v>79.8</c:v>
                </c:pt>
                <c:pt idx="2">
                  <c:v>79.8</c:v>
                </c:pt>
                <c:pt idx="3">
                  <c:v>79.8</c:v>
                </c:pt>
                <c:pt idx="4">
                  <c:v>79.8</c:v>
                </c:pt>
                <c:pt idx="5">
                  <c:v>79.8</c:v>
                </c:pt>
                <c:pt idx="6">
                  <c:v>79.8</c:v>
                </c:pt>
                <c:pt idx="7">
                  <c:v>79.8</c:v>
                </c:pt>
                <c:pt idx="8">
                  <c:v>79.8</c:v>
                </c:pt>
                <c:pt idx="9">
                  <c:v>79.8</c:v>
                </c:pt>
                <c:pt idx="10">
                  <c:v>79.8</c:v>
                </c:pt>
                <c:pt idx="11">
                  <c:v>79.8</c:v>
                </c:pt>
                <c:pt idx="12">
                  <c:v>79.8</c:v>
                </c:pt>
                <c:pt idx="13">
                  <c:v>79.8</c:v>
                </c:pt>
                <c:pt idx="14">
                  <c:v>79.8</c:v>
                </c:pt>
                <c:pt idx="15">
                  <c:v>79.8</c:v>
                </c:pt>
                <c:pt idx="16">
                  <c:v>79.8</c:v>
                </c:pt>
                <c:pt idx="17">
                  <c:v>79.8</c:v>
                </c:pt>
                <c:pt idx="18">
                  <c:v>79.8</c:v>
                </c:pt>
                <c:pt idx="19">
                  <c:v>79.8</c:v>
                </c:pt>
                <c:pt idx="20">
                  <c:v>79.8</c:v>
                </c:pt>
                <c:pt idx="21">
                  <c:v>79.8</c:v>
                </c:pt>
                <c:pt idx="22">
                  <c:v>79.8</c:v>
                </c:pt>
                <c:pt idx="23">
                  <c:v>79.8</c:v>
                </c:pt>
                <c:pt idx="24">
                  <c:v>79.8</c:v>
                </c:pt>
                <c:pt idx="25">
                  <c:v>79.8</c:v>
                </c:pt>
                <c:pt idx="26">
                  <c:v>79.8</c:v>
                </c:pt>
              </c:numCache>
            </c:numRef>
          </c:val>
        </c:ser>
        <c:dLbls>
          <c:showLegendKey val="0"/>
          <c:showVal val="1"/>
          <c:showCatName val="0"/>
          <c:showSerName val="0"/>
          <c:showPercent val="0"/>
          <c:showBubbleSize val="0"/>
        </c:dLbls>
        <c:gapWidth val="150"/>
        <c:axId val="133080960"/>
        <c:axId val="133082496"/>
      </c:barChart>
      <c:catAx>
        <c:axId val="133080960"/>
        <c:scaling>
          <c:orientation val="minMax"/>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133082496"/>
        <c:crosses val="autoZero"/>
        <c:auto val="1"/>
        <c:lblAlgn val="ctr"/>
        <c:lblOffset val="100"/>
        <c:noMultiLvlLbl val="0"/>
      </c:catAx>
      <c:valAx>
        <c:axId val="133082496"/>
        <c:scaling>
          <c:orientation val="minMax"/>
        </c:scaling>
        <c:delete val="1"/>
        <c:axPos val="b"/>
        <c:numFmt formatCode="0.0" sourceLinked="1"/>
        <c:majorTickMark val="out"/>
        <c:minorTickMark val="none"/>
        <c:tickLblPos val="none"/>
        <c:crossAx val="133080960"/>
        <c:crosses val="autoZero"/>
        <c:crossBetween val="between"/>
      </c:valAx>
      <c:spPr>
        <a:noFill/>
        <a:ln w="25400">
          <a:noFill/>
        </a:ln>
      </c:spPr>
    </c:plotArea>
    <c:plotVisOnly val="1"/>
    <c:dispBlanksAs val="gap"/>
    <c:showDLblsOverMax val="0"/>
  </c:chart>
  <c:spPr>
    <a:noFill/>
    <a:ln>
      <a:solidFill>
        <a:sysClr val="window" lastClr="FFFFFF">
          <a:lumMod val="50000"/>
        </a:sysClr>
      </a:solidFill>
    </a:ln>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lgn="ctr">
              <a:defRPr sz="1000">
                <a:latin typeface="Times New Roman" pitchFamily="18" charset="0"/>
                <a:cs typeface="Times New Roman" pitchFamily="18" charset="0"/>
              </a:defRPr>
            </a:pPr>
            <a:r>
              <a:rPr lang="ru-RU" sz="1000">
                <a:latin typeface="Times New Roman" pitchFamily="18" charset="0"/>
                <a:cs typeface="Times New Roman" pitchFamily="18" charset="0"/>
              </a:rPr>
              <a:t>Камышлинский район характеризуется</a:t>
            </a:r>
            <a:r>
              <a:rPr lang="ru-RU" sz="1000" baseline="0">
                <a:latin typeface="Times New Roman" pitchFamily="18" charset="0"/>
                <a:cs typeface="Times New Roman" pitchFamily="18" charset="0"/>
              </a:rPr>
              <a:t> устойчивыми темпами роста инвестиционных вложений в экономику (кроме 2016 г.)</a:t>
            </a:r>
            <a:endParaRPr lang="ru-RU" sz="1000">
              <a:latin typeface="Times New Roman" pitchFamily="18" charset="0"/>
              <a:cs typeface="Times New Roman" pitchFamily="18" charset="0"/>
            </a:endParaRPr>
          </a:p>
        </c:rich>
      </c:tx>
      <c:overlay val="0"/>
    </c:title>
    <c:autoTitleDeleted val="0"/>
    <c:plotArea>
      <c:layout>
        <c:manualLayout>
          <c:layoutTarget val="inner"/>
          <c:xMode val="edge"/>
          <c:yMode val="edge"/>
          <c:x val="7.8845676385046484E-2"/>
          <c:y val="0.15343301772085671"/>
          <c:w val="0.84230864722990761"/>
          <c:h val="0.61475086083752362"/>
        </c:manualLayout>
      </c:layout>
      <c:barChart>
        <c:barDir val="col"/>
        <c:grouping val="clustered"/>
        <c:varyColors val="0"/>
        <c:ser>
          <c:idx val="0"/>
          <c:order val="0"/>
          <c:tx>
            <c:strRef>
              <c:f>инвест1!$B$35</c:f>
              <c:strCache>
                <c:ptCount val="1"/>
                <c:pt idx="0">
                  <c:v>Объем инвестиций в основной капитал в расчете на душу населения (за исключением бюджетных средств), руб/чел</c:v>
                </c:pt>
              </c:strCache>
            </c:strRef>
          </c:tx>
          <c:spPr>
            <a:solidFill>
              <a:schemeClr val="bg1">
                <a:lumMod val="75000"/>
              </a:schemeClr>
            </a:solidFill>
            <a:ln>
              <a:solidFill>
                <a:schemeClr val="bg1">
                  <a:lumMod val="75000"/>
                </a:schemeClr>
              </a:solidFill>
            </a:ln>
          </c:spPr>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инвест1!$C$34:$G$34</c:f>
              <c:numCache>
                <c:formatCode>General</c:formatCode>
                <c:ptCount val="5"/>
                <c:pt idx="0">
                  <c:v>2012</c:v>
                </c:pt>
                <c:pt idx="1">
                  <c:v>2013</c:v>
                </c:pt>
                <c:pt idx="2">
                  <c:v>2014</c:v>
                </c:pt>
                <c:pt idx="3">
                  <c:v>2015</c:v>
                </c:pt>
                <c:pt idx="4">
                  <c:v>2016</c:v>
                </c:pt>
              </c:numCache>
            </c:numRef>
          </c:cat>
          <c:val>
            <c:numRef>
              <c:f>инвест1!$C$35:$G$35</c:f>
              <c:numCache>
                <c:formatCode>General</c:formatCode>
                <c:ptCount val="5"/>
                <c:pt idx="0">
                  <c:v>12</c:v>
                </c:pt>
                <c:pt idx="1">
                  <c:v>793</c:v>
                </c:pt>
                <c:pt idx="2">
                  <c:v>1007</c:v>
                </c:pt>
                <c:pt idx="3">
                  <c:v>1537</c:v>
                </c:pt>
                <c:pt idx="4">
                  <c:v>4110</c:v>
                </c:pt>
              </c:numCache>
            </c:numRef>
          </c:val>
        </c:ser>
        <c:dLbls>
          <c:showLegendKey val="0"/>
          <c:showVal val="0"/>
          <c:showCatName val="0"/>
          <c:showSerName val="0"/>
          <c:showPercent val="0"/>
          <c:showBubbleSize val="0"/>
        </c:dLbls>
        <c:gapWidth val="75"/>
        <c:overlap val="40"/>
        <c:axId val="157719552"/>
        <c:axId val="157725440"/>
      </c:barChart>
      <c:lineChart>
        <c:grouping val="standard"/>
        <c:varyColors val="0"/>
        <c:ser>
          <c:idx val="1"/>
          <c:order val="1"/>
          <c:tx>
            <c:strRef>
              <c:f>инвест1!$B$36</c:f>
              <c:strCache>
                <c:ptCount val="1"/>
                <c:pt idx="0">
                  <c:v>Инвестиции в основной капитал, млн. руб.</c:v>
                </c:pt>
              </c:strCache>
            </c:strRef>
          </c:tx>
          <c:spPr>
            <a:ln>
              <a:solidFill>
                <a:srgbClr val="FF0000"/>
              </a:solidFill>
            </a:ln>
          </c:spPr>
          <c:marker>
            <c:spPr>
              <a:solidFill>
                <a:srgbClr val="FF0000"/>
              </a:solidFill>
              <a:ln>
                <a:solidFill>
                  <a:srgbClr val="FF0000"/>
                </a:solidFill>
              </a:ln>
            </c:spPr>
          </c:marker>
          <c:dLbls>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инвест1!$C$34:$G$34</c:f>
              <c:numCache>
                <c:formatCode>General</c:formatCode>
                <c:ptCount val="5"/>
                <c:pt idx="0">
                  <c:v>2012</c:v>
                </c:pt>
                <c:pt idx="1">
                  <c:v>2013</c:v>
                </c:pt>
                <c:pt idx="2">
                  <c:v>2014</c:v>
                </c:pt>
                <c:pt idx="3">
                  <c:v>2015</c:v>
                </c:pt>
                <c:pt idx="4">
                  <c:v>2016</c:v>
                </c:pt>
              </c:numCache>
            </c:numRef>
          </c:cat>
          <c:val>
            <c:numRef>
              <c:f>инвест1!$C$36:$G$36</c:f>
              <c:numCache>
                <c:formatCode>General</c:formatCode>
                <c:ptCount val="5"/>
                <c:pt idx="0">
                  <c:v>205.6</c:v>
                </c:pt>
                <c:pt idx="1">
                  <c:v>605.70000000000005</c:v>
                </c:pt>
                <c:pt idx="2">
                  <c:v>756.3</c:v>
                </c:pt>
                <c:pt idx="3">
                  <c:v>919.5</c:v>
                </c:pt>
                <c:pt idx="4">
                  <c:v>800.5</c:v>
                </c:pt>
              </c:numCache>
            </c:numRef>
          </c:val>
          <c:smooth val="0"/>
        </c:ser>
        <c:dLbls>
          <c:showLegendKey val="0"/>
          <c:showVal val="0"/>
          <c:showCatName val="0"/>
          <c:showSerName val="0"/>
          <c:showPercent val="0"/>
          <c:showBubbleSize val="0"/>
        </c:dLbls>
        <c:marker val="1"/>
        <c:smooth val="0"/>
        <c:axId val="157726976"/>
        <c:axId val="157732864"/>
      </c:lineChart>
      <c:catAx>
        <c:axId val="157719552"/>
        <c:scaling>
          <c:orientation val="minMax"/>
        </c:scaling>
        <c:delete val="0"/>
        <c:axPos val="b"/>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57725440"/>
        <c:crosses val="autoZero"/>
        <c:auto val="1"/>
        <c:lblAlgn val="ctr"/>
        <c:lblOffset val="100"/>
        <c:noMultiLvlLbl val="0"/>
      </c:catAx>
      <c:valAx>
        <c:axId val="157725440"/>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57719552"/>
        <c:crosses val="autoZero"/>
        <c:crossBetween val="between"/>
      </c:valAx>
      <c:catAx>
        <c:axId val="157726976"/>
        <c:scaling>
          <c:orientation val="minMax"/>
        </c:scaling>
        <c:delete val="1"/>
        <c:axPos val="b"/>
        <c:numFmt formatCode="General" sourceLinked="1"/>
        <c:majorTickMark val="out"/>
        <c:minorTickMark val="none"/>
        <c:tickLblPos val="none"/>
        <c:crossAx val="157732864"/>
        <c:crosses val="autoZero"/>
        <c:auto val="1"/>
        <c:lblAlgn val="ctr"/>
        <c:lblOffset val="100"/>
        <c:noMultiLvlLbl val="0"/>
      </c:catAx>
      <c:valAx>
        <c:axId val="157732864"/>
        <c:scaling>
          <c:orientation val="minMax"/>
        </c:scaling>
        <c:delete val="0"/>
        <c:axPos val="r"/>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7726976"/>
        <c:crosses val="max"/>
        <c:crossBetween val="between"/>
      </c:valAx>
    </c:plotArea>
    <c:legend>
      <c:legendPos val="b"/>
      <c:layout>
        <c:manualLayout>
          <c:xMode val="edge"/>
          <c:yMode val="edge"/>
          <c:x val="8.1275461679070227E-3"/>
          <c:y val="0.84472160255221396"/>
          <c:w val="0.97928512498048925"/>
          <c:h val="0.1552783974477884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доходы!$B$10</c:f>
              <c:strCache>
                <c:ptCount val="1"/>
                <c:pt idx="0">
                  <c:v>Доходы бюджета - всего</c:v>
                </c:pt>
              </c:strCache>
            </c:strRef>
          </c:tx>
          <c:spPr>
            <a:solidFill>
              <a:schemeClr val="bg1">
                <a:lumMod val="65000"/>
              </a:schemeClr>
            </a:solidFill>
            <a:ln>
              <a:solidFill>
                <a:schemeClr val="bg1">
                  <a:lumMod val="65000"/>
                </a:schemeClr>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доходы!$C$10:$G$10</c:f>
              <c:numCache>
                <c:formatCode>General</c:formatCode>
                <c:ptCount val="5"/>
                <c:pt idx="0">
                  <c:v>262177</c:v>
                </c:pt>
                <c:pt idx="1">
                  <c:v>266710</c:v>
                </c:pt>
                <c:pt idx="2">
                  <c:v>336549</c:v>
                </c:pt>
                <c:pt idx="3">
                  <c:v>203862</c:v>
                </c:pt>
                <c:pt idx="4">
                  <c:v>204397</c:v>
                </c:pt>
              </c:numCache>
            </c:numRef>
          </c:val>
        </c:ser>
        <c:ser>
          <c:idx val="1"/>
          <c:order val="1"/>
          <c:tx>
            <c:strRef>
              <c:f>доходы!$B$11</c:f>
              <c:strCache>
                <c:ptCount val="1"/>
                <c:pt idx="0">
                  <c:v>Налоговые доходы</c:v>
                </c:pt>
              </c:strCache>
            </c:strRef>
          </c:tx>
          <c:spPr>
            <a:solidFill>
              <a:schemeClr val="tx2">
                <a:lumMod val="40000"/>
                <a:lumOff val="60000"/>
              </a:schemeClr>
            </a:solidFill>
            <a:ln>
              <a:solidFill>
                <a:schemeClr val="tx2">
                  <a:lumMod val="40000"/>
                  <a:lumOff val="60000"/>
                </a:schemeClr>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доходы!$C$11:$G$11</c:f>
              <c:numCache>
                <c:formatCode>General</c:formatCode>
                <c:ptCount val="5"/>
                <c:pt idx="0">
                  <c:v>23434</c:v>
                </c:pt>
                <c:pt idx="1">
                  <c:v>26252</c:v>
                </c:pt>
                <c:pt idx="2">
                  <c:v>35115</c:v>
                </c:pt>
                <c:pt idx="3">
                  <c:v>48599</c:v>
                </c:pt>
                <c:pt idx="4">
                  <c:v>45979</c:v>
                </c:pt>
              </c:numCache>
            </c:numRef>
          </c:val>
        </c:ser>
        <c:ser>
          <c:idx val="2"/>
          <c:order val="2"/>
          <c:tx>
            <c:strRef>
              <c:f>доходы!$B$12</c:f>
              <c:strCache>
                <c:ptCount val="1"/>
                <c:pt idx="0">
                  <c:v>Неналоговые доходы</c:v>
                </c:pt>
              </c:strCache>
            </c:strRef>
          </c:tx>
          <c:spPr>
            <a:solidFill>
              <a:schemeClr val="tx2"/>
            </a:solidFill>
            <a:ln>
              <a:solidFill>
                <a:schemeClr val="tx2"/>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доходы!$C$12:$G$12</c:f>
              <c:numCache>
                <c:formatCode>General</c:formatCode>
                <c:ptCount val="5"/>
                <c:pt idx="0">
                  <c:v>53337</c:v>
                </c:pt>
                <c:pt idx="1">
                  <c:v>14859</c:v>
                </c:pt>
                <c:pt idx="2">
                  <c:v>20534</c:v>
                </c:pt>
                <c:pt idx="3">
                  <c:v>7531</c:v>
                </c:pt>
                <c:pt idx="4">
                  <c:v>14923</c:v>
                </c:pt>
              </c:numCache>
            </c:numRef>
          </c:val>
        </c:ser>
        <c:ser>
          <c:idx val="3"/>
          <c:order val="3"/>
          <c:tx>
            <c:strRef>
              <c:f>доходы!$B$13</c:f>
              <c:strCache>
                <c:ptCount val="1"/>
                <c:pt idx="0">
                  <c:v>Безвозмездные перечисления от бюджетов других уровней</c:v>
                </c:pt>
              </c:strCache>
            </c:strRef>
          </c:tx>
          <c:spPr>
            <a:solidFill>
              <a:srgbClr val="C00000"/>
            </a:solidFill>
            <a:ln>
              <a:solidFill>
                <a:srgbClr val="FF0000"/>
              </a:solidFill>
            </a:ln>
          </c:spPr>
          <c:invertIfNegative val="0"/>
          <c:dLbls>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доходы!$C$9:$G$9</c:f>
              <c:numCache>
                <c:formatCode>General</c:formatCode>
                <c:ptCount val="5"/>
                <c:pt idx="0">
                  <c:v>2012</c:v>
                </c:pt>
                <c:pt idx="1">
                  <c:v>2013</c:v>
                </c:pt>
                <c:pt idx="2">
                  <c:v>2014</c:v>
                </c:pt>
                <c:pt idx="3">
                  <c:v>2015</c:v>
                </c:pt>
                <c:pt idx="4">
                  <c:v>2016</c:v>
                </c:pt>
              </c:numCache>
            </c:numRef>
          </c:cat>
          <c:val>
            <c:numRef>
              <c:f>доходы!$C$13:$G$13</c:f>
              <c:numCache>
                <c:formatCode>General</c:formatCode>
                <c:ptCount val="5"/>
                <c:pt idx="0">
                  <c:v>185406</c:v>
                </c:pt>
                <c:pt idx="1">
                  <c:v>226964</c:v>
                </c:pt>
                <c:pt idx="2">
                  <c:v>279129</c:v>
                </c:pt>
                <c:pt idx="3">
                  <c:v>144031</c:v>
                </c:pt>
                <c:pt idx="4">
                  <c:v>135083</c:v>
                </c:pt>
              </c:numCache>
            </c:numRef>
          </c:val>
        </c:ser>
        <c:dLbls>
          <c:showLegendKey val="0"/>
          <c:showVal val="1"/>
          <c:showCatName val="0"/>
          <c:showSerName val="0"/>
          <c:showPercent val="0"/>
          <c:showBubbleSize val="0"/>
        </c:dLbls>
        <c:gapWidth val="150"/>
        <c:overlap val="-25"/>
        <c:axId val="157786496"/>
        <c:axId val="157788032"/>
      </c:barChart>
      <c:catAx>
        <c:axId val="157786496"/>
        <c:scaling>
          <c:orientation val="minMax"/>
        </c:scaling>
        <c:delete val="0"/>
        <c:axPos val="l"/>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ru-RU"/>
          </a:p>
        </c:txPr>
        <c:crossAx val="157788032"/>
        <c:crosses val="autoZero"/>
        <c:auto val="1"/>
        <c:lblAlgn val="ctr"/>
        <c:lblOffset val="100"/>
        <c:noMultiLvlLbl val="0"/>
      </c:catAx>
      <c:valAx>
        <c:axId val="157788032"/>
        <c:scaling>
          <c:orientation val="minMax"/>
        </c:scaling>
        <c:delete val="1"/>
        <c:axPos val="b"/>
        <c:numFmt formatCode="General" sourceLinked="1"/>
        <c:majorTickMark val="out"/>
        <c:minorTickMark val="none"/>
        <c:tickLblPos val="none"/>
        <c:crossAx val="157786496"/>
        <c:crosses val="autoZero"/>
        <c:crossBetween val="between"/>
      </c:valAx>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517448409298013"/>
          <c:y val="2.8057012446165718E-2"/>
          <c:w val="0.51181589384112669"/>
          <c:h val="0.90004713602960762"/>
        </c:manualLayout>
      </c:layout>
      <c:barChart>
        <c:barDir val="bar"/>
        <c:grouping val="clustered"/>
        <c:varyColors val="0"/>
        <c:ser>
          <c:idx val="0"/>
          <c:order val="0"/>
          <c:invertIfNegative val="0"/>
          <c:dLbls>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доходы!$B$52:$B$57</c:f>
              <c:strCache>
                <c:ptCount val="6"/>
                <c:pt idx="0">
                  <c:v>налог на доходы физических лиц</c:v>
                </c:pt>
                <c:pt idx="1">
                  <c:v>налог на имущество физических лиц</c:v>
                </c:pt>
                <c:pt idx="2">
                  <c:v> земельный налог</c:v>
                </c:pt>
                <c:pt idx="3">
                  <c:v>единый налог на вмененный доход</c:v>
                </c:pt>
                <c:pt idx="4">
                  <c:v>единый сельскохозяйственный налог</c:v>
                </c:pt>
                <c:pt idx="5">
                  <c:v>прочие налоговые доходы</c:v>
                </c:pt>
              </c:strCache>
            </c:strRef>
          </c:cat>
          <c:val>
            <c:numRef>
              <c:f>доходы!$C$52:$C$57</c:f>
              <c:numCache>
                <c:formatCode>General</c:formatCode>
                <c:ptCount val="6"/>
                <c:pt idx="0">
                  <c:v>21404</c:v>
                </c:pt>
                <c:pt idx="1">
                  <c:v>625</c:v>
                </c:pt>
                <c:pt idx="2">
                  <c:v>6343</c:v>
                </c:pt>
                <c:pt idx="3">
                  <c:v>20168</c:v>
                </c:pt>
                <c:pt idx="4">
                  <c:v>188</c:v>
                </c:pt>
                <c:pt idx="5">
                  <c:v>15244</c:v>
                </c:pt>
              </c:numCache>
            </c:numRef>
          </c:val>
        </c:ser>
        <c:dLbls>
          <c:showLegendKey val="0"/>
          <c:showVal val="0"/>
          <c:showCatName val="0"/>
          <c:showSerName val="0"/>
          <c:showPercent val="0"/>
          <c:showBubbleSize val="0"/>
        </c:dLbls>
        <c:gapWidth val="75"/>
        <c:overlap val="-25"/>
        <c:axId val="157882240"/>
        <c:axId val="157883776"/>
      </c:barChart>
      <c:catAx>
        <c:axId val="157882240"/>
        <c:scaling>
          <c:orientation val="minMax"/>
        </c:scaling>
        <c:delete val="0"/>
        <c:axPos val="l"/>
        <c:numFmt formatCode="General" sourceLinked="1"/>
        <c:majorTickMark val="none"/>
        <c:minorTickMark val="none"/>
        <c:tickLblPos val="nextTo"/>
        <c:txPr>
          <a:bodyPr/>
          <a:lstStyle/>
          <a:p>
            <a:pPr>
              <a:defRPr sz="1000">
                <a:latin typeface="Times New Roman" pitchFamily="18" charset="0"/>
                <a:cs typeface="Times New Roman" pitchFamily="18" charset="0"/>
              </a:defRPr>
            </a:pPr>
            <a:endParaRPr lang="ru-RU"/>
          </a:p>
        </c:txPr>
        <c:crossAx val="157883776"/>
        <c:crosses val="autoZero"/>
        <c:auto val="1"/>
        <c:lblAlgn val="ctr"/>
        <c:lblOffset val="100"/>
        <c:noMultiLvlLbl val="0"/>
      </c:catAx>
      <c:valAx>
        <c:axId val="157883776"/>
        <c:scaling>
          <c:orientation val="minMax"/>
        </c:scaling>
        <c:delete val="1"/>
        <c:axPos val="b"/>
        <c:numFmt formatCode="General" sourceLinked="1"/>
        <c:majorTickMark val="out"/>
        <c:minorTickMark val="none"/>
        <c:tickLblPos val="none"/>
        <c:crossAx val="157882240"/>
        <c:crosses val="autoZero"/>
        <c:crossBetween val="between"/>
      </c:valAx>
    </c:plotArea>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60890295411638"/>
          <c:y val="2.1716618243140293E-2"/>
          <c:w val="0.53626610070870129"/>
          <c:h val="0.94074223869073792"/>
        </c:manualLayout>
      </c:layout>
      <c:barChart>
        <c:barDir val="bar"/>
        <c:grouping val="clustered"/>
        <c:varyColors val="0"/>
        <c:ser>
          <c:idx val="0"/>
          <c:order val="0"/>
          <c:tx>
            <c:strRef>
              <c:f>расходы!$C$19</c:f>
              <c:strCache>
                <c:ptCount val="1"/>
                <c:pt idx="0">
                  <c:v>2012</c:v>
                </c:pt>
              </c:strCache>
            </c:strRef>
          </c:tx>
          <c:invertIfNegative val="0"/>
          <c:dLbls>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расходы!$B$20:$B$29</c:f>
              <c:strCache>
                <c:ptCount val="10"/>
                <c:pt idx="0">
                  <c:v>     функционирование представительных органов муниципальных образований</c:v>
                </c:pt>
                <c:pt idx="1">
                  <c:v>     функционирование местных администраций</c:v>
                </c:pt>
                <c:pt idx="2">
                  <c:v>     национальная экономика</c:v>
                </c:pt>
                <c:pt idx="3">
                  <c:v>     жилищно-коммунальное хозяйство</c:v>
                </c:pt>
                <c:pt idx="4">
                  <c:v>     образование</c:v>
                </c:pt>
                <c:pt idx="5">
                  <c:v>     культура</c:v>
                </c:pt>
                <c:pt idx="6">
                  <c:v>     здравоохранение</c:v>
                </c:pt>
                <c:pt idx="7">
                  <c:v>     социальная политика</c:v>
                </c:pt>
                <c:pt idx="8">
                  <c:v>     физическая культура и спорт</c:v>
                </c:pt>
                <c:pt idx="9">
                  <c:v>     прочие расходы</c:v>
                </c:pt>
              </c:strCache>
            </c:strRef>
          </c:cat>
          <c:val>
            <c:numRef>
              <c:f>расходы!$C$20:$C$29</c:f>
              <c:numCache>
                <c:formatCode>General</c:formatCode>
                <c:ptCount val="10"/>
                <c:pt idx="0">
                  <c:v>1642</c:v>
                </c:pt>
                <c:pt idx="1">
                  <c:v>36468</c:v>
                </c:pt>
                <c:pt idx="2">
                  <c:v>16324</c:v>
                </c:pt>
                <c:pt idx="3">
                  <c:v>64484</c:v>
                </c:pt>
                <c:pt idx="4">
                  <c:v>20285</c:v>
                </c:pt>
                <c:pt idx="5">
                  <c:v>31456</c:v>
                </c:pt>
                <c:pt idx="6">
                  <c:v>25997</c:v>
                </c:pt>
                <c:pt idx="7">
                  <c:v>34080</c:v>
                </c:pt>
                <c:pt idx="8">
                  <c:v>0</c:v>
                </c:pt>
                <c:pt idx="9">
                  <c:v>21030</c:v>
                </c:pt>
              </c:numCache>
            </c:numRef>
          </c:val>
        </c:ser>
        <c:ser>
          <c:idx val="1"/>
          <c:order val="1"/>
          <c:tx>
            <c:strRef>
              <c:f>расходы!$D$19</c:f>
              <c:strCache>
                <c:ptCount val="1"/>
                <c:pt idx="0">
                  <c:v>2016</c:v>
                </c:pt>
              </c:strCache>
            </c:strRef>
          </c:tx>
          <c:spPr>
            <a:solidFill>
              <a:schemeClr val="bg1">
                <a:lumMod val="65000"/>
              </a:schemeClr>
            </a:solidFill>
            <a:ln>
              <a:solidFill>
                <a:schemeClr val="bg1">
                  <a:lumMod val="75000"/>
                </a:schemeClr>
              </a:solidFill>
            </a:ln>
          </c:spPr>
          <c:invertIfNegative val="0"/>
          <c:dLbls>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расходы!$B$20:$B$29</c:f>
              <c:strCache>
                <c:ptCount val="10"/>
                <c:pt idx="0">
                  <c:v>     функционирование представительных органов муниципальных образований</c:v>
                </c:pt>
                <c:pt idx="1">
                  <c:v>     функционирование местных администраций</c:v>
                </c:pt>
                <c:pt idx="2">
                  <c:v>     национальная экономика</c:v>
                </c:pt>
                <c:pt idx="3">
                  <c:v>     жилищно-коммунальное хозяйство</c:v>
                </c:pt>
                <c:pt idx="4">
                  <c:v>     образование</c:v>
                </c:pt>
                <c:pt idx="5">
                  <c:v>     культура</c:v>
                </c:pt>
                <c:pt idx="6">
                  <c:v>     здравоохранение</c:v>
                </c:pt>
                <c:pt idx="7">
                  <c:v>     социальная политика</c:v>
                </c:pt>
                <c:pt idx="8">
                  <c:v>     физическая культура и спорт</c:v>
                </c:pt>
                <c:pt idx="9">
                  <c:v>     прочие расходы</c:v>
                </c:pt>
              </c:strCache>
            </c:strRef>
          </c:cat>
          <c:val>
            <c:numRef>
              <c:f>расходы!$D$20:$D$29</c:f>
              <c:numCache>
                <c:formatCode>General</c:formatCode>
                <c:ptCount val="10"/>
                <c:pt idx="0">
                  <c:v>764</c:v>
                </c:pt>
                <c:pt idx="1">
                  <c:v>50642</c:v>
                </c:pt>
                <c:pt idx="2">
                  <c:v>40050</c:v>
                </c:pt>
                <c:pt idx="3">
                  <c:v>17998</c:v>
                </c:pt>
                <c:pt idx="4">
                  <c:v>15919</c:v>
                </c:pt>
                <c:pt idx="5">
                  <c:v>33870</c:v>
                </c:pt>
                <c:pt idx="6">
                  <c:v>0</c:v>
                </c:pt>
                <c:pt idx="7">
                  <c:v>30097</c:v>
                </c:pt>
                <c:pt idx="8">
                  <c:v>258</c:v>
                </c:pt>
                <c:pt idx="9">
                  <c:v>13015</c:v>
                </c:pt>
              </c:numCache>
            </c:numRef>
          </c:val>
        </c:ser>
        <c:dLbls>
          <c:showLegendKey val="0"/>
          <c:showVal val="0"/>
          <c:showCatName val="0"/>
          <c:showSerName val="0"/>
          <c:showPercent val="0"/>
          <c:showBubbleSize val="0"/>
        </c:dLbls>
        <c:gapWidth val="75"/>
        <c:overlap val="-25"/>
        <c:axId val="159068544"/>
        <c:axId val="159070080"/>
      </c:barChart>
      <c:catAx>
        <c:axId val="159068544"/>
        <c:scaling>
          <c:orientation val="minMax"/>
        </c:scaling>
        <c:delete val="0"/>
        <c:axPos val="l"/>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159070080"/>
        <c:crosses val="autoZero"/>
        <c:auto val="1"/>
        <c:lblAlgn val="ctr"/>
        <c:lblOffset val="100"/>
        <c:noMultiLvlLbl val="0"/>
      </c:catAx>
      <c:valAx>
        <c:axId val="159070080"/>
        <c:scaling>
          <c:orientation val="minMax"/>
        </c:scaling>
        <c:delete val="1"/>
        <c:axPos val="b"/>
        <c:numFmt formatCode="General" sourceLinked="1"/>
        <c:majorTickMark val="out"/>
        <c:minorTickMark val="none"/>
        <c:tickLblPos val="none"/>
        <c:crossAx val="159068544"/>
        <c:crosses val="autoZero"/>
        <c:crossBetween val="between"/>
      </c:valAx>
    </c:plotArea>
    <c:legend>
      <c:legendPos val="b"/>
      <c:layout>
        <c:manualLayout>
          <c:xMode val="edge"/>
          <c:yMode val="edge"/>
          <c:x val="0.77809635416716671"/>
          <c:y val="3.6552249154281395E-2"/>
          <c:w val="0.17538923145664947"/>
          <c:h val="6.8395585501386719E-2"/>
        </c:manualLayout>
      </c:layout>
      <c:overlay val="0"/>
      <c:txPr>
        <a:bodyPr/>
        <a:lstStyle/>
        <a:p>
          <a:pPr>
            <a:defRPr b="1">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a:pPr>
            <a:r>
              <a:rPr lang="ru-RU"/>
              <a:t>Камышлинский район занимает 20 место среди муниципальных районов Самарской области по </a:t>
            </a:r>
            <a:r>
              <a:rPr lang="ru-RU" sz="960" b="1" i="0" u="none" strike="noStrike" baseline="0"/>
              <a:t>вводу в действие общей площади </a:t>
            </a:r>
            <a:br>
              <a:rPr lang="ru-RU" sz="960" b="1" i="0" u="none" strike="noStrike" baseline="0"/>
            </a:br>
            <a:r>
              <a:rPr lang="ru-RU" sz="960" b="1" i="0" u="none" strike="noStrike" baseline="0"/>
              <a:t>
</a:t>
            </a:r>
            <a:endParaRPr lang="ru-RU"/>
          </a:p>
        </c:rich>
      </c:tx>
      <c:layout>
        <c:manualLayout>
          <c:xMode val="edge"/>
          <c:yMode val="edge"/>
          <c:x val="0.1101857646722071"/>
          <c:y val="2.5345968030387792E-3"/>
        </c:manualLayout>
      </c:layout>
      <c:overlay val="0"/>
    </c:title>
    <c:autoTitleDeleted val="0"/>
    <c:plotArea>
      <c:layout>
        <c:manualLayout>
          <c:layoutTarget val="inner"/>
          <c:xMode val="edge"/>
          <c:yMode val="edge"/>
          <c:x val="0.24222493555353541"/>
          <c:y val="0.15437964322256328"/>
          <c:w val="0.73713658493559542"/>
          <c:h val="0.8246125456515444"/>
        </c:manualLayout>
      </c:layout>
      <c:barChart>
        <c:barDir val="bar"/>
        <c:grouping val="clustered"/>
        <c:varyColors val="0"/>
        <c:ser>
          <c:idx val="0"/>
          <c:order val="0"/>
          <c:spPr>
            <a:solidFill>
              <a:schemeClr val="accent1"/>
            </a:solidFill>
            <a:ln>
              <a:solidFill>
                <a:schemeClr val="accent1"/>
              </a:solidFill>
            </a:ln>
          </c:spPr>
          <c:invertIfNegative val="0"/>
          <c:dPt>
            <c:idx val="16"/>
            <c:invertIfNegative val="0"/>
            <c:bubble3D val="0"/>
            <c:spPr>
              <a:solidFill>
                <a:srgbClr val="FF0000"/>
              </a:solidFill>
              <a:ln>
                <a:solidFill>
                  <a:srgbClr val="FF0000"/>
                </a:solidFill>
              </a:ln>
            </c:spPr>
          </c:dPt>
          <c:dLbls>
            <c:txPr>
              <a:bodyPr/>
              <a:lstStyle/>
              <a:p>
                <a:pPr>
                  <a:defRPr b="0">
                    <a:solidFill>
                      <a:sysClr val="windowText" lastClr="000000"/>
                    </a:solidFill>
                  </a:defRPr>
                </a:pPr>
                <a:endParaRPr lang="ru-RU"/>
              </a:p>
            </c:txPr>
            <c:dLblPos val="outEnd"/>
            <c:showLegendKey val="0"/>
            <c:showVal val="1"/>
            <c:showCatName val="0"/>
            <c:showSerName val="0"/>
            <c:showPercent val="0"/>
            <c:showBubbleSize val="0"/>
            <c:showLeaderLines val="0"/>
          </c:dLbls>
          <c:cat>
            <c:strRef>
              <c:f>'Дети 1-7 '!$A$4:$A$30</c:f>
              <c:strCache>
                <c:ptCount val="27"/>
                <c:pt idx="0">
                  <c:v>Сызранский</c:v>
                </c:pt>
                <c:pt idx="1">
                  <c:v>Ставропольский</c:v>
                </c:pt>
                <c:pt idx="2">
                  <c:v>Приволжский</c:v>
                </c:pt>
                <c:pt idx="3">
                  <c:v>Клявлинский</c:v>
                </c:pt>
                <c:pt idx="4">
                  <c:v>Нефтегорский</c:v>
                </c:pt>
                <c:pt idx="5">
                  <c:v>Челно-Вершинский</c:v>
                </c:pt>
                <c:pt idx="6">
                  <c:v>Похвистневский</c:v>
                </c:pt>
                <c:pt idx="7">
                  <c:v>Красноярский</c:v>
                </c:pt>
                <c:pt idx="8">
                  <c:v>Елховский</c:v>
                </c:pt>
                <c:pt idx="9">
                  <c:v>Богатовский</c:v>
                </c:pt>
                <c:pt idx="10">
                  <c:v>Борский</c:v>
                </c:pt>
                <c:pt idx="11">
                  <c:v>Алексеевский</c:v>
                </c:pt>
                <c:pt idx="12">
                  <c:v>Шигонский</c:v>
                </c:pt>
                <c:pt idx="13">
                  <c:v>Исаклинский</c:v>
                </c:pt>
                <c:pt idx="14">
                  <c:v>Безенчукский</c:v>
                </c:pt>
                <c:pt idx="15">
                  <c:v>Кинель-Черкасский</c:v>
                </c:pt>
                <c:pt idx="16">
                  <c:v>Камышлинский</c:v>
                </c:pt>
                <c:pt idx="17">
                  <c:v>Кошкинский</c:v>
                </c:pt>
                <c:pt idx="18">
                  <c:v>Шенталинский</c:v>
                </c:pt>
                <c:pt idx="19">
                  <c:v>Кинельский</c:v>
                </c:pt>
                <c:pt idx="20">
                  <c:v>Большеглушицкий</c:v>
                </c:pt>
                <c:pt idx="21">
                  <c:v>Красноармейский</c:v>
                </c:pt>
                <c:pt idx="22">
                  <c:v>Сергиевский</c:v>
                </c:pt>
                <c:pt idx="23">
                  <c:v>Большечерниговский</c:v>
                </c:pt>
                <c:pt idx="24">
                  <c:v>Пестравский</c:v>
                </c:pt>
                <c:pt idx="25">
                  <c:v>Хворостянский</c:v>
                </c:pt>
                <c:pt idx="26">
                  <c:v>Волжский</c:v>
                </c:pt>
              </c:strCache>
            </c:strRef>
          </c:cat>
          <c:val>
            <c:numRef>
              <c:f>'Дети 1-7 '!$B$4:$B$30</c:f>
              <c:numCache>
                <c:formatCode>General</c:formatCode>
                <c:ptCount val="27"/>
                <c:pt idx="0">
                  <c:v>12302.8</c:v>
                </c:pt>
                <c:pt idx="1">
                  <c:v>12688.8</c:v>
                </c:pt>
                <c:pt idx="2">
                  <c:v>12794.5</c:v>
                </c:pt>
                <c:pt idx="3">
                  <c:v>13446</c:v>
                </c:pt>
                <c:pt idx="4">
                  <c:v>13981</c:v>
                </c:pt>
                <c:pt idx="5">
                  <c:v>14753.9</c:v>
                </c:pt>
                <c:pt idx="6">
                  <c:v>15139</c:v>
                </c:pt>
                <c:pt idx="7">
                  <c:v>15177.3</c:v>
                </c:pt>
                <c:pt idx="8">
                  <c:v>15259.8</c:v>
                </c:pt>
                <c:pt idx="9">
                  <c:v>15476.4</c:v>
                </c:pt>
                <c:pt idx="10">
                  <c:v>15598.1</c:v>
                </c:pt>
                <c:pt idx="11">
                  <c:v>15636</c:v>
                </c:pt>
                <c:pt idx="12">
                  <c:v>16647.400000000001</c:v>
                </c:pt>
                <c:pt idx="13">
                  <c:v>16753.3</c:v>
                </c:pt>
                <c:pt idx="14">
                  <c:v>17528.900000000001</c:v>
                </c:pt>
                <c:pt idx="15">
                  <c:v>17852.8</c:v>
                </c:pt>
                <c:pt idx="16">
                  <c:v>17980.599999999937</c:v>
                </c:pt>
                <c:pt idx="17">
                  <c:v>18649</c:v>
                </c:pt>
                <c:pt idx="18">
                  <c:v>19319.900000000001</c:v>
                </c:pt>
                <c:pt idx="19">
                  <c:v>20183.599999999937</c:v>
                </c:pt>
                <c:pt idx="20">
                  <c:v>20755.7</c:v>
                </c:pt>
                <c:pt idx="21">
                  <c:v>23951</c:v>
                </c:pt>
                <c:pt idx="22">
                  <c:v>24188.1</c:v>
                </c:pt>
                <c:pt idx="23">
                  <c:v>24419.4</c:v>
                </c:pt>
                <c:pt idx="24">
                  <c:v>27748.799999999996</c:v>
                </c:pt>
                <c:pt idx="25">
                  <c:v>29184.799999999996</c:v>
                </c:pt>
                <c:pt idx="26">
                  <c:v>35783.599999999999</c:v>
                </c:pt>
              </c:numCache>
            </c:numRef>
          </c:val>
        </c:ser>
        <c:ser>
          <c:idx val="1"/>
          <c:order val="1"/>
          <c:tx>
            <c:v>1</c:v>
          </c:tx>
          <c:spPr>
            <a:noFill/>
            <a:ln>
              <a:noFill/>
            </a:ln>
          </c:spPr>
          <c:invertIfNegative val="0"/>
          <c:dLbls>
            <c:delete val="1"/>
          </c:dLbls>
          <c:trendline>
            <c:spPr>
              <a:ln>
                <a:prstDash val="sysDash"/>
              </a:ln>
            </c:spPr>
            <c:trendlineType val="linear"/>
            <c:dispRSqr val="0"/>
            <c:dispEq val="0"/>
          </c:trendline>
          <c:val>
            <c:numRef>
              <c:f>'Дети 1-7 '!$C$4:$C$30</c:f>
              <c:numCache>
                <c:formatCode>0.0</c:formatCode>
                <c:ptCount val="27"/>
                <c:pt idx="0">
                  <c:v>18637.055555555497</c:v>
                </c:pt>
                <c:pt idx="1">
                  <c:v>18637.055555555497</c:v>
                </c:pt>
                <c:pt idx="2">
                  <c:v>18637.055555555497</c:v>
                </c:pt>
                <c:pt idx="3">
                  <c:v>18637.055555555497</c:v>
                </c:pt>
                <c:pt idx="4">
                  <c:v>18637.055555555497</c:v>
                </c:pt>
                <c:pt idx="5">
                  <c:v>18637.055555555497</c:v>
                </c:pt>
                <c:pt idx="6">
                  <c:v>18637.055555555497</c:v>
                </c:pt>
                <c:pt idx="7">
                  <c:v>18637.055555555497</c:v>
                </c:pt>
                <c:pt idx="8">
                  <c:v>18637.055555555497</c:v>
                </c:pt>
                <c:pt idx="9">
                  <c:v>18637.055555555497</c:v>
                </c:pt>
                <c:pt idx="10">
                  <c:v>18637.055555555497</c:v>
                </c:pt>
                <c:pt idx="11">
                  <c:v>18637.055555555497</c:v>
                </c:pt>
                <c:pt idx="12">
                  <c:v>18637.055555555497</c:v>
                </c:pt>
                <c:pt idx="13">
                  <c:v>18637.055555555497</c:v>
                </c:pt>
                <c:pt idx="14">
                  <c:v>18637.055555555497</c:v>
                </c:pt>
                <c:pt idx="15">
                  <c:v>18637.055555555497</c:v>
                </c:pt>
                <c:pt idx="16">
                  <c:v>18637.055555555497</c:v>
                </c:pt>
                <c:pt idx="17">
                  <c:v>18637.055555555497</c:v>
                </c:pt>
                <c:pt idx="18">
                  <c:v>18637.055555555497</c:v>
                </c:pt>
                <c:pt idx="19">
                  <c:v>18637.055555555497</c:v>
                </c:pt>
                <c:pt idx="20">
                  <c:v>18637.055555555497</c:v>
                </c:pt>
                <c:pt idx="21">
                  <c:v>18637.055555555497</c:v>
                </c:pt>
                <c:pt idx="22">
                  <c:v>18637.055555555497</c:v>
                </c:pt>
                <c:pt idx="23">
                  <c:v>18637.055555555497</c:v>
                </c:pt>
                <c:pt idx="24">
                  <c:v>18637.055555555497</c:v>
                </c:pt>
                <c:pt idx="25">
                  <c:v>18637.055555555497</c:v>
                </c:pt>
                <c:pt idx="26">
                  <c:v>18637.055555555497</c:v>
                </c:pt>
              </c:numCache>
            </c:numRef>
          </c:val>
        </c:ser>
        <c:dLbls>
          <c:showLegendKey val="0"/>
          <c:showVal val="1"/>
          <c:showCatName val="0"/>
          <c:showSerName val="0"/>
          <c:showPercent val="0"/>
          <c:showBubbleSize val="0"/>
        </c:dLbls>
        <c:gapWidth val="150"/>
        <c:axId val="160899456"/>
        <c:axId val="160900992"/>
      </c:barChart>
      <c:catAx>
        <c:axId val="160899456"/>
        <c:scaling>
          <c:orientation val="minMax"/>
        </c:scaling>
        <c:delete val="0"/>
        <c:axPos val="l"/>
        <c:numFmt formatCode="General" sourceLinked="1"/>
        <c:majorTickMark val="out"/>
        <c:minorTickMark val="none"/>
        <c:tickLblPos val="nextTo"/>
        <c:txPr>
          <a:bodyPr/>
          <a:lstStyle/>
          <a:p>
            <a:pPr>
              <a:defRPr>
                <a:solidFill>
                  <a:sysClr val="windowText" lastClr="000000"/>
                </a:solidFill>
              </a:defRPr>
            </a:pPr>
            <a:endParaRPr lang="ru-RU"/>
          </a:p>
        </c:txPr>
        <c:crossAx val="160900992"/>
        <c:crosses val="autoZero"/>
        <c:auto val="1"/>
        <c:lblAlgn val="ctr"/>
        <c:lblOffset val="100"/>
        <c:noMultiLvlLbl val="0"/>
      </c:catAx>
      <c:valAx>
        <c:axId val="160900992"/>
        <c:scaling>
          <c:orientation val="minMax"/>
        </c:scaling>
        <c:delete val="1"/>
        <c:axPos val="b"/>
        <c:numFmt formatCode="General" sourceLinked="1"/>
        <c:majorTickMark val="out"/>
        <c:minorTickMark val="none"/>
        <c:tickLblPos val="none"/>
        <c:crossAx val="160899456"/>
        <c:crosses val="autoZero"/>
        <c:crossBetween val="between"/>
      </c:valAx>
      <c:spPr>
        <a:noFill/>
        <a:ln w="25400">
          <a:noFill/>
        </a:ln>
      </c:spPr>
    </c:plotArea>
    <c:plotVisOnly val="1"/>
    <c:dispBlanksAs val="gap"/>
    <c:showDLblsOverMax val="0"/>
  </c:chart>
  <c:spPr>
    <a:noFill/>
  </c:spPr>
  <c:txPr>
    <a:bodyPr/>
    <a:lstStyle/>
    <a:p>
      <a:pPr>
        <a:defRPr sz="800">
          <a:solidFill>
            <a:schemeClr val="accent1">
              <a:lumMod val="50000"/>
            </a:schemeClr>
          </a:solidFill>
          <a:latin typeface="Times New Roman" pitchFamily="18" charset="0"/>
          <a:cs typeface="Times New Roman" pitchFamily="18" charset="0"/>
        </a:defRPr>
      </a:pPr>
      <a:endParaRPr lang="ru-RU"/>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6870475083225"/>
          <c:y val="0.10348650979425897"/>
          <c:w val="0.69360710155562644"/>
          <c:h val="0.8172498857748749"/>
        </c:manualLayout>
      </c:layout>
      <c:barChart>
        <c:barDir val="bar"/>
        <c:grouping val="percentStacked"/>
        <c:varyColors val="0"/>
        <c:ser>
          <c:idx val="0"/>
          <c:order val="0"/>
          <c:tx>
            <c:strRef>
              <c:f>Возраст!$B$2</c:f>
              <c:strCache>
                <c:ptCount val="1"/>
                <c:pt idx="0">
                  <c:v>До 17 лет</c:v>
                </c:pt>
              </c:strCache>
            </c:strRef>
          </c:tx>
          <c:invertIfNegative val="0"/>
          <c:dLbls>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Возраст!$B$3:$B$29</c:f>
              <c:numCache>
                <c:formatCode>0.0</c:formatCode>
                <c:ptCount val="27"/>
                <c:pt idx="0">
                  <c:v>16.077808654227891</c:v>
                </c:pt>
                <c:pt idx="1">
                  <c:v>16.182107551949013</c:v>
                </c:pt>
                <c:pt idx="2">
                  <c:v>16.268850494357327</c:v>
                </c:pt>
                <c:pt idx="3">
                  <c:v>16.463144574501623</c:v>
                </c:pt>
                <c:pt idx="4">
                  <c:v>16.494263123476635</c:v>
                </c:pt>
                <c:pt idx="5">
                  <c:v>16.668619639090689</c:v>
                </c:pt>
                <c:pt idx="6">
                  <c:v>16.709390178089585</c:v>
                </c:pt>
                <c:pt idx="7">
                  <c:v>16.735342302536779</c:v>
                </c:pt>
                <c:pt idx="8">
                  <c:v>17.09173715029279</c:v>
                </c:pt>
                <c:pt idx="9">
                  <c:v>17.211369897320289</c:v>
                </c:pt>
                <c:pt idx="10">
                  <c:v>17.265164279696716</c:v>
                </c:pt>
                <c:pt idx="11">
                  <c:v>17.350846426398544</c:v>
                </c:pt>
                <c:pt idx="12">
                  <c:v>17.46188873490398</c:v>
                </c:pt>
                <c:pt idx="13">
                  <c:v>17.677463818056587</c:v>
                </c:pt>
                <c:pt idx="14">
                  <c:v>17.709068271425586</c:v>
                </c:pt>
                <c:pt idx="15">
                  <c:v>17.75153144418492</c:v>
                </c:pt>
                <c:pt idx="16">
                  <c:v>17.87459706769269</c:v>
                </c:pt>
                <c:pt idx="17">
                  <c:v>17.895433961588687</c:v>
                </c:pt>
                <c:pt idx="18">
                  <c:v>17.948717948717857</c:v>
                </c:pt>
                <c:pt idx="19">
                  <c:v>18.18560224335091</c:v>
                </c:pt>
                <c:pt idx="20">
                  <c:v>18.366479687234406</c:v>
                </c:pt>
                <c:pt idx="21">
                  <c:v>18.454687152081942</c:v>
                </c:pt>
                <c:pt idx="22">
                  <c:v>18.557551319648159</c:v>
                </c:pt>
                <c:pt idx="23">
                  <c:v>19.059434506635846</c:v>
                </c:pt>
                <c:pt idx="24">
                  <c:v>19.167722977644619</c:v>
                </c:pt>
                <c:pt idx="25">
                  <c:v>19.447055137844664</c:v>
                </c:pt>
                <c:pt idx="26">
                  <c:v>20.996441281138718</c:v>
                </c:pt>
              </c:numCache>
            </c:numRef>
          </c:val>
        </c:ser>
        <c:ser>
          <c:idx val="1"/>
          <c:order val="1"/>
          <c:tx>
            <c:strRef>
              <c:f>Возраст!$C$2</c:f>
              <c:strCache>
                <c:ptCount val="1"/>
                <c:pt idx="0">
                  <c:v>17-60</c:v>
                </c:pt>
              </c:strCache>
            </c:strRef>
          </c:tx>
          <c:invertIfNegative val="0"/>
          <c:dLbls>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Возраст!$C$3:$C$29</c:f>
              <c:numCache>
                <c:formatCode>0.0</c:formatCode>
                <c:ptCount val="27"/>
                <c:pt idx="0">
                  <c:v>55.663114178398018</c:v>
                </c:pt>
                <c:pt idx="1">
                  <c:v>60.926677276904812</c:v>
                </c:pt>
                <c:pt idx="2">
                  <c:v>49.270947767901731</c:v>
                </c:pt>
                <c:pt idx="3">
                  <c:v>55.412844036697088</c:v>
                </c:pt>
                <c:pt idx="4">
                  <c:v>56.575114440282981</c:v>
                </c:pt>
                <c:pt idx="5">
                  <c:v>55.548394656667327</c:v>
                </c:pt>
                <c:pt idx="6">
                  <c:v>56.206152185644903</c:v>
                </c:pt>
                <c:pt idx="7">
                  <c:v>55.254927270019344</c:v>
                </c:pt>
                <c:pt idx="8">
                  <c:v>53.162003903708523</c:v>
                </c:pt>
                <c:pt idx="9">
                  <c:v>58.5274229902329</c:v>
                </c:pt>
                <c:pt idx="10">
                  <c:v>56.913437236731255</c:v>
                </c:pt>
                <c:pt idx="11">
                  <c:v>54.414659461006913</c:v>
                </c:pt>
                <c:pt idx="12">
                  <c:v>52.504454563452612</c:v>
                </c:pt>
                <c:pt idx="13">
                  <c:v>54.169538249483246</c:v>
                </c:pt>
                <c:pt idx="14">
                  <c:v>53.824444905581998</c:v>
                </c:pt>
                <c:pt idx="15">
                  <c:v>56.273412366136363</c:v>
                </c:pt>
                <c:pt idx="16">
                  <c:v>54.195695123219302</c:v>
                </c:pt>
                <c:pt idx="17">
                  <c:v>56.301347795736241</c:v>
                </c:pt>
                <c:pt idx="18">
                  <c:v>49.337841645533857</c:v>
                </c:pt>
                <c:pt idx="19">
                  <c:v>56.36419401480962</c:v>
                </c:pt>
                <c:pt idx="20">
                  <c:v>56.44229134795183</c:v>
                </c:pt>
                <c:pt idx="21">
                  <c:v>54.188376753507015</c:v>
                </c:pt>
                <c:pt idx="22">
                  <c:v>54.527126099706749</c:v>
                </c:pt>
                <c:pt idx="23">
                  <c:v>54.246970571263567</c:v>
                </c:pt>
                <c:pt idx="24">
                  <c:v>55.331009449181835</c:v>
                </c:pt>
                <c:pt idx="25">
                  <c:v>54.597431077694097</c:v>
                </c:pt>
                <c:pt idx="26">
                  <c:v>54.609653024911033</c:v>
                </c:pt>
              </c:numCache>
            </c:numRef>
          </c:val>
        </c:ser>
        <c:ser>
          <c:idx val="2"/>
          <c:order val="2"/>
          <c:tx>
            <c:strRef>
              <c:f>Возраст!$D$2</c:f>
              <c:strCache>
                <c:ptCount val="1"/>
                <c:pt idx="0">
                  <c:v>Старше 60 лет</c:v>
                </c:pt>
              </c:strCache>
            </c:strRef>
          </c:tx>
          <c:invertIfNegative val="0"/>
          <c:dLbls>
            <c:dLblPos val="inBase"/>
            <c:showLegendKey val="0"/>
            <c:showVal val="1"/>
            <c:showCatName val="0"/>
            <c:showSerName val="0"/>
            <c:showPercent val="0"/>
            <c:showBubbleSize val="0"/>
            <c:showLeaderLines val="0"/>
          </c:dLbls>
          <c:cat>
            <c:strRef>
              <c:f>Возраст!$A$3:$A$29</c:f>
              <c:strCache>
                <c:ptCount val="27"/>
                <c:pt idx="0">
                  <c:v>Елховский</c:v>
                </c:pt>
                <c:pt idx="1">
                  <c:v>Приволжский</c:v>
                </c:pt>
                <c:pt idx="2">
                  <c:v>Кинельский </c:v>
                </c:pt>
                <c:pt idx="3">
                  <c:v>Волжский </c:v>
                </c:pt>
                <c:pt idx="4">
                  <c:v>Большеглушицкий</c:v>
                </c:pt>
                <c:pt idx="5">
                  <c:v>Хворостянский </c:v>
                </c:pt>
                <c:pt idx="6">
                  <c:v>Борский</c:v>
                </c:pt>
                <c:pt idx="7">
                  <c:v>Исаклинский </c:v>
                </c:pt>
                <c:pt idx="8">
                  <c:v>Шигонский</c:v>
                </c:pt>
                <c:pt idx="9">
                  <c:v>Шенталинский</c:v>
                </c:pt>
                <c:pt idx="10">
                  <c:v>Красноармейский </c:v>
                </c:pt>
                <c:pt idx="11">
                  <c:v>Челно-Вершинский </c:v>
                </c:pt>
                <c:pt idx="12">
                  <c:v>Нефтегорский </c:v>
                </c:pt>
                <c:pt idx="13">
                  <c:v>Большечерниговский</c:v>
                </c:pt>
                <c:pt idx="14">
                  <c:v>Кинель-Черкасский </c:v>
                </c:pt>
                <c:pt idx="15">
                  <c:v>Алексеевский</c:v>
                </c:pt>
                <c:pt idx="16">
                  <c:v>Сергиевский</c:v>
                </c:pt>
                <c:pt idx="17">
                  <c:v>Похвистневский</c:v>
                </c:pt>
                <c:pt idx="18">
                  <c:v>Ставропольский </c:v>
                </c:pt>
                <c:pt idx="19">
                  <c:v>Клявлинский </c:v>
                </c:pt>
                <c:pt idx="20">
                  <c:v>Безенчукский</c:v>
                </c:pt>
                <c:pt idx="21">
                  <c:v>Кошкинский</c:v>
                </c:pt>
                <c:pt idx="22">
                  <c:v>Красноярский </c:v>
                </c:pt>
                <c:pt idx="23">
                  <c:v>Сызранский </c:v>
                </c:pt>
                <c:pt idx="24">
                  <c:v>Пестравский </c:v>
                </c:pt>
                <c:pt idx="25">
                  <c:v>Богатовский </c:v>
                </c:pt>
                <c:pt idx="26">
                  <c:v>Камышлинский</c:v>
                </c:pt>
              </c:strCache>
            </c:strRef>
          </c:cat>
          <c:val>
            <c:numRef>
              <c:f>Возраст!$D$3:$D$29</c:f>
              <c:numCache>
                <c:formatCode>0.0</c:formatCode>
                <c:ptCount val="27"/>
                <c:pt idx="0">
                  <c:v>28.25907716737413</c:v>
                </c:pt>
                <c:pt idx="1">
                  <c:v>22.891215171146133</c:v>
                </c:pt>
                <c:pt idx="2">
                  <c:v>34.460201737740924</c:v>
                </c:pt>
                <c:pt idx="3">
                  <c:v>28.12401138880103</c:v>
                </c:pt>
                <c:pt idx="4">
                  <c:v>26.930622436240416</c:v>
                </c:pt>
                <c:pt idx="5">
                  <c:v>27.78298570424186</c:v>
                </c:pt>
                <c:pt idx="6">
                  <c:v>27.084457636265512</c:v>
                </c:pt>
                <c:pt idx="7">
                  <c:v>28.009730427443781</c:v>
                </c:pt>
                <c:pt idx="8">
                  <c:v>29.746258945998701</c:v>
                </c:pt>
                <c:pt idx="9">
                  <c:v>24.26120711244679</c:v>
                </c:pt>
                <c:pt idx="10">
                  <c:v>25.821398483572032</c:v>
                </c:pt>
                <c:pt idx="11">
                  <c:v>28.234494112594394</c:v>
                </c:pt>
                <c:pt idx="12">
                  <c:v>30.033656701643242</c:v>
                </c:pt>
                <c:pt idx="13">
                  <c:v>28.152997932460373</c:v>
                </c:pt>
                <c:pt idx="14">
                  <c:v>28.466486822992263</c:v>
                </c:pt>
                <c:pt idx="15">
                  <c:v>25.975056189678725</c:v>
                </c:pt>
                <c:pt idx="16">
                  <c:v>27.929707809088072</c:v>
                </c:pt>
                <c:pt idx="17">
                  <c:v>25.803218242674827</c:v>
                </c:pt>
                <c:pt idx="18">
                  <c:v>32.713440405747939</c:v>
                </c:pt>
                <c:pt idx="19">
                  <c:v>25.450203741839324</c:v>
                </c:pt>
                <c:pt idx="20">
                  <c:v>25.191228964813895</c:v>
                </c:pt>
                <c:pt idx="21">
                  <c:v>27.356936094411044</c:v>
                </c:pt>
                <c:pt idx="22">
                  <c:v>26.915322580645078</c:v>
                </c:pt>
                <c:pt idx="23">
                  <c:v>26.693594922100431</c:v>
                </c:pt>
                <c:pt idx="24">
                  <c:v>25.501267573173529</c:v>
                </c:pt>
                <c:pt idx="25">
                  <c:v>25.955513784461068</c:v>
                </c:pt>
                <c:pt idx="26">
                  <c:v>24.393905693950195</c:v>
                </c:pt>
              </c:numCache>
            </c:numRef>
          </c:val>
        </c:ser>
        <c:dLbls>
          <c:showLegendKey val="0"/>
          <c:showVal val="1"/>
          <c:showCatName val="0"/>
          <c:showSerName val="0"/>
          <c:showPercent val="0"/>
          <c:showBubbleSize val="0"/>
        </c:dLbls>
        <c:gapWidth val="150"/>
        <c:overlap val="100"/>
        <c:axId val="64126976"/>
        <c:axId val="64128512"/>
      </c:barChart>
      <c:catAx>
        <c:axId val="64126976"/>
        <c:scaling>
          <c:orientation val="minMax"/>
        </c:scaling>
        <c:delete val="0"/>
        <c:axPos val="l"/>
        <c:majorTickMark val="out"/>
        <c:minorTickMark val="none"/>
        <c:tickLblPos val="nextTo"/>
        <c:crossAx val="64128512"/>
        <c:crosses val="autoZero"/>
        <c:auto val="1"/>
        <c:lblAlgn val="ctr"/>
        <c:lblOffset val="100"/>
        <c:noMultiLvlLbl val="0"/>
      </c:catAx>
      <c:valAx>
        <c:axId val="64128512"/>
        <c:scaling>
          <c:orientation val="minMax"/>
        </c:scaling>
        <c:delete val="1"/>
        <c:axPos val="b"/>
        <c:numFmt formatCode="0%" sourceLinked="1"/>
        <c:majorTickMark val="out"/>
        <c:minorTickMark val="none"/>
        <c:tickLblPos val="none"/>
        <c:crossAx val="64126976"/>
        <c:crosses val="autoZero"/>
        <c:crossBetween val="between"/>
      </c:valAx>
      <c:spPr>
        <a:noFill/>
      </c:spPr>
    </c:plotArea>
    <c:legend>
      <c:legendPos val="b"/>
      <c:layout>
        <c:manualLayout>
          <c:xMode val="edge"/>
          <c:yMode val="edge"/>
          <c:x val="0.16249985954863336"/>
          <c:y val="0.93817720670722748"/>
          <c:w val="0.7496675795849177"/>
          <c:h val="3.6395210526489509E-2"/>
        </c:manualLayout>
      </c:layout>
      <c:overlay val="0"/>
    </c:legend>
    <c:plotVisOnly val="1"/>
    <c:dispBlanksAs val="gap"/>
    <c:showDLblsOverMax val="0"/>
  </c:chart>
  <c:spPr>
    <a:noFill/>
  </c:spPr>
  <c:txPr>
    <a:bodyPr/>
    <a:lstStyle/>
    <a:p>
      <a:pPr>
        <a:defRPr sz="800" baseline="0">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659685078828936E-2"/>
          <c:y val="0.29092598212241866"/>
          <c:w val="0.57169701216582203"/>
          <c:h val="0.60458971533223649"/>
        </c:manualLayout>
      </c:layout>
      <c:barChart>
        <c:barDir val="col"/>
        <c:grouping val="clustered"/>
        <c:varyColors val="0"/>
        <c:ser>
          <c:idx val="0"/>
          <c:order val="0"/>
          <c:tx>
            <c:strRef>
              <c:f>'Доля населения мл-труд-старше'!$Q$78</c:f>
              <c:strCache>
                <c:ptCount val="1"/>
                <c:pt idx="0">
                  <c:v>Моложе трудоспособного</c:v>
                </c:pt>
              </c:strCache>
            </c:strRef>
          </c:tx>
          <c:invertIfNegative val="0"/>
          <c:cat>
            <c:strRef>
              <c:f>'Доля населения мл-труд-старше'!$R$77:$T$77</c:f>
              <c:strCache>
                <c:ptCount val="3"/>
                <c:pt idx="0">
                  <c:v>Камышлинский р-он</c:v>
                </c:pt>
                <c:pt idx="1">
                  <c:v>Самарская обл.</c:v>
                </c:pt>
                <c:pt idx="2">
                  <c:v>РФ</c:v>
                </c:pt>
              </c:strCache>
            </c:strRef>
          </c:cat>
          <c:val>
            <c:numRef>
              <c:f>'Доля населения мл-труд-старше'!$R$78:$T$78</c:f>
              <c:numCache>
                <c:formatCode>General</c:formatCode>
                <c:ptCount val="3"/>
                <c:pt idx="0">
                  <c:v>18.600000000000001</c:v>
                </c:pt>
                <c:pt idx="1">
                  <c:v>17.83410909878263</c:v>
                </c:pt>
                <c:pt idx="2">
                  <c:v>20.165731229482152</c:v>
                </c:pt>
              </c:numCache>
            </c:numRef>
          </c:val>
        </c:ser>
        <c:ser>
          <c:idx val="1"/>
          <c:order val="1"/>
          <c:tx>
            <c:strRef>
              <c:f>'Доля населения мл-труд-старше'!$Q$79</c:f>
              <c:strCache>
                <c:ptCount val="1"/>
                <c:pt idx="0">
                  <c:v>Трудоспособное</c:v>
                </c:pt>
              </c:strCache>
            </c:strRef>
          </c:tx>
          <c:invertIfNegative val="0"/>
          <c:cat>
            <c:strRef>
              <c:f>'Доля населения мл-труд-старше'!$R$77:$T$77</c:f>
              <c:strCache>
                <c:ptCount val="3"/>
                <c:pt idx="0">
                  <c:v>Камышлинский р-он</c:v>
                </c:pt>
                <c:pt idx="1">
                  <c:v>Самарская обл.</c:v>
                </c:pt>
                <c:pt idx="2">
                  <c:v>РФ</c:v>
                </c:pt>
              </c:strCache>
            </c:strRef>
          </c:cat>
          <c:val>
            <c:numRef>
              <c:f>'Доля населения мл-труд-старше'!$R$79:$T$79</c:f>
              <c:numCache>
                <c:formatCode>General</c:formatCode>
                <c:ptCount val="3"/>
                <c:pt idx="0">
                  <c:v>54.5</c:v>
                </c:pt>
                <c:pt idx="1">
                  <c:v>54.518349130539249</c:v>
                </c:pt>
                <c:pt idx="2">
                  <c:v>54.291538705919891</c:v>
                </c:pt>
              </c:numCache>
            </c:numRef>
          </c:val>
        </c:ser>
        <c:ser>
          <c:idx val="2"/>
          <c:order val="2"/>
          <c:tx>
            <c:strRef>
              <c:f>'Доля населения мл-труд-старше'!$Q$80</c:f>
              <c:strCache>
                <c:ptCount val="1"/>
                <c:pt idx="0">
                  <c:v>Старше трудоспособного</c:v>
                </c:pt>
              </c:strCache>
            </c:strRef>
          </c:tx>
          <c:spPr>
            <a:solidFill>
              <a:schemeClr val="bg1">
                <a:lumMod val="85000"/>
              </a:schemeClr>
            </a:solidFill>
          </c:spPr>
          <c:invertIfNegative val="0"/>
          <c:cat>
            <c:strRef>
              <c:f>'Доля населения мл-труд-старше'!$R$77:$T$77</c:f>
              <c:strCache>
                <c:ptCount val="3"/>
                <c:pt idx="0">
                  <c:v>Камышлинский р-он</c:v>
                </c:pt>
                <c:pt idx="1">
                  <c:v>Самарская обл.</c:v>
                </c:pt>
                <c:pt idx="2">
                  <c:v>РФ</c:v>
                </c:pt>
              </c:strCache>
            </c:strRef>
          </c:cat>
          <c:val>
            <c:numRef>
              <c:f>'Доля населения мл-труд-старше'!$R$80:$T$80</c:f>
              <c:numCache>
                <c:formatCode>General</c:formatCode>
                <c:ptCount val="3"/>
                <c:pt idx="0">
                  <c:v>26.9</c:v>
                </c:pt>
                <c:pt idx="1">
                  <c:v>27.647541770678227</c:v>
                </c:pt>
                <c:pt idx="2">
                  <c:v>25.542730064598089</c:v>
                </c:pt>
              </c:numCache>
            </c:numRef>
          </c:val>
        </c:ser>
        <c:dLbls>
          <c:showLegendKey val="0"/>
          <c:showVal val="0"/>
          <c:showCatName val="0"/>
          <c:showSerName val="0"/>
          <c:showPercent val="0"/>
          <c:showBubbleSize val="0"/>
        </c:dLbls>
        <c:gapWidth val="150"/>
        <c:axId val="61490688"/>
        <c:axId val="61492224"/>
      </c:barChart>
      <c:catAx>
        <c:axId val="61490688"/>
        <c:scaling>
          <c:orientation val="minMax"/>
        </c:scaling>
        <c:delete val="0"/>
        <c:axPos val="b"/>
        <c:numFmt formatCode="General" sourceLinked="1"/>
        <c:majorTickMark val="none"/>
        <c:minorTickMark val="none"/>
        <c:tickLblPos val="nextTo"/>
        <c:txPr>
          <a:bodyPr/>
          <a:lstStyle/>
          <a:p>
            <a:pPr>
              <a:defRPr sz="800" baseline="0"/>
            </a:pPr>
            <a:endParaRPr lang="ru-RU"/>
          </a:p>
        </c:txPr>
        <c:crossAx val="61492224"/>
        <c:crosses val="autoZero"/>
        <c:auto val="1"/>
        <c:lblAlgn val="ctr"/>
        <c:lblOffset val="100"/>
        <c:noMultiLvlLbl val="0"/>
      </c:catAx>
      <c:valAx>
        <c:axId val="61492224"/>
        <c:scaling>
          <c:orientation val="minMax"/>
        </c:scaling>
        <c:delete val="0"/>
        <c:axPos val="l"/>
        <c:numFmt formatCode="General" sourceLinked="1"/>
        <c:majorTickMark val="none"/>
        <c:minorTickMark val="none"/>
        <c:tickLblPos val="nextTo"/>
        <c:crossAx val="61490688"/>
        <c:crosses val="autoZero"/>
        <c:crossBetween val="between"/>
      </c:valAx>
    </c:plotArea>
    <c:legend>
      <c:legendPos val="r"/>
      <c:overlay val="0"/>
      <c:txPr>
        <a:bodyPr/>
        <a:lstStyle/>
        <a:p>
          <a:pPr>
            <a:defRPr sz="800" baseline="0"/>
          </a:pPr>
          <a:endParaRPr lang="ru-RU"/>
        </a:p>
      </c:txPr>
    </c:legend>
    <c:plotVisOnly val="1"/>
    <c:dispBlanksAs val="gap"/>
    <c:showDLblsOverMax val="0"/>
  </c:chart>
  <c:spPr>
    <a:ln>
      <a:solidFill>
        <a:schemeClr val="tx2">
          <a:lumMod val="75000"/>
        </a:schemeClr>
      </a:solidFill>
    </a:ln>
  </c:spPr>
  <c:txPr>
    <a:bodyPr/>
    <a:lstStyle/>
    <a:p>
      <a:pPr>
        <a:defRPr baseline="0">
          <a:solidFill>
            <a:sysClr val="windowText" lastClr="000000"/>
          </a:solidFill>
          <a:latin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79799473884671"/>
          <c:y val="4.9119295729297803E-2"/>
          <c:w val="0.79742433770581822"/>
          <c:h val="0.88537511324344065"/>
        </c:manualLayout>
      </c:layout>
      <c:barChart>
        <c:barDir val="col"/>
        <c:grouping val="clustered"/>
        <c:varyColors val="0"/>
        <c:ser>
          <c:idx val="0"/>
          <c:order val="0"/>
          <c:spPr>
            <a:solidFill>
              <a:srgbClr val="376092"/>
            </a:solidFill>
          </c:spPr>
          <c:invertIfNegative val="0"/>
          <c:dLbls>
            <c:dLbl>
              <c:idx val="3"/>
              <c:layout>
                <c:manualLayout>
                  <c:x val="0"/>
                  <c:y val="2.0676011138346283E-2"/>
                </c:manualLayout>
              </c:layout>
              <c:dLblPos val="outEnd"/>
              <c:showLegendKey val="0"/>
              <c:showVal val="1"/>
              <c:showCatName val="0"/>
              <c:showSerName val="0"/>
              <c:showPercent val="0"/>
              <c:showBubbleSize val="0"/>
            </c:dLbl>
            <c:txPr>
              <a:bodyPr/>
              <a:lstStyle/>
              <a:p>
                <a:pPr>
                  <a:defRPr sz="10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Миграция!$A$65:$A$68</c:f>
              <c:strCache>
                <c:ptCount val="4"/>
                <c:pt idx="0">
                  <c:v>Миграция-всего</c:v>
                </c:pt>
                <c:pt idx="1">
                  <c:v>внутрирегиональная</c:v>
                </c:pt>
                <c:pt idx="2">
                  <c:v>межрегиональная</c:v>
                </c:pt>
                <c:pt idx="3">
                  <c:v>международная</c:v>
                </c:pt>
              </c:strCache>
            </c:strRef>
          </c:cat>
          <c:val>
            <c:numRef>
              <c:f>Миграция!$B$65:$B$68</c:f>
              <c:numCache>
                <c:formatCode>General</c:formatCode>
                <c:ptCount val="4"/>
                <c:pt idx="0">
                  <c:v>-68</c:v>
                </c:pt>
                <c:pt idx="1">
                  <c:v>-35</c:v>
                </c:pt>
                <c:pt idx="2">
                  <c:v>-48</c:v>
                </c:pt>
                <c:pt idx="3">
                  <c:v>15</c:v>
                </c:pt>
              </c:numCache>
            </c:numRef>
          </c:val>
        </c:ser>
        <c:dLbls>
          <c:showLegendKey val="0"/>
          <c:showVal val="0"/>
          <c:showCatName val="0"/>
          <c:showSerName val="0"/>
          <c:showPercent val="0"/>
          <c:showBubbleSize val="0"/>
        </c:dLbls>
        <c:gapWidth val="150"/>
        <c:overlap val="-25"/>
        <c:axId val="64195584"/>
        <c:axId val="64205568"/>
      </c:barChart>
      <c:catAx>
        <c:axId val="64195584"/>
        <c:scaling>
          <c:orientation val="minMax"/>
        </c:scaling>
        <c:delete val="0"/>
        <c:axPos val="b"/>
        <c:numFmt formatCode="General" sourceLinked="1"/>
        <c:majorTickMark val="none"/>
        <c:minorTickMark val="none"/>
        <c:tickLblPos val="nextTo"/>
        <c:txPr>
          <a:bodyPr rot="-2700000" vert="horz"/>
          <a:lstStyle/>
          <a:p>
            <a:pPr>
              <a:defRPr sz="801" b="0" i="0" u="none" strike="noStrike" baseline="0">
                <a:solidFill>
                  <a:srgbClr val="000000"/>
                </a:solidFill>
                <a:latin typeface="Times New Roman"/>
                <a:ea typeface="Times New Roman"/>
                <a:cs typeface="Times New Roman"/>
              </a:defRPr>
            </a:pPr>
            <a:endParaRPr lang="ru-RU"/>
          </a:p>
        </c:txPr>
        <c:crossAx val="64205568"/>
        <c:crosses val="autoZero"/>
        <c:auto val="1"/>
        <c:lblAlgn val="ctr"/>
        <c:lblOffset val="100"/>
        <c:noMultiLvlLbl val="0"/>
      </c:catAx>
      <c:valAx>
        <c:axId val="64205568"/>
        <c:scaling>
          <c:orientation val="minMax"/>
        </c:scaling>
        <c:delete val="1"/>
        <c:axPos val="l"/>
        <c:numFmt formatCode="General" sourceLinked="1"/>
        <c:majorTickMark val="out"/>
        <c:minorTickMark val="none"/>
        <c:tickLblPos val="none"/>
        <c:crossAx val="64195584"/>
        <c:crosses val="autoZero"/>
        <c:crossBetween val="between"/>
      </c:valAx>
      <c:spPr>
        <a:solidFill>
          <a:schemeClr val="accent1">
            <a:lumMod val="40000"/>
            <a:lumOff val="60000"/>
          </a:schemeClr>
        </a:solidFill>
      </c:spPr>
    </c:plotArea>
    <c:plotVisOnly val="1"/>
    <c:dispBlanksAs val="gap"/>
    <c:showDLblsOverMax val="0"/>
  </c:chart>
  <c:spPr>
    <a:noFill/>
  </c:spPr>
  <c:txPr>
    <a:bodyPr/>
    <a:lstStyle/>
    <a:p>
      <a:pPr>
        <a:defRPr sz="1001"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58163925135319"/>
          <c:y val="1.9502170240516547E-2"/>
          <c:w val="0.86241028916611551"/>
          <c:h val="0.89369906736120264"/>
        </c:manualLayout>
      </c:layout>
      <c:barChart>
        <c:barDir val="col"/>
        <c:grouping val="clustered"/>
        <c:varyColors val="0"/>
        <c:ser>
          <c:idx val="0"/>
          <c:order val="0"/>
          <c:spPr>
            <a:solidFill>
              <a:srgbClr val="376092"/>
            </a:solidFill>
          </c:spPr>
          <c:invertIfNegative val="0"/>
          <c:dLbls>
            <c:dLbl>
              <c:idx val="1"/>
              <c:layout>
                <c:manualLayout>
                  <c:x val="0"/>
                  <c:y val="1.6649226087261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Миграция!$A$43:$A$46</c:f>
              <c:strCache>
                <c:ptCount val="4"/>
                <c:pt idx="0">
                  <c:v>Миграция-всего</c:v>
                </c:pt>
                <c:pt idx="1">
                  <c:v>внутрирегиональная</c:v>
                </c:pt>
                <c:pt idx="2">
                  <c:v>межрегиональная</c:v>
                </c:pt>
                <c:pt idx="3">
                  <c:v>международная</c:v>
                </c:pt>
              </c:strCache>
            </c:strRef>
          </c:cat>
          <c:val>
            <c:numRef>
              <c:f>Миграция!$B$43:$B$46</c:f>
              <c:numCache>
                <c:formatCode>General</c:formatCode>
                <c:ptCount val="4"/>
                <c:pt idx="0">
                  <c:v>-5</c:v>
                </c:pt>
                <c:pt idx="1">
                  <c:v>-26</c:v>
                </c:pt>
                <c:pt idx="2">
                  <c:v>38</c:v>
                </c:pt>
                <c:pt idx="3">
                  <c:v>-17</c:v>
                </c:pt>
              </c:numCache>
            </c:numRef>
          </c:val>
        </c:ser>
        <c:dLbls>
          <c:showLegendKey val="0"/>
          <c:showVal val="1"/>
          <c:showCatName val="0"/>
          <c:showSerName val="0"/>
          <c:showPercent val="0"/>
          <c:showBubbleSize val="0"/>
        </c:dLbls>
        <c:gapWidth val="150"/>
        <c:overlap val="-25"/>
        <c:axId val="64208256"/>
        <c:axId val="64300928"/>
      </c:barChart>
      <c:catAx>
        <c:axId val="64208256"/>
        <c:scaling>
          <c:orientation val="minMax"/>
        </c:scaling>
        <c:delete val="0"/>
        <c:axPos val="b"/>
        <c:majorTickMark val="none"/>
        <c:minorTickMark val="none"/>
        <c:tickLblPos val="nextTo"/>
        <c:txPr>
          <a:bodyPr/>
          <a:lstStyle/>
          <a:p>
            <a:pPr>
              <a:defRPr sz="800" baseline="0"/>
            </a:pPr>
            <a:endParaRPr lang="ru-RU"/>
          </a:p>
        </c:txPr>
        <c:crossAx val="64300928"/>
        <c:crosses val="autoZero"/>
        <c:auto val="1"/>
        <c:lblAlgn val="ctr"/>
        <c:lblOffset val="100"/>
        <c:noMultiLvlLbl val="0"/>
      </c:catAx>
      <c:valAx>
        <c:axId val="64300928"/>
        <c:scaling>
          <c:orientation val="minMax"/>
        </c:scaling>
        <c:delete val="1"/>
        <c:axPos val="l"/>
        <c:numFmt formatCode="General" sourceLinked="1"/>
        <c:majorTickMark val="none"/>
        <c:minorTickMark val="none"/>
        <c:tickLblPos val="none"/>
        <c:crossAx val="64208256"/>
        <c:crosses val="autoZero"/>
        <c:crossBetween val="between"/>
      </c:valAx>
      <c:spPr>
        <a:solidFill>
          <a:schemeClr val="tx2">
            <a:lumMod val="20000"/>
            <a:lumOff val="80000"/>
          </a:schemeClr>
        </a:solidFill>
      </c:spPr>
    </c:plotArea>
    <c:plotVisOnly val="1"/>
    <c:dispBlanksAs val="gap"/>
    <c:showDLblsOverMax val="0"/>
  </c:chart>
  <c:spPr>
    <a:noFill/>
  </c:spPr>
  <c:txPr>
    <a:bodyPr/>
    <a:lstStyle/>
    <a:p>
      <a:pPr>
        <a:defRPr baseline="0">
          <a:latin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6.9666331639332016E-2"/>
          <c:y val="0.63638835743305711"/>
          <c:w val="0.84871330345563811"/>
          <c:h val="0.36232973298473325"/>
        </c:manualLayout>
      </c:layout>
      <c:pie3DChart>
        <c:varyColors val="1"/>
        <c:ser>
          <c:idx val="0"/>
          <c:order val="0"/>
          <c:spPr>
            <a:gradFill>
              <a:gsLst>
                <a:gs pos="0">
                  <a:schemeClr val="tx2">
                    <a:lumMod val="75000"/>
                  </a:schemeClr>
                </a:gs>
                <a:gs pos="53000">
                  <a:srgbClr val="D4DEFF"/>
                </a:gs>
                <a:gs pos="83000">
                  <a:srgbClr val="D4DEFF"/>
                </a:gs>
                <a:gs pos="100000">
                  <a:srgbClr val="96AB94"/>
                </a:gs>
              </a:gsLst>
              <a:lin ang="5400000" scaled="0"/>
            </a:gradFill>
          </c:spPr>
          <c:explosion val="25"/>
          <c:dPt>
            <c:idx val="0"/>
            <c:bubble3D val="0"/>
            <c:spPr>
              <a:solidFill>
                <a:srgbClr val="C50000"/>
              </a:solidFill>
            </c:spPr>
          </c:dPt>
          <c:dPt>
            <c:idx val="1"/>
            <c:bubble3D val="0"/>
            <c:spPr>
              <a:solidFill>
                <a:srgbClr val="376092"/>
              </a:solidFill>
            </c:spPr>
          </c:dPt>
          <c:dPt>
            <c:idx val="2"/>
            <c:bubble3D val="0"/>
            <c:spPr>
              <a:solidFill>
                <a:srgbClr val="7F7F7F"/>
              </a:solidFill>
            </c:spPr>
          </c:dPt>
          <c:dPt>
            <c:idx val="3"/>
            <c:bubble3D val="0"/>
            <c:spPr>
              <a:solidFill>
                <a:srgbClr val="C50000"/>
              </a:solidFill>
            </c:spPr>
          </c:dPt>
          <c:dPt>
            <c:idx val="4"/>
            <c:bubble3D val="0"/>
            <c:spPr>
              <a:solidFill>
                <a:srgbClr val="376092"/>
              </a:solidFill>
            </c:spPr>
          </c:dPt>
          <c:dPt>
            <c:idx val="5"/>
            <c:bubble3D val="0"/>
            <c:spPr>
              <a:solidFill>
                <a:srgbClr val="7F7F7F"/>
              </a:solidFill>
            </c:spPr>
          </c:dPt>
          <c:dPt>
            <c:idx val="6"/>
            <c:bubble3D val="0"/>
            <c:spPr>
              <a:solidFill>
                <a:srgbClr val="C50000"/>
              </a:solidFill>
            </c:spPr>
          </c:dPt>
          <c:dPt>
            <c:idx val="7"/>
            <c:bubble3D val="0"/>
            <c:spPr>
              <a:solidFill>
                <a:srgbClr val="376092"/>
              </a:solidFill>
            </c:spPr>
          </c:dPt>
          <c:dPt>
            <c:idx val="8"/>
            <c:bubble3D val="0"/>
            <c:spPr>
              <a:solidFill>
                <a:srgbClr val="7F7F7F"/>
              </a:solidFill>
            </c:spPr>
          </c:dPt>
          <c:dPt>
            <c:idx val="9"/>
            <c:bubble3D val="0"/>
            <c:spPr>
              <a:solidFill>
                <a:srgbClr val="C50000"/>
              </a:solidFill>
            </c:spPr>
          </c:dPt>
          <c:dPt>
            <c:idx val="10"/>
            <c:bubble3D val="0"/>
            <c:spPr>
              <a:solidFill>
                <a:srgbClr val="376092"/>
              </a:solidFill>
            </c:spPr>
          </c:dPt>
          <c:dLbls>
            <c:showLegendKey val="0"/>
            <c:showVal val="0"/>
            <c:showCatName val="0"/>
            <c:showSerName val="0"/>
            <c:showPercent val="1"/>
            <c:showBubbleSize val="0"/>
            <c:showLeaderLines val="1"/>
          </c:dLbls>
          <c:cat>
            <c:strRef>
              <c:f>Организации!$A$1:$A$11</c:f>
              <c:strCache>
                <c:ptCount val="11"/>
                <c:pt idx="0">
                  <c:v>24% государственное управление и обеспечение военной безопасности; социальное страхование</c:v>
                </c:pt>
                <c:pt idx="1">
                  <c:v>24% предоставление коммунальных, социальных  и персональных услуг</c:v>
                </c:pt>
                <c:pt idx="2">
                  <c:v>12% операции с недвижимым имуществом, аренда и предоставление услуг</c:v>
                </c:pt>
                <c:pt idx="3">
                  <c:v>11% оптовая и розничная торговля; ремонт автотранспортных ср-в, мотоциклов, бытовых изделий и предметов личного пользования</c:v>
                </c:pt>
                <c:pt idx="4">
                  <c:v>9% сельское хозяйство, охота и лесное хозяйство</c:v>
                </c:pt>
                <c:pt idx="5">
                  <c:v>5% образование</c:v>
                </c:pt>
                <c:pt idx="6">
                  <c:v>5% транспорт, связь, строительство</c:v>
                </c:pt>
                <c:pt idx="7">
                  <c:v>4% производство и распределение электроэнергии, газа и воды</c:v>
                </c:pt>
                <c:pt idx="8">
                  <c:v>4% здравоохранение и предоставление социальных услуг</c:v>
                </c:pt>
                <c:pt idx="9">
                  <c:v>1% обрабатывающие производства</c:v>
                </c:pt>
                <c:pt idx="10">
                  <c:v>1% гостиницы и рестораны</c:v>
                </c:pt>
              </c:strCache>
            </c:strRef>
          </c:cat>
          <c:val>
            <c:numRef>
              <c:f>Организации!$B$1:$B$11</c:f>
              <c:numCache>
                <c:formatCode>General</c:formatCode>
                <c:ptCount val="11"/>
                <c:pt idx="0">
                  <c:v>27</c:v>
                </c:pt>
                <c:pt idx="1">
                  <c:v>27</c:v>
                </c:pt>
                <c:pt idx="2">
                  <c:v>14</c:v>
                </c:pt>
                <c:pt idx="3">
                  <c:v>12</c:v>
                </c:pt>
                <c:pt idx="4">
                  <c:v>10</c:v>
                </c:pt>
                <c:pt idx="5">
                  <c:v>6</c:v>
                </c:pt>
                <c:pt idx="6">
                  <c:v>5</c:v>
                </c:pt>
                <c:pt idx="7">
                  <c:v>4</c:v>
                </c:pt>
                <c:pt idx="8">
                  <c:v>3</c:v>
                </c:pt>
                <c:pt idx="9">
                  <c:v>2</c:v>
                </c:pt>
                <c:pt idx="10">
                  <c:v>1</c:v>
                </c:pt>
              </c:numCache>
            </c:numRef>
          </c:val>
        </c:ser>
        <c:dLbls>
          <c:showLegendKey val="0"/>
          <c:showVal val="0"/>
          <c:showCatName val="0"/>
          <c:showSerName val="0"/>
          <c:showPercent val="0"/>
          <c:showBubbleSize val="0"/>
          <c:showLeaderLines val="1"/>
        </c:dLbls>
      </c:pie3DChart>
      <c:spPr>
        <a:noFill/>
        <a:ln w="25398">
          <a:noFill/>
        </a:ln>
      </c:spPr>
    </c:plotArea>
    <c:legend>
      <c:legendPos val="t"/>
      <c:layout>
        <c:manualLayout>
          <c:xMode val="edge"/>
          <c:yMode val="edge"/>
          <c:x val="1.2900556473210721E-2"/>
          <c:y val="0.12396078031835669"/>
          <c:w val="0.9714685867932481"/>
          <c:h val="0.53467196452569243"/>
        </c:manualLayout>
      </c:layout>
      <c:overlay val="0"/>
    </c:legend>
    <c:plotVisOnly val="1"/>
    <c:dispBlanksAs val="zero"/>
    <c:showDLblsOverMax val="0"/>
  </c:chart>
  <c:txPr>
    <a:bodyPr/>
    <a:lstStyle/>
    <a:p>
      <a:pPr>
        <a:defRPr sz="800" baseline="0"/>
      </a:pPr>
      <a:endParaRPr lang="ru-RU"/>
    </a:p>
  </c:txPr>
  <c:externalData r:id="rId2">
    <c:autoUpdate val="0"/>
  </c:externalData>
</c:chartSpace>
</file>

<file path=word/drawings/_rels/drawing7.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0.49623</cdr:x>
      <cdr:y>0.15686</cdr:y>
    </cdr:from>
    <cdr:to>
      <cdr:x>0.50066</cdr:x>
      <cdr:y>0.85911</cdr:y>
    </cdr:to>
    <cdr:cxnSp macro="">
      <cdr:nvCxnSpPr>
        <cdr:cNvPr id="3" name="Прямая соединительная линия 2"/>
        <cdr:cNvCxnSpPr/>
      </cdr:nvCxnSpPr>
      <cdr:spPr>
        <a:xfrm xmlns:a="http://schemas.openxmlformats.org/drawingml/2006/main">
          <a:off x="1302025" y="486465"/>
          <a:ext cx="11606" cy="2177939"/>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0.68315</cdr:x>
      <cdr:y>0.954</cdr:y>
    </cdr:from>
    <cdr:to>
      <cdr:x>0.91131</cdr:x>
      <cdr:y>1</cdr:y>
    </cdr:to>
    <cdr:sp macro="" textlink="">
      <cdr:nvSpPr>
        <cdr:cNvPr id="8" name="TextBox 1"/>
        <cdr:cNvSpPr txBox="1"/>
      </cdr:nvSpPr>
      <cdr:spPr>
        <a:xfrm xmlns:a="http://schemas.openxmlformats.org/drawingml/2006/main">
          <a:off x="3194937" y="3975500"/>
          <a:ext cx="1067035" cy="1916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34,7%</a:t>
          </a:r>
        </a:p>
      </cdr:txBody>
    </cdr:sp>
  </cdr:relSizeAnchor>
  <cdr:relSizeAnchor xmlns:cdr="http://schemas.openxmlformats.org/drawingml/2006/chartDrawing">
    <cdr:from>
      <cdr:x>0.78917</cdr:x>
      <cdr:y>0.93363</cdr:y>
    </cdr:from>
    <cdr:to>
      <cdr:x>0.81552</cdr:x>
      <cdr:y>0.95882</cdr:y>
    </cdr:to>
    <cdr:sp macro="" textlink="">
      <cdr:nvSpPr>
        <cdr:cNvPr id="9" name="Равнобедренный треугольник 8"/>
        <cdr:cNvSpPr/>
      </cdr:nvSpPr>
      <cdr:spPr>
        <a:xfrm xmlns:a="http://schemas.openxmlformats.org/drawingml/2006/main">
          <a:off x="3690765" y="3890612"/>
          <a:ext cx="123261" cy="104977"/>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0.10735</cdr:x>
      <cdr:y>0.05468</cdr:y>
    </cdr:from>
    <cdr:to>
      <cdr:x>0.11023</cdr:x>
      <cdr:y>0.81397</cdr:y>
    </cdr:to>
    <cdr:cxnSp macro="">
      <cdr:nvCxnSpPr>
        <cdr:cNvPr id="3" name="Прямая соединительная линия 2"/>
        <cdr:cNvCxnSpPr/>
      </cdr:nvCxnSpPr>
      <cdr:spPr>
        <a:xfrm xmlns:a="http://schemas.openxmlformats.org/drawingml/2006/main">
          <a:off x="556230" y="178134"/>
          <a:ext cx="14923" cy="2473425"/>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0.07978</cdr:x>
      <cdr:y>0.82318</cdr:y>
    </cdr:from>
    <cdr:to>
      <cdr:x>0.90813</cdr:x>
      <cdr:y>0.82657</cdr:y>
    </cdr:to>
    <cdr:cxnSp macro="">
      <cdr:nvCxnSpPr>
        <cdr:cNvPr id="6" name="Прямая соединительная линия 5"/>
        <cdr:cNvCxnSpPr/>
      </cdr:nvCxnSpPr>
      <cdr:spPr>
        <a:xfrm xmlns:a="http://schemas.openxmlformats.org/drawingml/2006/main" flipV="1">
          <a:off x="413402" y="2681555"/>
          <a:ext cx="4292162" cy="11029"/>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0.63555</cdr:x>
      <cdr:y>0.88672</cdr:y>
    </cdr:from>
    <cdr:to>
      <cdr:x>0.66599</cdr:x>
      <cdr:y>0.92167</cdr:y>
    </cdr:to>
    <cdr:sp macro="" textlink="">
      <cdr:nvSpPr>
        <cdr:cNvPr id="3" name="Равнобедренный треугольник 2"/>
        <cdr:cNvSpPr/>
      </cdr:nvSpPr>
      <cdr:spPr>
        <a:xfrm xmlns:a="http://schemas.openxmlformats.org/drawingml/2006/main">
          <a:off x="3503613" y="4626201"/>
          <a:ext cx="158730" cy="169172"/>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0.58806</cdr:x>
      <cdr:y>0.9203</cdr:y>
    </cdr:from>
    <cdr:to>
      <cdr:x>0.81521</cdr:x>
      <cdr:y>0.98067</cdr:y>
    </cdr:to>
    <cdr:sp macro="" textlink="">
      <cdr:nvSpPr>
        <cdr:cNvPr id="4" name="TextBox 1"/>
        <cdr:cNvSpPr txBox="1"/>
      </cdr:nvSpPr>
      <cdr:spPr>
        <a:xfrm xmlns:a="http://schemas.openxmlformats.org/drawingml/2006/main">
          <a:off x="3256983" y="4788278"/>
          <a:ext cx="1177576" cy="2916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22,7 </a:t>
          </a:r>
        </a:p>
      </cdr:txBody>
    </cdr:sp>
  </cdr:relSizeAnchor>
  <cdr:relSizeAnchor xmlns:cdr="http://schemas.openxmlformats.org/drawingml/2006/chartDrawing">
    <cdr:from>
      <cdr:x>0</cdr:x>
      <cdr:y>0</cdr:y>
    </cdr:from>
    <cdr:to>
      <cdr:x>1</cdr:x>
      <cdr:y>0.14056</cdr:y>
    </cdr:to>
    <cdr:sp macro="" textlink="">
      <cdr:nvSpPr>
        <cdr:cNvPr id="5" name="Прямоугольник 4"/>
        <cdr:cNvSpPr>
          <a:spLocks xmlns:a="http://schemas.openxmlformats.org/drawingml/2006/main" noChangeArrowheads="1"/>
        </cdr:cNvSpPr>
      </cdr:nvSpPr>
      <cdr:spPr bwMode="auto">
        <a:xfrm xmlns:a="http://schemas.openxmlformats.org/drawingml/2006/main">
          <a:off x="0" y="0"/>
          <a:ext cx="4847981" cy="592260"/>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1000"/>
            </a:spcAft>
          </a:pPr>
          <a:r>
            <a:rPr lang="ru-RU" sz="1000" b="1">
              <a:solidFill>
                <a:srgbClr val="FFFFFF"/>
              </a:solidFill>
              <a:effectLst/>
              <a:latin typeface="Times New Roman"/>
              <a:ea typeface="Calibri"/>
              <a:cs typeface="Times New Roman"/>
            </a:rPr>
            <a:t>Камышлинский район занимает 12 место по  зарегистрированным правонарушениям среди  районов Самарской области на 100 тыс. населения в 2016 году</a:t>
          </a:r>
          <a:endParaRPr lang="ru-RU" sz="1000">
            <a:effectLst/>
            <a:latin typeface="Calibri"/>
            <a:ea typeface="Calibri"/>
            <a:cs typeface="Times New Roman"/>
          </a:endParaRPr>
        </a:p>
        <a:p xmlns:a="http://schemas.openxmlformats.org/drawingml/2006/main">
          <a:pPr algn="ctr">
            <a:lnSpc>
              <a:spcPct val="115000"/>
            </a:lnSpc>
            <a:spcAft>
              <a:spcPts val="0"/>
            </a:spcAft>
          </a:pPr>
          <a:r>
            <a:rPr lang="ru-RU" sz="1100" b="1">
              <a:solidFill>
                <a:srgbClr val="FFFFFF"/>
              </a:solidFill>
              <a:effectLst/>
              <a:latin typeface="Times New Roman"/>
              <a:ea typeface="Calibri"/>
              <a:cs typeface="Times New Roman"/>
            </a:rPr>
            <a:t> </a:t>
          </a:r>
          <a:endParaRPr lang="ru-RU" sz="1100">
            <a:effectLst/>
            <a:latin typeface="Calibri"/>
            <a:ea typeface="Calibri"/>
            <a:cs typeface="Times New Roman"/>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1</cdr:x>
      <cdr:y>0.23251</cdr:y>
    </cdr:to>
    <cdr:sp macro="" textlink="">
      <cdr:nvSpPr>
        <cdr:cNvPr id="3" name="Прямоугольник 2"/>
        <cdr:cNvSpPr>
          <a:spLocks xmlns:a="http://schemas.openxmlformats.org/drawingml/2006/main" noChangeArrowheads="1"/>
        </cdr:cNvSpPr>
      </cdr:nvSpPr>
      <cdr:spPr bwMode="auto">
        <a:xfrm xmlns:a="http://schemas.openxmlformats.org/drawingml/2006/main">
          <a:off x="0" y="0"/>
          <a:ext cx="4572000" cy="637835"/>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0"/>
            </a:spcAft>
          </a:pPr>
          <a:r>
            <a:rPr lang="ru-RU" sz="1000" b="1">
              <a:solidFill>
                <a:srgbClr val="FFFFFF"/>
              </a:solidFill>
              <a:effectLst/>
              <a:latin typeface="Times New Roman"/>
              <a:ea typeface="Calibri"/>
              <a:cs typeface="Times New Roman"/>
            </a:rPr>
            <a:t>Число зарегистрированных преступлений Камышлинского муниципального района Самарской области на 100 тыс. населения с 2006 по 2016 годы</a:t>
          </a:r>
          <a:endParaRPr lang="ru-RU" sz="1000">
            <a:effectLst/>
            <a:latin typeface="Calibri"/>
            <a:ea typeface="Calibri"/>
            <a:cs typeface="Times New Roman"/>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0.00365</cdr:x>
      <cdr:y>0.00629</cdr:y>
    </cdr:from>
    <cdr:to>
      <cdr:x>1</cdr:x>
      <cdr:y>0.19811</cdr:y>
    </cdr:to>
    <cdr:sp macro="" textlink="">
      <cdr:nvSpPr>
        <cdr:cNvPr id="2" name="Прямоугольник 1"/>
        <cdr:cNvSpPr/>
      </cdr:nvSpPr>
      <cdr:spPr>
        <a:xfrm xmlns:a="http://schemas.openxmlformats.org/drawingml/2006/main">
          <a:off x="19050" y="19051"/>
          <a:ext cx="5200650" cy="581024"/>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a:r>
            <a:rPr lang="ru-RU" sz="1200" b="1" i="0" baseline="0">
              <a:solidFill>
                <a:schemeClr val="lt1"/>
              </a:solidFill>
              <a:latin typeface="Times New Roman" pitchFamily="18" charset="0"/>
              <a:ea typeface="+mn-ea"/>
              <a:cs typeface="Times New Roman" pitchFamily="18" charset="0"/>
            </a:rPr>
            <a:t>Сальдированный финансовый результат по всем видам деятельности организаций Камышлинского района в 2012 - 2016 гг., млн. рублей </a:t>
          </a: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0.00238</cdr:y>
    </cdr:from>
    <cdr:to>
      <cdr:x>1</cdr:x>
      <cdr:y>0.12143</cdr:y>
    </cdr:to>
    <cdr:sp macro="" textlink="">
      <cdr:nvSpPr>
        <cdr:cNvPr id="2" name="Прямоугольник 1"/>
        <cdr:cNvSpPr/>
      </cdr:nvSpPr>
      <cdr:spPr>
        <a:xfrm xmlns:a="http://schemas.openxmlformats.org/drawingml/2006/main">
          <a:off x="0" y="9525"/>
          <a:ext cx="5838824" cy="4762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b="1" baseline="0">
              <a:solidFill>
                <a:schemeClr val="lt1"/>
              </a:solidFill>
              <a:latin typeface="Times New Roman" pitchFamily="18" charset="0"/>
              <a:ea typeface="+mn-ea"/>
              <a:cs typeface="Times New Roman" pitchFamily="18" charset="0"/>
            </a:rPr>
            <a:t>Тренд индекса промышленного производства в Камышлинском районе превосходит областную динамику за период с 2013 по 2016 гг</a:t>
          </a:r>
          <a:endParaRPr lang="ru-RU" sz="1000" b="1" baseline="0">
            <a:solidFill>
              <a:schemeClr val="bg1"/>
            </a:solidFill>
            <a:latin typeface="Times New Roman" pitchFamily="18" charset="0"/>
            <a:cs typeface="Times New Roman"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0.00256</cdr:y>
    </cdr:from>
    <cdr:to>
      <cdr:x>0.99638</cdr:x>
      <cdr:y>0.17597</cdr:y>
    </cdr:to>
    <cdr:sp macro="" textlink="">
      <cdr:nvSpPr>
        <cdr:cNvPr id="2" name="Прямоугольник 1"/>
        <cdr:cNvSpPr/>
      </cdr:nvSpPr>
      <cdr:spPr>
        <a:xfrm xmlns:a="http://schemas.openxmlformats.org/drawingml/2006/main">
          <a:off x="0" y="7272"/>
          <a:ext cx="5623070" cy="492599"/>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lgn="ctr" rtl="0" fontAlgn="base"/>
          <a:r>
            <a:rPr lang="ru-RU" sz="1000" b="1" baseline="0">
              <a:solidFill>
                <a:schemeClr val="lt1"/>
              </a:solidFill>
              <a:latin typeface="Times New Roman" pitchFamily="18" charset="0"/>
              <a:ea typeface="+mn-ea"/>
              <a:cs typeface="Times New Roman" pitchFamily="18" charset="0"/>
            </a:rPr>
            <a:t>Камышлинский район демонстрирует стабильно низкие результаты по валовому сбору и урожайности зерновых и зернобобовых культур,  по производству мяса в 2013-2017 гг</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0.99792</cdr:x>
      <cdr:y>0.1905</cdr:y>
    </cdr:to>
    <cdr:sp macro="" textlink="">
      <cdr:nvSpPr>
        <cdr:cNvPr id="3" name="Прямоугольник 2"/>
        <cdr:cNvSpPr/>
      </cdr:nvSpPr>
      <cdr:spPr>
        <a:xfrm xmlns:a="http://schemas.openxmlformats.org/drawingml/2006/main">
          <a:off x="0" y="-94581"/>
          <a:ext cx="5245216" cy="496911"/>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fontAlgn="base"/>
          <a:r>
            <a:rPr lang="ru-RU" sz="1100" b="1">
              <a:solidFill>
                <a:schemeClr val="lt1"/>
              </a:solidFill>
              <a:latin typeface="Times New Roman" pitchFamily="18" charset="0"/>
              <a:ea typeface="+mn-ea"/>
              <a:cs typeface="Times New Roman" pitchFamily="18" charset="0"/>
            </a:rPr>
            <a:t>Динамика роста прибыли </a:t>
          </a:r>
          <a:r>
            <a:rPr lang="ru-RU" sz="1100" b="1" i="0" baseline="0">
              <a:solidFill>
                <a:schemeClr val="lt1"/>
              </a:solidFill>
              <a:latin typeface="Times New Roman" pitchFamily="18" charset="0"/>
              <a:ea typeface="+mn-ea"/>
              <a:cs typeface="Times New Roman" pitchFamily="18" charset="0"/>
            </a:rPr>
            <a:t>(тыс. руб.)</a:t>
          </a:r>
          <a:r>
            <a:rPr lang="ru-RU" sz="1100" b="1">
              <a:solidFill>
                <a:schemeClr val="lt1"/>
              </a:solidFill>
              <a:latin typeface="Times New Roman" pitchFamily="18" charset="0"/>
              <a:ea typeface="+mn-ea"/>
              <a:cs typeface="Times New Roman" pitchFamily="18" charset="0"/>
            </a:rPr>
            <a:t> </a:t>
          </a:r>
          <a:r>
            <a:rPr lang="ru-RU" sz="1100" b="1" i="0" baseline="0">
              <a:solidFill>
                <a:schemeClr val="lt1"/>
              </a:solidFill>
              <a:latin typeface="Times New Roman" pitchFamily="18" charset="0"/>
              <a:ea typeface="+mn-ea"/>
              <a:cs typeface="Times New Roman" pitchFamily="18" charset="0"/>
            </a:rPr>
            <a:t>сельскохозяйственных предприятий Камышлинского района в 2012-2016 гг. </a:t>
          </a:r>
          <a:r>
            <a:rPr lang="ru-RU" sz="1100" b="1">
              <a:solidFill>
                <a:schemeClr val="lt1"/>
              </a:solidFill>
              <a:latin typeface="Times New Roman" pitchFamily="18" charset="0"/>
              <a:ea typeface="+mn-ea"/>
              <a:cs typeface="Times New Roman" pitchFamily="18" charset="0"/>
            </a:rPr>
            <a:t>неустойчива</a:t>
          </a:r>
          <a:endParaRPr lang="ru-RU" sz="1200" b="1" i="0" baseline="0">
            <a:solidFill>
              <a:schemeClr val="lt1"/>
            </a:solidFill>
            <a:latin typeface="Times New Roman" pitchFamily="18" charset="0"/>
            <a:ea typeface="+mn-ea"/>
            <a:cs typeface="Times New Roman" pitchFamily="18"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0.61595</cdr:x>
      <cdr:y>0.94558</cdr:y>
    </cdr:from>
    <cdr:to>
      <cdr:x>0.64467</cdr:x>
      <cdr:y>0.96547</cdr:y>
    </cdr:to>
    <cdr:sp macro="" textlink="">
      <cdr:nvSpPr>
        <cdr:cNvPr id="2" name="Равнобедренный треугольник 1"/>
        <cdr:cNvSpPr/>
      </cdr:nvSpPr>
      <cdr:spPr>
        <a:xfrm xmlns:a="http://schemas.openxmlformats.org/drawingml/2006/main">
          <a:off x="2622535" y="4260153"/>
          <a:ext cx="122280" cy="89611"/>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0.64504</cdr:x>
      <cdr:y>0.9343</cdr:y>
    </cdr:from>
    <cdr:to>
      <cdr:x>0.89361</cdr:x>
      <cdr:y>0.96838</cdr:y>
    </cdr:to>
    <cdr:sp macro="" textlink="">
      <cdr:nvSpPr>
        <cdr:cNvPr id="3" name="TextBox 1"/>
        <cdr:cNvSpPr txBox="1"/>
      </cdr:nvSpPr>
      <cdr:spPr>
        <a:xfrm xmlns:a="http://schemas.openxmlformats.org/drawingml/2006/main">
          <a:off x="2746383" y="4209325"/>
          <a:ext cx="1058330" cy="1535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51798,3</a:t>
          </a:r>
        </a:p>
      </cdr:txBody>
    </cdr:sp>
  </cdr:relSizeAnchor>
  <cdr:relSizeAnchor xmlns:cdr="http://schemas.openxmlformats.org/drawingml/2006/chartDrawing">
    <cdr:from>
      <cdr:x>0.00224</cdr:x>
      <cdr:y>0.00423</cdr:y>
    </cdr:from>
    <cdr:to>
      <cdr:x>0.99776</cdr:x>
      <cdr:y>0.13701</cdr:y>
    </cdr:to>
    <cdr:sp macro="" textlink="">
      <cdr:nvSpPr>
        <cdr:cNvPr id="4" name="Прямоугольник 3"/>
        <cdr:cNvSpPr/>
      </cdr:nvSpPr>
      <cdr:spPr>
        <a:xfrm xmlns:a="http://schemas.openxmlformats.org/drawingml/2006/main">
          <a:off x="6546" y="19762"/>
          <a:ext cx="2909432" cy="620318"/>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indent="0" algn="ctr" rtl="0"/>
          <a:r>
            <a:rPr lang="ru-RU" sz="1100" b="1" i="0" baseline="0">
              <a:solidFill>
                <a:schemeClr val="lt1"/>
              </a:solidFill>
              <a:latin typeface="Times New Roman" pitchFamily="18" charset="0"/>
              <a:ea typeface="+mn-ea"/>
              <a:cs typeface="Times New Roman" pitchFamily="18" charset="0"/>
            </a:rPr>
            <a:t>Камышлинский район занимает  11  место по обороту розничной торговли на душу</a:t>
          </a:r>
        </a:p>
      </cdr:txBody>
    </cdr:sp>
  </cdr:relSizeAnchor>
</c:userShapes>
</file>

<file path=word/drawings/drawing19.xml><?xml version="1.0" encoding="utf-8"?>
<c:userShapes xmlns:c="http://schemas.openxmlformats.org/drawingml/2006/chart">
  <cdr:relSizeAnchor xmlns:cdr="http://schemas.openxmlformats.org/drawingml/2006/chartDrawing">
    <cdr:from>
      <cdr:x>0</cdr:x>
      <cdr:y>0</cdr:y>
    </cdr:from>
    <cdr:to>
      <cdr:x>0.99772</cdr:x>
      <cdr:y>0.13609</cdr:y>
    </cdr:to>
    <cdr:sp macro="" textlink="">
      <cdr:nvSpPr>
        <cdr:cNvPr id="2" name="Прямоугольник 1"/>
        <cdr:cNvSpPr/>
      </cdr:nvSpPr>
      <cdr:spPr>
        <a:xfrm xmlns:a="http://schemas.openxmlformats.org/drawingml/2006/main">
          <a:off x="0" y="0"/>
          <a:ext cx="3005192" cy="634365"/>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fontAlgn="base"/>
          <a:r>
            <a:rPr lang="ru-RU" sz="1100" b="1" i="0" baseline="0">
              <a:solidFill>
                <a:schemeClr val="lt1"/>
              </a:solidFill>
              <a:latin typeface="Times New Roman" pitchFamily="18" charset="0"/>
              <a:ea typeface="+mn-ea"/>
              <a:cs typeface="Times New Roman" pitchFamily="18" charset="0"/>
            </a:rPr>
            <a:t>Камышлинский район занимает 1 место по обороту </a:t>
          </a:r>
          <a:r>
            <a:rPr lang="ru-RU" sz="1200" b="1" i="0" baseline="0">
              <a:solidFill>
                <a:schemeClr val="lt1"/>
              </a:solidFill>
              <a:latin typeface="Times New Roman" pitchFamily="18" charset="0"/>
              <a:ea typeface="+mn-ea"/>
              <a:cs typeface="Times New Roman" pitchFamily="18" charset="0"/>
            </a:rPr>
            <a:t>общественного</a:t>
          </a:r>
          <a:r>
            <a:rPr lang="ru-RU" sz="1100" b="1" i="0" baseline="0">
              <a:solidFill>
                <a:schemeClr val="lt1"/>
              </a:solidFill>
              <a:latin typeface="Times New Roman" pitchFamily="18" charset="0"/>
              <a:ea typeface="+mn-ea"/>
              <a:cs typeface="Times New Roman" pitchFamily="18" charset="0"/>
            </a:rPr>
            <a:t> питания на душу населения</a:t>
          </a:r>
        </a:p>
      </cdr:txBody>
    </cdr:sp>
  </cdr:relSizeAnchor>
</c:userShapes>
</file>

<file path=word/drawings/drawing2.xml><?xml version="1.0" encoding="utf-8"?>
<c:userShapes xmlns:c="http://schemas.openxmlformats.org/drawingml/2006/chart">
  <cdr:relSizeAnchor xmlns:cdr="http://schemas.openxmlformats.org/drawingml/2006/chartDrawing">
    <cdr:from>
      <cdr:x>0.40865</cdr:x>
      <cdr:y>0.05601</cdr:y>
    </cdr:from>
    <cdr:to>
      <cdr:x>0.40958</cdr:x>
      <cdr:y>0.91651</cdr:y>
    </cdr:to>
    <cdr:cxnSp macro="">
      <cdr:nvCxnSpPr>
        <cdr:cNvPr id="3" name="Прямая соединительная линия 2"/>
        <cdr:cNvCxnSpPr/>
      </cdr:nvCxnSpPr>
      <cdr:spPr>
        <a:xfrm xmlns:a="http://schemas.openxmlformats.org/drawingml/2006/main" flipV="1">
          <a:off x="2300637" y="201974"/>
          <a:ext cx="5235" cy="3103105"/>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0.09203</cdr:x>
      <cdr:y>0.43996</cdr:y>
    </cdr:from>
    <cdr:to>
      <cdr:x>0.90319</cdr:x>
      <cdr:y>0.44588</cdr:y>
    </cdr:to>
    <cdr:cxnSp macro="">
      <cdr:nvCxnSpPr>
        <cdr:cNvPr id="6" name="Прямая соединительная линия 5"/>
        <cdr:cNvCxnSpPr/>
      </cdr:nvCxnSpPr>
      <cdr:spPr>
        <a:xfrm xmlns:a="http://schemas.openxmlformats.org/drawingml/2006/main">
          <a:off x="500323" y="1412242"/>
          <a:ext cx="4409608" cy="18992"/>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0.47967</cdr:x>
      <cdr:y>0.97551</cdr:y>
    </cdr:from>
    <cdr:to>
      <cdr:x>0.50341</cdr:x>
      <cdr:y>0.99574</cdr:y>
    </cdr:to>
    <cdr:sp macro="" textlink="">
      <cdr:nvSpPr>
        <cdr:cNvPr id="3" name="Равнобедренный треугольник 2"/>
        <cdr:cNvSpPr/>
      </cdr:nvSpPr>
      <cdr:spPr>
        <a:xfrm xmlns:a="http://schemas.openxmlformats.org/drawingml/2006/main">
          <a:off x="2488002" y="4846158"/>
          <a:ext cx="123137" cy="100499"/>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0.73846</cdr:x>
      <cdr:y>0.98234</cdr:y>
    </cdr:from>
    <cdr:to>
      <cdr:x>0.81786</cdr:x>
      <cdr:y>0.99839</cdr:y>
    </cdr:to>
    <cdr:sp macro="" textlink="">
      <cdr:nvSpPr>
        <cdr:cNvPr id="4" name="TextBox 3"/>
        <cdr:cNvSpPr txBox="1"/>
      </cdr:nvSpPr>
      <cdr:spPr>
        <a:xfrm xmlns:a="http://schemas.openxmlformats.org/drawingml/2006/main">
          <a:off x="3829051" y="4938794"/>
          <a:ext cx="411674" cy="80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0.51076</cdr:x>
      <cdr:y>0.95579</cdr:y>
    </cdr:from>
    <cdr:to>
      <cdr:x>0.73994</cdr:x>
      <cdr:y>1</cdr:y>
    </cdr:to>
    <cdr:sp macro="" textlink="">
      <cdr:nvSpPr>
        <cdr:cNvPr id="5" name="TextBox 4"/>
        <cdr:cNvSpPr txBox="1"/>
      </cdr:nvSpPr>
      <cdr:spPr>
        <a:xfrm xmlns:a="http://schemas.openxmlformats.org/drawingml/2006/main">
          <a:off x="2649259" y="4758773"/>
          <a:ext cx="1188732" cy="2196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latin typeface="Times New Roman" pitchFamily="18" charset="0"/>
              <a:cs typeface="Times New Roman" pitchFamily="18" charset="0"/>
            </a:rPr>
            <a:t>Среднее: 79,8</a:t>
          </a:r>
        </a:p>
      </cdr:txBody>
    </cdr:sp>
  </cdr:relSizeAnchor>
  <cdr:relSizeAnchor xmlns:cdr="http://schemas.openxmlformats.org/drawingml/2006/chartDrawing">
    <cdr:from>
      <cdr:x>0</cdr:x>
      <cdr:y>2.34541E-7</cdr:y>
    </cdr:from>
    <cdr:to>
      <cdr:x>1</cdr:x>
      <cdr:y>0.10294</cdr:y>
    </cdr:to>
    <cdr:sp macro="" textlink="">
      <cdr:nvSpPr>
        <cdr:cNvPr id="6" name="Прямоугольник 5"/>
        <cdr:cNvSpPr/>
      </cdr:nvSpPr>
      <cdr:spPr>
        <a:xfrm xmlns:a="http://schemas.openxmlformats.org/drawingml/2006/main">
          <a:off x="0" y="1"/>
          <a:ext cx="4978783" cy="438911"/>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a:r>
            <a:rPr lang="ru-RU" sz="1000" b="1" i="0" baseline="0">
              <a:solidFill>
                <a:schemeClr val="lt1"/>
              </a:solidFill>
              <a:latin typeface="Times New Roman" pitchFamily="18" charset="0"/>
              <a:ea typeface="+mn-ea"/>
              <a:cs typeface="Times New Roman" pitchFamily="18" charset="0"/>
            </a:rPr>
            <a:t>Камышлинский район занимает  12  место среди муниципальных районов Самарской области по инвестициям в основной капитал на душу населения</a:t>
          </a:r>
          <a:r>
            <a:rPr lang="ru-RU" sz="1000" b="1" i="0" baseline="30000">
              <a:solidFill>
                <a:schemeClr val="lt1"/>
              </a:solidFill>
              <a:latin typeface="Times New Roman" pitchFamily="18" charset="0"/>
              <a:ea typeface="+mn-ea"/>
              <a:cs typeface="Times New Roman" pitchFamily="18" charset="0"/>
            </a:rPr>
            <a:t>  </a:t>
          </a:r>
          <a:endParaRPr lang="ru-RU" sz="1000">
            <a:latin typeface="Times New Roman" pitchFamily="18" charset="0"/>
            <a:cs typeface="Times New Roman"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cdr:x>
      <cdr:y>0.00298</cdr:y>
    </cdr:from>
    <cdr:to>
      <cdr:x>1</cdr:x>
      <cdr:y>0.12739</cdr:y>
    </cdr:to>
    <cdr:sp macro="" textlink="">
      <cdr:nvSpPr>
        <cdr:cNvPr id="2" name="Прямоугольник 1"/>
        <cdr:cNvSpPr/>
      </cdr:nvSpPr>
      <cdr:spPr>
        <a:xfrm xmlns:a="http://schemas.openxmlformats.org/drawingml/2006/main">
          <a:off x="0" y="11551"/>
          <a:ext cx="5695569" cy="482225"/>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fontAlgn="base"/>
          <a:r>
            <a:rPr lang="ru-RU" sz="1200" b="1" i="0" baseline="0">
              <a:solidFill>
                <a:schemeClr val="lt1"/>
              </a:solidFill>
              <a:latin typeface="Times New Roman" pitchFamily="18" charset="0"/>
              <a:ea typeface="+mn-ea"/>
              <a:cs typeface="Times New Roman" pitchFamily="18" charset="0"/>
            </a:rPr>
            <a:t>Камышлинский район характеризуется устойчивыми темпами роста инвестиционных вложений в экономику</a:t>
          </a:r>
        </a:p>
      </cdr:txBody>
    </cdr:sp>
  </cdr:relSizeAnchor>
</c:userShapes>
</file>

<file path=word/drawings/drawing22.xml><?xml version="1.0" encoding="utf-8"?>
<c:userShapes xmlns:c="http://schemas.openxmlformats.org/drawingml/2006/chart">
  <cdr:relSizeAnchor xmlns:cdr="http://schemas.openxmlformats.org/drawingml/2006/chartDrawing">
    <cdr:from>
      <cdr:x>0.57275</cdr:x>
      <cdr:y>0.961</cdr:y>
    </cdr:from>
    <cdr:to>
      <cdr:x>0.59649</cdr:x>
      <cdr:y>0.98123</cdr:y>
    </cdr:to>
    <cdr:sp macro="" textlink="">
      <cdr:nvSpPr>
        <cdr:cNvPr id="3" name="Равнобедренный треугольник 2"/>
        <cdr:cNvSpPr/>
      </cdr:nvSpPr>
      <cdr:spPr>
        <a:xfrm xmlns:a="http://schemas.openxmlformats.org/drawingml/2006/main">
          <a:off x="2625305" y="3608701"/>
          <a:ext cx="108816" cy="75966"/>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0.73846</cdr:x>
      <cdr:y>0.98234</cdr:y>
    </cdr:from>
    <cdr:to>
      <cdr:x>0.81786</cdr:x>
      <cdr:y>0.99839</cdr:y>
    </cdr:to>
    <cdr:sp macro="" textlink="">
      <cdr:nvSpPr>
        <cdr:cNvPr id="4" name="TextBox 3"/>
        <cdr:cNvSpPr txBox="1"/>
      </cdr:nvSpPr>
      <cdr:spPr>
        <a:xfrm xmlns:a="http://schemas.openxmlformats.org/drawingml/2006/main">
          <a:off x="3829051" y="4938794"/>
          <a:ext cx="411674" cy="807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a:p>
      </cdr:txBody>
    </cdr:sp>
  </cdr:relSizeAnchor>
  <cdr:relSizeAnchor xmlns:cdr="http://schemas.openxmlformats.org/drawingml/2006/chartDrawing">
    <cdr:from>
      <cdr:x>0.5982</cdr:x>
      <cdr:y>0.90324</cdr:y>
    </cdr:from>
    <cdr:to>
      <cdr:x>0.97878</cdr:x>
      <cdr:y>0.97976</cdr:y>
    </cdr:to>
    <cdr:sp macro="" textlink="">
      <cdr:nvSpPr>
        <cdr:cNvPr id="5" name="TextBox 4"/>
        <cdr:cNvSpPr txBox="1"/>
      </cdr:nvSpPr>
      <cdr:spPr>
        <a:xfrm xmlns:a="http://schemas.openxmlformats.org/drawingml/2006/main">
          <a:off x="2743079" y="3248626"/>
          <a:ext cx="1745187" cy="2752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00" b="1" i="1">
              <a:latin typeface="Times New Roman" pitchFamily="18" charset="0"/>
              <a:cs typeface="Times New Roman" pitchFamily="18" charset="0"/>
            </a:rPr>
            <a:t>Среднее: 18637,1</a:t>
          </a:r>
        </a:p>
      </cdr:txBody>
    </cdr:sp>
  </cdr:relSizeAnchor>
  <cdr:relSizeAnchor xmlns:cdr="http://schemas.openxmlformats.org/drawingml/2006/chartDrawing">
    <cdr:from>
      <cdr:x>0</cdr:x>
      <cdr:y>0.00426</cdr:y>
    </cdr:from>
    <cdr:to>
      <cdr:x>0.9995</cdr:x>
      <cdr:y>0.13143</cdr:y>
    </cdr:to>
    <cdr:sp macro="" textlink="">
      <cdr:nvSpPr>
        <cdr:cNvPr id="6" name="Прямоугольник 5"/>
        <cdr:cNvSpPr/>
      </cdr:nvSpPr>
      <cdr:spPr>
        <a:xfrm xmlns:a="http://schemas.openxmlformats.org/drawingml/2006/main">
          <a:off x="0" y="14226"/>
          <a:ext cx="4589399" cy="424686"/>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rtl="0"/>
          <a:r>
            <a:rPr lang="ru-RU" sz="1000" b="1" i="0" baseline="0">
              <a:solidFill>
                <a:schemeClr val="lt1"/>
              </a:solidFill>
              <a:latin typeface="Times New Roman" pitchFamily="18" charset="0"/>
              <a:ea typeface="+mn-ea"/>
              <a:cs typeface="Times New Roman" pitchFamily="18" charset="0"/>
            </a:rPr>
            <a:t>Камышлинский р-он занимает  11  место среди муниципальных районов Самарской области по расходам  местного бюджета на душу населения</a:t>
          </a:r>
          <a:endParaRPr lang="ru-RU" sz="10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0.40619</cdr:x>
      <cdr:y>0.10904</cdr:y>
    </cdr:from>
    <cdr:to>
      <cdr:x>0.40919</cdr:x>
      <cdr:y>0.8984</cdr:y>
    </cdr:to>
    <cdr:cxnSp macro="">
      <cdr:nvCxnSpPr>
        <cdr:cNvPr id="3" name="Прямая соединительная линия 2"/>
        <cdr:cNvCxnSpPr/>
      </cdr:nvCxnSpPr>
      <cdr:spPr>
        <a:xfrm xmlns:a="http://schemas.openxmlformats.org/drawingml/2006/main" flipH="1" flipV="1">
          <a:off x="2267795" y="441001"/>
          <a:ext cx="16750" cy="3192422"/>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0.10195</cdr:x>
      <cdr:y>0.7766</cdr:y>
    </cdr:from>
    <cdr:to>
      <cdr:x>0.95202</cdr:x>
      <cdr:y>0.78298</cdr:y>
    </cdr:to>
    <cdr:cxnSp macro="">
      <cdr:nvCxnSpPr>
        <cdr:cNvPr id="5" name="Прямая соединительная линия 4"/>
        <cdr:cNvCxnSpPr/>
      </cdr:nvCxnSpPr>
      <cdr:spPr>
        <a:xfrm xmlns:a="http://schemas.openxmlformats.org/drawingml/2006/main" flipV="1">
          <a:off x="647700" y="3476625"/>
          <a:ext cx="5400675" cy="28576"/>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1</cdr:x>
      <cdr:y>0.21215</cdr:y>
    </cdr:to>
    <cdr:sp macro="" textlink="">
      <cdr:nvSpPr>
        <cdr:cNvPr id="2" name="Прямоугольник 1"/>
        <cdr:cNvSpPr/>
      </cdr:nvSpPr>
      <cdr:spPr>
        <a:xfrm xmlns:a="http://schemas.openxmlformats.org/drawingml/2006/main">
          <a:off x="0" y="0"/>
          <a:ext cx="2414905" cy="695740"/>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0"/>
            </a:spcAft>
          </a:pPr>
          <a:r>
            <a:rPr lang="ru-RU" sz="1000" b="1" baseline="0">
              <a:solidFill>
                <a:schemeClr val="lt1"/>
              </a:solidFill>
              <a:effectLst/>
              <a:latin typeface="Times New Roman" pitchFamily="18" charset="0"/>
              <a:ea typeface="+mn-ea"/>
              <a:cs typeface="+mn-cs"/>
            </a:rPr>
            <a:t>Среднемесячная  заработная плата в районе находится  ниже среднего уровня  Самарской области и РФ</a:t>
          </a:r>
          <a:endParaRPr lang="ru-RU" sz="1000" b="1">
            <a:effectLst/>
            <a:latin typeface="Times New Roman" pitchFamily="18" charset="0"/>
            <a:ea typeface="Calibri"/>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0.2</cdr:y>
    </cdr:to>
    <cdr:sp macro="" textlink="">
      <cdr:nvSpPr>
        <cdr:cNvPr id="3" name="Прямоугольник 2"/>
        <cdr:cNvSpPr/>
      </cdr:nvSpPr>
      <cdr:spPr>
        <a:xfrm xmlns:a="http://schemas.openxmlformats.org/drawingml/2006/main">
          <a:off x="0" y="0"/>
          <a:ext cx="2474595" cy="685799"/>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001">
          <a:schemeClr val="dk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0"/>
            </a:spcAft>
          </a:pPr>
          <a:r>
            <a:rPr lang="ru-RU" sz="1000" b="1">
              <a:solidFill>
                <a:srgbClr val="FFFFFF"/>
              </a:solidFill>
              <a:effectLst/>
              <a:latin typeface="Times New Roman" pitchFamily="18" charset="0"/>
              <a:ea typeface="Calibri"/>
              <a:cs typeface="Times New Roman" pitchFamily="18" charset="0"/>
            </a:rPr>
            <a:t>Уровень зарегистрированной безработицы высокий по сравнению</a:t>
          </a:r>
          <a:r>
            <a:rPr lang="ru-RU" sz="1000" b="1" baseline="0">
              <a:solidFill>
                <a:srgbClr val="FFFFFF"/>
              </a:solidFill>
              <a:effectLst/>
              <a:latin typeface="Times New Roman" pitchFamily="18" charset="0"/>
              <a:ea typeface="Calibri"/>
              <a:cs typeface="Times New Roman" pitchFamily="18" charset="0"/>
            </a:rPr>
            <a:t> с  уровнем Самарской области и РФ</a:t>
          </a:r>
          <a:endParaRPr lang="ru-RU" sz="1000">
            <a:effectLst/>
            <a:latin typeface="Times New Roman" pitchFamily="18" charset="0"/>
            <a:ea typeface="Calibri"/>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0.5311</cdr:x>
      <cdr:y>0.93558</cdr:y>
    </cdr:from>
    <cdr:to>
      <cdr:x>0.7496</cdr:x>
      <cdr:y>0.98783</cdr:y>
    </cdr:to>
    <cdr:sp macro="" textlink="">
      <cdr:nvSpPr>
        <cdr:cNvPr id="2" name="TextBox 1"/>
        <cdr:cNvSpPr txBox="1"/>
      </cdr:nvSpPr>
      <cdr:spPr>
        <a:xfrm xmlns:a="http://schemas.openxmlformats.org/drawingml/2006/main">
          <a:off x="2718223" y="3458818"/>
          <a:ext cx="1118281" cy="1931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i="1">
              <a:latin typeface="Times New Roman" pitchFamily="18" charset="0"/>
              <a:cs typeface="Times New Roman" pitchFamily="18" charset="0"/>
            </a:rPr>
            <a:t>         </a:t>
          </a:r>
          <a:r>
            <a:rPr lang="ru-RU" sz="900" i="1">
              <a:latin typeface="Times New Roman" pitchFamily="18" charset="0"/>
              <a:cs typeface="Times New Roman" pitchFamily="18" charset="0"/>
            </a:rPr>
            <a:t>Среднее: </a:t>
          </a:r>
          <a:r>
            <a:rPr lang="en-US" sz="900" i="1">
              <a:latin typeface="Times New Roman" pitchFamily="18" charset="0"/>
              <a:cs typeface="Times New Roman" pitchFamily="18" charset="0"/>
            </a:rPr>
            <a:t>40</a:t>
          </a:r>
          <a:endParaRPr lang="ru-RU" sz="900" i="1">
            <a:latin typeface="Times New Roman" pitchFamily="18" charset="0"/>
            <a:cs typeface="Times New Roman" pitchFamily="18" charset="0"/>
          </a:endParaRPr>
        </a:p>
      </cdr:txBody>
    </cdr:sp>
  </cdr:relSizeAnchor>
  <cdr:relSizeAnchor xmlns:cdr="http://schemas.openxmlformats.org/drawingml/2006/chartDrawing">
    <cdr:from>
      <cdr:x>0.62597</cdr:x>
      <cdr:y>0.91907</cdr:y>
    </cdr:from>
    <cdr:to>
      <cdr:x>0.64545</cdr:x>
      <cdr:y>0.94136</cdr:y>
    </cdr:to>
    <cdr:sp macro="" textlink="">
      <cdr:nvSpPr>
        <cdr:cNvPr id="3" name="Равнобедренный треугольник 2"/>
        <cdr:cNvSpPr/>
      </cdr:nvSpPr>
      <cdr:spPr>
        <a:xfrm xmlns:a="http://schemas.openxmlformats.org/drawingml/2006/main">
          <a:off x="3941521" y="4143321"/>
          <a:ext cx="122696" cy="100465"/>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0.63242</cdr:x>
      <cdr:y>0.93063</cdr:y>
    </cdr:from>
    <cdr:to>
      <cdr:x>0.83598</cdr:x>
      <cdr:y>1</cdr:y>
    </cdr:to>
    <cdr:sp macro="" textlink="">
      <cdr:nvSpPr>
        <cdr:cNvPr id="2" name="TextBox 1"/>
        <cdr:cNvSpPr txBox="1"/>
      </cdr:nvSpPr>
      <cdr:spPr>
        <a:xfrm xmlns:a="http://schemas.openxmlformats.org/drawingml/2006/main">
          <a:off x="3658555" y="3912129"/>
          <a:ext cx="1177576" cy="2916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900" i="1">
              <a:latin typeface="Times New Roman" pitchFamily="18" charset="0"/>
              <a:cs typeface="Times New Roman" pitchFamily="18" charset="0"/>
            </a:rPr>
            <a:t>Среднее: 22,7 </a:t>
          </a:r>
        </a:p>
      </cdr:txBody>
    </cdr:sp>
  </cdr:relSizeAnchor>
  <cdr:relSizeAnchor xmlns:cdr="http://schemas.openxmlformats.org/drawingml/2006/chartDrawing">
    <cdr:from>
      <cdr:x>0.68282</cdr:x>
      <cdr:y>0.88347</cdr:y>
    </cdr:from>
    <cdr:to>
      <cdr:x>0.71025</cdr:x>
      <cdr:y>0.92371</cdr:y>
    </cdr:to>
    <cdr:sp macro="" textlink="">
      <cdr:nvSpPr>
        <cdr:cNvPr id="3" name="Равнобедренный треугольник 2"/>
        <cdr:cNvSpPr/>
      </cdr:nvSpPr>
      <cdr:spPr>
        <a:xfrm xmlns:a="http://schemas.openxmlformats.org/drawingml/2006/main">
          <a:off x="3950073" y="3713871"/>
          <a:ext cx="158730" cy="169172"/>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endParaRPr lang="ru-RU" sz="1200" b="1">
            <a:latin typeface="Times New Roman" pitchFamily="18" charset="0"/>
            <a:cs typeface="Times New Roman" pitchFamily="18" charset="0"/>
          </a:endParaRPr>
        </a:p>
      </cdr:txBody>
    </cdr:sp>
  </cdr:relSizeAnchor>
  <cdr:relSizeAnchor xmlns:cdr="http://schemas.openxmlformats.org/drawingml/2006/chartDrawing">
    <cdr:from>
      <cdr:x>0.84082</cdr:x>
      <cdr:y>0.17513</cdr:y>
    </cdr:from>
    <cdr:to>
      <cdr:x>1</cdr:x>
      <cdr:y>0.37881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95042" y="516890"/>
          <a:ext cx="794181" cy="601158"/>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0.15344</cdr:x>
      <cdr:y>0.48177</cdr:y>
    </cdr:from>
    <cdr:to>
      <cdr:x>0.9342</cdr:x>
      <cdr:y>0.49007</cdr:y>
    </cdr:to>
    <cdr:cxnSp macro="">
      <cdr:nvCxnSpPr>
        <cdr:cNvPr id="2" name="Прямая соединительная линия 1"/>
        <cdr:cNvCxnSpPr/>
      </cdr:nvCxnSpPr>
      <cdr:spPr>
        <a:xfrm xmlns:a="http://schemas.openxmlformats.org/drawingml/2006/main">
          <a:off x="625236" y="1436326"/>
          <a:ext cx="3181451" cy="24727"/>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0.38673</cdr:x>
      <cdr:y>0.02669</cdr:y>
    </cdr:from>
    <cdr:to>
      <cdr:x>0.39494</cdr:x>
      <cdr:y>0.87292</cdr:y>
    </cdr:to>
    <cdr:cxnSp macro="">
      <cdr:nvCxnSpPr>
        <cdr:cNvPr id="3" name="Прямая соединительная линия 2"/>
        <cdr:cNvCxnSpPr/>
      </cdr:nvCxnSpPr>
      <cdr:spPr>
        <a:xfrm xmlns:a="http://schemas.openxmlformats.org/drawingml/2006/main" flipH="1" flipV="1">
          <a:off x="1679713" y="109331"/>
          <a:ext cx="35684" cy="3466469"/>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0.53625</cdr:x>
      <cdr:y>0.93427</cdr:y>
    </cdr:from>
    <cdr:to>
      <cdr:x>0.55471</cdr:x>
      <cdr:y>0.9625</cdr:y>
    </cdr:to>
    <cdr:sp macro="" textlink="">
      <cdr:nvSpPr>
        <cdr:cNvPr id="2" name="Равнобедренный треугольник 1"/>
        <cdr:cNvSpPr/>
      </cdr:nvSpPr>
      <cdr:spPr>
        <a:xfrm xmlns:a="http://schemas.openxmlformats.org/drawingml/2006/main">
          <a:off x="2231435" y="3944006"/>
          <a:ext cx="126379" cy="116842"/>
        </a:xfrm>
        <a:prstGeom xmlns:a="http://schemas.openxmlformats.org/drawingml/2006/main" prst="triangle">
          <a:avLst/>
        </a:prstGeom>
        <a:solidFill xmlns:a="http://schemas.openxmlformats.org/drawingml/2006/main">
          <a:sysClr val="window" lastClr="FFFFFF">
            <a:lumMod val="50000"/>
          </a:sysClr>
        </a:solidFill>
        <a:ln xmlns:a="http://schemas.openxmlformats.org/drawingml/2006/main" w="9525" cap="flat" cmpd="sng" algn="ctr">
          <a:noFill/>
          <a:prstDash val="solid"/>
        </a:ln>
        <a:effectLst xmlns:a="http://schemas.openxmlformats.org/drawingml/2006/main">
          <a:outerShdw blurRad="40000" dist="20000" dir="5400000" rotWithShape="0">
            <a:srgbClr val="000000">
              <a:alpha val="38000"/>
            </a:srgbClr>
          </a:outerShdw>
        </a:effectLst>
      </cdr:spPr>
      <cdr:style>
        <a:lnRef xmlns:a="http://schemas.openxmlformats.org/drawingml/2006/main" idx="1">
          <a:schemeClr val="dk1"/>
        </a:lnRef>
        <a:fillRef xmlns:a="http://schemas.openxmlformats.org/drawingml/2006/main" idx="2">
          <a:schemeClr val="dk1"/>
        </a:fillRef>
        <a:effectRef xmlns:a="http://schemas.openxmlformats.org/drawingml/2006/main" idx="1">
          <a:schemeClr val="dk1"/>
        </a:effectRef>
        <a:fontRef xmlns:a="http://schemas.openxmlformats.org/drawingml/2006/main" idx="minor">
          <a:schemeClr val="dk1"/>
        </a:fontRef>
      </cdr:style>
      <cdr:txBody>
        <a:bodyPr xmlns:a="http://schemas.openxmlformats.org/drawingml/2006/main" rtlCol="0" anchor="ctr"/>
        <a:lstStyle xmlns:a="http://schemas.openxmlformats.org/drawingml/2006/main"/>
        <a:p xmlns:a="http://schemas.openxmlformats.org/drawingml/2006/main">
          <a:endParaRPr lang="ru-RU"/>
        </a:p>
      </cdr:txBody>
    </cdr:sp>
  </cdr:relSizeAnchor>
  <cdr:relSizeAnchor xmlns:cdr="http://schemas.openxmlformats.org/drawingml/2006/chartDrawing">
    <cdr:from>
      <cdr:x>0.54536</cdr:x>
      <cdr:y>0.94869</cdr:y>
    </cdr:from>
    <cdr:to>
      <cdr:x>0.73631</cdr:x>
      <cdr:y>0.99799</cdr:y>
    </cdr:to>
    <cdr:sp macro="" textlink="">
      <cdr:nvSpPr>
        <cdr:cNvPr id="6" name="TextBox 5"/>
        <cdr:cNvSpPr txBox="1"/>
      </cdr:nvSpPr>
      <cdr:spPr>
        <a:xfrm xmlns:a="http://schemas.openxmlformats.org/drawingml/2006/main">
          <a:off x="2270358" y="3811965"/>
          <a:ext cx="928515" cy="1917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i="1" baseline="0">
              <a:latin typeface="Times New Roman" pitchFamily="18" charset="0"/>
              <a:cs typeface="Times New Roman" pitchFamily="18" charset="0"/>
            </a:rPr>
            <a:t>Среднее</a:t>
          </a:r>
          <a:r>
            <a:rPr lang="ru-RU" sz="900" i="1">
              <a:latin typeface="Times New Roman" pitchFamily="18" charset="0"/>
              <a:cs typeface="Times New Roman" pitchFamily="18" charset="0"/>
            </a:rPr>
            <a:t>: 39,7 </a:t>
          </a:r>
        </a:p>
      </cdr:txBody>
    </cdr:sp>
  </cdr:relSizeAnchor>
  <cdr:relSizeAnchor xmlns:cdr="http://schemas.openxmlformats.org/drawingml/2006/chartDrawing">
    <cdr:from>
      <cdr:x>0</cdr:x>
      <cdr:y>2.42996E-7</cdr:y>
    </cdr:from>
    <cdr:to>
      <cdr:x>1</cdr:x>
      <cdr:y>0.14693</cdr:y>
    </cdr:to>
    <cdr:sp macro="" textlink="">
      <cdr:nvSpPr>
        <cdr:cNvPr id="4" name="Прямоугольник 3"/>
        <cdr:cNvSpPr>
          <a:spLocks xmlns:a="http://schemas.openxmlformats.org/drawingml/2006/main" noChangeArrowheads="1"/>
        </cdr:cNvSpPr>
      </cdr:nvSpPr>
      <cdr:spPr bwMode="auto">
        <a:xfrm xmlns:a="http://schemas.openxmlformats.org/drawingml/2006/main">
          <a:off x="0" y="1"/>
          <a:ext cx="4225192" cy="586154"/>
        </a:xfrm>
        <a:prstGeom xmlns:a="http://schemas.openxmlformats.org/drawingml/2006/main" prst="rect">
          <a:avLst/>
        </a:prstGeom>
        <a:solidFill xmlns:a="http://schemas.openxmlformats.org/drawingml/2006/main">
          <a:srgbClr val="365F91"/>
        </a:solidFill>
        <a:ln xmlns:a="http://schemas.openxmlformats.org/drawingml/2006/main" w="9525">
          <a:solidFill>
            <a:srgbClr val="365F91"/>
          </a:solidFill>
          <a:miter lim="800000"/>
          <a:headEnd/>
          <a:tailEnd/>
        </a:ln>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gn="ctr">
            <a:lnSpc>
              <a:spcPct val="115000"/>
            </a:lnSpc>
            <a:spcAft>
              <a:spcPts val="0"/>
            </a:spcAft>
          </a:pPr>
          <a:r>
            <a:rPr lang="ru-RU" sz="1000" b="1">
              <a:solidFill>
                <a:srgbClr val="FFFFFF"/>
              </a:solidFill>
              <a:effectLst/>
              <a:latin typeface="Times New Roman" pitchFamily="18" charset="0"/>
              <a:ea typeface="Calibri"/>
              <a:cs typeface="Times New Roman" pitchFamily="18" charset="0"/>
            </a:rPr>
            <a:t>Камышлинский район занимает 4 место по обеспеченности населения спортивнымт сооружениями среди районов Самарской области </a:t>
          </a:r>
          <a:endParaRPr lang="ru-RU" sz="1000">
            <a:effectLst/>
            <a:latin typeface="Times New Roman" pitchFamily="18" charset="0"/>
            <a:ea typeface="Calibri"/>
            <a:cs typeface="Times New Roman" pitchFamily="18" charset="0"/>
          </a:endParaRPr>
        </a:p>
        <a:p xmlns:a="http://schemas.openxmlformats.org/drawingml/2006/main">
          <a:pPr algn="ctr">
            <a:lnSpc>
              <a:spcPct val="115000"/>
            </a:lnSpc>
            <a:spcAft>
              <a:spcPts val="0"/>
            </a:spcAft>
          </a:pPr>
          <a:r>
            <a:rPr lang="ru-RU" sz="1000" b="1">
              <a:solidFill>
                <a:srgbClr val="FFFFFF"/>
              </a:solidFill>
              <a:effectLst/>
              <a:latin typeface="Times New Roman" pitchFamily="18" charset="0"/>
              <a:ea typeface="Calibri"/>
              <a:cs typeface="Times New Roman" pitchFamily="18" charset="0"/>
            </a:rPr>
            <a:t> </a:t>
          </a:r>
          <a:endParaRPr lang="ru-RU" sz="1000">
            <a:effectLst/>
            <a:latin typeface="Times New Roman" pitchFamily="18" charset="0"/>
            <a:ea typeface="Calibri"/>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CC8BB0-D812-4DD6-8BDD-DAD5B9807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TotalTime>
  <Pages>115</Pages>
  <Words>29492</Words>
  <Characters>168105</Characters>
  <Application>Microsoft Office Word</Application>
  <DocSecurity>0</DocSecurity>
  <Lines>1400</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Safin</cp:lastModifiedBy>
  <cp:revision>24</cp:revision>
  <cp:lastPrinted>2018-10-29T11:21:00Z</cp:lastPrinted>
  <dcterms:created xsi:type="dcterms:W3CDTF">2019-10-01T10:16:00Z</dcterms:created>
  <dcterms:modified xsi:type="dcterms:W3CDTF">2020-02-14T06:45:00Z</dcterms:modified>
</cp:coreProperties>
</file>