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3.xml" ContentType="application/vnd.openxmlformats-officedocument.drawingml.chartshapes+xml"/>
  <Override PartName="/word/charts/chart13.xml" ContentType="application/vnd.openxmlformats-officedocument.drawingml.chart+xml"/>
  <Override PartName="/word/drawings/drawing4.xml" ContentType="application/vnd.openxmlformats-officedocument.drawingml.chartshapes+xml"/>
  <Override PartName="/word/charts/chart14.xml" ContentType="application/vnd.openxmlformats-officedocument.drawingml.chart+xml"/>
  <Override PartName="/word/drawings/drawing5.xml" ContentType="application/vnd.openxmlformats-officedocument.drawingml.chartshapes+xml"/>
  <Override PartName="/word/charts/chart15.xml" ContentType="application/vnd.openxmlformats-officedocument.drawingml.chart+xml"/>
  <Override PartName="/word/theme/themeOverride12.xml" ContentType="application/vnd.openxmlformats-officedocument.themeOverride+xml"/>
  <Override PartName="/word/drawings/drawing6.xml" ContentType="application/vnd.openxmlformats-officedocument.drawingml.chartshapes+xml"/>
  <Override PartName="/word/charts/chart16.xml" ContentType="application/vnd.openxmlformats-officedocument.drawingml.chart+xml"/>
  <Override PartName="/word/theme/themeOverride13.xml" ContentType="application/vnd.openxmlformats-officedocument.themeOverride+xml"/>
  <Override PartName="/word/drawings/drawing7.xml" ContentType="application/vnd.openxmlformats-officedocument.drawingml.chartshapes+xml"/>
  <Override PartName="/word/charts/chart17.xml" ContentType="application/vnd.openxmlformats-officedocument.drawingml.chart+xml"/>
  <Override PartName="/word/theme/themeOverride14.xml" ContentType="application/vnd.openxmlformats-officedocument.themeOverride+xml"/>
  <Override PartName="/word/drawings/drawing8.xml" ContentType="application/vnd.openxmlformats-officedocument.drawingml.chartshapes+xml"/>
  <Override PartName="/word/charts/chart18.xml" ContentType="application/vnd.openxmlformats-officedocument.drawingml.chart+xml"/>
  <Override PartName="/word/drawings/drawing9.xml" ContentType="application/vnd.openxmlformats-officedocument.drawingml.chartshapes+xml"/>
  <Override PartName="/word/charts/chart19.xml" ContentType="application/vnd.openxmlformats-officedocument.drawingml.chart+xml"/>
  <Override PartName="/word/theme/themeOverride15.xml" ContentType="application/vnd.openxmlformats-officedocument.themeOverride+xml"/>
  <Override PartName="/word/drawings/drawing10.xml" ContentType="application/vnd.openxmlformats-officedocument.drawingml.chartshapes+xml"/>
  <Override PartName="/word/charts/chart20.xml" ContentType="application/vnd.openxmlformats-officedocument.drawingml.chart+xml"/>
  <Override PartName="/word/theme/themeOverride16.xml" ContentType="application/vnd.openxmlformats-officedocument.themeOverride+xml"/>
  <Override PartName="/word/drawings/drawing11.xml" ContentType="application/vnd.openxmlformats-officedocument.drawingml.chartshapes+xml"/>
  <Override PartName="/word/charts/chart21.xml" ContentType="application/vnd.openxmlformats-officedocument.drawingml.chart+xml"/>
  <Override PartName="/word/charts/chart22.xml" ContentType="application/vnd.openxmlformats-officedocument.drawingml.chart+xml"/>
  <Override PartName="/word/drawings/drawing12.xml" ContentType="application/vnd.openxmlformats-officedocument.drawingml.chartshapes+xml"/>
  <Override PartName="/word/charts/chart23.xml" ContentType="application/vnd.openxmlformats-officedocument.drawingml.chart+xml"/>
  <Override PartName="/word/theme/themeOverride17.xml" ContentType="application/vnd.openxmlformats-officedocument.themeOverride+xml"/>
  <Override PartName="/word/drawings/drawing13.xml" ContentType="application/vnd.openxmlformats-officedocument.drawingml.chartshapes+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drawings/drawing14.xml" ContentType="application/vnd.openxmlformats-officedocument.drawingml.chartshapes+xml"/>
  <Override PartName="/word/charts/chart28.xml" ContentType="application/vnd.openxmlformats-officedocument.drawingml.chart+xml"/>
  <Override PartName="/word/theme/themeOverride22.xml" ContentType="application/vnd.openxmlformats-officedocument.themeOverride+xml"/>
  <Override PartName="/word/drawings/drawing15.xml" ContentType="application/vnd.openxmlformats-officedocument.drawingml.chartshapes+xml"/>
  <Override PartName="/word/charts/chart29.xml" ContentType="application/vnd.openxmlformats-officedocument.drawingml.chart+xml"/>
  <Override PartName="/word/theme/themeOverride23.xml" ContentType="application/vnd.openxmlformats-officedocument.themeOverride+xml"/>
  <Override PartName="/word/drawings/drawing16.xml" ContentType="application/vnd.openxmlformats-officedocument.drawingml.chartshapes+xml"/>
  <Override PartName="/word/charts/chart30.xml" ContentType="application/vnd.openxmlformats-officedocument.drawingml.chart+xml"/>
  <Override PartName="/word/theme/themeOverride24.xml" ContentType="application/vnd.openxmlformats-officedocument.themeOverride+xml"/>
  <Override PartName="/word/charts/chart31.xml" ContentType="application/vnd.openxmlformats-officedocument.drawingml.chart+xml"/>
  <Override PartName="/word/theme/themeOverride25.xml" ContentType="application/vnd.openxmlformats-officedocument.themeOverride+xml"/>
  <Override PartName="/word/charts/chart32.xml" ContentType="application/vnd.openxmlformats-officedocument.drawingml.chart+xml"/>
  <Override PartName="/word/theme/themeOverride26.xml" ContentType="application/vnd.openxmlformats-officedocument.themeOverride+xml"/>
  <Override PartName="/word/drawings/drawing17.xml" ContentType="application/vnd.openxmlformats-officedocument.drawingml.chartshapes+xml"/>
  <Override PartName="/word/charts/chart33.xml" ContentType="application/vnd.openxmlformats-officedocument.drawingml.chart+xml"/>
  <Override PartName="/word/charts/chart34.xml" ContentType="application/vnd.openxmlformats-officedocument.drawingml.chart+xml"/>
  <Override PartName="/word/theme/themeOverride27.xml" ContentType="application/vnd.openxmlformats-officedocument.themeOverride+xml"/>
  <Override PartName="/word/charts/chart35.xml" ContentType="application/vnd.openxmlformats-officedocument.drawingml.chart+xml"/>
  <Override PartName="/word/theme/themeOverride28.xml" ContentType="application/vnd.openxmlformats-officedocument.themeOverride+xml"/>
  <Override PartName="/word/charts/chart36.xml" ContentType="application/vnd.openxmlformats-officedocument.drawingml.chart+xml"/>
  <Override PartName="/word/theme/themeOverride29.xml" ContentType="application/vnd.openxmlformats-officedocument.themeOverride+xml"/>
  <Override PartName="/word/charts/chart37.xml" ContentType="application/vnd.openxmlformats-officedocument.drawingml.chart+xml"/>
  <Override PartName="/word/theme/themeOverride30.xml" ContentType="application/vnd.openxmlformats-officedocument.themeOverride+xml"/>
  <Override PartName="/word/drawings/drawing18.xml" ContentType="application/vnd.openxmlformats-officedocument.drawingml.chartshapes+xml"/>
  <Override PartName="/word/charts/chart38.xml" ContentType="application/vnd.openxmlformats-officedocument.drawingml.chart+xml"/>
  <Override PartName="/word/theme/themeOverride31.xml" ContentType="application/vnd.openxmlformats-officedocument.themeOverride+xml"/>
  <Override PartName="/word/drawings/drawing19.xml" ContentType="application/vnd.openxmlformats-officedocument.drawingml.chartshapes+xml"/>
  <Override PartName="/word/charts/chart39.xml" ContentType="application/vnd.openxmlformats-officedocument.drawingml.chart+xml"/>
  <Override PartName="/word/theme/themeOverride32.xml" ContentType="application/vnd.openxmlformats-officedocument.themeOverride+xml"/>
  <Override PartName="/word/charts/chart40.xml" ContentType="application/vnd.openxmlformats-officedocument.drawingml.chart+xml"/>
  <Override PartName="/word/theme/themeOverride33.xml" ContentType="application/vnd.openxmlformats-officedocument.themeOverride+xml"/>
  <Override PartName="/word/drawings/drawing20.xml" ContentType="application/vnd.openxmlformats-officedocument.drawingml.chartshapes+xml"/>
  <Override PartName="/word/charts/chart41.xml" ContentType="application/vnd.openxmlformats-officedocument.drawingml.chart+xml"/>
  <Override PartName="/word/theme/themeOverride34.xml" ContentType="application/vnd.openxmlformats-officedocument.themeOverride+xml"/>
  <Override PartName="/word/drawings/drawing21.xml" ContentType="application/vnd.openxmlformats-officedocument.drawingml.chartshapes+xml"/>
  <Override PartName="/word/charts/chart42.xml" ContentType="application/vnd.openxmlformats-officedocument.drawingml.chart+xml"/>
  <Override PartName="/word/theme/themeOverride35.xml" ContentType="application/vnd.openxmlformats-officedocument.themeOverride+xml"/>
  <Override PartName="/word/charts/chart43.xml" ContentType="application/vnd.openxmlformats-officedocument.drawingml.chart+xml"/>
  <Override PartName="/word/theme/themeOverride36.xml" ContentType="application/vnd.openxmlformats-officedocument.themeOverride+xml"/>
  <Override PartName="/word/charts/chart44.xml" ContentType="application/vnd.openxmlformats-officedocument.drawingml.chart+xml"/>
  <Override PartName="/word/theme/themeOverride37.xml" ContentType="application/vnd.openxmlformats-officedocument.themeOverride+xml"/>
  <Override PartName="/word/charts/chart45.xml" ContentType="application/vnd.openxmlformats-officedocument.drawingml.chart+xml"/>
  <Override PartName="/word/theme/themeOverride38.xml" ContentType="application/vnd.openxmlformats-officedocument.themeOverride+xml"/>
  <Override PartName="/word/drawings/drawing2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9"/>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tblGrid>
      <w:tr w:rsidR="00B06469" w:rsidTr="00B06469">
        <w:tc>
          <w:tcPr>
            <w:tcW w:w="4218" w:type="dxa"/>
          </w:tcPr>
          <w:p w:rsidR="00B06469" w:rsidRDefault="00B06469" w:rsidP="00B06469">
            <w:pPr>
              <w:pStyle w:val="10"/>
              <w:keepNext/>
              <w:keepLines/>
              <w:shd w:val="clear" w:color="auto" w:fill="auto"/>
              <w:spacing w:after="0" w:line="240" w:lineRule="auto"/>
              <w:ind w:firstLine="0"/>
              <w:jc w:val="right"/>
              <w:rPr>
                <w:b w:val="0"/>
                <w:sz w:val="22"/>
                <w:szCs w:val="22"/>
              </w:rPr>
            </w:pPr>
            <w:bookmarkStart w:id="0" w:name="bookmark0"/>
            <w:r w:rsidRPr="00B06469">
              <w:rPr>
                <w:b w:val="0"/>
                <w:sz w:val="22"/>
                <w:szCs w:val="22"/>
              </w:rPr>
              <w:t xml:space="preserve">Приложение </w:t>
            </w:r>
          </w:p>
          <w:p w:rsidR="00B06469" w:rsidRDefault="00B06469" w:rsidP="00B06469">
            <w:pPr>
              <w:pStyle w:val="10"/>
              <w:keepNext/>
              <w:keepLines/>
              <w:shd w:val="clear" w:color="auto" w:fill="auto"/>
              <w:spacing w:after="0" w:line="240" w:lineRule="auto"/>
              <w:ind w:firstLine="0"/>
              <w:jc w:val="right"/>
              <w:rPr>
                <w:b w:val="0"/>
                <w:sz w:val="22"/>
                <w:szCs w:val="22"/>
              </w:rPr>
            </w:pPr>
            <w:r w:rsidRPr="00B06469">
              <w:rPr>
                <w:b w:val="0"/>
                <w:sz w:val="22"/>
                <w:szCs w:val="22"/>
              </w:rPr>
              <w:t>к Решению Собрания представителей муниципального района</w:t>
            </w:r>
            <w:r>
              <w:rPr>
                <w:b w:val="0"/>
                <w:sz w:val="22"/>
                <w:szCs w:val="22"/>
              </w:rPr>
              <w:t xml:space="preserve"> </w:t>
            </w:r>
            <w:proofErr w:type="spellStart"/>
            <w:r w:rsidRPr="00B06469">
              <w:rPr>
                <w:b w:val="0"/>
                <w:sz w:val="22"/>
                <w:szCs w:val="22"/>
              </w:rPr>
              <w:t>Камышлинский</w:t>
            </w:r>
            <w:proofErr w:type="spellEnd"/>
            <w:r w:rsidRPr="00B06469">
              <w:rPr>
                <w:b w:val="0"/>
                <w:sz w:val="22"/>
                <w:szCs w:val="22"/>
              </w:rPr>
              <w:t xml:space="preserve"> </w:t>
            </w:r>
          </w:p>
          <w:p w:rsidR="00B06469" w:rsidRDefault="00B06469" w:rsidP="00B06469">
            <w:pPr>
              <w:pStyle w:val="10"/>
              <w:keepNext/>
              <w:keepLines/>
              <w:shd w:val="clear" w:color="auto" w:fill="auto"/>
              <w:spacing w:after="0" w:line="240" w:lineRule="auto"/>
              <w:ind w:firstLine="0"/>
              <w:jc w:val="right"/>
              <w:rPr>
                <w:b w:val="0"/>
                <w:sz w:val="22"/>
                <w:szCs w:val="22"/>
              </w:rPr>
            </w:pPr>
            <w:bookmarkStart w:id="1" w:name="_GoBack"/>
            <w:bookmarkEnd w:id="1"/>
            <w:r w:rsidRPr="00B06469">
              <w:rPr>
                <w:b w:val="0"/>
                <w:sz w:val="22"/>
                <w:szCs w:val="22"/>
              </w:rPr>
              <w:t>Самарской области</w:t>
            </w:r>
            <w:r>
              <w:rPr>
                <w:b w:val="0"/>
                <w:sz w:val="22"/>
                <w:szCs w:val="22"/>
              </w:rPr>
              <w:t xml:space="preserve"> </w:t>
            </w:r>
          </w:p>
          <w:p w:rsidR="00B06469" w:rsidRPr="00B06469" w:rsidRDefault="00B06469" w:rsidP="00B06469">
            <w:pPr>
              <w:pStyle w:val="10"/>
              <w:keepNext/>
              <w:keepLines/>
              <w:shd w:val="clear" w:color="auto" w:fill="auto"/>
              <w:spacing w:after="0" w:line="240" w:lineRule="auto"/>
              <w:ind w:firstLine="0"/>
              <w:jc w:val="right"/>
              <w:rPr>
                <w:b w:val="0"/>
                <w:sz w:val="22"/>
                <w:szCs w:val="22"/>
              </w:rPr>
            </w:pPr>
            <w:r>
              <w:rPr>
                <w:b w:val="0"/>
                <w:sz w:val="22"/>
                <w:szCs w:val="22"/>
              </w:rPr>
              <w:t>от 30.10.2018 г. № 144</w:t>
            </w:r>
          </w:p>
        </w:tc>
      </w:tr>
    </w:tbl>
    <w:p w:rsidR="00443650" w:rsidRPr="00B06469" w:rsidRDefault="00443650" w:rsidP="001F0139">
      <w:pPr>
        <w:pStyle w:val="10"/>
        <w:keepNext/>
        <w:keepLines/>
        <w:shd w:val="clear" w:color="auto" w:fill="auto"/>
        <w:spacing w:after="0" w:line="360" w:lineRule="auto"/>
        <w:ind w:firstLine="0"/>
        <w:rPr>
          <w:color w:val="365F91" w:themeColor="accent1" w:themeShade="BF"/>
          <w:sz w:val="24"/>
          <w:szCs w:val="24"/>
        </w:rPr>
      </w:pPr>
      <w:r w:rsidRPr="00B06469">
        <w:rPr>
          <w:noProof/>
          <w:color w:val="365F91" w:themeColor="accent1" w:themeShade="BF"/>
          <w:sz w:val="24"/>
          <w:szCs w:val="24"/>
          <w:lang w:eastAsia="ru-RU"/>
        </w:rPr>
        <w:drawing>
          <wp:anchor distT="0" distB="0" distL="114300" distR="114300" simplePos="0" relativeHeight="251684864" behindDoc="0" locked="0" layoutInCell="1" allowOverlap="1">
            <wp:simplePos x="0" y="0"/>
            <wp:positionH relativeFrom="column">
              <wp:align>left</wp:align>
            </wp:positionH>
            <wp:positionV relativeFrom="paragraph">
              <wp:align>top</wp:align>
            </wp:positionV>
            <wp:extent cx="791845" cy="1187450"/>
            <wp:effectExtent l="0" t="0" r="0" b="0"/>
            <wp:wrapSquare wrapText="bothSides"/>
            <wp:docPr id="1" name="Рисунок 1" descr="http://storage.inovaco.ru/media/project_mo_159/b0/b3/71/f3/33/bc/kamadmru.jpg"/>
            <wp:cNvGraphicFramePr/>
            <a:graphic xmlns:a="http://schemas.openxmlformats.org/drawingml/2006/main">
              <a:graphicData uri="http://schemas.openxmlformats.org/drawingml/2006/picture">
                <pic:pic xmlns:pic="http://schemas.openxmlformats.org/drawingml/2006/picture">
                  <pic:nvPicPr>
                    <pic:cNvPr id="13" name="Рисунок 12" descr="http://storage.inovaco.ru/media/project_mo_159/b0/b3/71/f3/33/bc/kamadmru.jpg"/>
                    <pic:cNvPicPr/>
                  </pic:nvPicPr>
                  <pic:blipFill>
                    <a:blip r:embed="rId7" cstate="print">
                      <a:extLst>
                        <a:ext uri="{28A0092B-C50C-407E-A947-70E740481C1C}">
                          <a14:useLocalDpi xmlns:a14="http://schemas.microsoft.com/office/drawing/2010/main" val="0"/>
                        </a:ext>
                      </a:extLst>
                    </a:blip>
                    <a:srcRect t="2414" b="4762"/>
                    <a:stretch>
                      <a:fillRect/>
                    </a:stretch>
                  </pic:blipFill>
                  <pic:spPr bwMode="auto">
                    <a:xfrm>
                      <a:off x="0" y="0"/>
                      <a:ext cx="791845" cy="1187450"/>
                    </a:xfrm>
                    <a:prstGeom prst="rect">
                      <a:avLst/>
                    </a:prstGeom>
                    <a:noFill/>
                    <a:ln w="9525">
                      <a:noFill/>
                      <a:miter lim="800000"/>
                      <a:headEnd/>
                      <a:tailEnd/>
                    </a:ln>
                  </pic:spPr>
                </pic:pic>
              </a:graphicData>
            </a:graphic>
          </wp:anchor>
        </w:drawing>
      </w:r>
      <w:r w:rsidR="00B06469">
        <w:rPr>
          <w:color w:val="365F91" w:themeColor="accent1" w:themeShade="BF"/>
          <w:sz w:val="24"/>
          <w:szCs w:val="24"/>
        </w:rPr>
        <w:br w:type="textWrapping" w:clear="all"/>
      </w:r>
    </w:p>
    <w:p w:rsidR="00443650" w:rsidRPr="00B06469" w:rsidRDefault="00443650" w:rsidP="001F0139">
      <w:pPr>
        <w:pStyle w:val="10"/>
        <w:keepNext/>
        <w:keepLines/>
        <w:shd w:val="clear" w:color="auto" w:fill="auto"/>
        <w:spacing w:after="0" w:line="360" w:lineRule="auto"/>
        <w:ind w:firstLine="0"/>
        <w:rPr>
          <w:color w:val="365F91" w:themeColor="accent1" w:themeShade="BF"/>
          <w:sz w:val="24"/>
          <w:szCs w:val="24"/>
        </w:rPr>
      </w:pPr>
    </w:p>
    <w:p w:rsidR="00443650" w:rsidRPr="00B06469" w:rsidRDefault="00443650" w:rsidP="001F0139">
      <w:pPr>
        <w:spacing w:after="0" w:line="240" w:lineRule="auto"/>
        <w:jc w:val="center"/>
        <w:rPr>
          <w:rFonts w:ascii="Times New Roman" w:hAnsi="Times New Roman" w:cs="Times New Roman"/>
          <w:b/>
          <w:color w:val="C00000"/>
          <w:sz w:val="24"/>
          <w:szCs w:val="24"/>
        </w:rPr>
      </w:pPr>
      <w:r w:rsidRPr="00B06469">
        <w:rPr>
          <w:rFonts w:ascii="Times New Roman" w:hAnsi="Times New Roman" w:cs="Times New Roman"/>
          <w:b/>
          <w:color w:val="C00000"/>
          <w:sz w:val="24"/>
          <w:szCs w:val="24"/>
        </w:rPr>
        <w:t>СТРАТЕГИ</w:t>
      </w:r>
      <w:r w:rsidR="00C32237" w:rsidRPr="00B06469">
        <w:rPr>
          <w:rFonts w:ascii="Times New Roman" w:hAnsi="Times New Roman" w:cs="Times New Roman"/>
          <w:b/>
          <w:color w:val="C00000"/>
          <w:sz w:val="24"/>
          <w:szCs w:val="24"/>
        </w:rPr>
        <w:t>Я</w:t>
      </w:r>
    </w:p>
    <w:p w:rsidR="00443650" w:rsidRPr="00B06469" w:rsidRDefault="00443650" w:rsidP="001F0139">
      <w:pPr>
        <w:spacing w:after="0" w:line="240" w:lineRule="auto"/>
        <w:jc w:val="center"/>
        <w:rPr>
          <w:rFonts w:ascii="Times New Roman" w:hAnsi="Times New Roman" w:cs="Times New Roman"/>
          <w:b/>
          <w:color w:val="C00000"/>
          <w:sz w:val="24"/>
          <w:szCs w:val="24"/>
        </w:rPr>
      </w:pPr>
      <w:r w:rsidRPr="00B06469">
        <w:rPr>
          <w:rFonts w:ascii="Times New Roman" w:hAnsi="Times New Roman" w:cs="Times New Roman"/>
          <w:b/>
          <w:color w:val="C00000"/>
          <w:sz w:val="24"/>
          <w:szCs w:val="24"/>
        </w:rPr>
        <w:t xml:space="preserve">СОЦИАЛЬНО-ЭКОНОМИЧЕСКОГО РАЗВИТИЯ </w:t>
      </w:r>
    </w:p>
    <w:p w:rsidR="00443650" w:rsidRPr="00B06469" w:rsidRDefault="00443650" w:rsidP="001F0139">
      <w:pPr>
        <w:spacing w:after="0" w:line="240" w:lineRule="auto"/>
        <w:jc w:val="center"/>
        <w:rPr>
          <w:rFonts w:ascii="Times New Roman" w:hAnsi="Times New Roman" w:cs="Times New Roman"/>
          <w:b/>
          <w:color w:val="C00000"/>
          <w:sz w:val="24"/>
          <w:szCs w:val="24"/>
        </w:rPr>
      </w:pPr>
      <w:r w:rsidRPr="00B06469">
        <w:rPr>
          <w:rFonts w:ascii="Times New Roman" w:hAnsi="Times New Roman" w:cs="Times New Roman"/>
          <w:b/>
          <w:color w:val="C00000"/>
          <w:sz w:val="24"/>
          <w:szCs w:val="24"/>
        </w:rPr>
        <w:t>МУНИЦИПАЛЬНОГО РАЙОНА КАМЫШЛИНСКИЙ</w:t>
      </w:r>
    </w:p>
    <w:p w:rsidR="00443650" w:rsidRPr="00B06469" w:rsidRDefault="00443650" w:rsidP="001F0139">
      <w:pPr>
        <w:spacing w:after="0" w:line="240" w:lineRule="auto"/>
        <w:jc w:val="center"/>
        <w:rPr>
          <w:rFonts w:ascii="Times New Roman" w:hAnsi="Times New Roman" w:cs="Times New Roman"/>
          <w:b/>
          <w:color w:val="C00000"/>
          <w:sz w:val="24"/>
          <w:szCs w:val="24"/>
        </w:rPr>
      </w:pPr>
      <w:r w:rsidRPr="00B06469">
        <w:rPr>
          <w:rFonts w:ascii="Times New Roman" w:hAnsi="Times New Roman" w:cs="Times New Roman"/>
          <w:b/>
          <w:color w:val="C00000"/>
          <w:sz w:val="24"/>
          <w:szCs w:val="24"/>
        </w:rPr>
        <w:t>САМАРСКОЙ ОБЛАСТИ</w:t>
      </w:r>
    </w:p>
    <w:p w:rsidR="00443650" w:rsidRPr="00B06469" w:rsidRDefault="00443650" w:rsidP="001F0139">
      <w:pPr>
        <w:spacing w:after="0" w:line="240" w:lineRule="auto"/>
        <w:jc w:val="center"/>
        <w:rPr>
          <w:rFonts w:ascii="Times New Roman" w:hAnsi="Times New Roman" w:cs="Times New Roman"/>
          <w:b/>
          <w:color w:val="C00000"/>
          <w:sz w:val="24"/>
          <w:szCs w:val="24"/>
        </w:rPr>
      </w:pPr>
      <w:r w:rsidRPr="00B06469">
        <w:rPr>
          <w:rFonts w:ascii="Times New Roman" w:hAnsi="Times New Roman" w:cs="Times New Roman"/>
          <w:b/>
          <w:color w:val="C00000"/>
          <w:sz w:val="24"/>
          <w:szCs w:val="24"/>
        </w:rPr>
        <w:t>ДО 2030 ГОДА</w:t>
      </w:r>
    </w:p>
    <w:p w:rsidR="00443650" w:rsidRPr="00B06469" w:rsidRDefault="00443650" w:rsidP="001F0139">
      <w:pPr>
        <w:spacing w:after="0" w:line="240" w:lineRule="auto"/>
        <w:jc w:val="center"/>
        <w:rPr>
          <w:rFonts w:ascii="Times New Roman" w:hAnsi="Times New Roman" w:cs="Times New Roman"/>
          <w:b/>
          <w:color w:val="C00000"/>
          <w:sz w:val="24"/>
          <w:szCs w:val="24"/>
        </w:rPr>
      </w:pPr>
    </w:p>
    <w:p w:rsidR="00443650" w:rsidRPr="00B06469" w:rsidRDefault="00443650" w:rsidP="001F0139">
      <w:pPr>
        <w:spacing w:after="0" w:line="240" w:lineRule="auto"/>
        <w:jc w:val="center"/>
        <w:rPr>
          <w:rFonts w:ascii="Times New Roman" w:hAnsi="Times New Roman" w:cs="Times New Roman"/>
          <w:sz w:val="24"/>
          <w:szCs w:val="24"/>
        </w:rPr>
      </w:pPr>
    </w:p>
    <w:p w:rsidR="00443650" w:rsidRPr="00B06469" w:rsidRDefault="00443650" w:rsidP="001F0139">
      <w:pPr>
        <w:pStyle w:val="10"/>
        <w:keepNext/>
        <w:keepLines/>
        <w:shd w:val="clear" w:color="auto" w:fill="auto"/>
        <w:spacing w:after="0" w:line="360" w:lineRule="auto"/>
        <w:ind w:firstLine="0"/>
        <w:rPr>
          <w:color w:val="365F91" w:themeColor="accent1" w:themeShade="BF"/>
          <w:sz w:val="24"/>
          <w:szCs w:val="24"/>
        </w:rPr>
      </w:pPr>
    </w:p>
    <w:p w:rsidR="00443650" w:rsidRPr="00B06469" w:rsidRDefault="00443650" w:rsidP="001F0139">
      <w:pPr>
        <w:pStyle w:val="10"/>
        <w:keepNext/>
        <w:keepLines/>
        <w:shd w:val="clear" w:color="auto" w:fill="auto"/>
        <w:spacing w:after="0" w:line="360" w:lineRule="auto"/>
        <w:ind w:firstLine="0"/>
        <w:jc w:val="center"/>
        <w:rPr>
          <w:color w:val="365F91" w:themeColor="accent1" w:themeShade="BF"/>
          <w:sz w:val="24"/>
          <w:szCs w:val="24"/>
        </w:rPr>
      </w:pPr>
      <w:r w:rsidRPr="00B06469">
        <w:rPr>
          <w:noProof/>
          <w:color w:val="365F91" w:themeColor="accent1" w:themeShade="BF"/>
          <w:sz w:val="24"/>
          <w:szCs w:val="24"/>
          <w:lang w:eastAsia="ru-RU"/>
        </w:rPr>
        <w:drawing>
          <wp:inline distT="0" distB="0" distL="0" distR="0" wp14:anchorId="78DDA60D" wp14:editId="6A383E4D">
            <wp:extent cx="2808312" cy="1638569"/>
            <wp:effectExtent l="19050" t="19050" r="11088" b="18781"/>
            <wp:docPr id="2" name="Рисунок 2" descr="ÐÐ°ÑÑÐ¸Ð½ÐºÐ¸ Ð¿Ð¾ Ð·Ð°Ð¿ÑÐ¾ÑÑ ÐÐ°Ð¼ÑÑÐ»Ð¸Ð½ÑÐºÐ¸Ð¹ ÑÐ°Ð¹Ð¾Ð½"/>
            <wp:cNvGraphicFramePr/>
            <a:graphic xmlns:a="http://schemas.openxmlformats.org/drawingml/2006/main">
              <a:graphicData uri="http://schemas.openxmlformats.org/drawingml/2006/picture">
                <pic:pic xmlns:pic="http://schemas.openxmlformats.org/drawingml/2006/picture">
                  <pic:nvPicPr>
                    <pic:cNvPr id="7172" name="Picture 4" descr="ÐÐ°ÑÑÐ¸Ð½ÐºÐ¸ Ð¿Ð¾ Ð·Ð°Ð¿ÑÐ¾ÑÑ ÐÐ°Ð¼ÑÑÐ»Ð¸Ð½ÑÐºÐ¸Ð¹ ÑÐ°Ð¹Ð¾Ð½"/>
                    <pic:cNvPicPr>
                      <a:picLocks noChangeAspect="1" noChangeArrowheads="1"/>
                    </pic:cNvPicPr>
                  </pic:nvPicPr>
                  <pic:blipFill>
                    <a:blip r:embed="rId8" cstate="print"/>
                    <a:srcRect r="12402"/>
                    <a:stretch>
                      <a:fillRect/>
                    </a:stretch>
                  </pic:blipFill>
                  <pic:spPr bwMode="auto">
                    <a:xfrm>
                      <a:off x="0" y="0"/>
                      <a:ext cx="2808312" cy="1638569"/>
                    </a:xfrm>
                    <a:prstGeom prst="rect">
                      <a:avLst/>
                    </a:prstGeom>
                    <a:noFill/>
                    <a:ln>
                      <a:solidFill>
                        <a:srgbClr val="008A3E"/>
                      </a:solidFill>
                    </a:ln>
                  </pic:spPr>
                </pic:pic>
              </a:graphicData>
            </a:graphic>
          </wp:inline>
        </w:drawing>
      </w:r>
      <w:r w:rsidRPr="00B06469">
        <w:rPr>
          <w:noProof/>
          <w:color w:val="365F91" w:themeColor="accent1" w:themeShade="BF"/>
          <w:sz w:val="24"/>
          <w:szCs w:val="24"/>
          <w:lang w:eastAsia="ru-RU"/>
        </w:rPr>
        <w:drawing>
          <wp:inline distT="0" distB="0" distL="0" distR="0" wp14:anchorId="0ABAFA4D" wp14:editId="422105C8">
            <wp:extent cx="2343150" cy="1650207"/>
            <wp:effectExtent l="19050" t="0" r="0" b="0"/>
            <wp:docPr id="3" name="Рисунок 3" descr="ÐÐ°ÑÑÐ¸Ð½ÐºÐ¸ Ð¿Ð¾ Ð·Ð°Ð¿ÑÐ¾ÑÑ ÐºÐ°Ð¼ÑÑÐ»Ð¸Ð½ÑÐºÐ¸Ð¹ ÑÐ°Ð¹Ð¾Ð½ ÐºÐ¾Ð½Ð½ÑÐ¹ ÑÐ¿Ð¾ÑÑ"/>
            <wp:cNvGraphicFramePr/>
            <a:graphic xmlns:a="http://schemas.openxmlformats.org/drawingml/2006/main">
              <a:graphicData uri="http://schemas.openxmlformats.org/drawingml/2006/picture">
                <pic:pic xmlns:pic="http://schemas.openxmlformats.org/drawingml/2006/picture">
                  <pic:nvPicPr>
                    <pic:cNvPr id="43010" name="Picture 2" descr="ÐÐ°ÑÑÐ¸Ð½ÐºÐ¸ Ð¿Ð¾ Ð·Ð°Ð¿ÑÐ¾ÑÑ ÐºÐ°Ð¼ÑÑÐ»Ð¸Ð½ÑÐºÐ¸Ð¹ ÑÐ°Ð¹Ð¾Ð½ ÐºÐ¾Ð½Ð½ÑÐ¹ ÑÐ¿Ð¾ÑÑ"/>
                    <pic:cNvPicPr>
                      <a:picLocks noChangeAspect="1" noChangeArrowheads="1"/>
                    </pic:cNvPicPr>
                  </pic:nvPicPr>
                  <pic:blipFill>
                    <a:blip r:embed="rId9" cstate="print"/>
                    <a:srcRect/>
                    <a:stretch>
                      <a:fillRect/>
                    </a:stretch>
                  </pic:blipFill>
                  <pic:spPr bwMode="auto">
                    <a:xfrm>
                      <a:off x="0" y="0"/>
                      <a:ext cx="2348050" cy="1653658"/>
                    </a:xfrm>
                    <a:prstGeom prst="rect">
                      <a:avLst/>
                    </a:prstGeom>
                    <a:noFill/>
                  </pic:spPr>
                </pic:pic>
              </a:graphicData>
            </a:graphic>
          </wp:inline>
        </w:drawing>
      </w:r>
    </w:p>
    <w:p w:rsidR="00443650" w:rsidRPr="00B06469" w:rsidRDefault="00443650" w:rsidP="001F0139">
      <w:pPr>
        <w:pStyle w:val="10"/>
        <w:keepNext/>
        <w:keepLines/>
        <w:shd w:val="clear" w:color="auto" w:fill="auto"/>
        <w:spacing w:after="0" w:line="360" w:lineRule="auto"/>
        <w:ind w:firstLine="0"/>
        <w:rPr>
          <w:color w:val="365F91" w:themeColor="accent1" w:themeShade="BF"/>
          <w:sz w:val="24"/>
          <w:szCs w:val="24"/>
        </w:rPr>
      </w:pPr>
    </w:p>
    <w:p w:rsidR="00443650" w:rsidRPr="00B06469" w:rsidRDefault="00443650" w:rsidP="001F0139">
      <w:pPr>
        <w:pStyle w:val="10"/>
        <w:keepNext/>
        <w:keepLines/>
        <w:shd w:val="clear" w:color="auto" w:fill="auto"/>
        <w:spacing w:after="0" w:line="360" w:lineRule="auto"/>
        <w:ind w:firstLine="0"/>
        <w:rPr>
          <w:color w:val="365F91" w:themeColor="accent1" w:themeShade="BF"/>
          <w:sz w:val="24"/>
          <w:szCs w:val="24"/>
        </w:rPr>
      </w:pPr>
    </w:p>
    <w:p w:rsidR="00443650" w:rsidRPr="00B06469" w:rsidRDefault="00443650" w:rsidP="001F0139">
      <w:pPr>
        <w:pStyle w:val="10"/>
        <w:keepNext/>
        <w:keepLines/>
        <w:shd w:val="clear" w:color="auto" w:fill="auto"/>
        <w:spacing w:after="0" w:line="360" w:lineRule="auto"/>
        <w:ind w:firstLine="0"/>
        <w:rPr>
          <w:color w:val="365F91" w:themeColor="accent1" w:themeShade="BF"/>
          <w:sz w:val="24"/>
          <w:szCs w:val="24"/>
        </w:rPr>
      </w:pPr>
    </w:p>
    <w:p w:rsidR="00443650" w:rsidRPr="00B06469" w:rsidRDefault="00443650" w:rsidP="001F0139">
      <w:pPr>
        <w:spacing w:after="0"/>
        <w:rPr>
          <w:rFonts w:ascii="Times New Roman" w:eastAsia="Times New Roman" w:hAnsi="Times New Roman" w:cs="Times New Roman"/>
          <w:b/>
          <w:bCs/>
          <w:color w:val="365F91" w:themeColor="accent1" w:themeShade="BF"/>
          <w:sz w:val="24"/>
          <w:szCs w:val="24"/>
        </w:rPr>
      </w:pPr>
      <w:r w:rsidRPr="00B06469">
        <w:rPr>
          <w:rFonts w:ascii="Times New Roman" w:hAnsi="Times New Roman" w:cs="Times New Roman"/>
          <w:color w:val="365F91" w:themeColor="accent1" w:themeShade="BF"/>
          <w:sz w:val="24"/>
          <w:szCs w:val="24"/>
        </w:rPr>
        <w:br w:type="page"/>
      </w:r>
    </w:p>
    <w:p w:rsidR="008A6327" w:rsidRPr="00B06469" w:rsidRDefault="008A6327" w:rsidP="001F0139">
      <w:pPr>
        <w:pStyle w:val="10"/>
        <w:keepNext/>
        <w:keepLines/>
        <w:shd w:val="clear" w:color="auto" w:fill="auto"/>
        <w:spacing w:after="0" w:line="240" w:lineRule="auto"/>
        <w:ind w:firstLine="0"/>
        <w:rPr>
          <w:color w:val="365F91" w:themeColor="accent1" w:themeShade="BF"/>
          <w:sz w:val="24"/>
          <w:szCs w:val="24"/>
        </w:rPr>
      </w:pPr>
      <w:r w:rsidRPr="00B06469">
        <w:rPr>
          <w:color w:val="365F91" w:themeColor="accent1" w:themeShade="BF"/>
          <w:sz w:val="24"/>
          <w:szCs w:val="24"/>
        </w:rPr>
        <w:lastRenderedPageBreak/>
        <w:t>ОГЛАВЛЕНИЕ</w:t>
      </w:r>
    </w:p>
    <w:p w:rsidR="001F0139" w:rsidRPr="00B06469" w:rsidRDefault="001F0139" w:rsidP="001F0139">
      <w:pPr>
        <w:pStyle w:val="10"/>
        <w:keepNext/>
        <w:keepLines/>
        <w:shd w:val="clear" w:color="auto" w:fill="auto"/>
        <w:spacing w:after="0" w:line="240" w:lineRule="auto"/>
        <w:ind w:firstLine="0"/>
        <w:rPr>
          <w:color w:val="365F91" w:themeColor="accent1" w:themeShade="BF"/>
          <w:sz w:val="24"/>
          <w:szCs w:val="24"/>
        </w:rPr>
      </w:pPr>
    </w:p>
    <w:p w:rsidR="008A6327" w:rsidRPr="00B06469" w:rsidRDefault="008A6327" w:rsidP="001F0139">
      <w:pPr>
        <w:pStyle w:val="10"/>
        <w:keepNext/>
        <w:keepLines/>
        <w:shd w:val="clear" w:color="auto" w:fill="auto"/>
        <w:spacing w:after="0" w:line="240" w:lineRule="auto"/>
        <w:ind w:firstLine="0"/>
        <w:rPr>
          <w:sz w:val="24"/>
          <w:szCs w:val="24"/>
        </w:rPr>
      </w:pPr>
      <w:r w:rsidRPr="00B06469">
        <w:rPr>
          <w:sz w:val="24"/>
          <w:szCs w:val="24"/>
        </w:rPr>
        <w:t>1.</w:t>
      </w:r>
      <w:r w:rsidR="001F0139" w:rsidRPr="00B06469">
        <w:rPr>
          <w:sz w:val="24"/>
          <w:szCs w:val="24"/>
        </w:rPr>
        <w:t xml:space="preserve"> </w:t>
      </w:r>
      <w:r w:rsidRPr="00B06469">
        <w:rPr>
          <w:sz w:val="24"/>
          <w:szCs w:val="24"/>
        </w:rPr>
        <w:t>ОБЩИЕ ПОЛОЖЕНИЯ</w:t>
      </w:r>
    </w:p>
    <w:p w:rsidR="008A6327" w:rsidRPr="00B06469" w:rsidRDefault="008A6327" w:rsidP="001F0139">
      <w:pPr>
        <w:pStyle w:val="10"/>
        <w:keepNext/>
        <w:keepLines/>
        <w:shd w:val="clear" w:color="auto" w:fill="auto"/>
        <w:spacing w:after="0" w:line="240" w:lineRule="auto"/>
        <w:ind w:firstLine="0"/>
        <w:rPr>
          <w:sz w:val="24"/>
          <w:szCs w:val="24"/>
        </w:rPr>
      </w:pPr>
      <w:r w:rsidRPr="00B06469">
        <w:rPr>
          <w:sz w:val="24"/>
          <w:szCs w:val="24"/>
        </w:rPr>
        <w:t>2.</w:t>
      </w:r>
      <w:r w:rsidR="001F0139" w:rsidRPr="00B06469">
        <w:rPr>
          <w:sz w:val="24"/>
          <w:szCs w:val="24"/>
        </w:rPr>
        <w:t xml:space="preserve"> </w:t>
      </w:r>
      <w:r w:rsidRPr="00B06469">
        <w:rPr>
          <w:sz w:val="24"/>
          <w:szCs w:val="24"/>
        </w:rPr>
        <w:t xml:space="preserve">МИССИЯ И </w:t>
      </w:r>
      <w:r w:rsidR="00633F69" w:rsidRPr="00B06469">
        <w:rPr>
          <w:sz w:val="24"/>
          <w:szCs w:val="24"/>
        </w:rPr>
        <w:t xml:space="preserve">НАПРАВЛЕНИЯ </w:t>
      </w:r>
      <w:r w:rsidRPr="00B06469">
        <w:rPr>
          <w:sz w:val="24"/>
          <w:szCs w:val="24"/>
        </w:rPr>
        <w:t>СОЦИАЛЬНО-ЭКОНОМИЧЕСКОГО РАЗВИТИЯ МУНИЦИПАЛЬНОГО РАЙОНА КАМЫШЛИНСКИЙ ДО 2030 ГОДА</w:t>
      </w:r>
    </w:p>
    <w:p w:rsidR="008A6327" w:rsidRPr="00B06469" w:rsidRDefault="008A6327" w:rsidP="001F0139">
      <w:pPr>
        <w:pStyle w:val="10"/>
        <w:keepNext/>
        <w:keepLines/>
        <w:shd w:val="clear" w:color="auto" w:fill="auto"/>
        <w:spacing w:after="0" w:line="240" w:lineRule="auto"/>
        <w:ind w:firstLine="0"/>
        <w:rPr>
          <w:sz w:val="24"/>
          <w:szCs w:val="24"/>
        </w:rPr>
      </w:pPr>
      <w:r w:rsidRPr="00B06469">
        <w:rPr>
          <w:sz w:val="24"/>
          <w:szCs w:val="24"/>
        </w:rPr>
        <w:t>3. ОСНОВНЫЕ СВЕДЕНИЯ И ОСОБЕННОСТИ ЭКОНОМИКО-ГЕОГРАФИЧЕСКОГО ПОЛОЖЕНИЯ</w:t>
      </w:r>
    </w:p>
    <w:p w:rsidR="008A6327" w:rsidRPr="00B06469" w:rsidRDefault="008A6327" w:rsidP="001F0139">
      <w:pPr>
        <w:spacing w:after="0" w:line="240" w:lineRule="auto"/>
        <w:jc w:val="both"/>
        <w:outlineLvl w:val="1"/>
        <w:rPr>
          <w:rFonts w:ascii="Times New Roman" w:hAnsi="Times New Roman" w:cs="Times New Roman"/>
          <w:b/>
          <w:sz w:val="24"/>
          <w:szCs w:val="24"/>
        </w:rPr>
      </w:pPr>
      <w:r w:rsidRPr="00B06469">
        <w:rPr>
          <w:rFonts w:ascii="Times New Roman" w:hAnsi="Times New Roman" w:cs="Times New Roman"/>
          <w:b/>
          <w:sz w:val="24"/>
          <w:szCs w:val="24"/>
        </w:rPr>
        <w:t>4.</w:t>
      </w:r>
      <w:r w:rsidR="001F0139" w:rsidRPr="00B06469">
        <w:rPr>
          <w:rFonts w:ascii="Times New Roman" w:hAnsi="Times New Roman" w:cs="Times New Roman"/>
          <w:b/>
          <w:sz w:val="24"/>
          <w:szCs w:val="24"/>
        </w:rPr>
        <w:t xml:space="preserve"> </w:t>
      </w:r>
      <w:r w:rsidRPr="00B06469">
        <w:rPr>
          <w:rFonts w:ascii="Times New Roman" w:hAnsi="Times New Roman" w:cs="Times New Roman"/>
          <w:b/>
          <w:sz w:val="24"/>
          <w:szCs w:val="24"/>
        </w:rPr>
        <w:t>АНАЛИЗ СИЛЬНЫХ И СЛАБЫХ СТОРОН, ВОЗМОЖНОСТЕЙ И УГРОЗ КАМЫШЛИНСКОГО МУНИЦИПАЛЬНОГО РАЙОНА</w:t>
      </w:r>
    </w:p>
    <w:p w:rsidR="008A6327" w:rsidRPr="00B06469" w:rsidRDefault="008A6327" w:rsidP="001F0139">
      <w:pPr>
        <w:tabs>
          <w:tab w:val="left" w:pos="851"/>
          <w:tab w:val="decimal" w:pos="1418"/>
        </w:tabs>
        <w:spacing w:after="0" w:line="240" w:lineRule="auto"/>
        <w:jc w:val="both"/>
        <w:outlineLvl w:val="1"/>
        <w:rPr>
          <w:rFonts w:ascii="Times New Roman" w:hAnsi="Times New Roman" w:cs="Times New Roman"/>
          <w:sz w:val="24"/>
          <w:szCs w:val="24"/>
        </w:rPr>
      </w:pPr>
      <w:r w:rsidRPr="00B06469">
        <w:rPr>
          <w:rFonts w:ascii="Times New Roman" w:hAnsi="Times New Roman" w:cs="Times New Roman"/>
          <w:sz w:val="24"/>
          <w:szCs w:val="24"/>
        </w:rPr>
        <w:t>4.1.</w:t>
      </w:r>
      <w:r w:rsidR="001F0139" w:rsidRPr="00B06469">
        <w:rPr>
          <w:rFonts w:ascii="Times New Roman" w:hAnsi="Times New Roman" w:cs="Times New Roman"/>
          <w:sz w:val="24"/>
          <w:szCs w:val="24"/>
        </w:rPr>
        <w:t xml:space="preserve"> </w:t>
      </w:r>
      <w:r w:rsidRPr="00B06469">
        <w:rPr>
          <w:rFonts w:ascii="Times New Roman" w:hAnsi="Times New Roman" w:cs="Times New Roman"/>
          <w:sz w:val="24"/>
          <w:szCs w:val="24"/>
        </w:rPr>
        <w:t>SWOT-анализ развития экономико-географического положения и природно-ресурсного потенциала</w:t>
      </w:r>
    </w:p>
    <w:p w:rsidR="008A6327" w:rsidRPr="00B06469" w:rsidRDefault="008A6327" w:rsidP="001F0139">
      <w:pPr>
        <w:tabs>
          <w:tab w:val="left" w:pos="851"/>
          <w:tab w:val="decimal" w:pos="1418"/>
        </w:tabs>
        <w:spacing w:after="0" w:line="240" w:lineRule="auto"/>
        <w:jc w:val="both"/>
        <w:outlineLvl w:val="1"/>
        <w:rPr>
          <w:rFonts w:ascii="Times New Roman" w:hAnsi="Times New Roman" w:cs="Times New Roman"/>
          <w:sz w:val="24"/>
          <w:szCs w:val="24"/>
        </w:rPr>
      </w:pPr>
      <w:r w:rsidRPr="00B06469">
        <w:rPr>
          <w:rFonts w:ascii="Times New Roman" w:hAnsi="Times New Roman" w:cs="Times New Roman"/>
          <w:sz w:val="24"/>
          <w:szCs w:val="24"/>
        </w:rPr>
        <w:t>4.2.</w:t>
      </w:r>
      <w:r w:rsidR="001F0139" w:rsidRPr="00B06469">
        <w:rPr>
          <w:rFonts w:ascii="Times New Roman" w:hAnsi="Times New Roman" w:cs="Times New Roman"/>
          <w:sz w:val="24"/>
          <w:szCs w:val="24"/>
        </w:rPr>
        <w:t xml:space="preserve"> </w:t>
      </w:r>
      <w:r w:rsidRPr="00B06469">
        <w:rPr>
          <w:rFonts w:ascii="Times New Roman" w:hAnsi="Times New Roman" w:cs="Times New Roman"/>
          <w:sz w:val="24"/>
          <w:szCs w:val="24"/>
        </w:rPr>
        <w:t>SWOT-анализ развития человеческого капитала</w:t>
      </w:r>
    </w:p>
    <w:p w:rsidR="008A6327" w:rsidRPr="00B06469" w:rsidRDefault="008A6327" w:rsidP="001F0139">
      <w:pPr>
        <w:tabs>
          <w:tab w:val="left" w:pos="851"/>
          <w:tab w:val="decimal" w:pos="1418"/>
        </w:tabs>
        <w:spacing w:after="0" w:line="240" w:lineRule="auto"/>
        <w:jc w:val="both"/>
        <w:outlineLvl w:val="1"/>
        <w:rPr>
          <w:rFonts w:ascii="Times New Roman" w:hAnsi="Times New Roman" w:cs="Times New Roman"/>
          <w:sz w:val="24"/>
          <w:szCs w:val="24"/>
        </w:rPr>
      </w:pPr>
      <w:r w:rsidRPr="00B06469">
        <w:rPr>
          <w:rFonts w:ascii="Times New Roman" w:hAnsi="Times New Roman" w:cs="Times New Roman"/>
          <w:sz w:val="24"/>
          <w:szCs w:val="24"/>
        </w:rPr>
        <w:t>4.3.</w:t>
      </w:r>
      <w:r w:rsidR="001F0139" w:rsidRPr="00B06469">
        <w:rPr>
          <w:rFonts w:ascii="Times New Roman" w:hAnsi="Times New Roman" w:cs="Times New Roman"/>
          <w:sz w:val="24"/>
          <w:szCs w:val="24"/>
        </w:rPr>
        <w:t xml:space="preserve"> </w:t>
      </w:r>
      <w:r w:rsidRPr="00B06469">
        <w:rPr>
          <w:rFonts w:ascii="Times New Roman" w:hAnsi="Times New Roman" w:cs="Times New Roman"/>
          <w:sz w:val="24"/>
          <w:szCs w:val="24"/>
        </w:rPr>
        <w:t>SWOT-анализ экономического развития и управления</w:t>
      </w:r>
    </w:p>
    <w:p w:rsidR="008A6327" w:rsidRPr="00B06469" w:rsidRDefault="008A6327" w:rsidP="001F0139">
      <w:pPr>
        <w:tabs>
          <w:tab w:val="left" w:pos="851"/>
          <w:tab w:val="decimal" w:pos="1418"/>
        </w:tabs>
        <w:spacing w:after="0" w:line="240" w:lineRule="auto"/>
        <w:jc w:val="both"/>
        <w:outlineLvl w:val="1"/>
        <w:rPr>
          <w:rFonts w:ascii="Times New Roman" w:hAnsi="Times New Roman" w:cs="Times New Roman"/>
          <w:sz w:val="24"/>
          <w:szCs w:val="24"/>
        </w:rPr>
      </w:pPr>
      <w:r w:rsidRPr="00B06469">
        <w:rPr>
          <w:rFonts w:ascii="Times New Roman" w:hAnsi="Times New Roman" w:cs="Times New Roman"/>
          <w:sz w:val="24"/>
          <w:szCs w:val="24"/>
        </w:rPr>
        <w:t>4.4.</w:t>
      </w:r>
      <w:r w:rsidR="001F0139" w:rsidRPr="00B06469">
        <w:rPr>
          <w:rFonts w:ascii="Times New Roman" w:hAnsi="Times New Roman" w:cs="Times New Roman"/>
          <w:sz w:val="24"/>
          <w:szCs w:val="24"/>
        </w:rPr>
        <w:t xml:space="preserve"> </w:t>
      </w:r>
      <w:r w:rsidRPr="00B06469">
        <w:rPr>
          <w:rFonts w:ascii="Times New Roman" w:hAnsi="Times New Roman" w:cs="Times New Roman"/>
          <w:sz w:val="24"/>
          <w:szCs w:val="24"/>
        </w:rPr>
        <w:t>SWOT-анализ ЖКХ и комфортной среды</w:t>
      </w:r>
    </w:p>
    <w:p w:rsidR="008A6327" w:rsidRPr="00B06469" w:rsidRDefault="008A6327" w:rsidP="001F0139">
      <w:pPr>
        <w:pStyle w:val="10"/>
        <w:keepNext/>
        <w:keepLines/>
        <w:shd w:val="clear" w:color="auto" w:fill="auto"/>
        <w:tabs>
          <w:tab w:val="left" w:pos="922"/>
        </w:tabs>
        <w:spacing w:after="0" w:line="240" w:lineRule="auto"/>
        <w:ind w:firstLine="0"/>
        <w:rPr>
          <w:rFonts w:eastAsiaTheme="minorHAnsi"/>
          <w:bCs w:val="0"/>
          <w:sz w:val="24"/>
          <w:szCs w:val="24"/>
        </w:rPr>
      </w:pPr>
      <w:r w:rsidRPr="00B06469">
        <w:rPr>
          <w:rFonts w:eastAsiaTheme="minorHAnsi"/>
          <w:bCs w:val="0"/>
          <w:sz w:val="24"/>
          <w:szCs w:val="24"/>
        </w:rPr>
        <w:t>5.</w:t>
      </w:r>
      <w:r w:rsidR="001F0139" w:rsidRPr="00B06469">
        <w:rPr>
          <w:rFonts w:eastAsiaTheme="minorHAnsi"/>
          <w:bCs w:val="0"/>
          <w:sz w:val="24"/>
          <w:szCs w:val="24"/>
        </w:rPr>
        <w:t xml:space="preserve"> </w:t>
      </w:r>
      <w:r w:rsidRPr="00B06469">
        <w:rPr>
          <w:rFonts w:eastAsiaTheme="minorHAnsi"/>
          <w:bCs w:val="0"/>
          <w:sz w:val="24"/>
          <w:szCs w:val="24"/>
        </w:rPr>
        <w:t xml:space="preserve">ПРИОРИТЕТЫ СОЦИАЛЬНО-ЭКОНОМИЧЕСКОГО РАЗВИТИЯ И СИСТЕМА ЦЕЛЕЙ КАМЫШЛИНСКОГО МУНИЦИПАЛЬНОГО РАЙОНА </w:t>
      </w:r>
    </w:p>
    <w:p w:rsidR="008A6327" w:rsidRPr="00B06469" w:rsidRDefault="008A6327" w:rsidP="001F0139">
      <w:pPr>
        <w:pStyle w:val="a3"/>
        <w:spacing w:after="0" w:line="240" w:lineRule="auto"/>
        <w:ind w:left="0"/>
        <w:contextualSpacing w:val="0"/>
        <w:jc w:val="both"/>
        <w:rPr>
          <w:rFonts w:ascii="Times New Roman" w:hAnsi="Times New Roman" w:cs="Times New Roman"/>
          <w:b/>
          <w:sz w:val="24"/>
          <w:szCs w:val="24"/>
        </w:rPr>
      </w:pPr>
      <w:r w:rsidRPr="00B06469">
        <w:rPr>
          <w:rFonts w:ascii="Times New Roman" w:hAnsi="Times New Roman" w:cs="Times New Roman"/>
          <w:b/>
          <w:sz w:val="24"/>
          <w:szCs w:val="24"/>
        </w:rPr>
        <w:t>6.</w:t>
      </w:r>
      <w:r w:rsidR="001F0139" w:rsidRPr="00B06469">
        <w:rPr>
          <w:rFonts w:ascii="Times New Roman" w:hAnsi="Times New Roman" w:cs="Times New Roman"/>
          <w:b/>
          <w:sz w:val="24"/>
          <w:szCs w:val="24"/>
        </w:rPr>
        <w:t xml:space="preserve"> </w:t>
      </w:r>
      <w:r w:rsidRPr="00B06469">
        <w:rPr>
          <w:rFonts w:ascii="Times New Roman" w:hAnsi="Times New Roman" w:cs="Times New Roman"/>
          <w:b/>
          <w:sz w:val="24"/>
          <w:szCs w:val="24"/>
        </w:rPr>
        <w:t>ФОРМИРОВАНИЕ, СОВЕРШЕНСТВОВАНИЕ И НАКОПЛЕНИЕ ЧЕЛОВЕЧЕСКОГО КАПИТАЛА</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6.1. Стратегическая диагностика</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6.2. Стратегические цели, задачи и ожидаемые результаты</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 xml:space="preserve">направления «Формирование, совершенствование и накопление человеческого капитала». </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6.2.1.</w:t>
      </w:r>
      <w:r w:rsidR="001F0139" w:rsidRPr="00B06469">
        <w:rPr>
          <w:rFonts w:ascii="Times New Roman" w:hAnsi="Times New Roman" w:cs="Times New Roman"/>
          <w:sz w:val="24"/>
          <w:szCs w:val="24"/>
        </w:rPr>
        <w:t xml:space="preserve"> </w:t>
      </w:r>
      <w:r w:rsidRPr="00B06469">
        <w:rPr>
          <w:rFonts w:ascii="Times New Roman" w:hAnsi="Times New Roman" w:cs="Times New Roman"/>
          <w:sz w:val="24"/>
          <w:szCs w:val="24"/>
        </w:rPr>
        <w:t xml:space="preserve">Достижение современного, качественного образования 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 xml:space="preserve">6.2.2. Обеспечение </w:t>
      </w:r>
      <w:proofErr w:type="spellStart"/>
      <w:r w:rsidRPr="00B06469">
        <w:rPr>
          <w:rFonts w:ascii="Times New Roman" w:hAnsi="Times New Roman" w:cs="Times New Roman"/>
          <w:sz w:val="24"/>
          <w:szCs w:val="24"/>
        </w:rPr>
        <w:t>социализациии</w:t>
      </w:r>
      <w:proofErr w:type="spellEnd"/>
      <w:r w:rsidRPr="00B06469">
        <w:rPr>
          <w:rFonts w:ascii="Times New Roman" w:hAnsi="Times New Roman" w:cs="Times New Roman"/>
          <w:sz w:val="24"/>
          <w:szCs w:val="24"/>
        </w:rPr>
        <w:t xml:space="preserve"> высоких </w:t>
      </w:r>
      <w:proofErr w:type="gramStart"/>
      <w:r w:rsidRPr="00B06469">
        <w:rPr>
          <w:rFonts w:ascii="Times New Roman" w:hAnsi="Times New Roman" w:cs="Times New Roman"/>
          <w:sz w:val="24"/>
          <w:szCs w:val="24"/>
        </w:rPr>
        <w:t>образовательные</w:t>
      </w:r>
      <w:proofErr w:type="gramEnd"/>
      <w:r w:rsidRPr="00B06469">
        <w:rPr>
          <w:rFonts w:ascii="Times New Roman" w:hAnsi="Times New Roman" w:cs="Times New Roman"/>
          <w:sz w:val="24"/>
          <w:szCs w:val="24"/>
        </w:rPr>
        <w:t xml:space="preserve"> достижений каждого школьника с учетом индивидуальных особенностей, развитие навыков в сфере цифровых технологий.</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6.2.3</w:t>
      </w:r>
      <w:r w:rsidR="001F0139" w:rsidRPr="00B06469">
        <w:rPr>
          <w:rFonts w:ascii="Times New Roman" w:hAnsi="Times New Roman" w:cs="Times New Roman"/>
          <w:sz w:val="24"/>
          <w:szCs w:val="24"/>
        </w:rPr>
        <w:t>.</w:t>
      </w:r>
      <w:r w:rsidRPr="00B06469">
        <w:rPr>
          <w:rFonts w:ascii="Times New Roman" w:hAnsi="Times New Roman" w:cs="Times New Roman"/>
          <w:sz w:val="24"/>
          <w:szCs w:val="24"/>
        </w:rPr>
        <w:t xml:space="preserve"> Развитие кадрового потенциала и инфраструктуры</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системы образования, здравоохранения культуры и спорта в районе</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6.2.4.</w:t>
      </w:r>
      <w:r w:rsidR="001F0139" w:rsidRPr="00B06469">
        <w:rPr>
          <w:rFonts w:ascii="Times New Roman" w:hAnsi="Times New Roman" w:cs="Times New Roman"/>
          <w:sz w:val="24"/>
          <w:szCs w:val="24"/>
        </w:rPr>
        <w:t xml:space="preserve"> </w:t>
      </w:r>
      <w:r w:rsidRPr="00B06469">
        <w:rPr>
          <w:rFonts w:ascii="Times New Roman" w:hAnsi="Times New Roman" w:cs="Times New Roman"/>
          <w:sz w:val="24"/>
          <w:szCs w:val="24"/>
        </w:rPr>
        <w:t>Сохранение здоровья и продление долголетия</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6.2.5.</w:t>
      </w:r>
      <w:r w:rsidR="001F0139" w:rsidRPr="00B06469">
        <w:rPr>
          <w:rFonts w:ascii="Times New Roman" w:hAnsi="Times New Roman" w:cs="Times New Roman"/>
          <w:sz w:val="24"/>
          <w:szCs w:val="24"/>
        </w:rPr>
        <w:t xml:space="preserve"> </w:t>
      </w:r>
      <w:r w:rsidRPr="00B06469">
        <w:rPr>
          <w:rFonts w:ascii="Times New Roman" w:hAnsi="Times New Roman" w:cs="Times New Roman"/>
          <w:sz w:val="24"/>
          <w:szCs w:val="24"/>
        </w:rPr>
        <w:t>Качество и разнообразие культурной жизни, сохранение</w:t>
      </w:r>
      <w:proofErr w:type="gramStart"/>
      <w:r w:rsidRPr="00B06469">
        <w:rPr>
          <w:rFonts w:ascii="Times New Roman" w:hAnsi="Times New Roman" w:cs="Times New Roman"/>
          <w:sz w:val="24"/>
          <w:szCs w:val="24"/>
        </w:rPr>
        <w:t xml:space="preserve"> ,</w:t>
      </w:r>
      <w:proofErr w:type="gramEnd"/>
      <w:r w:rsidRPr="00B06469">
        <w:rPr>
          <w:rFonts w:ascii="Times New Roman" w:hAnsi="Times New Roman" w:cs="Times New Roman"/>
          <w:sz w:val="24"/>
          <w:szCs w:val="24"/>
        </w:rPr>
        <w:t xml:space="preserve"> развитие семейных, духовно-нравственных ценностей и здорового образа жизни</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6.2.6. Вовлечение населения в спортивные мероприятия</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6.2.7. Создание и развитие информационно-коммуникационной среды района</w:t>
      </w:r>
    </w:p>
    <w:p w:rsidR="008A6327" w:rsidRPr="00B06469" w:rsidRDefault="008A6327" w:rsidP="001F0139">
      <w:pPr>
        <w:pStyle w:val="a3"/>
        <w:widowControl w:val="0"/>
        <w:spacing w:after="0" w:line="240" w:lineRule="auto"/>
        <w:ind w:left="0"/>
        <w:contextualSpacing w:val="0"/>
        <w:jc w:val="both"/>
        <w:rPr>
          <w:rFonts w:ascii="Times New Roman" w:hAnsi="Times New Roman" w:cs="Times New Roman"/>
          <w:b/>
          <w:sz w:val="24"/>
          <w:szCs w:val="24"/>
        </w:rPr>
      </w:pPr>
      <w:r w:rsidRPr="00B06469">
        <w:rPr>
          <w:rFonts w:ascii="Times New Roman" w:hAnsi="Times New Roman" w:cs="Times New Roman"/>
          <w:b/>
          <w:sz w:val="24"/>
          <w:szCs w:val="24"/>
        </w:rPr>
        <w:t>7. СОЗДАНИЕ КОМФОРТНОГО ПРОСТРАНСТВА РАЙОНА</w:t>
      </w:r>
      <w:r w:rsidR="002760F1" w:rsidRPr="00B06469">
        <w:rPr>
          <w:rFonts w:ascii="Times New Roman" w:hAnsi="Times New Roman" w:cs="Times New Roman"/>
          <w:b/>
          <w:sz w:val="24"/>
          <w:szCs w:val="24"/>
        </w:rPr>
        <w:t xml:space="preserve"> </w:t>
      </w:r>
      <w:r w:rsidRPr="00B06469">
        <w:rPr>
          <w:rFonts w:ascii="Times New Roman" w:hAnsi="Times New Roman" w:cs="Times New Roman"/>
          <w:b/>
          <w:sz w:val="24"/>
          <w:szCs w:val="24"/>
        </w:rPr>
        <w:t>ДЛЯ ГАРМОНИЧНОГО РАЗВИТИЯ ЧЕЛОВЕЧЕСКОГО КАПИТАЛА</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7.1. Стратегическая диагностика</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7.2 Стратегические цели, задачи и ожидаемые результаты</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направления «Создание комфортного пространства района</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для гармоничного развития человеческого капитала</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7.2.1. Повышение комфортности жилой среды, модернизация объектов социальной инфраструктуры</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 xml:space="preserve">7.2.2. Поддержка и развитие </w:t>
      </w:r>
      <w:proofErr w:type="spellStart"/>
      <w:r w:rsidRPr="00B06469">
        <w:rPr>
          <w:rFonts w:ascii="Times New Roman" w:hAnsi="Times New Roman" w:cs="Times New Roman"/>
          <w:sz w:val="24"/>
          <w:szCs w:val="24"/>
        </w:rPr>
        <w:t>экосреды</w:t>
      </w:r>
      <w:proofErr w:type="spellEnd"/>
      <w:r w:rsidRPr="00B06469">
        <w:rPr>
          <w:rFonts w:ascii="Times New Roman" w:hAnsi="Times New Roman" w:cs="Times New Roman"/>
          <w:sz w:val="24"/>
          <w:szCs w:val="24"/>
        </w:rPr>
        <w:t xml:space="preserve"> района, повышение экологической грамотности населения</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7.2.3. Развитие культурного пространства и национальных традиций</w:t>
      </w:r>
    </w:p>
    <w:p w:rsidR="008A6327" w:rsidRPr="00B06469" w:rsidRDefault="008A6327" w:rsidP="001F0139">
      <w:pPr>
        <w:pStyle w:val="a3"/>
        <w:spacing w:after="0" w:line="240" w:lineRule="auto"/>
        <w:ind w:left="0"/>
        <w:contextualSpacing w:val="0"/>
        <w:jc w:val="both"/>
        <w:rPr>
          <w:rFonts w:ascii="Times New Roman" w:hAnsi="Times New Roman" w:cs="Times New Roman"/>
          <w:b/>
          <w:sz w:val="24"/>
          <w:szCs w:val="24"/>
        </w:rPr>
      </w:pPr>
      <w:r w:rsidRPr="00B06469">
        <w:rPr>
          <w:rFonts w:ascii="Times New Roman" w:hAnsi="Times New Roman" w:cs="Times New Roman"/>
          <w:b/>
          <w:sz w:val="24"/>
          <w:szCs w:val="24"/>
        </w:rPr>
        <w:t>8.</w:t>
      </w:r>
      <w:r w:rsidR="002760F1" w:rsidRPr="00B06469">
        <w:rPr>
          <w:rFonts w:ascii="Times New Roman" w:hAnsi="Times New Roman" w:cs="Times New Roman"/>
          <w:b/>
          <w:sz w:val="24"/>
          <w:szCs w:val="24"/>
        </w:rPr>
        <w:t xml:space="preserve"> </w:t>
      </w:r>
      <w:r w:rsidRPr="00B06469">
        <w:rPr>
          <w:rFonts w:ascii="Times New Roman" w:hAnsi="Times New Roman" w:cs="Times New Roman"/>
          <w:b/>
          <w:sz w:val="24"/>
          <w:szCs w:val="24"/>
        </w:rPr>
        <w:t>СОЗДАНИЕ ИННОВАЦИОННОЙ ЭКОНОМИКИ, В КОТОРОЙ ЧЕЛОВЕЧЕСКИЙ КАПИТАЛ ВОСТРЕБОВАН, УСПЕШНО ФУНКЦИОНИРУЕТ И РАЗВИВАЕТСЯ</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8.1. Стратегическая диагностика</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8.2.Стратегические цели, задачи и проектно-программный комплекс</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направления «Формирование, совершенствование и накопление человеческого капитала».</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 xml:space="preserve">8.2.1.Развитие и модернизация производства сельскохозяйственной продукции </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8.2.2. Развитие перерабатывающих производств</w:t>
      </w:r>
    </w:p>
    <w:p w:rsidR="008A6327" w:rsidRPr="00B06469" w:rsidRDefault="008A6327" w:rsidP="001F0139">
      <w:pPr>
        <w:pStyle w:val="a3"/>
        <w:spacing w:after="0" w:line="240" w:lineRule="auto"/>
        <w:ind w:left="0"/>
        <w:contextualSpacing w:val="0"/>
        <w:jc w:val="both"/>
        <w:rPr>
          <w:rFonts w:ascii="Times New Roman" w:hAnsi="Times New Roman" w:cs="Times New Roman"/>
          <w:sz w:val="24"/>
          <w:szCs w:val="24"/>
        </w:rPr>
      </w:pPr>
      <w:r w:rsidRPr="00B06469">
        <w:rPr>
          <w:rFonts w:ascii="Times New Roman" w:hAnsi="Times New Roman" w:cs="Times New Roman"/>
          <w:sz w:val="24"/>
          <w:szCs w:val="24"/>
        </w:rPr>
        <w:t>8.2.3. Развитие сферы услуг</w:t>
      </w:r>
    </w:p>
    <w:p w:rsidR="008A6327" w:rsidRPr="00B06469" w:rsidRDefault="008A6327" w:rsidP="001F0139">
      <w:pPr>
        <w:widowControl w:val="0"/>
        <w:autoSpaceDE w:val="0"/>
        <w:autoSpaceDN w:val="0"/>
        <w:adjustRightInd w:val="0"/>
        <w:spacing w:after="0" w:line="240" w:lineRule="auto"/>
        <w:jc w:val="both"/>
        <w:rPr>
          <w:rFonts w:ascii="Times New Roman" w:hAnsi="Times New Roman" w:cs="Times New Roman"/>
          <w:sz w:val="24"/>
          <w:szCs w:val="24"/>
        </w:rPr>
      </w:pPr>
      <w:r w:rsidRPr="00B06469">
        <w:rPr>
          <w:rFonts w:ascii="Times New Roman" w:hAnsi="Times New Roman" w:cs="Times New Roman"/>
          <w:b/>
          <w:sz w:val="24"/>
          <w:szCs w:val="24"/>
        </w:rPr>
        <w:t>9.</w:t>
      </w:r>
      <w:r w:rsidR="001F0139" w:rsidRPr="00B06469">
        <w:rPr>
          <w:rFonts w:ascii="Times New Roman" w:hAnsi="Times New Roman" w:cs="Times New Roman"/>
          <w:b/>
          <w:sz w:val="24"/>
          <w:szCs w:val="24"/>
        </w:rPr>
        <w:t xml:space="preserve"> </w:t>
      </w:r>
      <w:r w:rsidRPr="00B06469">
        <w:rPr>
          <w:rFonts w:ascii="Times New Roman" w:hAnsi="Times New Roman" w:cs="Times New Roman"/>
          <w:b/>
          <w:sz w:val="24"/>
          <w:szCs w:val="24"/>
        </w:rPr>
        <w:t>ИНСТИТУЦИОНАЛЬНОЕ И РЕСУРСНОЕ ОБЕСПЕЧЕНИЕ РЕАЛИЗАЦИИ СТРАТЕГИИ</w:t>
      </w:r>
    </w:p>
    <w:p w:rsidR="008A6327" w:rsidRPr="00B06469" w:rsidRDefault="008A6327" w:rsidP="001F0139">
      <w:pPr>
        <w:widowControl w:val="0"/>
        <w:autoSpaceDE w:val="0"/>
        <w:autoSpaceDN w:val="0"/>
        <w:adjustRightInd w:val="0"/>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 xml:space="preserve">9.1 Этапы и сценарии развития </w:t>
      </w:r>
      <w:r w:rsidR="001F0139" w:rsidRPr="00B06469">
        <w:rPr>
          <w:rFonts w:ascii="Times New Roman" w:hAnsi="Times New Roman" w:cs="Times New Roman"/>
          <w:sz w:val="24"/>
          <w:szCs w:val="24"/>
        </w:rPr>
        <w:t xml:space="preserve">муниципального района </w:t>
      </w:r>
      <w:proofErr w:type="spellStart"/>
      <w:r w:rsidR="001F0139" w:rsidRPr="00B06469">
        <w:rPr>
          <w:rFonts w:ascii="Times New Roman" w:hAnsi="Times New Roman" w:cs="Times New Roman"/>
          <w:sz w:val="24"/>
          <w:szCs w:val="24"/>
        </w:rPr>
        <w:t>Камышлинский</w:t>
      </w:r>
      <w:proofErr w:type="spellEnd"/>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9.2. Оценка финансовых ресурсов</w:t>
      </w:r>
    </w:p>
    <w:p w:rsidR="00A722E5"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9.3</w:t>
      </w:r>
      <w:r w:rsidR="001F0139" w:rsidRPr="00B06469">
        <w:rPr>
          <w:rFonts w:ascii="Times New Roman" w:hAnsi="Times New Roman" w:cs="Times New Roman"/>
          <w:sz w:val="24"/>
          <w:szCs w:val="24"/>
        </w:rPr>
        <w:t xml:space="preserve"> </w:t>
      </w:r>
      <w:r w:rsidRPr="00B06469">
        <w:rPr>
          <w:rFonts w:ascii="Times New Roman" w:hAnsi="Times New Roman" w:cs="Times New Roman"/>
          <w:sz w:val="24"/>
          <w:szCs w:val="24"/>
        </w:rPr>
        <w:t xml:space="preserve">Механизм реализации стратегии и мониторинг </w:t>
      </w:r>
    </w:p>
    <w:p w:rsidR="00633F69" w:rsidRPr="00B06469" w:rsidRDefault="00633F69" w:rsidP="001F0139">
      <w:pPr>
        <w:spacing w:after="0"/>
        <w:rPr>
          <w:rFonts w:ascii="Times New Roman" w:eastAsia="Times New Roman" w:hAnsi="Times New Roman" w:cs="Times New Roman"/>
          <w:b/>
          <w:bCs/>
          <w:color w:val="365F91" w:themeColor="accent1" w:themeShade="BF"/>
          <w:sz w:val="24"/>
          <w:szCs w:val="24"/>
        </w:rPr>
      </w:pPr>
      <w:r w:rsidRPr="00B06469">
        <w:rPr>
          <w:rFonts w:ascii="Times New Roman" w:hAnsi="Times New Roman" w:cs="Times New Roman"/>
          <w:color w:val="365F91" w:themeColor="accent1" w:themeShade="BF"/>
          <w:sz w:val="24"/>
          <w:szCs w:val="24"/>
        </w:rPr>
        <w:lastRenderedPageBreak/>
        <w:br w:type="page"/>
      </w:r>
    </w:p>
    <w:p w:rsidR="008B6E71" w:rsidRPr="00B06469" w:rsidRDefault="008B6E71" w:rsidP="001F0139">
      <w:pPr>
        <w:pStyle w:val="10"/>
        <w:keepNext/>
        <w:keepLines/>
        <w:shd w:val="clear" w:color="auto" w:fill="auto"/>
        <w:spacing w:after="0" w:line="360" w:lineRule="auto"/>
        <w:ind w:firstLine="0"/>
        <w:rPr>
          <w:color w:val="365F91" w:themeColor="accent1" w:themeShade="BF"/>
          <w:sz w:val="24"/>
          <w:szCs w:val="24"/>
        </w:rPr>
      </w:pPr>
      <w:r w:rsidRPr="00B06469">
        <w:rPr>
          <w:color w:val="365F91" w:themeColor="accent1" w:themeShade="BF"/>
          <w:sz w:val="24"/>
          <w:szCs w:val="24"/>
        </w:rPr>
        <w:lastRenderedPageBreak/>
        <w:t>1.ОБЩИЕ ПОЛОЖЕНИЯ</w:t>
      </w:r>
      <w:bookmarkEnd w:id="0"/>
    </w:p>
    <w:p w:rsidR="008B6E71" w:rsidRPr="00B06469" w:rsidRDefault="008B6E71" w:rsidP="001F0139">
      <w:pPr>
        <w:shd w:val="clear" w:color="auto" w:fill="FFFFFF"/>
        <w:spacing w:after="0" w:line="360" w:lineRule="auto"/>
        <w:ind w:firstLine="709"/>
        <w:jc w:val="both"/>
        <w:textAlignment w:val="baseline"/>
        <w:rPr>
          <w:rFonts w:ascii="Times New Roman" w:eastAsia="Times New Roman" w:hAnsi="Times New Roman" w:cs="Times New Roman"/>
          <w:sz w:val="24"/>
          <w:szCs w:val="24"/>
        </w:rPr>
      </w:pPr>
      <w:proofErr w:type="gramStart"/>
      <w:r w:rsidRPr="00B06469">
        <w:rPr>
          <w:rFonts w:ascii="Times New Roman" w:eastAsia="Times New Roman" w:hAnsi="Times New Roman" w:cs="Times New Roman"/>
          <w:sz w:val="24"/>
          <w:szCs w:val="24"/>
        </w:rPr>
        <w:t>Правовая основа Стратегии социально-экономического развития района – Федеральный закон от 28 июня 2014г. № 172-ФЗ «О стратегическом планировании в Российской Федерации», Законом Самарской области от 12.03.2018 №19-ГД «О стратегическом планировании в Самарской области», а также Постановление Правительства Самарской области от 12 июля 2017г. № 441 «О стратегии социально-экономического развития Самарской области до 2030г.» и Указ Президента Российской Федерации от 7 мая 2018 г</w:t>
      </w:r>
      <w:proofErr w:type="gramEnd"/>
      <w:r w:rsidRPr="00B06469">
        <w:rPr>
          <w:rFonts w:ascii="Times New Roman" w:eastAsia="Times New Roman" w:hAnsi="Times New Roman" w:cs="Times New Roman"/>
          <w:sz w:val="24"/>
          <w:szCs w:val="24"/>
        </w:rPr>
        <w:t>. № 204 «Национальные цели и стратегические задачи развития Российской Федерации на период до 2024 года».</w:t>
      </w:r>
    </w:p>
    <w:p w:rsidR="008B6E71" w:rsidRPr="00B06469" w:rsidRDefault="008B6E71" w:rsidP="001F0139">
      <w:pPr>
        <w:shd w:val="clear" w:color="auto" w:fill="FFFFFF"/>
        <w:spacing w:after="0" w:line="360" w:lineRule="auto"/>
        <w:ind w:firstLine="709"/>
        <w:jc w:val="both"/>
        <w:textAlignment w:val="baseline"/>
        <w:rPr>
          <w:rFonts w:ascii="Times New Roman" w:eastAsia="Times New Roman" w:hAnsi="Times New Roman" w:cs="Times New Roman"/>
          <w:color w:val="365F91" w:themeColor="accent1" w:themeShade="BF"/>
          <w:sz w:val="24"/>
          <w:szCs w:val="24"/>
        </w:rPr>
      </w:pPr>
    </w:p>
    <w:p w:rsidR="008B6E71" w:rsidRPr="00B06469" w:rsidRDefault="008B6E71" w:rsidP="001F0139">
      <w:pPr>
        <w:pStyle w:val="10"/>
        <w:keepNext/>
        <w:keepLines/>
        <w:shd w:val="clear" w:color="auto" w:fill="auto"/>
        <w:spacing w:after="0" w:line="360" w:lineRule="auto"/>
        <w:ind w:firstLine="0"/>
        <w:rPr>
          <w:color w:val="365F91" w:themeColor="accent1" w:themeShade="BF"/>
          <w:sz w:val="24"/>
          <w:szCs w:val="24"/>
        </w:rPr>
      </w:pPr>
      <w:r w:rsidRPr="00B06469">
        <w:rPr>
          <w:color w:val="365F91" w:themeColor="accent1" w:themeShade="BF"/>
          <w:sz w:val="24"/>
          <w:szCs w:val="24"/>
        </w:rPr>
        <w:t xml:space="preserve">2.МИССИЯ И </w:t>
      </w:r>
      <w:r w:rsidR="00633F69" w:rsidRPr="00B06469">
        <w:rPr>
          <w:color w:val="365F91" w:themeColor="accent1" w:themeShade="BF"/>
          <w:sz w:val="24"/>
          <w:szCs w:val="24"/>
        </w:rPr>
        <w:t>НАПРАВЛЕНИЯ</w:t>
      </w:r>
      <w:r w:rsidRPr="00B06469">
        <w:rPr>
          <w:color w:val="365F91" w:themeColor="accent1" w:themeShade="BF"/>
          <w:sz w:val="24"/>
          <w:szCs w:val="24"/>
        </w:rPr>
        <w:t xml:space="preserve"> СОЦИАЛЬНО-ЭКОНОМИЧЕСКОГО РАЗВИТИЯ МУНИЦИПАЛЬНОГО РАЙОНА КАМЫШЛИНСКИЙ ДО 2030 ГОДА</w:t>
      </w:r>
    </w:p>
    <w:p w:rsidR="004643AF" w:rsidRPr="00B06469" w:rsidRDefault="004643AF"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Миссия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характеризующая его роль во внешней среде и участие в реализации приоритетов развития Российской Федерации и Самарской области, обуславливается его специализацией и определяется следующим образом:</w:t>
      </w:r>
    </w:p>
    <w:p w:rsidR="00E7129E" w:rsidRPr="00B06469" w:rsidRDefault="00E7129E" w:rsidP="001F0139">
      <w:pPr>
        <w:spacing w:after="0" w:line="360" w:lineRule="auto"/>
        <w:ind w:firstLine="709"/>
        <w:jc w:val="both"/>
        <w:rPr>
          <w:rFonts w:ascii="Times New Roman" w:hAnsi="Times New Roman" w:cs="Times New Roman"/>
          <w:sz w:val="24"/>
          <w:szCs w:val="24"/>
        </w:rPr>
      </w:pPr>
      <w:proofErr w:type="spellStart"/>
      <w:r w:rsidRPr="00B06469">
        <w:rPr>
          <w:rFonts w:ascii="Times New Roman" w:hAnsi="Times New Roman" w:cs="Times New Roman"/>
          <w:b/>
          <w:sz w:val="24"/>
          <w:szCs w:val="24"/>
        </w:rPr>
        <w:t>Камышлинский</w:t>
      </w:r>
      <w:proofErr w:type="spellEnd"/>
      <w:r w:rsidRPr="00B06469">
        <w:rPr>
          <w:rFonts w:ascii="Times New Roman" w:hAnsi="Times New Roman" w:cs="Times New Roman"/>
          <w:b/>
          <w:sz w:val="24"/>
          <w:szCs w:val="24"/>
        </w:rPr>
        <w:t xml:space="preserve"> район для </w:t>
      </w:r>
      <w:proofErr w:type="spellStart"/>
      <w:r w:rsidRPr="00B06469">
        <w:rPr>
          <w:rFonts w:ascii="Times New Roman" w:hAnsi="Times New Roman" w:cs="Times New Roman"/>
          <w:b/>
          <w:sz w:val="24"/>
          <w:szCs w:val="24"/>
        </w:rPr>
        <w:t>Камышлинцев</w:t>
      </w:r>
      <w:proofErr w:type="spellEnd"/>
      <w:r w:rsidRPr="00B06469">
        <w:rPr>
          <w:rFonts w:ascii="Times New Roman" w:hAnsi="Times New Roman" w:cs="Times New Roman"/>
          <w:sz w:val="24"/>
          <w:szCs w:val="24"/>
        </w:rPr>
        <w:t>: «Территория высокой нравственности, здорового образа жизни, развитой экономики, малая Родина больших возможностей»</w:t>
      </w:r>
    </w:p>
    <w:p w:rsidR="00E7129E" w:rsidRPr="00B06469" w:rsidRDefault="00E7129E" w:rsidP="001F0139">
      <w:pPr>
        <w:spacing w:after="0" w:line="360" w:lineRule="auto"/>
        <w:ind w:firstLine="709"/>
        <w:jc w:val="both"/>
        <w:rPr>
          <w:rFonts w:ascii="Times New Roman" w:hAnsi="Times New Roman" w:cs="Times New Roman"/>
          <w:sz w:val="24"/>
          <w:szCs w:val="24"/>
        </w:rPr>
      </w:pPr>
      <w:proofErr w:type="spellStart"/>
      <w:r w:rsidRPr="00B06469">
        <w:rPr>
          <w:rFonts w:ascii="Times New Roman" w:hAnsi="Times New Roman" w:cs="Times New Roman"/>
          <w:b/>
          <w:sz w:val="24"/>
          <w:szCs w:val="24"/>
        </w:rPr>
        <w:t>Камышлинский</w:t>
      </w:r>
      <w:proofErr w:type="spellEnd"/>
      <w:r w:rsidRPr="00B06469">
        <w:rPr>
          <w:rFonts w:ascii="Times New Roman" w:hAnsi="Times New Roman" w:cs="Times New Roman"/>
          <w:b/>
          <w:sz w:val="24"/>
          <w:szCs w:val="24"/>
        </w:rPr>
        <w:t xml:space="preserve"> район для России</w:t>
      </w:r>
      <w:r w:rsidRPr="00B06469">
        <w:rPr>
          <w:rFonts w:ascii="Times New Roman" w:hAnsi="Times New Roman" w:cs="Times New Roman"/>
          <w:sz w:val="24"/>
          <w:szCs w:val="24"/>
        </w:rPr>
        <w:t xml:space="preserve">: «Малая Родина Камышла» – </w:t>
      </w:r>
      <w:proofErr w:type="spellStart"/>
      <w:r w:rsidRPr="00B06469">
        <w:rPr>
          <w:rFonts w:ascii="Times New Roman" w:hAnsi="Times New Roman" w:cs="Times New Roman"/>
          <w:sz w:val="24"/>
          <w:szCs w:val="24"/>
        </w:rPr>
        <w:t>этнотуристический</w:t>
      </w:r>
      <w:proofErr w:type="spellEnd"/>
      <w:r w:rsidRPr="00B06469">
        <w:rPr>
          <w:rFonts w:ascii="Times New Roman" w:hAnsi="Times New Roman" w:cs="Times New Roman"/>
          <w:sz w:val="24"/>
          <w:szCs w:val="24"/>
        </w:rPr>
        <w:t xml:space="preserve"> центр с богатыми национальными традициями и историко-культурным наследием»</w:t>
      </w:r>
    </w:p>
    <w:p w:rsidR="00E7129E" w:rsidRPr="00B06469" w:rsidRDefault="00E7129E" w:rsidP="001F0139">
      <w:pPr>
        <w:spacing w:after="0" w:line="360" w:lineRule="auto"/>
        <w:ind w:firstLine="709"/>
        <w:jc w:val="both"/>
        <w:rPr>
          <w:rFonts w:ascii="Times New Roman" w:hAnsi="Times New Roman" w:cs="Times New Roman"/>
          <w:sz w:val="24"/>
          <w:szCs w:val="24"/>
        </w:rPr>
      </w:pPr>
      <w:proofErr w:type="spellStart"/>
      <w:r w:rsidRPr="00B06469">
        <w:rPr>
          <w:rFonts w:ascii="Times New Roman" w:hAnsi="Times New Roman" w:cs="Times New Roman"/>
          <w:b/>
          <w:sz w:val="24"/>
          <w:szCs w:val="24"/>
        </w:rPr>
        <w:t>Камышлинский</w:t>
      </w:r>
      <w:proofErr w:type="spellEnd"/>
      <w:r w:rsidRPr="00B06469">
        <w:rPr>
          <w:rFonts w:ascii="Times New Roman" w:hAnsi="Times New Roman" w:cs="Times New Roman"/>
          <w:b/>
          <w:sz w:val="24"/>
          <w:szCs w:val="24"/>
        </w:rPr>
        <w:t xml:space="preserve"> район для Самарской области</w:t>
      </w:r>
      <w:r w:rsidRPr="00B06469">
        <w:rPr>
          <w:rFonts w:ascii="Times New Roman" w:hAnsi="Times New Roman" w:cs="Times New Roman"/>
          <w:sz w:val="24"/>
          <w:szCs w:val="24"/>
        </w:rPr>
        <w:t>: «Уникальная территория компактного проживания татар с крепкими национальными и духовными традициями»</w:t>
      </w:r>
    </w:p>
    <w:p w:rsidR="00E7129E" w:rsidRPr="00B06469" w:rsidRDefault="00E7129E" w:rsidP="001F0139">
      <w:pPr>
        <w:spacing w:after="0" w:line="360" w:lineRule="auto"/>
        <w:ind w:firstLine="709"/>
        <w:jc w:val="both"/>
        <w:rPr>
          <w:rFonts w:ascii="Times New Roman" w:hAnsi="Times New Roman" w:cs="Times New Roman"/>
          <w:b/>
          <w:sz w:val="24"/>
          <w:szCs w:val="24"/>
        </w:rPr>
      </w:pPr>
      <w:r w:rsidRPr="00B06469">
        <w:rPr>
          <w:rFonts w:ascii="Times New Roman" w:hAnsi="Times New Roman" w:cs="Times New Roman"/>
          <w:b/>
          <w:sz w:val="24"/>
          <w:szCs w:val="24"/>
        </w:rPr>
        <w:t xml:space="preserve">Главная цель: </w:t>
      </w:r>
    </w:p>
    <w:p w:rsidR="00E7129E" w:rsidRPr="00B06469" w:rsidRDefault="00E7129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«Создание условий для социально – ориентированного бизнеса, комфортного проживания и гармоничного развития личности» </w:t>
      </w:r>
    </w:p>
    <w:p w:rsidR="004643AF" w:rsidRPr="00B06469" w:rsidRDefault="004643AF"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b/>
          <w:sz w:val="24"/>
          <w:szCs w:val="24"/>
        </w:rPr>
        <w:t>Ключевые задачи</w:t>
      </w:r>
      <w:r w:rsidRPr="00B06469">
        <w:rPr>
          <w:rFonts w:ascii="Times New Roman" w:hAnsi="Times New Roman" w:cs="Times New Roman"/>
          <w:sz w:val="24"/>
          <w:szCs w:val="24"/>
        </w:rPr>
        <w:t xml:space="preserve">: </w:t>
      </w:r>
    </w:p>
    <w:p w:rsidR="004643AF" w:rsidRPr="00B0646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t xml:space="preserve">Создание благоприятных условий для развития социально-ориентированного бизнеса на основе частных инвестиций и </w:t>
      </w:r>
      <w:proofErr w:type="spellStart"/>
      <w:r w:rsidRPr="00B06469">
        <w:rPr>
          <w:rFonts w:ascii="Times New Roman" w:hAnsi="Times New Roman" w:cs="Times New Roman"/>
          <w:bCs/>
          <w:sz w:val="24"/>
          <w:szCs w:val="24"/>
        </w:rPr>
        <w:t>муниципально</w:t>
      </w:r>
      <w:proofErr w:type="spellEnd"/>
      <w:r w:rsidRPr="00B06469">
        <w:rPr>
          <w:rFonts w:ascii="Times New Roman" w:hAnsi="Times New Roman" w:cs="Times New Roman"/>
          <w:bCs/>
          <w:sz w:val="24"/>
          <w:szCs w:val="24"/>
        </w:rPr>
        <w:t xml:space="preserve">-частного партнерства; </w:t>
      </w:r>
    </w:p>
    <w:p w:rsidR="004643AF" w:rsidRPr="00B0646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t>Формирование новых производств сельского хозяйства, перерабатывающей промышленности, сферы услуг и туризма;</w:t>
      </w:r>
      <w:r w:rsidRPr="00B06469">
        <w:rPr>
          <w:rFonts w:ascii="Times New Roman" w:hAnsi="Times New Roman" w:cs="Times New Roman"/>
          <w:b/>
          <w:bCs/>
          <w:sz w:val="24"/>
          <w:szCs w:val="24"/>
        </w:rPr>
        <w:t xml:space="preserve"> </w:t>
      </w:r>
    </w:p>
    <w:p w:rsidR="004643AF" w:rsidRPr="00B0646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t xml:space="preserve">Повышение комфортности жилой среды, поддержка и развитие </w:t>
      </w:r>
      <w:proofErr w:type="spellStart"/>
      <w:r w:rsidRPr="00B06469">
        <w:rPr>
          <w:rFonts w:ascii="Times New Roman" w:hAnsi="Times New Roman" w:cs="Times New Roman"/>
          <w:bCs/>
          <w:sz w:val="24"/>
          <w:szCs w:val="24"/>
        </w:rPr>
        <w:t>экосреды</w:t>
      </w:r>
      <w:proofErr w:type="spellEnd"/>
      <w:r w:rsidRPr="00B06469">
        <w:rPr>
          <w:rFonts w:ascii="Times New Roman" w:hAnsi="Times New Roman" w:cs="Times New Roman"/>
          <w:bCs/>
          <w:sz w:val="24"/>
          <w:szCs w:val="24"/>
        </w:rPr>
        <w:t xml:space="preserve"> района, развитие культурного пространства и национальных традиций; </w:t>
      </w:r>
    </w:p>
    <w:p w:rsidR="004643AF" w:rsidRPr="00B0646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t> Развитие кадрового потенциала и инфраструктуры</w:t>
      </w:r>
      <w:r w:rsidR="002760F1" w:rsidRPr="00B06469">
        <w:rPr>
          <w:rFonts w:ascii="Times New Roman" w:hAnsi="Times New Roman" w:cs="Times New Roman"/>
          <w:bCs/>
          <w:sz w:val="24"/>
          <w:szCs w:val="24"/>
        </w:rPr>
        <w:t xml:space="preserve"> </w:t>
      </w:r>
      <w:r w:rsidRPr="00B06469">
        <w:rPr>
          <w:rFonts w:ascii="Times New Roman" w:hAnsi="Times New Roman" w:cs="Times New Roman"/>
          <w:bCs/>
          <w:sz w:val="24"/>
          <w:szCs w:val="24"/>
        </w:rPr>
        <w:t xml:space="preserve">системы образования, здравоохранения, культуры и спорта; </w:t>
      </w:r>
    </w:p>
    <w:p w:rsidR="004643AF" w:rsidRPr="00B0646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lastRenderedPageBreak/>
        <w:t>Сохранение</w:t>
      </w:r>
      <w:r w:rsidR="002760F1" w:rsidRPr="00B06469">
        <w:rPr>
          <w:rFonts w:ascii="Times New Roman" w:hAnsi="Times New Roman" w:cs="Times New Roman"/>
          <w:bCs/>
          <w:sz w:val="24"/>
          <w:szCs w:val="24"/>
        </w:rPr>
        <w:t xml:space="preserve"> </w:t>
      </w:r>
      <w:r w:rsidRPr="00B06469">
        <w:rPr>
          <w:rFonts w:ascii="Times New Roman" w:hAnsi="Times New Roman" w:cs="Times New Roman"/>
          <w:bCs/>
          <w:sz w:val="24"/>
          <w:szCs w:val="24"/>
        </w:rPr>
        <w:t>и развитие семейных, духовно-нравственных ценностей и здорового образа жизни;</w:t>
      </w:r>
    </w:p>
    <w:p w:rsidR="004643AF" w:rsidRPr="00B0646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t xml:space="preserve">Создание и развитие информационно-коммуникационной среды района </w:t>
      </w:r>
    </w:p>
    <w:p w:rsidR="00E7129E" w:rsidRPr="00B06469" w:rsidRDefault="004643AF"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Стержень стратегии - человек, и три приоритета Стратегии группируются вокруг этого стержня: </w:t>
      </w:r>
    </w:p>
    <w:p w:rsidR="00E7129E" w:rsidRPr="00B06469" w:rsidRDefault="00DE1D1C" w:rsidP="001F0139">
      <w:pPr>
        <w:spacing w:after="0" w:line="360" w:lineRule="auto"/>
        <w:ind w:firstLine="709"/>
        <w:jc w:val="both"/>
        <w:rPr>
          <w:rFonts w:ascii="Times New Roman" w:hAnsi="Times New Roman" w:cs="Times New Roman"/>
          <w:i/>
          <w:sz w:val="24"/>
          <w:szCs w:val="24"/>
        </w:rPr>
      </w:pPr>
      <w:r w:rsidRPr="00B06469">
        <w:rPr>
          <w:rFonts w:ascii="Times New Roman" w:hAnsi="Times New Roman" w:cs="Times New Roman"/>
          <w:i/>
          <w:sz w:val="24"/>
          <w:szCs w:val="24"/>
        </w:rPr>
        <w:t>Ф</w:t>
      </w:r>
      <w:r w:rsidR="004643AF" w:rsidRPr="00B06469">
        <w:rPr>
          <w:rFonts w:ascii="Times New Roman" w:hAnsi="Times New Roman" w:cs="Times New Roman"/>
          <w:i/>
          <w:sz w:val="24"/>
          <w:szCs w:val="24"/>
        </w:rPr>
        <w:t>ормирование</w:t>
      </w:r>
      <w:r w:rsidRPr="00B06469">
        <w:rPr>
          <w:rFonts w:ascii="Times New Roman" w:hAnsi="Times New Roman" w:cs="Times New Roman"/>
          <w:i/>
          <w:sz w:val="24"/>
          <w:szCs w:val="24"/>
        </w:rPr>
        <w:t>, совершенствование</w:t>
      </w:r>
      <w:r w:rsidR="004643AF" w:rsidRPr="00B06469">
        <w:rPr>
          <w:rFonts w:ascii="Times New Roman" w:hAnsi="Times New Roman" w:cs="Times New Roman"/>
          <w:i/>
          <w:sz w:val="24"/>
          <w:szCs w:val="24"/>
        </w:rPr>
        <w:t xml:space="preserve"> и накопление человеческого капитала; </w:t>
      </w:r>
    </w:p>
    <w:p w:rsidR="00E7129E" w:rsidRPr="00B06469" w:rsidRDefault="00DE1D1C" w:rsidP="001F0139">
      <w:pPr>
        <w:spacing w:after="0" w:line="360" w:lineRule="auto"/>
        <w:ind w:firstLine="709"/>
        <w:jc w:val="both"/>
        <w:rPr>
          <w:rFonts w:ascii="Times New Roman" w:hAnsi="Times New Roman" w:cs="Times New Roman"/>
          <w:i/>
          <w:sz w:val="24"/>
          <w:szCs w:val="24"/>
        </w:rPr>
      </w:pPr>
      <w:r w:rsidRPr="00B06469">
        <w:rPr>
          <w:rFonts w:ascii="Times New Roman" w:hAnsi="Times New Roman" w:cs="Times New Roman"/>
          <w:i/>
          <w:sz w:val="24"/>
          <w:szCs w:val="24"/>
        </w:rPr>
        <w:t>С</w:t>
      </w:r>
      <w:r w:rsidR="004643AF" w:rsidRPr="00B06469">
        <w:rPr>
          <w:rFonts w:ascii="Times New Roman" w:hAnsi="Times New Roman" w:cs="Times New Roman"/>
          <w:i/>
          <w:sz w:val="24"/>
          <w:szCs w:val="24"/>
        </w:rPr>
        <w:t>оздание комфортного пространства</w:t>
      </w:r>
      <w:r w:rsidRPr="00B06469">
        <w:rPr>
          <w:rFonts w:ascii="Times New Roman" w:hAnsi="Times New Roman" w:cs="Times New Roman"/>
          <w:i/>
          <w:sz w:val="24"/>
          <w:szCs w:val="24"/>
        </w:rPr>
        <w:t xml:space="preserve"> района</w:t>
      </w:r>
      <w:r w:rsidR="002760F1" w:rsidRPr="00B06469">
        <w:rPr>
          <w:rFonts w:ascii="Times New Roman" w:hAnsi="Times New Roman" w:cs="Times New Roman"/>
          <w:i/>
          <w:sz w:val="24"/>
          <w:szCs w:val="24"/>
        </w:rPr>
        <w:t xml:space="preserve"> </w:t>
      </w:r>
      <w:r w:rsidR="004643AF" w:rsidRPr="00B06469">
        <w:rPr>
          <w:rFonts w:ascii="Times New Roman" w:hAnsi="Times New Roman" w:cs="Times New Roman"/>
          <w:i/>
          <w:sz w:val="24"/>
          <w:szCs w:val="24"/>
        </w:rPr>
        <w:t xml:space="preserve">для </w:t>
      </w:r>
      <w:r w:rsidRPr="00B06469">
        <w:rPr>
          <w:rFonts w:ascii="Times New Roman" w:hAnsi="Times New Roman" w:cs="Times New Roman"/>
          <w:i/>
          <w:sz w:val="24"/>
          <w:szCs w:val="24"/>
        </w:rPr>
        <w:t xml:space="preserve">гармоничного </w:t>
      </w:r>
      <w:r w:rsidR="004643AF" w:rsidRPr="00B06469">
        <w:rPr>
          <w:rFonts w:ascii="Times New Roman" w:hAnsi="Times New Roman" w:cs="Times New Roman"/>
          <w:i/>
          <w:sz w:val="24"/>
          <w:szCs w:val="24"/>
        </w:rPr>
        <w:t xml:space="preserve">развития человеческого капитала; </w:t>
      </w:r>
    </w:p>
    <w:p w:rsidR="004643AF" w:rsidRPr="00B06469" w:rsidRDefault="00DE1D1C" w:rsidP="001F0139">
      <w:pPr>
        <w:spacing w:after="0" w:line="360" w:lineRule="auto"/>
        <w:ind w:firstLine="709"/>
        <w:jc w:val="both"/>
        <w:rPr>
          <w:rFonts w:ascii="Times New Roman" w:hAnsi="Times New Roman" w:cs="Times New Roman"/>
          <w:i/>
          <w:sz w:val="24"/>
          <w:szCs w:val="24"/>
        </w:rPr>
      </w:pPr>
      <w:r w:rsidRPr="00B06469">
        <w:rPr>
          <w:rFonts w:ascii="Times New Roman" w:hAnsi="Times New Roman" w:cs="Times New Roman"/>
          <w:i/>
          <w:sz w:val="24"/>
          <w:szCs w:val="24"/>
        </w:rPr>
        <w:t>С</w:t>
      </w:r>
      <w:r w:rsidR="004643AF" w:rsidRPr="00B06469">
        <w:rPr>
          <w:rFonts w:ascii="Times New Roman" w:hAnsi="Times New Roman" w:cs="Times New Roman"/>
          <w:i/>
          <w:sz w:val="24"/>
          <w:szCs w:val="24"/>
        </w:rPr>
        <w:t xml:space="preserve">оздание </w:t>
      </w:r>
      <w:r w:rsidR="00E7129E" w:rsidRPr="00B06469">
        <w:rPr>
          <w:rFonts w:ascii="Times New Roman" w:hAnsi="Times New Roman" w:cs="Times New Roman"/>
          <w:i/>
          <w:sz w:val="24"/>
          <w:szCs w:val="24"/>
        </w:rPr>
        <w:t>инновационной экономики</w:t>
      </w:r>
      <w:r w:rsidR="004643AF" w:rsidRPr="00B06469">
        <w:rPr>
          <w:rFonts w:ascii="Times New Roman" w:hAnsi="Times New Roman" w:cs="Times New Roman"/>
          <w:i/>
          <w:sz w:val="24"/>
          <w:szCs w:val="24"/>
        </w:rPr>
        <w:t xml:space="preserve">, </w:t>
      </w:r>
      <w:r w:rsidRPr="00B06469">
        <w:rPr>
          <w:rFonts w:ascii="Times New Roman" w:hAnsi="Times New Roman" w:cs="Times New Roman"/>
          <w:i/>
          <w:sz w:val="24"/>
          <w:szCs w:val="24"/>
        </w:rPr>
        <w:t xml:space="preserve">в которой </w:t>
      </w:r>
      <w:r w:rsidR="004643AF" w:rsidRPr="00B06469">
        <w:rPr>
          <w:rFonts w:ascii="Times New Roman" w:hAnsi="Times New Roman" w:cs="Times New Roman"/>
          <w:i/>
          <w:sz w:val="24"/>
          <w:szCs w:val="24"/>
        </w:rPr>
        <w:t>человеческий капитал востребован</w:t>
      </w:r>
      <w:r w:rsidR="00E7129E" w:rsidRPr="00B06469">
        <w:rPr>
          <w:rFonts w:ascii="Times New Roman" w:hAnsi="Times New Roman" w:cs="Times New Roman"/>
          <w:i/>
          <w:sz w:val="24"/>
          <w:szCs w:val="24"/>
        </w:rPr>
        <w:t xml:space="preserve">, </w:t>
      </w:r>
      <w:r w:rsidR="004643AF" w:rsidRPr="00B06469">
        <w:rPr>
          <w:rFonts w:ascii="Times New Roman" w:hAnsi="Times New Roman" w:cs="Times New Roman"/>
          <w:i/>
          <w:sz w:val="24"/>
          <w:szCs w:val="24"/>
        </w:rPr>
        <w:t>успешно функционир</w:t>
      </w:r>
      <w:r w:rsidR="00E7129E" w:rsidRPr="00B06469">
        <w:rPr>
          <w:rFonts w:ascii="Times New Roman" w:hAnsi="Times New Roman" w:cs="Times New Roman"/>
          <w:i/>
          <w:sz w:val="24"/>
          <w:szCs w:val="24"/>
        </w:rPr>
        <w:t>ует и развивается</w:t>
      </w:r>
      <w:r w:rsidR="004643AF" w:rsidRPr="00B06469">
        <w:rPr>
          <w:rFonts w:ascii="Times New Roman" w:hAnsi="Times New Roman" w:cs="Times New Roman"/>
          <w:i/>
          <w:sz w:val="24"/>
          <w:szCs w:val="24"/>
        </w:rPr>
        <w:t>.</w:t>
      </w:r>
    </w:p>
    <w:p w:rsidR="00814189" w:rsidRPr="00B06469" w:rsidRDefault="00814189" w:rsidP="001F0139">
      <w:pPr>
        <w:spacing w:after="0" w:line="360" w:lineRule="auto"/>
        <w:ind w:firstLine="709"/>
        <w:jc w:val="both"/>
        <w:rPr>
          <w:rFonts w:ascii="Times New Roman" w:hAnsi="Times New Roman" w:cs="Times New Roman"/>
          <w:sz w:val="24"/>
          <w:szCs w:val="24"/>
        </w:rPr>
      </w:pPr>
    </w:p>
    <w:p w:rsidR="00814189" w:rsidRPr="00B06469" w:rsidRDefault="00814189" w:rsidP="001F0139">
      <w:pPr>
        <w:pStyle w:val="10"/>
        <w:keepNext/>
        <w:keepLines/>
        <w:shd w:val="clear" w:color="auto" w:fill="auto"/>
        <w:spacing w:after="0" w:line="360" w:lineRule="auto"/>
        <w:ind w:firstLine="0"/>
        <w:rPr>
          <w:color w:val="365F91" w:themeColor="accent1" w:themeShade="BF"/>
          <w:sz w:val="24"/>
          <w:szCs w:val="24"/>
        </w:rPr>
      </w:pPr>
      <w:bookmarkStart w:id="2" w:name="bookmark2"/>
      <w:r w:rsidRPr="00B06469">
        <w:rPr>
          <w:color w:val="365F91" w:themeColor="accent1" w:themeShade="BF"/>
          <w:sz w:val="24"/>
          <w:szCs w:val="24"/>
        </w:rPr>
        <w:t xml:space="preserve">3. </w:t>
      </w:r>
      <w:bookmarkEnd w:id="2"/>
      <w:r w:rsidRPr="00B06469">
        <w:rPr>
          <w:color w:val="365F91" w:themeColor="accent1" w:themeShade="BF"/>
          <w:sz w:val="24"/>
          <w:szCs w:val="24"/>
        </w:rPr>
        <w:t xml:space="preserve">ОСНОВНЫЕ СВЕДЕНИЯ И ОСОБЕННОСТИ ЭКОНОМИКО-ГЕОГРАФИЧЕСКОГО </w:t>
      </w:r>
      <w:bookmarkStart w:id="3" w:name="bookmark5"/>
      <w:r w:rsidRPr="00B06469">
        <w:rPr>
          <w:color w:val="365F91" w:themeColor="accent1" w:themeShade="BF"/>
          <w:sz w:val="24"/>
          <w:szCs w:val="24"/>
        </w:rPr>
        <w:t>ПОЛОЖЕНИЯ</w:t>
      </w:r>
      <w:bookmarkEnd w:id="3"/>
    </w:p>
    <w:p w:rsidR="00D14EDE" w:rsidRPr="00B06469" w:rsidRDefault="00D14EDE" w:rsidP="001F0139">
      <w:pPr>
        <w:pStyle w:val="10"/>
        <w:keepNext/>
        <w:keepLines/>
        <w:shd w:val="clear" w:color="auto" w:fill="auto"/>
        <w:spacing w:after="0" w:line="360" w:lineRule="auto"/>
        <w:ind w:firstLine="0"/>
        <w:rPr>
          <w:color w:val="365F91" w:themeColor="accent1" w:themeShade="BF"/>
          <w:sz w:val="24"/>
          <w:szCs w:val="24"/>
        </w:rPr>
      </w:pPr>
      <w:r w:rsidRPr="00B06469">
        <w:rPr>
          <w:color w:val="365F91" w:themeColor="accent1" w:themeShade="BF"/>
          <w:sz w:val="24"/>
          <w:szCs w:val="24"/>
        </w:rPr>
        <w:t>3.1</w:t>
      </w:r>
      <w:bookmarkStart w:id="4" w:name="bookmark4"/>
      <w:r w:rsidR="00814189" w:rsidRPr="00B06469">
        <w:rPr>
          <w:color w:val="365F91" w:themeColor="accent1" w:themeShade="BF"/>
          <w:sz w:val="24"/>
          <w:szCs w:val="24"/>
        </w:rPr>
        <w:t>.</w:t>
      </w:r>
      <w:r w:rsidRPr="00B06469">
        <w:rPr>
          <w:color w:val="365F91" w:themeColor="accent1" w:themeShade="BF"/>
          <w:sz w:val="24"/>
          <w:szCs w:val="24"/>
        </w:rPr>
        <w:t xml:space="preserve"> </w:t>
      </w:r>
      <w:bookmarkStart w:id="5" w:name="_Toc520894826"/>
      <w:bookmarkEnd w:id="4"/>
      <w:r w:rsidRPr="00B06469">
        <w:rPr>
          <w:color w:val="365F91" w:themeColor="accent1" w:themeShade="BF"/>
          <w:sz w:val="24"/>
          <w:szCs w:val="24"/>
        </w:rPr>
        <w:t>Исторические сведения</w:t>
      </w:r>
      <w:bookmarkEnd w:id="5"/>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Первое русское поселение на берегу реки </w:t>
      </w:r>
      <w:proofErr w:type="spellStart"/>
      <w:r w:rsidRPr="00B06469">
        <w:rPr>
          <w:rFonts w:ascii="Times New Roman" w:hAnsi="Times New Roman" w:cs="Times New Roman"/>
          <w:sz w:val="24"/>
          <w:szCs w:val="24"/>
        </w:rPr>
        <w:t>Камышлинки</w:t>
      </w:r>
      <w:proofErr w:type="spellEnd"/>
      <w:r w:rsidRPr="00B06469">
        <w:rPr>
          <w:rFonts w:ascii="Times New Roman" w:hAnsi="Times New Roman" w:cs="Times New Roman"/>
          <w:sz w:val="24"/>
          <w:szCs w:val="24"/>
        </w:rPr>
        <w:t xml:space="preserve"> появилось в 1580 году, практически положив начало основанию ныне существующего села Камышла. В 1581 году к первым переселенцам прибыли 10 семей из Башкирии. С начала 17 века здесь стали селиться Казанские татары. В то время деревню окружали болота, заросшие кустарником и камышом. Обилие камышей дало повод назвать речку </w:t>
      </w:r>
      <w:proofErr w:type="spellStart"/>
      <w:r w:rsidRPr="00B06469">
        <w:rPr>
          <w:rFonts w:ascii="Times New Roman" w:hAnsi="Times New Roman" w:cs="Times New Roman"/>
          <w:sz w:val="24"/>
          <w:szCs w:val="24"/>
        </w:rPr>
        <w:t>Камышлинкой</w:t>
      </w:r>
      <w:proofErr w:type="spellEnd"/>
      <w:r w:rsidRPr="00B06469">
        <w:rPr>
          <w:rFonts w:ascii="Times New Roman" w:hAnsi="Times New Roman" w:cs="Times New Roman"/>
          <w:sz w:val="24"/>
          <w:szCs w:val="24"/>
        </w:rPr>
        <w:t>, а село Камышлой.</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Население увеличивалось, как за счет естественного прироста, так и за счет прибывающих переселенцев из других регионов. Переселенцы занимались земледелием, скотоводством и различными ремеслами. В 1768 году окрестности села Камышла обследовал оренбургский отряд экспедиции Российской Академии наук, возглавляемый доктором медицины и натуральной философии Лепехиным И.И.</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Сохранились предания о том, что в 1774 году Камышлу заняли отряды Емельяна Пугачева.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1802 году Камышла вошла в состав </w:t>
      </w:r>
      <w:proofErr w:type="spellStart"/>
      <w:r w:rsidRPr="00B06469">
        <w:rPr>
          <w:rFonts w:ascii="Times New Roman" w:hAnsi="Times New Roman" w:cs="Times New Roman"/>
          <w:sz w:val="24"/>
          <w:szCs w:val="24"/>
        </w:rPr>
        <w:t>Бугурусланского</w:t>
      </w:r>
      <w:proofErr w:type="spellEnd"/>
      <w:r w:rsidRPr="00B06469">
        <w:rPr>
          <w:rFonts w:ascii="Times New Roman" w:hAnsi="Times New Roman" w:cs="Times New Roman"/>
          <w:sz w:val="24"/>
          <w:szCs w:val="24"/>
        </w:rPr>
        <w:t xml:space="preserve"> уезда. В селе было 55 дворов и проживало 280 человек. С 1 января 1851 года </w:t>
      </w:r>
      <w:proofErr w:type="spellStart"/>
      <w:r w:rsidRPr="00B06469">
        <w:rPr>
          <w:rFonts w:ascii="Times New Roman" w:hAnsi="Times New Roman" w:cs="Times New Roman"/>
          <w:sz w:val="24"/>
          <w:szCs w:val="24"/>
        </w:rPr>
        <w:t>Бугурусланский</w:t>
      </w:r>
      <w:proofErr w:type="spellEnd"/>
      <w:r w:rsidRPr="00B06469">
        <w:rPr>
          <w:rFonts w:ascii="Times New Roman" w:hAnsi="Times New Roman" w:cs="Times New Roman"/>
          <w:sz w:val="24"/>
          <w:szCs w:val="24"/>
        </w:rPr>
        <w:t xml:space="preserve"> уезд вошел в состав только что образованной Самарской губернии.</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Во время гражданской войны в окрестностях села Камышла проходили ожесточенные бои между Красной Армией и </w:t>
      </w:r>
      <w:proofErr w:type="spellStart"/>
      <w:r w:rsidRPr="00B06469">
        <w:rPr>
          <w:rFonts w:ascii="Times New Roman" w:hAnsi="Times New Roman" w:cs="Times New Roman"/>
          <w:sz w:val="24"/>
          <w:szCs w:val="24"/>
        </w:rPr>
        <w:t>белочехами</w:t>
      </w:r>
      <w:proofErr w:type="spellEnd"/>
      <w:r w:rsidRPr="00B06469">
        <w:rPr>
          <w:rFonts w:ascii="Times New Roman" w:hAnsi="Times New Roman" w:cs="Times New Roman"/>
          <w:sz w:val="24"/>
          <w:szCs w:val="24"/>
        </w:rPr>
        <w:t>, затем и армией Колчака.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1928 году был образован </w:t>
      </w:r>
      <w:proofErr w:type="spellStart"/>
      <w:r w:rsidRPr="00B06469">
        <w:rPr>
          <w:rFonts w:ascii="Times New Roman" w:hAnsi="Times New Roman" w:cs="Times New Roman"/>
          <w:sz w:val="24"/>
          <w:szCs w:val="24"/>
        </w:rPr>
        <w:t>Байтуганский</w:t>
      </w:r>
      <w:proofErr w:type="spellEnd"/>
      <w:r w:rsidRPr="00B06469">
        <w:rPr>
          <w:rFonts w:ascii="Times New Roman" w:hAnsi="Times New Roman" w:cs="Times New Roman"/>
          <w:sz w:val="24"/>
          <w:szCs w:val="24"/>
        </w:rPr>
        <w:t xml:space="preserve"> район с центром в селе Русский </w:t>
      </w:r>
      <w:proofErr w:type="spellStart"/>
      <w:r w:rsidRPr="00B06469">
        <w:rPr>
          <w:rFonts w:ascii="Times New Roman" w:hAnsi="Times New Roman" w:cs="Times New Roman"/>
          <w:sz w:val="24"/>
          <w:szCs w:val="24"/>
        </w:rPr>
        <w:t>Байтуган</w:t>
      </w:r>
      <w:proofErr w:type="spellEnd"/>
      <w:r w:rsidRPr="00B06469">
        <w:rPr>
          <w:rFonts w:ascii="Times New Roman" w:hAnsi="Times New Roman" w:cs="Times New Roman"/>
          <w:sz w:val="24"/>
          <w:szCs w:val="24"/>
        </w:rPr>
        <w:t>. С 7 апреля 1929 года районный центр был переведен в село Камышла.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Указом Президиума Верховного Совета РСФСР от 7 августа 1939 года </w:t>
      </w:r>
      <w:proofErr w:type="spellStart"/>
      <w:r w:rsidRPr="00B06469">
        <w:rPr>
          <w:rFonts w:ascii="Times New Roman" w:hAnsi="Times New Roman" w:cs="Times New Roman"/>
          <w:sz w:val="24"/>
          <w:szCs w:val="24"/>
        </w:rPr>
        <w:t>Байтуганский</w:t>
      </w:r>
      <w:proofErr w:type="spellEnd"/>
      <w:r w:rsidRPr="00B06469">
        <w:rPr>
          <w:rFonts w:ascii="Times New Roman" w:hAnsi="Times New Roman" w:cs="Times New Roman"/>
          <w:sz w:val="24"/>
          <w:szCs w:val="24"/>
        </w:rPr>
        <w:t xml:space="preserve"> район был переименован в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район.</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соответствии с Указом Президиума Верховного Совета РСФСР от 12 февраля 1963 года «Об укрупнении сельских районов и изменении подчиненности районов и </w:t>
      </w:r>
      <w:r w:rsidR="001F0139" w:rsidRPr="00B06469">
        <w:rPr>
          <w:rFonts w:ascii="Times New Roman" w:hAnsi="Times New Roman" w:cs="Times New Roman"/>
          <w:sz w:val="24"/>
          <w:szCs w:val="24"/>
        </w:rPr>
        <w:lastRenderedPageBreak/>
        <w:t>район</w:t>
      </w:r>
      <w:r w:rsidRPr="00B06469">
        <w:rPr>
          <w:rFonts w:ascii="Times New Roman" w:hAnsi="Times New Roman" w:cs="Times New Roman"/>
          <w:sz w:val="24"/>
          <w:szCs w:val="24"/>
        </w:rPr>
        <w:t xml:space="preserve">ов Куйбышевской области»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район прекратил свое существование. Он был присоединен сначала к </w:t>
      </w:r>
      <w:proofErr w:type="spellStart"/>
      <w:r w:rsidRPr="00B06469">
        <w:rPr>
          <w:rFonts w:ascii="Times New Roman" w:hAnsi="Times New Roman" w:cs="Times New Roman"/>
          <w:sz w:val="24"/>
          <w:szCs w:val="24"/>
        </w:rPr>
        <w:t>Похвистневскому</w:t>
      </w:r>
      <w:proofErr w:type="spellEnd"/>
      <w:r w:rsidRPr="00B06469">
        <w:rPr>
          <w:rFonts w:ascii="Times New Roman" w:hAnsi="Times New Roman" w:cs="Times New Roman"/>
          <w:sz w:val="24"/>
          <w:szCs w:val="24"/>
        </w:rPr>
        <w:t xml:space="preserve">, а затем к </w:t>
      </w:r>
      <w:proofErr w:type="spellStart"/>
      <w:r w:rsidRPr="00B06469">
        <w:rPr>
          <w:rFonts w:ascii="Times New Roman" w:hAnsi="Times New Roman" w:cs="Times New Roman"/>
          <w:sz w:val="24"/>
          <w:szCs w:val="24"/>
        </w:rPr>
        <w:t>Клявлинскому</w:t>
      </w:r>
      <w:proofErr w:type="spellEnd"/>
      <w:r w:rsidRPr="00B06469">
        <w:rPr>
          <w:rFonts w:ascii="Times New Roman" w:hAnsi="Times New Roman" w:cs="Times New Roman"/>
          <w:sz w:val="24"/>
          <w:szCs w:val="24"/>
        </w:rPr>
        <w:t xml:space="preserve"> району.</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Как административная единица муниципальный район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образован в 1991 году в соответствии с указом Президиума Верховного Совета РФ от 04.03.1991 № 280. Административный центр - село Камышла.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Исторической особенностью освоения территории поселения было то, что оно осуществлялось как русскими, так и коренным населением Поволжья: татарами, чувашами, мордвой. В данном поселении преобладают татары. Этим обусловлен и мусульманский образ жизни населения: наличие мечетей (их в поселении две), соблюдение некоторых религиозных обрядов, отсутствие свиноводства в сельском хозяйстве (за редким исключением). На территории поселения сохраняются национальные традиции и татарский язык. Для этого в образовательных учреждениях ведется преподавание родного языка, созданы национальные творческие коллективы, проводятся национальные праздники.</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Относительно состава сельского поселения Камышла можно отметить следующее: </w:t>
      </w:r>
      <w:proofErr w:type="gramStart"/>
      <w:r w:rsidRPr="00B06469">
        <w:rPr>
          <w:rFonts w:ascii="Times New Roman" w:hAnsi="Times New Roman" w:cs="Times New Roman"/>
          <w:sz w:val="24"/>
          <w:szCs w:val="24"/>
        </w:rPr>
        <w:t>с</w:t>
      </w:r>
      <w:proofErr w:type="gramEnd"/>
      <w:r w:rsidRPr="00B06469">
        <w:rPr>
          <w:rFonts w:ascii="Times New Roman" w:hAnsi="Times New Roman" w:cs="Times New Roman"/>
          <w:sz w:val="24"/>
          <w:szCs w:val="24"/>
        </w:rPr>
        <w:t xml:space="preserve">. </w:t>
      </w:r>
      <w:proofErr w:type="gramStart"/>
      <w:r w:rsidRPr="00B06469">
        <w:rPr>
          <w:rFonts w:ascii="Times New Roman" w:hAnsi="Times New Roman" w:cs="Times New Roman"/>
          <w:sz w:val="24"/>
          <w:szCs w:val="24"/>
        </w:rPr>
        <w:t>Камышла</w:t>
      </w:r>
      <w:proofErr w:type="gramEnd"/>
      <w:r w:rsidRPr="00B06469">
        <w:rPr>
          <w:rFonts w:ascii="Times New Roman" w:hAnsi="Times New Roman" w:cs="Times New Roman"/>
          <w:sz w:val="24"/>
          <w:szCs w:val="24"/>
        </w:rPr>
        <w:t xml:space="preserve">, д. </w:t>
      </w:r>
      <w:proofErr w:type="spellStart"/>
      <w:r w:rsidRPr="00B06469">
        <w:rPr>
          <w:rFonts w:ascii="Times New Roman" w:hAnsi="Times New Roman" w:cs="Times New Roman"/>
          <w:sz w:val="24"/>
          <w:szCs w:val="24"/>
        </w:rPr>
        <w:t>Давлеткулово</w:t>
      </w:r>
      <w:proofErr w:type="spellEnd"/>
      <w:r w:rsidRPr="00B06469">
        <w:rPr>
          <w:rFonts w:ascii="Times New Roman" w:hAnsi="Times New Roman" w:cs="Times New Roman"/>
          <w:sz w:val="24"/>
          <w:szCs w:val="24"/>
        </w:rPr>
        <w:t xml:space="preserve">, п. </w:t>
      </w:r>
      <w:proofErr w:type="spellStart"/>
      <w:r w:rsidRPr="00B06469">
        <w:rPr>
          <w:rFonts w:ascii="Times New Roman" w:hAnsi="Times New Roman" w:cs="Times New Roman"/>
          <w:sz w:val="24"/>
          <w:szCs w:val="24"/>
        </w:rPr>
        <w:t>Бузбаш</w:t>
      </w:r>
      <w:proofErr w:type="spellEnd"/>
      <w:r w:rsidRPr="00B06469">
        <w:rPr>
          <w:rFonts w:ascii="Times New Roman" w:hAnsi="Times New Roman" w:cs="Times New Roman"/>
          <w:sz w:val="24"/>
          <w:szCs w:val="24"/>
        </w:rPr>
        <w:t xml:space="preserve">, п. Юлдуз были объединены с 1928 г. по 1992 г. в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сельский Совет; с 1992 г. по 1997 г. в </w:t>
      </w:r>
      <w:proofErr w:type="spellStart"/>
      <w:r w:rsidRPr="00B06469">
        <w:rPr>
          <w:rFonts w:ascii="Times New Roman" w:hAnsi="Times New Roman" w:cs="Times New Roman"/>
          <w:sz w:val="24"/>
          <w:szCs w:val="24"/>
        </w:rPr>
        <w:t>Камышлинскую</w:t>
      </w:r>
      <w:proofErr w:type="spellEnd"/>
      <w:r w:rsidRPr="00B06469">
        <w:rPr>
          <w:rFonts w:ascii="Times New Roman" w:hAnsi="Times New Roman" w:cs="Times New Roman"/>
          <w:sz w:val="24"/>
          <w:szCs w:val="24"/>
        </w:rPr>
        <w:t xml:space="preserve"> волость.</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Согласно Закону Самарской области от 25.02.2007 г. «Об образовании сельских поселений в пределах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Самарской области, наделении их соответствующим статусом и установлении их границ» образовано сельское поселение Камышла, с прежде входящими в него населенными пунктами.</w:t>
      </w:r>
    </w:p>
    <w:p w:rsidR="00D14EDE" w:rsidRPr="00B06469" w:rsidRDefault="00D14EDE" w:rsidP="001F0139">
      <w:pPr>
        <w:spacing w:after="0" w:line="360" w:lineRule="auto"/>
        <w:ind w:firstLine="709"/>
        <w:jc w:val="both"/>
        <w:rPr>
          <w:rFonts w:ascii="Times New Roman" w:hAnsi="Times New Roman" w:cs="Times New Roman"/>
          <w:sz w:val="24"/>
          <w:szCs w:val="24"/>
        </w:rPr>
      </w:pPr>
    </w:p>
    <w:p w:rsidR="00D14EDE" w:rsidRPr="00B06469" w:rsidRDefault="00814189" w:rsidP="001F0139">
      <w:pPr>
        <w:spacing w:after="0" w:line="360" w:lineRule="auto"/>
        <w:contextualSpacing/>
        <w:jc w:val="both"/>
        <w:outlineLvl w:val="1"/>
        <w:rPr>
          <w:rFonts w:ascii="Times New Roman" w:hAnsi="Times New Roman" w:cs="Times New Roman"/>
          <w:b/>
          <w:color w:val="365F91"/>
          <w:sz w:val="24"/>
          <w:szCs w:val="24"/>
        </w:rPr>
      </w:pPr>
      <w:bookmarkStart w:id="6" w:name="_Toc520894827"/>
      <w:r w:rsidRPr="00B06469">
        <w:rPr>
          <w:rFonts w:ascii="Times New Roman" w:hAnsi="Times New Roman" w:cs="Times New Roman"/>
          <w:b/>
          <w:color w:val="365F91"/>
          <w:sz w:val="24"/>
          <w:szCs w:val="24"/>
        </w:rPr>
        <w:t>3.2.</w:t>
      </w:r>
      <w:r w:rsidR="00D14EDE" w:rsidRPr="00B06469">
        <w:rPr>
          <w:rFonts w:ascii="Times New Roman" w:hAnsi="Times New Roman" w:cs="Times New Roman"/>
          <w:b/>
          <w:color w:val="365F91"/>
          <w:sz w:val="24"/>
          <w:szCs w:val="24"/>
        </w:rPr>
        <w:t>Экономико-географическое положение и природно-ресурсный потенциал</w:t>
      </w:r>
      <w:bookmarkEnd w:id="6"/>
      <w:r w:rsidR="00D14EDE" w:rsidRPr="00B06469">
        <w:rPr>
          <w:rFonts w:ascii="Times New Roman" w:hAnsi="Times New Roman" w:cs="Times New Roman"/>
          <w:b/>
          <w:color w:val="365F91"/>
          <w:sz w:val="24"/>
          <w:szCs w:val="24"/>
        </w:rPr>
        <w:t xml:space="preserve"> </w:t>
      </w:r>
    </w:p>
    <w:p w:rsidR="00D14EDE" w:rsidRPr="00B06469" w:rsidRDefault="00D14EDE" w:rsidP="001F0139">
      <w:pPr>
        <w:spacing w:after="0" w:line="360" w:lineRule="auto"/>
        <w:jc w:val="both"/>
        <w:rPr>
          <w:rFonts w:ascii="Times New Roman" w:hAnsi="Times New Roman" w:cs="Times New Roman"/>
          <w:sz w:val="24"/>
          <w:szCs w:val="24"/>
        </w:rPr>
      </w:pP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Согласно </w:t>
      </w:r>
      <w:r w:rsidRPr="00B06469">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07E7B123" wp14:editId="5E833945">
            <wp:simplePos x="0" y="0"/>
            <wp:positionH relativeFrom="column">
              <wp:posOffset>-305435</wp:posOffset>
            </wp:positionH>
            <wp:positionV relativeFrom="paragraph">
              <wp:posOffset>3192145</wp:posOffset>
            </wp:positionV>
            <wp:extent cx="3042285" cy="2332990"/>
            <wp:effectExtent l="19050" t="0" r="5715" b="0"/>
            <wp:wrapSquare wrapText="bothSides"/>
            <wp:docPr id="24" name="Рисунок 58" descr="Описание: Описание: Описание: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Описание: Описание: карта"/>
                    <pic:cNvPicPr>
                      <a:picLocks noChangeAspect="1" noChangeArrowheads="1"/>
                    </pic:cNvPicPr>
                  </pic:nvPicPr>
                  <pic:blipFill>
                    <a:blip r:embed="rId10" cstate="print"/>
                    <a:srcRect/>
                    <a:stretch>
                      <a:fillRect/>
                    </a:stretch>
                  </pic:blipFill>
                  <pic:spPr bwMode="auto">
                    <a:xfrm>
                      <a:off x="0" y="0"/>
                      <a:ext cx="3042285" cy="2332990"/>
                    </a:xfrm>
                    <a:prstGeom prst="rect">
                      <a:avLst/>
                    </a:prstGeom>
                    <a:noFill/>
                    <a:ln w="9525">
                      <a:noFill/>
                      <a:miter lim="800000"/>
                      <a:headEnd/>
                      <a:tailEnd/>
                    </a:ln>
                  </pic:spPr>
                </pic:pic>
              </a:graphicData>
            </a:graphic>
          </wp:anchor>
        </w:drawing>
      </w:r>
      <w:r w:rsidRPr="00B06469">
        <w:rPr>
          <w:rFonts w:ascii="Times New Roman" w:hAnsi="Times New Roman" w:cs="Times New Roman"/>
          <w:sz w:val="24"/>
          <w:szCs w:val="24"/>
        </w:rPr>
        <w:t xml:space="preserve">закону Самарской области «Об установлении границ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Самарской области» в состав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входят 6 сельских поселений, в которые объединены 22 населённых пункта: Камышла, Ермаково, </w:t>
      </w:r>
      <w:proofErr w:type="spellStart"/>
      <w:r w:rsidRPr="00B06469">
        <w:rPr>
          <w:rFonts w:ascii="Times New Roman" w:hAnsi="Times New Roman" w:cs="Times New Roman"/>
          <w:sz w:val="24"/>
          <w:szCs w:val="24"/>
        </w:rPr>
        <w:t>Балыкла</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Байтуган</w:t>
      </w:r>
      <w:proofErr w:type="spellEnd"/>
      <w:r w:rsidRPr="00B06469">
        <w:rPr>
          <w:rFonts w:ascii="Times New Roman" w:hAnsi="Times New Roman" w:cs="Times New Roman"/>
          <w:sz w:val="24"/>
          <w:szCs w:val="24"/>
        </w:rPr>
        <w:t xml:space="preserve">, Новое </w:t>
      </w:r>
      <w:proofErr w:type="spellStart"/>
      <w:r w:rsidRPr="00B06469">
        <w:rPr>
          <w:rFonts w:ascii="Times New Roman" w:hAnsi="Times New Roman" w:cs="Times New Roman"/>
          <w:sz w:val="24"/>
          <w:szCs w:val="24"/>
        </w:rPr>
        <w:t>Усманово</w:t>
      </w:r>
      <w:proofErr w:type="spellEnd"/>
      <w:r w:rsidRPr="00B06469">
        <w:rPr>
          <w:rFonts w:ascii="Times New Roman" w:hAnsi="Times New Roman" w:cs="Times New Roman"/>
          <w:sz w:val="24"/>
          <w:szCs w:val="24"/>
        </w:rPr>
        <w:t xml:space="preserve">, Старое </w:t>
      </w:r>
      <w:proofErr w:type="spellStart"/>
      <w:r w:rsidRPr="00B06469">
        <w:rPr>
          <w:rFonts w:ascii="Times New Roman" w:hAnsi="Times New Roman" w:cs="Times New Roman"/>
          <w:sz w:val="24"/>
          <w:szCs w:val="24"/>
        </w:rPr>
        <w:t>Усманово</w:t>
      </w:r>
      <w:proofErr w:type="spellEnd"/>
      <w:r w:rsidRPr="00B06469">
        <w:rPr>
          <w:rFonts w:ascii="Times New Roman" w:hAnsi="Times New Roman" w:cs="Times New Roman"/>
          <w:sz w:val="24"/>
          <w:szCs w:val="24"/>
        </w:rPr>
        <w:t>.</w:t>
      </w:r>
    </w:p>
    <w:p w:rsidR="00D14EDE" w:rsidRPr="00B06469" w:rsidRDefault="00D14EDE" w:rsidP="001F0139">
      <w:pPr>
        <w:spacing w:after="0" w:line="360" w:lineRule="auto"/>
        <w:ind w:firstLine="709"/>
        <w:jc w:val="both"/>
        <w:rPr>
          <w:rFonts w:ascii="Times New Roman" w:hAnsi="Times New Roman" w:cs="Times New Roman"/>
          <w:sz w:val="24"/>
          <w:szCs w:val="24"/>
        </w:rPr>
      </w:pP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район расположен на северо-востоке Самарской области, в верхнем течении реки Сок (на правом берегу реки Сок в устье реки </w:t>
      </w:r>
      <w:proofErr w:type="spellStart"/>
      <w:r w:rsidRPr="00B06469">
        <w:rPr>
          <w:rFonts w:ascii="Times New Roman" w:hAnsi="Times New Roman" w:cs="Times New Roman"/>
          <w:sz w:val="24"/>
          <w:szCs w:val="24"/>
        </w:rPr>
        <w:t>Камышлинка</w:t>
      </w:r>
      <w:proofErr w:type="spellEnd"/>
      <w:r w:rsidRPr="00B06469">
        <w:rPr>
          <w:rFonts w:ascii="Times New Roman" w:hAnsi="Times New Roman" w:cs="Times New Roman"/>
          <w:sz w:val="24"/>
          <w:szCs w:val="24"/>
        </w:rPr>
        <w:t xml:space="preserve">), в зоне лесостепи. На северо-западе район граничит с </w:t>
      </w:r>
      <w:proofErr w:type="spellStart"/>
      <w:r w:rsidRPr="00B06469">
        <w:rPr>
          <w:rFonts w:ascii="Times New Roman" w:hAnsi="Times New Roman" w:cs="Times New Roman"/>
          <w:sz w:val="24"/>
          <w:szCs w:val="24"/>
        </w:rPr>
        <w:t>Клявлинским</w:t>
      </w:r>
      <w:proofErr w:type="spellEnd"/>
      <w:r w:rsidRPr="00B06469">
        <w:rPr>
          <w:rFonts w:ascii="Times New Roman" w:hAnsi="Times New Roman" w:cs="Times New Roman"/>
          <w:sz w:val="24"/>
          <w:szCs w:val="24"/>
        </w:rPr>
        <w:t xml:space="preserve">, на юге – </w:t>
      </w:r>
      <w:proofErr w:type="spellStart"/>
      <w:r w:rsidRPr="00B06469">
        <w:rPr>
          <w:rFonts w:ascii="Times New Roman" w:hAnsi="Times New Roman" w:cs="Times New Roman"/>
          <w:sz w:val="24"/>
          <w:szCs w:val="24"/>
        </w:rPr>
        <w:t>Похвистневским</w:t>
      </w:r>
      <w:proofErr w:type="spellEnd"/>
      <w:r w:rsidRPr="00B06469">
        <w:rPr>
          <w:rFonts w:ascii="Times New Roman" w:hAnsi="Times New Roman" w:cs="Times New Roman"/>
          <w:sz w:val="24"/>
          <w:szCs w:val="24"/>
        </w:rPr>
        <w:t xml:space="preserve">, на западе – </w:t>
      </w:r>
      <w:proofErr w:type="spellStart"/>
      <w:r w:rsidRPr="00B06469">
        <w:rPr>
          <w:rFonts w:ascii="Times New Roman" w:hAnsi="Times New Roman" w:cs="Times New Roman"/>
          <w:sz w:val="24"/>
          <w:szCs w:val="24"/>
        </w:rPr>
        <w:t>Исаклинским</w:t>
      </w:r>
      <w:proofErr w:type="spellEnd"/>
      <w:r w:rsidRPr="00B06469">
        <w:rPr>
          <w:rFonts w:ascii="Times New Roman" w:hAnsi="Times New Roman" w:cs="Times New Roman"/>
          <w:sz w:val="24"/>
          <w:szCs w:val="24"/>
        </w:rPr>
        <w:t xml:space="preserve"> районами нашей области, на востоке – с Оренбургской областью. Расстояние до областного центра </w:t>
      </w:r>
      <w:proofErr w:type="spellStart"/>
      <w:r w:rsidRPr="00B06469">
        <w:rPr>
          <w:rFonts w:ascii="Times New Roman" w:hAnsi="Times New Roman" w:cs="Times New Roman"/>
          <w:sz w:val="24"/>
          <w:szCs w:val="24"/>
        </w:rPr>
        <w:t>г.о</w:t>
      </w:r>
      <w:proofErr w:type="spellEnd"/>
      <w:r w:rsidRPr="00B06469">
        <w:rPr>
          <w:rFonts w:ascii="Times New Roman" w:hAnsi="Times New Roman" w:cs="Times New Roman"/>
          <w:sz w:val="24"/>
          <w:szCs w:val="24"/>
        </w:rPr>
        <w:t xml:space="preserve">. Самары - 185 км, до аэропорта </w:t>
      </w:r>
      <w:proofErr w:type="spellStart"/>
      <w:r w:rsidRPr="00B06469">
        <w:rPr>
          <w:rFonts w:ascii="Times New Roman" w:hAnsi="Times New Roman" w:cs="Times New Roman"/>
          <w:sz w:val="24"/>
          <w:szCs w:val="24"/>
        </w:rPr>
        <w:t>Курумоч</w:t>
      </w:r>
      <w:proofErr w:type="spellEnd"/>
      <w:r w:rsidRPr="00B06469">
        <w:rPr>
          <w:rFonts w:ascii="Times New Roman" w:hAnsi="Times New Roman" w:cs="Times New Roman"/>
          <w:sz w:val="24"/>
          <w:szCs w:val="24"/>
        </w:rPr>
        <w:t xml:space="preserve"> – </w:t>
      </w:r>
      <w:r w:rsidRPr="00B06469">
        <w:rPr>
          <w:rFonts w:ascii="Times New Roman" w:hAnsi="Times New Roman" w:cs="Times New Roman"/>
          <w:sz w:val="24"/>
          <w:szCs w:val="24"/>
        </w:rPr>
        <w:lastRenderedPageBreak/>
        <w:t xml:space="preserve">186 км, </w:t>
      </w:r>
      <w:proofErr w:type="gramStart"/>
      <w:r w:rsidRPr="00B06469">
        <w:rPr>
          <w:rFonts w:ascii="Times New Roman" w:hAnsi="Times New Roman" w:cs="Times New Roman"/>
          <w:sz w:val="24"/>
          <w:szCs w:val="24"/>
        </w:rPr>
        <w:t>до ж</w:t>
      </w:r>
      <w:proofErr w:type="gramEnd"/>
      <w:r w:rsidRPr="00B06469">
        <w:rPr>
          <w:rFonts w:ascii="Times New Roman" w:hAnsi="Times New Roman" w:cs="Times New Roman"/>
          <w:sz w:val="24"/>
          <w:szCs w:val="24"/>
        </w:rPr>
        <w:t xml:space="preserve">/д станции Клявлино – 25 км., до ж/д станции Похвистнево – 55 км.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Муниципальный район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расположен на расстоянии 178 км от областного центра и 25 км до ближайшей железнодорожной станции «Клявлино».</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Административный центр района – село Камышла находится на расстоянии 185 км от областного центра.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Территория района составляет 125,5 тыс. гектар (823,5 кв. км) – 2,3% от территории Самарской области.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структуре земельного фонда 76% составляют земли сельскохозяйственного назначения, пашня – 42%, сенокосы и пастбища – 21%, 21% – земли лесного фонда, 1% – земли населенных пунктов (табл. 1.2.1).</w:t>
      </w:r>
    </w:p>
    <w:p w:rsidR="00D14EDE" w:rsidRPr="00B06469" w:rsidRDefault="00D14EDE" w:rsidP="001F0139">
      <w:pPr>
        <w:widowControl w:val="0"/>
        <w:spacing w:after="0" w:line="240" w:lineRule="auto"/>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 xml:space="preserve">Таблица 1.2.1 - Структура земель муниципального района </w:t>
      </w:r>
    </w:p>
    <w:p w:rsidR="00D14EDE" w:rsidRPr="00B06469" w:rsidRDefault="00D14EDE" w:rsidP="001F0139">
      <w:pPr>
        <w:widowControl w:val="0"/>
        <w:spacing w:after="0" w:line="240" w:lineRule="auto"/>
        <w:rPr>
          <w:rFonts w:ascii="Times New Roman" w:eastAsia="Times New Roman" w:hAnsi="Times New Roman" w:cs="Times New Roman"/>
          <w:b/>
          <w:sz w:val="24"/>
          <w:szCs w:val="24"/>
        </w:rPr>
      </w:pPr>
      <w:proofErr w:type="spellStart"/>
      <w:r w:rsidRPr="00B06469">
        <w:rPr>
          <w:rFonts w:ascii="Times New Roman" w:eastAsia="Times New Roman" w:hAnsi="Times New Roman" w:cs="Times New Roman"/>
          <w:b/>
          <w:sz w:val="24"/>
          <w:szCs w:val="24"/>
        </w:rPr>
        <w:t>Камышлинский</w:t>
      </w:r>
      <w:proofErr w:type="spellEnd"/>
      <w:r w:rsidRPr="00B06469">
        <w:rPr>
          <w:rFonts w:ascii="Times New Roman" w:eastAsia="Times New Roman" w:hAnsi="Times New Roman" w:cs="Times New Roman"/>
          <w:b/>
          <w:sz w:val="24"/>
          <w:szCs w:val="24"/>
        </w:rPr>
        <w:t xml:space="preserve"> на 01.01.2017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7097"/>
        <w:gridCol w:w="1674"/>
      </w:tblGrid>
      <w:tr w:rsidR="00D14EDE" w:rsidRPr="00B06469" w:rsidTr="00077D58">
        <w:trPr>
          <w:jc w:val="center"/>
        </w:trPr>
        <w:tc>
          <w:tcPr>
            <w:tcW w:w="0" w:type="auto"/>
            <w:shd w:val="clear" w:color="auto" w:fill="365F91"/>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color w:val="FFFFFF"/>
                <w:sz w:val="24"/>
                <w:szCs w:val="24"/>
                <w:lang w:eastAsia="ru-RU"/>
              </w:rPr>
            </w:pPr>
            <w:r w:rsidRPr="00B06469">
              <w:rPr>
                <w:rFonts w:ascii="Times New Roman" w:eastAsia="Times New Roman" w:hAnsi="Times New Roman" w:cs="Times New Roman"/>
                <w:color w:val="FFFFFF"/>
                <w:sz w:val="24"/>
                <w:szCs w:val="24"/>
                <w:lang w:eastAsia="ru-RU"/>
              </w:rPr>
              <w:t xml:space="preserve">№ </w:t>
            </w:r>
            <w:proofErr w:type="gramStart"/>
            <w:r w:rsidRPr="00B06469">
              <w:rPr>
                <w:rFonts w:ascii="Times New Roman" w:eastAsia="Times New Roman" w:hAnsi="Times New Roman" w:cs="Times New Roman"/>
                <w:color w:val="FFFFFF"/>
                <w:sz w:val="24"/>
                <w:szCs w:val="24"/>
                <w:lang w:eastAsia="ru-RU"/>
              </w:rPr>
              <w:t>п</w:t>
            </w:r>
            <w:proofErr w:type="gramEnd"/>
            <w:r w:rsidRPr="00B06469">
              <w:rPr>
                <w:rFonts w:ascii="Times New Roman" w:eastAsia="Times New Roman" w:hAnsi="Times New Roman" w:cs="Times New Roman"/>
                <w:color w:val="FFFFFF"/>
                <w:sz w:val="24"/>
                <w:szCs w:val="24"/>
                <w:lang w:eastAsia="ru-RU"/>
              </w:rPr>
              <w:t>/п</w:t>
            </w:r>
          </w:p>
        </w:tc>
        <w:tc>
          <w:tcPr>
            <w:tcW w:w="0" w:type="auto"/>
            <w:shd w:val="clear" w:color="auto" w:fill="376092"/>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color w:val="FFFFFF"/>
                <w:sz w:val="24"/>
                <w:szCs w:val="24"/>
                <w:lang w:eastAsia="ru-RU"/>
              </w:rPr>
            </w:pPr>
            <w:r w:rsidRPr="00B06469">
              <w:rPr>
                <w:rFonts w:ascii="Times New Roman" w:eastAsia="Times New Roman" w:hAnsi="Times New Roman" w:cs="Times New Roman"/>
                <w:color w:val="FFFFFF"/>
                <w:sz w:val="24"/>
                <w:szCs w:val="24"/>
                <w:lang w:eastAsia="ru-RU"/>
              </w:rPr>
              <w:t>Показатели</w:t>
            </w:r>
          </w:p>
        </w:tc>
        <w:tc>
          <w:tcPr>
            <w:tcW w:w="1674" w:type="dxa"/>
            <w:shd w:val="clear" w:color="auto" w:fill="365F91"/>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color w:val="FFFFFF"/>
                <w:sz w:val="24"/>
                <w:szCs w:val="24"/>
                <w:lang w:eastAsia="ru-RU"/>
              </w:rPr>
            </w:pPr>
            <w:r w:rsidRPr="00B06469">
              <w:rPr>
                <w:rFonts w:ascii="Times New Roman" w:eastAsia="Times New Roman" w:hAnsi="Times New Roman" w:cs="Times New Roman"/>
                <w:color w:val="FFFFFF"/>
                <w:sz w:val="24"/>
                <w:szCs w:val="24"/>
                <w:lang w:eastAsia="ru-RU"/>
              </w:rPr>
              <w:t xml:space="preserve">Общая площадь, </w:t>
            </w:r>
            <w:proofErr w:type="gramStart"/>
            <w:r w:rsidRPr="00B06469">
              <w:rPr>
                <w:rFonts w:ascii="Times New Roman" w:eastAsia="Times New Roman" w:hAnsi="Times New Roman" w:cs="Times New Roman"/>
                <w:color w:val="FFFFFF"/>
                <w:sz w:val="24"/>
                <w:szCs w:val="24"/>
                <w:lang w:eastAsia="ru-RU"/>
              </w:rPr>
              <w:t>га</w:t>
            </w:r>
            <w:proofErr w:type="gramEnd"/>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Земли сельскохозяйственного назначения</w:t>
            </w:r>
          </w:p>
        </w:tc>
        <w:tc>
          <w:tcPr>
            <w:tcW w:w="1674" w:type="dxa"/>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62478</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1.1</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Сельскохозяйственные угодья, из них:</w:t>
            </w:r>
          </w:p>
        </w:tc>
        <w:tc>
          <w:tcPr>
            <w:tcW w:w="1674" w:type="dxa"/>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60672</w:t>
            </w:r>
          </w:p>
          <w:p w:rsidR="00D14EDE" w:rsidRPr="00B0646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1.1.1</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Пашня</w:t>
            </w:r>
          </w:p>
        </w:tc>
        <w:tc>
          <w:tcPr>
            <w:tcW w:w="1674" w:type="dxa"/>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34862</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1.1.2</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сенокосы и пастбища</w:t>
            </w:r>
          </w:p>
        </w:tc>
        <w:tc>
          <w:tcPr>
            <w:tcW w:w="1674" w:type="dxa"/>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17379</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1.1.3</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многолетние насаждения (сады, ягодники, виноградники и другие насаждения)</w:t>
            </w:r>
          </w:p>
        </w:tc>
        <w:tc>
          <w:tcPr>
            <w:tcW w:w="1674" w:type="dxa"/>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48</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Лесные земли</w:t>
            </w:r>
          </w:p>
        </w:tc>
        <w:tc>
          <w:tcPr>
            <w:tcW w:w="1674" w:type="dxa"/>
          </w:tcPr>
          <w:p w:rsidR="00D14EDE" w:rsidRPr="00B06469" w:rsidRDefault="00D14EDE"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17286</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3</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Кустарники</w:t>
            </w:r>
          </w:p>
        </w:tc>
        <w:tc>
          <w:tcPr>
            <w:tcW w:w="1674" w:type="dxa"/>
          </w:tcPr>
          <w:p w:rsidR="00D14EDE" w:rsidRPr="00B06469" w:rsidRDefault="00D14EDE"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1143</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Земли застройки</w:t>
            </w:r>
          </w:p>
        </w:tc>
        <w:tc>
          <w:tcPr>
            <w:tcW w:w="1674" w:type="dxa"/>
          </w:tcPr>
          <w:p w:rsidR="00D14EDE" w:rsidRPr="00B06469" w:rsidRDefault="00D14EDE"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587</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Прочие земли</w:t>
            </w:r>
          </w:p>
        </w:tc>
        <w:tc>
          <w:tcPr>
            <w:tcW w:w="1674" w:type="dxa"/>
          </w:tcPr>
          <w:p w:rsidR="00D14EDE" w:rsidRPr="00B06469" w:rsidRDefault="00D14EDE"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854</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Итого земель в административных границах:</w:t>
            </w:r>
          </w:p>
        </w:tc>
        <w:tc>
          <w:tcPr>
            <w:tcW w:w="1674" w:type="dxa"/>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82348</w:t>
            </w:r>
          </w:p>
        </w:tc>
      </w:tr>
    </w:tbl>
    <w:p w:rsidR="00D14EDE" w:rsidRPr="00B06469" w:rsidRDefault="00D14EDE"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 xml:space="preserve">Источник: Паспорт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муниципального района 2016 год. Форма № 2. Здесь и далее аналитика ФГБОУ ВО «СГЭУ»</w:t>
      </w:r>
    </w:p>
    <w:p w:rsidR="00D14EDE" w:rsidRPr="00B06469" w:rsidRDefault="00D14EDE" w:rsidP="001F0139">
      <w:pPr>
        <w:spacing w:after="0" w:line="240" w:lineRule="auto"/>
        <w:jc w:val="both"/>
        <w:rPr>
          <w:rFonts w:ascii="Times New Roman" w:hAnsi="Times New Roman" w:cs="Times New Roman"/>
          <w:sz w:val="24"/>
          <w:szCs w:val="24"/>
        </w:rPr>
      </w:pP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Численность постоянного населения на начало 2017 года по данным </w:t>
      </w:r>
      <w:proofErr w:type="spellStart"/>
      <w:r w:rsidRPr="00B06469">
        <w:rPr>
          <w:rFonts w:ascii="Times New Roman" w:hAnsi="Times New Roman" w:cs="Times New Roman"/>
          <w:sz w:val="24"/>
          <w:szCs w:val="24"/>
        </w:rPr>
        <w:t>Самарастат</w:t>
      </w:r>
      <w:proofErr w:type="spellEnd"/>
      <w:r w:rsidRPr="00B06469">
        <w:rPr>
          <w:rFonts w:ascii="Times New Roman" w:hAnsi="Times New Roman" w:cs="Times New Roman"/>
          <w:sz w:val="24"/>
          <w:szCs w:val="24"/>
        </w:rPr>
        <w:t xml:space="preserve"> – 10,8 тыс. человек, плотность населения – 13,2 чел. на 1 кв. км</w:t>
      </w:r>
      <w:proofErr w:type="gramStart"/>
      <w:r w:rsidRPr="00B06469">
        <w:rPr>
          <w:rFonts w:ascii="Times New Roman" w:hAnsi="Times New Roman" w:cs="Times New Roman"/>
          <w:sz w:val="24"/>
          <w:szCs w:val="24"/>
        </w:rPr>
        <w:t>.</w:t>
      </w:r>
      <w:proofErr w:type="gramEnd"/>
      <w:r w:rsidRPr="00B06469">
        <w:rPr>
          <w:rFonts w:ascii="Times New Roman" w:hAnsi="Times New Roman" w:cs="Times New Roman"/>
          <w:sz w:val="24"/>
          <w:szCs w:val="24"/>
        </w:rPr>
        <w:t xml:space="preserve"> </w:t>
      </w:r>
      <w:proofErr w:type="gramStart"/>
      <w:r w:rsidRPr="00B06469">
        <w:rPr>
          <w:rFonts w:ascii="Times New Roman" w:hAnsi="Times New Roman" w:cs="Times New Roman"/>
          <w:sz w:val="24"/>
          <w:szCs w:val="24"/>
        </w:rPr>
        <w:t>п</w:t>
      </w:r>
      <w:proofErr w:type="gramEnd"/>
      <w:r w:rsidRPr="00B06469">
        <w:rPr>
          <w:rFonts w:ascii="Times New Roman" w:hAnsi="Times New Roman" w:cs="Times New Roman"/>
          <w:sz w:val="24"/>
          <w:szCs w:val="24"/>
        </w:rPr>
        <w:t xml:space="preserve">лощади.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Район соединён асфальтовыми дорогами с соседними районами области, другими регионами страны. Через район проходит железная дорога. Сообщение с областным центром осуществляется по автомобильной дороге федерального значения «Урал» (М-5) и автодороге территориального значения «Похвистнево - Камышла-Клявлино». Расстояние до федеральной автомобильной дороги «Урал» (М-5) – 5км. Транспортная связь с соседними населенными пунктами происходит по автомобильным дорогам общего пользования с твердым покрытием «Камышла – </w:t>
      </w:r>
      <w:proofErr w:type="spellStart"/>
      <w:r w:rsidRPr="00B06469">
        <w:rPr>
          <w:rFonts w:ascii="Times New Roman" w:hAnsi="Times New Roman" w:cs="Times New Roman"/>
          <w:sz w:val="24"/>
          <w:szCs w:val="24"/>
        </w:rPr>
        <w:t>Давлеткулово</w:t>
      </w:r>
      <w:proofErr w:type="spellEnd"/>
      <w:r w:rsidRPr="00B06469">
        <w:rPr>
          <w:rFonts w:ascii="Times New Roman" w:hAnsi="Times New Roman" w:cs="Times New Roman"/>
          <w:sz w:val="24"/>
          <w:szCs w:val="24"/>
        </w:rPr>
        <w:t xml:space="preserve">», «Камышла – </w:t>
      </w:r>
      <w:proofErr w:type="spellStart"/>
      <w:r w:rsidRPr="00B06469">
        <w:rPr>
          <w:rFonts w:ascii="Times New Roman" w:hAnsi="Times New Roman" w:cs="Times New Roman"/>
          <w:sz w:val="24"/>
          <w:szCs w:val="24"/>
        </w:rPr>
        <w:t>Бузбаш</w:t>
      </w:r>
      <w:proofErr w:type="spellEnd"/>
      <w:r w:rsidRPr="00B06469">
        <w:rPr>
          <w:rFonts w:ascii="Times New Roman" w:hAnsi="Times New Roman" w:cs="Times New Roman"/>
          <w:sz w:val="24"/>
          <w:szCs w:val="24"/>
        </w:rPr>
        <w:t>».</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Географическое положение муниципального района обусловливает действие двух противоречивых факторов развития территории: с одной стороны, расположение муниципального района на стратегической автомобильной магистрали является долгосрочным фактором, способствующим развитию территории, а также ее дальнейшей интеграции в хозяйственный комплекс России; с другой стороны, расположение </w:t>
      </w:r>
      <w:r w:rsidRPr="00B06469">
        <w:rPr>
          <w:rFonts w:ascii="Times New Roman" w:hAnsi="Times New Roman" w:cs="Times New Roman"/>
          <w:sz w:val="24"/>
          <w:szCs w:val="24"/>
        </w:rPr>
        <w:lastRenderedPageBreak/>
        <w:t>муниципального образования на периферии Самарской области, его относительная удаленность от промышленных и культурных центров (178 км от Самары, 420 км от Оренбурга) в определенной степени препятствуют развитию территории, снижают её инвестиционную привлекательность.</w:t>
      </w:r>
    </w:p>
    <w:p w:rsidR="00D14EDE" w:rsidRPr="00B06469" w:rsidRDefault="00D14EDE" w:rsidP="001F0139">
      <w:pPr>
        <w:spacing w:after="0" w:line="360" w:lineRule="auto"/>
        <w:ind w:firstLine="709"/>
        <w:jc w:val="both"/>
        <w:rPr>
          <w:rFonts w:ascii="Times New Roman" w:hAnsi="Times New Roman" w:cs="Times New Roman"/>
          <w:sz w:val="24"/>
          <w:szCs w:val="24"/>
        </w:rPr>
      </w:pPr>
    </w:p>
    <w:p w:rsidR="00D14EDE" w:rsidRPr="00B06469" w:rsidRDefault="00D14EDE" w:rsidP="001F0139">
      <w:pPr>
        <w:spacing w:after="0" w:line="360" w:lineRule="auto"/>
        <w:contextualSpacing/>
        <w:jc w:val="both"/>
        <w:outlineLvl w:val="1"/>
        <w:rPr>
          <w:rFonts w:ascii="Times New Roman" w:hAnsi="Times New Roman" w:cs="Times New Roman"/>
          <w:b/>
          <w:color w:val="365F91"/>
          <w:sz w:val="24"/>
          <w:szCs w:val="24"/>
        </w:rPr>
      </w:pPr>
      <w:bookmarkStart w:id="7" w:name="_Toc520894828"/>
      <w:r w:rsidRPr="00B06469">
        <w:rPr>
          <w:rFonts w:ascii="Times New Roman" w:hAnsi="Times New Roman" w:cs="Times New Roman"/>
          <w:b/>
          <w:color w:val="365F91"/>
          <w:sz w:val="24"/>
          <w:szCs w:val="24"/>
        </w:rPr>
        <w:t>Природные ресурсы и экология</w:t>
      </w:r>
      <w:bookmarkEnd w:id="7"/>
    </w:p>
    <w:p w:rsidR="00D14EDE" w:rsidRPr="00B06469" w:rsidRDefault="00D14EDE" w:rsidP="001F0139">
      <w:pPr>
        <w:spacing w:after="0" w:line="360" w:lineRule="auto"/>
        <w:ind w:firstLine="709"/>
        <w:jc w:val="both"/>
        <w:rPr>
          <w:rFonts w:ascii="Times New Roman" w:hAnsi="Times New Roman" w:cs="Times New Roman"/>
          <w:sz w:val="24"/>
          <w:szCs w:val="24"/>
        </w:rPr>
      </w:pP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eastAsia="Times New Roman" w:hAnsi="Times New Roman" w:cs="Times New Roman"/>
          <w:b/>
          <w:i/>
          <w:color w:val="365F91"/>
          <w:sz w:val="24"/>
          <w:szCs w:val="24"/>
          <w:lang w:eastAsia="ru-RU"/>
        </w:rPr>
        <w:t>Климат.</w:t>
      </w:r>
      <w:r w:rsidRPr="00B06469">
        <w:rPr>
          <w:rFonts w:ascii="Times New Roman" w:hAnsi="Times New Roman" w:cs="Times New Roman"/>
          <w:sz w:val="24"/>
          <w:szCs w:val="24"/>
        </w:rPr>
        <w:t xml:space="preserve"> На территории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Самарской области преобладает континентальный климат умеренных широт с холодной продолжительной зимой и теплым летом с довольно устойчивым жарким периодом в июне и июле.</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Возвышенное положение района и лесостепной ландшафт несколько умеряют летние температуры, вследствие чего они не достигают тех высоких температур, которые характерны для степной зоны Заволжья. Наиболее холодным месяцем является январь (ср. месячная температура ряда лет равна -14,6 градусов), но нередки случаи, когда наименьшая температура перемещается на февраль. Температура воздуха наиболее холодных суток обеспеченностью 98% -41ºС.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Абсолютная минимальная температура воздуха холодного периода года достигает - 46ºС. Максимальная глубина промерзания почвы повторяемостью 1 раз в 10 лет составляет 75 см, 1 раз в 50 лет почва может промерзать на глубину 165 см.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холодный период года в основном преобладают ветра южные, юго-восточные и юго-западные, ветры восточные и юго-восточные играют подчиненную роль. Однако</w:t>
      </w:r>
      <w:proofErr w:type="gramStart"/>
      <w:r w:rsidRPr="00B06469">
        <w:rPr>
          <w:rFonts w:ascii="Times New Roman" w:hAnsi="Times New Roman" w:cs="Times New Roman"/>
          <w:sz w:val="24"/>
          <w:szCs w:val="24"/>
        </w:rPr>
        <w:t>,</w:t>
      </w:r>
      <w:proofErr w:type="gramEnd"/>
      <w:r w:rsidRPr="00B06469">
        <w:rPr>
          <w:rFonts w:ascii="Times New Roman" w:hAnsi="Times New Roman" w:cs="Times New Roman"/>
          <w:sz w:val="24"/>
          <w:szCs w:val="24"/>
        </w:rPr>
        <w:t xml:space="preserve"> их следует принимать во внимание ввиду суховейного характера. Максимальная из средних скоростей ветра за январь 4,4м/</w:t>
      </w:r>
      <w:proofErr w:type="gramStart"/>
      <w:r w:rsidRPr="00B06469">
        <w:rPr>
          <w:rFonts w:ascii="Times New Roman" w:hAnsi="Times New Roman" w:cs="Times New Roman"/>
          <w:sz w:val="24"/>
          <w:szCs w:val="24"/>
        </w:rPr>
        <w:t>с</w:t>
      </w:r>
      <w:proofErr w:type="gramEnd"/>
      <w:r w:rsidRPr="00B06469">
        <w:rPr>
          <w:rFonts w:ascii="Times New Roman" w:hAnsi="Times New Roman" w:cs="Times New Roman"/>
          <w:sz w:val="24"/>
          <w:szCs w:val="24"/>
        </w:rPr>
        <w:t xml:space="preserve">. Средняя скорость ветра за три наиболее холодных месяца 3,7 м/с. В теплый период преобладают ветра северо-западные, юго-западные и западные. </w:t>
      </w:r>
      <w:proofErr w:type="gramStart"/>
      <w:r w:rsidRPr="00B06469">
        <w:rPr>
          <w:rFonts w:ascii="Times New Roman" w:hAnsi="Times New Roman" w:cs="Times New Roman"/>
          <w:sz w:val="24"/>
          <w:szCs w:val="24"/>
        </w:rPr>
        <w:t>Минимальная</w:t>
      </w:r>
      <w:proofErr w:type="gramEnd"/>
      <w:r w:rsidRPr="00B06469">
        <w:rPr>
          <w:rFonts w:ascii="Times New Roman" w:hAnsi="Times New Roman" w:cs="Times New Roman"/>
          <w:sz w:val="24"/>
          <w:szCs w:val="24"/>
        </w:rPr>
        <w:t xml:space="preserve"> из средних скоростей ветра за июль составляет 2,6 м/с.</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теплый период года температура воздуха обеспеченностью 99% составляет +28,2ºС. Средняя температура наружного воздуха наиболее теплого месяца (июль) +19,2ºС. Абсолютная максимальная температура достигает +37ºС.</w:t>
      </w:r>
    </w:p>
    <w:p w:rsidR="00D14EDE" w:rsidRPr="00B06469" w:rsidRDefault="00D14EDE" w:rsidP="001F0139">
      <w:pPr>
        <w:spacing w:after="0" w:line="360" w:lineRule="auto"/>
        <w:ind w:firstLine="709"/>
        <w:jc w:val="both"/>
        <w:rPr>
          <w:rFonts w:ascii="Times New Roman" w:hAnsi="Times New Roman" w:cs="Times New Roman"/>
          <w:color w:val="000000"/>
          <w:sz w:val="24"/>
          <w:szCs w:val="24"/>
        </w:rPr>
      </w:pPr>
      <w:r w:rsidRPr="00B06469">
        <w:rPr>
          <w:rFonts w:ascii="Times New Roman" w:hAnsi="Times New Roman" w:cs="Times New Roman"/>
          <w:sz w:val="24"/>
          <w:szCs w:val="24"/>
        </w:rPr>
        <w:t>Переход среднесуточной температуры воздуха через 0</w:t>
      </w:r>
      <w:proofErr w:type="gramStart"/>
      <w:r w:rsidRPr="00B06469">
        <w:rPr>
          <w:rFonts w:ascii="Times New Roman" w:hAnsi="Times New Roman" w:cs="Times New Roman"/>
          <w:sz w:val="24"/>
          <w:szCs w:val="24"/>
        </w:rPr>
        <w:t>ºС</w:t>
      </w:r>
      <w:proofErr w:type="gramEnd"/>
      <w:r w:rsidRPr="00B06469">
        <w:rPr>
          <w:rFonts w:ascii="Times New Roman" w:hAnsi="Times New Roman" w:cs="Times New Roman"/>
          <w:sz w:val="24"/>
          <w:szCs w:val="24"/>
        </w:rPr>
        <w:t xml:space="preserve"> в сторону понижения осуществляется в середине октября. В это время появляется, но, как правило, тает первый снежный покров. В третьей декаде ноября устанавливается постоянный снежный покров, продолжительность залегания которого порядка 163 дня. Разрушения снежного покрова в среднем отмечаются во второй декаде апреля. Окончательно снег сходит в середине апреля.</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Среднегодовое количество осадков составляет до 400 мм. Многолетние данные показывают, что распределение осадков в течение года весьма неравномерно. Наибольшее </w:t>
      </w:r>
      <w:r w:rsidRPr="00B06469">
        <w:rPr>
          <w:rFonts w:ascii="Times New Roman" w:hAnsi="Times New Roman" w:cs="Times New Roman"/>
          <w:sz w:val="24"/>
          <w:szCs w:val="24"/>
        </w:rPr>
        <w:lastRenderedPageBreak/>
        <w:t xml:space="preserve">количество осадков (около 300мм) приходится на летние и осенние </w:t>
      </w:r>
      <w:proofErr w:type="gramStart"/>
      <w:r w:rsidRPr="00B06469">
        <w:rPr>
          <w:rFonts w:ascii="Times New Roman" w:hAnsi="Times New Roman" w:cs="Times New Roman"/>
          <w:sz w:val="24"/>
          <w:szCs w:val="24"/>
        </w:rPr>
        <w:t>месяцы</w:t>
      </w:r>
      <w:proofErr w:type="gramEnd"/>
      <w:r w:rsidRPr="00B06469">
        <w:rPr>
          <w:rFonts w:ascii="Times New Roman" w:hAnsi="Times New Roman" w:cs="Times New Roman"/>
          <w:sz w:val="24"/>
          <w:szCs w:val="24"/>
        </w:rPr>
        <w:t xml:space="preserve"> и только небольшая часть (114мм) их приходится на холодный период. В соответствии с небольшим количеством зимних осадков </w:t>
      </w:r>
      <w:proofErr w:type="gramStart"/>
      <w:r w:rsidRPr="00B06469">
        <w:rPr>
          <w:rFonts w:ascii="Times New Roman" w:hAnsi="Times New Roman" w:cs="Times New Roman"/>
          <w:sz w:val="24"/>
          <w:szCs w:val="24"/>
        </w:rPr>
        <w:t>снеговой покров не достигает</w:t>
      </w:r>
      <w:proofErr w:type="gramEnd"/>
      <w:r w:rsidRPr="00B06469">
        <w:rPr>
          <w:rFonts w:ascii="Times New Roman" w:hAnsi="Times New Roman" w:cs="Times New Roman"/>
          <w:sz w:val="24"/>
          <w:szCs w:val="24"/>
        </w:rPr>
        <w:t xml:space="preserve"> значительной высоты - от 36-45 см. Характерным является медленное накопление снега в начале зимы и быстрое таяние весной.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eastAsia="Times New Roman" w:hAnsi="Times New Roman" w:cs="Times New Roman"/>
          <w:b/>
          <w:i/>
          <w:color w:val="365F91"/>
          <w:sz w:val="24"/>
          <w:szCs w:val="24"/>
          <w:lang w:eastAsia="ru-RU"/>
        </w:rPr>
        <w:t>Рельеф.</w:t>
      </w:r>
      <w:r w:rsidRPr="00B06469">
        <w:rPr>
          <w:rFonts w:ascii="Times New Roman" w:hAnsi="Times New Roman" w:cs="Times New Roman"/>
          <w:sz w:val="24"/>
          <w:szCs w:val="24"/>
        </w:rPr>
        <w:t xml:space="preserve"> Сельское поселение Камышла расположено в долине между двумя холмами (с восточной и западной стороны). Территория поселения представляет собой холмистую равнину, с повышением в северо-восточном и восточном направлениях, прорезанную многочисленными тальвегами. Абсолютные отметки колеблются от 104,9 до 197,5 м.</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Для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характерна сильная расчлененность рельефа (0,86 км/км</w:t>
      </w:r>
      <w:proofErr w:type="gramStart"/>
      <w:r w:rsidRPr="00B06469">
        <w:rPr>
          <w:rFonts w:ascii="Times New Roman" w:hAnsi="Times New Roman" w:cs="Times New Roman"/>
          <w:sz w:val="24"/>
          <w:szCs w:val="24"/>
          <w:vertAlign w:val="superscript"/>
        </w:rPr>
        <w:t>2</w:t>
      </w:r>
      <w:proofErr w:type="gramEnd"/>
      <w:r w:rsidRPr="00B06469">
        <w:rPr>
          <w:rFonts w:ascii="Times New Roman" w:hAnsi="Times New Roman" w:cs="Times New Roman"/>
          <w:sz w:val="24"/>
          <w:szCs w:val="24"/>
        </w:rPr>
        <w:t xml:space="preserve">) с глубоко врезанными речными долинами, плоскими формами водоразделов и ступенчатыми водораздельными склонами.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Особенностью рельефа района проектирования является асимметричное строение водоразделов, резкая крутизна склонов к долине основной реки Сок, а также рек: </w:t>
      </w:r>
      <w:proofErr w:type="spellStart"/>
      <w:r w:rsidRPr="00B06469">
        <w:rPr>
          <w:rFonts w:ascii="Times New Roman" w:hAnsi="Times New Roman" w:cs="Times New Roman"/>
          <w:sz w:val="24"/>
          <w:szCs w:val="24"/>
        </w:rPr>
        <w:t>Байтуган</w:t>
      </w:r>
      <w:proofErr w:type="spellEnd"/>
      <w:r w:rsidRPr="00B06469">
        <w:rPr>
          <w:rFonts w:ascii="Times New Roman" w:hAnsi="Times New Roman" w:cs="Times New Roman"/>
          <w:sz w:val="24"/>
          <w:szCs w:val="24"/>
        </w:rPr>
        <w:t xml:space="preserve">, Сухая </w:t>
      </w:r>
      <w:proofErr w:type="spellStart"/>
      <w:r w:rsidRPr="00B06469">
        <w:rPr>
          <w:rFonts w:ascii="Times New Roman" w:hAnsi="Times New Roman" w:cs="Times New Roman"/>
          <w:sz w:val="24"/>
          <w:szCs w:val="24"/>
        </w:rPr>
        <w:t>Окана</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Телегас</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Уксада</w:t>
      </w:r>
      <w:proofErr w:type="spellEnd"/>
      <w:r w:rsidRPr="00B06469">
        <w:rPr>
          <w:rFonts w:ascii="Times New Roman" w:hAnsi="Times New Roman" w:cs="Times New Roman"/>
          <w:sz w:val="24"/>
          <w:szCs w:val="24"/>
        </w:rPr>
        <w:t xml:space="preserve">.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Территория района делится долиной реки Сок на южную (левобережную) и северную (правобережную) части, резко отличающиеся друг от друга по формам рельефа.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Возвышенности, идущие вдоль правого берега р. Сок, являются отрогами </w:t>
      </w:r>
      <w:proofErr w:type="spellStart"/>
      <w:r w:rsidRPr="00B06469">
        <w:rPr>
          <w:rFonts w:ascii="Times New Roman" w:hAnsi="Times New Roman" w:cs="Times New Roman"/>
          <w:sz w:val="24"/>
          <w:szCs w:val="24"/>
        </w:rPr>
        <w:t>Бугульминско-Белебеевской</w:t>
      </w:r>
      <w:proofErr w:type="spellEnd"/>
      <w:r w:rsidRPr="00B06469">
        <w:rPr>
          <w:rFonts w:ascii="Times New Roman" w:hAnsi="Times New Roman" w:cs="Times New Roman"/>
          <w:sz w:val="24"/>
          <w:szCs w:val="24"/>
        </w:rPr>
        <w:t xml:space="preserve"> возвышенности и в границах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имеют высоту от 150 до 213 метров над уровнем моря. Севернее села </w:t>
      </w:r>
      <w:proofErr w:type="spellStart"/>
      <w:r w:rsidRPr="00B06469">
        <w:rPr>
          <w:rFonts w:ascii="Times New Roman" w:hAnsi="Times New Roman" w:cs="Times New Roman"/>
          <w:sz w:val="24"/>
          <w:szCs w:val="24"/>
        </w:rPr>
        <w:t>Ерилкино</w:t>
      </w:r>
      <w:proofErr w:type="spellEnd"/>
      <w:r w:rsidRPr="00B06469">
        <w:rPr>
          <w:rFonts w:ascii="Times New Roman" w:hAnsi="Times New Roman" w:cs="Times New Roman"/>
          <w:sz w:val="24"/>
          <w:szCs w:val="24"/>
        </w:rPr>
        <w:t xml:space="preserve"> располагается самая высокая точка района с отметкой 330 м над уровнем моря.</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Глубокие долины правых притоков реки Сок образуют водоразделы второго порядка в виде ряда волнистых перевалов, простирающихся с севера на юг на 18-20 км. Вершины перевалов обычно имеют вид неровных сыртов и возвышенностей в виде отдельных холмов или гряд, разделенных седлообразными впадинами, и редко выравниваются в плато.</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Рельеф левобережья р. Сок представляет собой узкое, постепенно понижающееся к юго-западу, плато водораздела рек Сок и Большой </w:t>
      </w:r>
      <w:proofErr w:type="spellStart"/>
      <w:r w:rsidRPr="00B06469">
        <w:rPr>
          <w:rFonts w:ascii="Times New Roman" w:hAnsi="Times New Roman" w:cs="Times New Roman"/>
          <w:sz w:val="24"/>
          <w:szCs w:val="24"/>
        </w:rPr>
        <w:t>Кинель</w:t>
      </w:r>
      <w:proofErr w:type="spellEnd"/>
      <w:r w:rsidRPr="00B06469">
        <w:rPr>
          <w:rFonts w:ascii="Times New Roman" w:hAnsi="Times New Roman" w:cs="Times New Roman"/>
          <w:sz w:val="24"/>
          <w:szCs w:val="24"/>
        </w:rPr>
        <w:t xml:space="preserve">. Остальная часть территории района представлена водораздельными склонами, рассеченными речками и оврагами в меридиональном направлении.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Вниз по течению р. Сок отметки рельефа постепенно понижаются, наиболее низкую отметку (95 м над уровнем моря) имеет долина р. Сок у села Камышла.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eastAsia="Times New Roman" w:hAnsi="Times New Roman" w:cs="Times New Roman"/>
          <w:b/>
          <w:i/>
          <w:color w:val="365F91"/>
          <w:sz w:val="24"/>
          <w:szCs w:val="24"/>
          <w:lang w:eastAsia="ru-RU"/>
        </w:rPr>
        <w:t>Почвы.</w:t>
      </w:r>
      <w:r w:rsidRPr="00B06469">
        <w:rPr>
          <w:rFonts w:ascii="Times New Roman" w:hAnsi="Times New Roman" w:cs="Times New Roman"/>
          <w:sz w:val="24"/>
          <w:szCs w:val="24"/>
        </w:rPr>
        <w:t xml:space="preserve"> Главным природным богатством района являются черноземные почвы (43,3 тыс. га, среднее положение по доле земель с.-х. назначения среди муниципальных районов Самарской области – более 70%).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Почвы поселения относятся к средн</w:t>
      </w:r>
      <w:proofErr w:type="gramStart"/>
      <w:r w:rsidRPr="00B06469">
        <w:rPr>
          <w:rFonts w:ascii="Times New Roman" w:hAnsi="Times New Roman" w:cs="Times New Roman"/>
          <w:sz w:val="24"/>
          <w:szCs w:val="24"/>
        </w:rPr>
        <w:t>е-</w:t>
      </w:r>
      <w:proofErr w:type="gramEnd"/>
      <w:r w:rsidRPr="00B06469">
        <w:rPr>
          <w:rFonts w:ascii="Times New Roman" w:hAnsi="Times New Roman" w:cs="Times New Roman"/>
          <w:sz w:val="24"/>
          <w:szCs w:val="24"/>
        </w:rPr>
        <w:t xml:space="preserve"> и </w:t>
      </w:r>
      <w:proofErr w:type="spellStart"/>
      <w:r w:rsidRPr="00B06469">
        <w:rPr>
          <w:rFonts w:ascii="Times New Roman" w:hAnsi="Times New Roman" w:cs="Times New Roman"/>
          <w:sz w:val="24"/>
          <w:szCs w:val="24"/>
        </w:rPr>
        <w:t>малогумусным</w:t>
      </w:r>
      <w:proofErr w:type="spellEnd"/>
      <w:r w:rsidRPr="00B06469">
        <w:rPr>
          <w:rFonts w:ascii="Times New Roman" w:hAnsi="Times New Roman" w:cs="Times New Roman"/>
          <w:sz w:val="24"/>
          <w:szCs w:val="24"/>
        </w:rPr>
        <w:t xml:space="preserve">. Преобладающие типы почв: сочетание черноземов выщелоченных типичных, в том числе типичных остаточно-карбонатных, часто смытых с участием серых лесных и </w:t>
      </w:r>
      <w:proofErr w:type="spellStart"/>
      <w:r w:rsidRPr="00B06469">
        <w:rPr>
          <w:rFonts w:ascii="Times New Roman" w:hAnsi="Times New Roman" w:cs="Times New Roman"/>
          <w:sz w:val="24"/>
          <w:szCs w:val="24"/>
        </w:rPr>
        <w:t>черноземовыщелоченных</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остаточнолуговых</w:t>
      </w:r>
      <w:proofErr w:type="spellEnd"/>
      <w:r w:rsidRPr="00B06469">
        <w:rPr>
          <w:rFonts w:ascii="Times New Roman" w:hAnsi="Times New Roman" w:cs="Times New Roman"/>
          <w:sz w:val="24"/>
          <w:szCs w:val="24"/>
        </w:rPr>
        <w:t xml:space="preserve">. В силу развития процессов водной эрозии на пологих и </w:t>
      </w:r>
      <w:proofErr w:type="spellStart"/>
      <w:r w:rsidRPr="00B06469">
        <w:rPr>
          <w:rFonts w:ascii="Times New Roman" w:hAnsi="Times New Roman" w:cs="Times New Roman"/>
          <w:sz w:val="24"/>
          <w:szCs w:val="24"/>
        </w:rPr>
        <w:t>слабопокатых</w:t>
      </w:r>
      <w:proofErr w:type="spellEnd"/>
      <w:r w:rsidRPr="00B06469">
        <w:rPr>
          <w:rFonts w:ascii="Times New Roman" w:hAnsi="Times New Roman" w:cs="Times New Roman"/>
          <w:sz w:val="24"/>
          <w:szCs w:val="24"/>
        </w:rPr>
        <w:t xml:space="preserve"> склонах водоразделов сформировались слабосмытые черноземы. Среднесмытые черноземы, выделены на покатых склонах, сильно смытые черноземы – на сильнопокатых склонах. Широко распространены в низменных местах пойменные и наносные почвы. Имеются болотно-глинистые, иловато-глинистые, карбонатные, торфяно-болотные, щебневые и много других разновидностей, которых в районе насчитывается более 40. В долине р. Сок в виде небольших островков встречаются солонцы и солончаки.</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eastAsia="Times New Roman" w:hAnsi="Times New Roman" w:cs="Times New Roman"/>
          <w:b/>
          <w:i/>
          <w:color w:val="365F91"/>
          <w:sz w:val="24"/>
          <w:szCs w:val="24"/>
          <w:lang w:eastAsia="ru-RU"/>
        </w:rPr>
        <w:t>Лесные ресурсы.</w:t>
      </w:r>
      <w:r w:rsidRPr="00B06469">
        <w:rPr>
          <w:rFonts w:ascii="Times New Roman" w:hAnsi="Times New Roman" w:cs="Times New Roman"/>
          <w:sz w:val="24"/>
          <w:szCs w:val="24"/>
        </w:rPr>
        <w:t xml:space="preserve"> Пейзажи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представляют собой удивительное сочетание бесконечного приволья и уюта, дикости и гармонии. Природа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богата уникальными уголками: живописные возвышенности, речная долина, поросшая камышом, трехсотлетние сосны. В 10 км от райцентра расположен чудом сохранившийся в практически первозданном виде со времен последнего межледникового периода участок древней тайги, называемый «</w:t>
      </w:r>
      <w:proofErr w:type="spellStart"/>
      <w:r w:rsidRPr="00B06469">
        <w:rPr>
          <w:rFonts w:ascii="Times New Roman" w:hAnsi="Times New Roman" w:cs="Times New Roman"/>
          <w:sz w:val="24"/>
          <w:szCs w:val="24"/>
        </w:rPr>
        <w:t>Камышлинское</w:t>
      </w:r>
      <w:proofErr w:type="spellEnd"/>
      <w:r w:rsidRPr="00B06469">
        <w:rPr>
          <w:rFonts w:ascii="Times New Roman" w:hAnsi="Times New Roman" w:cs="Times New Roman"/>
          <w:sz w:val="24"/>
          <w:szCs w:val="24"/>
        </w:rPr>
        <w:t xml:space="preserve"> чернолесье». Он представляет собой реликтовый смешанный лес, в котором соседствуют рядом друг с другом дубравы, осинники, березняки, сосновые боры. Не менее интересна и </w:t>
      </w:r>
      <w:proofErr w:type="spellStart"/>
      <w:r w:rsidRPr="00B06469">
        <w:rPr>
          <w:rFonts w:ascii="Times New Roman" w:hAnsi="Times New Roman" w:cs="Times New Roman"/>
          <w:sz w:val="24"/>
          <w:szCs w:val="24"/>
        </w:rPr>
        <w:t>Камышлинская</w:t>
      </w:r>
      <w:proofErr w:type="spellEnd"/>
      <w:r w:rsidRPr="00B06469">
        <w:rPr>
          <w:rFonts w:ascii="Times New Roman" w:hAnsi="Times New Roman" w:cs="Times New Roman"/>
          <w:sz w:val="24"/>
          <w:szCs w:val="24"/>
        </w:rPr>
        <w:t xml:space="preserve"> кленово-</w:t>
      </w:r>
      <w:proofErr w:type="spellStart"/>
      <w:r w:rsidRPr="00B06469">
        <w:rPr>
          <w:rFonts w:ascii="Times New Roman" w:hAnsi="Times New Roman" w:cs="Times New Roman"/>
          <w:sz w:val="24"/>
          <w:szCs w:val="24"/>
        </w:rPr>
        <w:t>ясменниковая</w:t>
      </w:r>
      <w:proofErr w:type="spellEnd"/>
      <w:r w:rsidRPr="00B06469">
        <w:rPr>
          <w:rFonts w:ascii="Times New Roman" w:hAnsi="Times New Roman" w:cs="Times New Roman"/>
          <w:sz w:val="24"/>
          <w:szCs w:val="24"/>
        </w:rPr>
        <w:t xml:space="preserve"> дубрава, особенностью которой является крайне редкое для мест лесостепной зоны смешение разнообразных древесных, кустарниковых и травянистых растений. Учеными здесь был обнаружен ряд исчезающих видов растений, занесенных в Красную книгу России, например, ясменник пахучий и майник двулистный из семейства орхидей.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Лесопокрытая площадь района равна 20% и занимает 18000 га. Лесные ресурсы с подавляющим преобладанием лиственных пород деревьев в экономике территории в настоящее время используются </w:t>
      </w:r>
      <w:proofErr w:type="gramStart"/>
      <w:r w:rsidRPr="00B06469">
        <w:rPr>
          <w:rFonts w:ascii="Times New Roman" w:hAnsi="Times New Roman" w:cs="Times New Roman"/>
          <w:sz w:val="24"/>
          <w:szCs w:val="24"/>
        </w:rPr>
        <w:t>крайне недостаточно</w:t>
      </w:r>
      <w:proofErr w:type="gramEnd"/>
      <w:r w:rsidRPr="00B06469">
        <w:rPr>
          <w:rFonts w:ascii="Times New Roman" w:hAnsi="Times New Roman" w:cs="Times New Roman"/>
          <w:sz w:val="24"/>
          <w:szCs w:val="24"/>
        </w:rPr>
        <w:t>. Для повышения экономической устойчивости муниципального района необходимо взаимодействие с соседними муниципальными образованиями по реализации совместных проектов.</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eastAsia="Times New Roman" w:hAnsi="Times New Roman" w:cs="Times New Roman"/>
          <w:b/>
          <w:i/>
          <w:color w:val="365F91"/>
          <w:sz w:val="24"/>
          <w:szCs w:val="24"/>
          <w:lang w:eastAsia="ru-RU"/>
        </w:rPr>
        <w:t>Животный мир.</w:t>
      </w:r>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насчитывает 78 видов млекопитающих, 285 видов птиц, 11 видов земноводных, столько же беспозвоночных. В целом фауна района довольно бедна, что объясняется сокращением площади лесов и целинных земель в степной части.</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eastAsia="Times New Roman" w:hAnsi="Times New Roman" w:cs="Times New Roman"/>
          <w:b/>
          <w:i/>
          <w:color w:val="365F91"/>
          <w:sz w:val="24"/>
          <w:szCs w:val="24"/>
          <w:lang w:eastAsia="ru-RU"/>
        </w:rPr>
        <w:t>Водные ресурсы.</w:t>
      </w:r>
      <w:r w:rsidRPr="00B06469">
        <w:rPr>
          <w:rFonts w:ascii="Times New Roman" w:hAnsi="Times New Roman" w:cs="Times New Roman"/>
          <w:b/>
          <w:i/>
          <w:sz w:val="24"/>
          <w:szCs w:val="24"/>
        </w:rPr>
        <w:t xml:space="preserve"> </w:t>
      </w:r>
      <w:r w:rsidRPr="00B06469">
        <w:rPr>
          <w:rFonts w:ascii="Times New Roman" w:hAnsi="Times New Roman" w:cs="Times New Roman"/>
          <w:sz w:val="24"/>
          <w:szCs w:val="24"/>
        </w:rPr>
        <w:t xml:space="preserve">Территория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относится к </w:t>
      </w:r>
      <w:proofErr w:type="spellStart"/>
      <w:r w:rsidRPr="00B06469">
        <w:rPr>
          <w:rFonts w:ascii="Times New Roman" w:hAnsi="Times New Roman" w:cs="Times New Roman"/>
          <w:sz w:val="24"/>
          <w:szCs w:val="24"/>
        </w:rPr>
        <w:t>Средневолжскому</w:t>
      </w:r>
      <w:proofErr w:type="spellEnd"/>
      <w:r w:rsidRPr="00B06469">
        <w:rPr>
          <w:rFonts w:ascii="Times New Roman" w:hAnsi="Times New Roman" w:cs="Times New Roman"/>
          <w:sz w:val="24"/>
          <w:szCs w:val="24"/>
        </w:rPr>
        <w:t xml:space="preserve"> гидрологическому району. Наиболее характерной фазой водного режима рек области является весеннее половодье, в период которого на реках правобережья Волги проходит 55-75% годового стока, в бассейнах южного левобережья – 85-100%.</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Все реки района питаются в основном за счет атмосферных осадков. Грунтовое питание невелико и не превышает 20% годового стока. Сток рек формируется за счет зимних осадков, осадки теплого периода в питании рек принимают незначительное участие.</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 востока на запад на протяжении 80 км район пересекает река Сок, являющаяся левым притоком Волги и самой большой рекой района. Река Сок в пределах района принимает ряд притоков, из них крупнейшие – </w:t>
      </w:r>
      <w:proofErr w:type="spellStart"/>
      <w:r w:rsidRPr="00B06469">
        <w:rPr>
          <w:rFonts w:ascii="Times New Roman" w:hAnsi="Times New Roman" w:cs="Times New Roman"/>
          <w:sz w:val="24"/>
          <w:szCs w:val="24"/>
        </w:rPr>
        <w:t>Уксуда</w:t>
      </w:r>
      <w:proofErr w:type="spellEnd"/>
      <w:r w:rsidRPr="00B06469">
        <w:rPr>
          <w:rFonts w:ascii="Times New Roman" w:hAnsi="Times New Roman" w:cs="Times New Roman"/>
          <w:sz w:val="24"/>
          <w:szCs w:val="24"/>
        </w:rPr>
        <w:t xml:space="preserve"> (25км), </w:t>
      </w:r>
      <w:proofErr w:type="spellStart"/>
      <w:r w:rsidRPr="00B06469">
        <w:rPr>
          <w:rFonts w:ascii="Times New Roman" w:hAnsi="Times New Roman" w:cs="Times New Roman"/>
          <w:sz w:val="24"/>
          <w:szCs w:val="24"/>
        </w:rPr>
        <w:t>Байтуган</w:t>
      </w:r>
      <w:proofErr w:type="spellEnd"/>
      <w:r w:rsidRPr="00B06469">
        <w:rPr>
          <w:rFonts w:ascii="Times New Roman" w:hAnsi="Times New Roman" w:cs="Times New Roman"/>
          <w:sz w:val="24"/>
          <w:szCs w:val="24"/>
        </w:rPr>
        <w:t xml:space="preserve"> (21км), </w:t>
      </w:r>
      <w:proofErr w:type="spellStart"/>
      <w:r w:rsidRPr="00B06469">
        <w:rPr>
          <w:rFonts w:ascii="Times New Roman" w:hAnsi="Times New Roman" w:cs="Times New Roman"/>
          <w:sz w:val="24"/>
          <w:szCs w:val="24"/>
        </w:rPr>
        <w:t>Камышлинка</w:t>
      </w:r>
      <w:proofErr w:type="spellEnd"/>
      <w:r w:rsidRPr="00B06469">
        <w:rPr>
          <w:rFonts w:ascii="Times New Roman" w:hAnsi="Times New Roman" w:cs="Times New Roman"/>
          <w:sz w:val="24"/>
          <w:szCs w:val="24"/>
        </w:rPr>
        <w:t xml:space="preserve"> (18 км), </w:t>
      </w:r>
      <w:proofErr w:type="spellStart"/>
      <w:r w:rsidRPr="00B06469">
        <w:rPr>
          <w:rFonts w:ascii="Times New Roman" w:hAnsi="Times New Roman" w:cs="Times New Roman"/>
          <w:sz w:val="24"/>
          <w:szCs w:val="24"/>
        </w:rPr>
        <w:t>Телегаз</w:t>
      </w:r>
      <w:proofErr w:type="spellEnd"/>
      <w:r w:rsidRPr="00B06469">
        <w:rPr>
          <w:rFonts w:ascii="Times New Roman" w:hAnsi="Times New Roman" w:cs="Times New Roman"/>
          <w:sz w:val="24"/>
          <w:szCs w:val="24"/>
        </w:rPr>
        <w:t xml:space="preserve"> (19км), а также более мелкие – Сухая </w:t>
      </w:r>
      <w:proofErr w:type="spellStart"/>
      <w:r w:rsidRPr="00B06469">
        <w:rPr>
          <w:rFonts w:ascii="Times New Roman" w:hAnsi="Times New Roman" w:cs="Times New Roman"/>
          <w:sz w:val="24"/>
          <w:szCs w:val="24"/>
        </w:rPr>
        <w:t>Окана</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Мустай</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Елга</w:t>
      </w:r>
      <w:proofErr w:type="spellEnd"/>
      <w:r w:rsidRPr="00B06469">
        <w:rPr>
          <w:rFonts w:ascii="Times New Roman" w:hAnsi="Times New Roman" w:cs="Times New Roman"/>
          <w:sz w:val="24"/>
          <w:szCs w:val="24"/>
        </w:rPr>
        <w:t xml:space="preserve">-Буй. На юге района протекают реки </w:t>
      </w:r>
      <w:proofErr w:type="spellStart"/>
      <w:r w:rsidRPr="00B06469">
        <w:rPr>
          <w:rFonts w:ascii="Times New Roman" w:hAnsi="Times New Roman" w:cs="Times New Roman"/>
          <w:sz w:val="24"/>
          <w:szCs w:val="24"/>
        </w:rPr>
        <w:t>Ална</w:t>
      </w:r>
      <w:proofErr w:type="spellEnd"/>
      <w:r w:rsidRPr="00B06469">
        <w:rPr>
          <w:rFonts w:ascii="Times New Roman" w:hAnsi="Times New Roman" w:cs="Times New Roman"/>
          <w:sz w:val="24"/>
          <w:szCs w:val="24"/>
        </w:rPr>
        <w:t xml:space="preserve"> (13 км) и Медведка. Общая длина всех рек района около 200 км. Сила падающей воды рек используется в хозяйстве района. На территории района имеется 9 озер, зеркальная площадь которых составляет 540 </w:t>
      </w:r>
      <w:proofErr w:type="spellStart"/>
      <w:r w:rsidRPr="00B06469">
        <w:rPr>
          <w:rFonts w:ascii="Times New Roman" w:hAnsi="Times New Roman" w:cs="Times New Roman"/>
          <w:sz w:val="24"/>
          <w:szCs w:val="24"/>
        </w:rPr>
        <w:t>кв.м</w:t>
      </w:r>
      <w:proofErr w:type="spellEnd"/>
      <w:r w:rsidRPr="00B06469">
        <w:rPr>
          <w:rFonts w:ascii="Times New Roman" w:hAnsi="Times New Roman" w:cs="Times New Roman"/>
          <w:sz w:val="24"/>
          <w:szCs w:val="24"/>
        </w:rPr>
        <w:t>. В долинах р. Сок и его притоков имеется много пойменных болот, а на возвышенных местах – верховые болота, самое большое из них – Моховое. Общая площадь всех болот района составляет 245 га.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eastAsia="Times New Roman" w:hAnsi="Times New Roman" w:cs="Times New Roman"/>
          <w:b/>
          <w:i/>
          <w:color w:val="365F91"/>
          <w:sz w:val="24"/>
          <w:szCs w:val="24"/>
          <w:lang w:eastAsia="ru-RU"/>
        </w:rPr>
        <w:t>Подземные воды.</w:t>
      </w:r>
      <w:r w:rsidRPr="00B06469">
        <w:rPr>
          <w:rFonts w:ascii="Times New Roman" w:hAnsi="Times New Roman" w:cs="Times New Roman"/>
          <w:b/>
          <w:i/>
          <w:color w:val="365F91"/>
          <w:sz w:val="24"/>
          <w:szCs w:val="24"/>
        </w:rPr>
        <w:t xml:space="preserve"> </w:t>
      </w:r>
      <w:r w:rsidRPr="00B06469">
        <w:rPr>
          <w:rFonts w:ascii="Times New Roman" w:hAnsi="Times New Roman" w:cs="Times New Roman"/>
          <w:sz w:val="24"/>
          <w:szCs w:val="24"/>
        </w:rPr>
        <w:t xml:space="preserve">Водную систему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помимо крупных и мелких рек, озер, болот, ручьев, образуют многочисленные пресноводные родники, которые испокон веков поили население чистейшей водой. </w:t>
      </w:r>
      <w:proofErr w:type="spellStart"/>
      <w:r w:rsidRPr="00B06469">
        <w:rPr>
          <w:rFonts w:ascii="Times New Roman" w:hAnsi="Times New Roman" w:cs="Times New Roman"/>
          <w:sz w:val="24"/>
          <w:szCs w:val="24"/>
        </w:rPr>
        <w:t>Камышлинцы</w:t>
      </w:r>
      <w:proofErr w:type="spellEnd"/>
      <w:r w:rsidRPr="00B06469">
        <w:rPr>
          <w:rFonts w:ascii="Times New Roman" w:hAnsi="Times New Roman" w:cs="Times New Roman"/>
          <w:sz w:val="24"/>
          <w:szCs w:val="24"/>
        </w:rPr>
        <w:t xml:space="preserve"> чтут источники и оберегают их. Самый крупный родник – </w:t>
      </w:r>
      <w:proofErr w:type="spellStart"/>
      <w:r w:rsidRPr="00B06469">
        <w:rPr>
          <w:rFonts w:ascii="Times New Roman" w:hAnsi="Times New Roman" w:cs="Times New Roman"/>
          <w:sz w:val="24"/>
          <w:szCs w:val="24"/>
        </w:rPr>
        <w:t>Озын</w:t>
      </w:r>
      <w:proofErr w:type="spellEnd"/>
      <w:r w:rsidRPr="00B06469">
        <w:rPr>
          <w:rFonts w:ascii="Times New Roman" w:hAnsi="Times New Roman" w:cs="Times New Roman"/>
          <w:sz w:val="24"/>
          <w:szCs w:val="24"/>
        </w:rPr>
        <w:t xml:space="preserve">-Тау (в переводе с татарского – «длинная гора») располагается на левом берегу реки Камышла, вблизи села </w:t>
      </w:r>
      <w:proofErr w:type="spellStart"/>
      <w:r w:rsidRPr="00B06469">
        <w:rPr>
          <w:rFonts w:ascii="Times New Roman" w:hAnsi="Times New Roman" w:cs="Times New Roman"/>
          <w:sz w:val="24"/>
          <w:szCs w:val="24"/>
        </w:rPr>
        <w:t>Давлеткулово</w:t>
      </w:r>
      <w:proofErr w:type="spellEnd"/>
      <w:r w:rsidRPr="00B06469">
        <w:rPr>
          <w:rFonts w:ascii="Times New Roman" w:hAnsi="Times New Roman" w:cs="Times New Roman"/>
          <w:sz w:val="24"/>
          <w:szCs w:val="24"/>
        </w:rPr>
        <w:t xml:space="preserve">, и дает 600 литров воды в час. У подножия горы </w:t>
      </w:r>
      <w:proofErr w:type="spellStart"/>
      <w:r w:rsidRPr="00B06469">
        <w:rPr>
          <w:rFonts w:ascii="Times New Roman" w:hAnsi="Times New Roman" w:cs="Times New Roman"/>
          <w:sz w:val="24"/>
          <w:szCs w:val="24"/>
        </w:rPr>
        <w:t>Умар</w:t>
      </w:r>
      <w:proofErr w:type="spellEnd"/>
      <w:r w:rsidRPr="00B06469">
        <w:rPr>
          <w:rFonts w:ascii="Times New Roman" w:hAnsi="Times New Roman" w:cs="Times New Roman"/>
          <w:sz w:val="24"/>
          <w:szCs w:val="24"/>
        </w:rPr>
        <w:t xml:space="preserve">-Тау в 112-м квартале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лесничества бьет родник </w:t>
      </w:r>
      <w:proofErr w:type="spellStart"/>
      <w:r w:rsidRPr="00B06469">
        <w:rPr>
          <w:rFonts w:ascii="Times New Roman" w:hAnsi="Times New Roman" w:cs="Times New Roman"/>
          <w:sz w:val="24"/>
          <w:szCs w:val="24"/>
        </w:rPr>
        <w:t>Шарлак</w:t>
      </w:r>
      <w:proofErr w:type="spellEnd"/>
      <w:r w:rsidRPr="00B06469">
        <w:rPr>
          <w:rFonts w:ascii="Times New Roman" w:hAnsi="Times New Roman" w:cs="Times New Roman"/>
          <w:sz w:val="24"/>
          <w:szCs w:val="24"/>
        </w:rPr>
        <w:t xml:space="preserve">, в долине реки </w:t>
      </w:r>
      <w:proofErr w:type="spellStart"/>
      <w:r w:rsidRPr="00B06469">
        <w:rPr>
          <w:rFonts w:ascii="Times New Roman" w:hAnsi="Times New Roman" w:cs="Times New Roman"/>
          <w:sz w:val="24"/>
          <w:szCs w:val="24"/>
        </w:rPr>
        <w:t>Буз</w:t>
      </w:r>
      <w:proofErr w:type="spellEnd"/>
      <w:r w:rsidRPr="00B06469">
        <w:rPr>
          <w:rFonts w:ascii="Times New Roman" w:hAnsi="Times New Roman" w:cs="Times New Roman"/>
          <w:sz w:val="24"/>
          <w:szCs w:val="24"/>
        </w:rPr>
        <w:t>-Баш находится родник Медвежий колодец, оба они снабжают население питьевой водой (до 400 литров в час).</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Среди родников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есть и такие, воды которых содержат примесь чистой серы или ее солей и обладают лечебными свойствами. В долине реки Сок на 10 квадратных метрах из пластов глины на поверхность земли выбиваются сразу несколько минеральных источников, образующих систему, получившую название «</w:t>
      </w:r>
      <w:proofErr w:type="spellStart"/>
      <w:r w:rsidRPr="00B06469">
        <w:rPr>
          <w:rFonts w:ascii="Times New Roman" w:hAnsi="Times New Roman" w:cs="Times New Roman"/>
          <w:sz w:val="24"/>
          <w:szCs w:val="24"/>
        </w:rPr>
        <w:t>Камышлинская</w:t>
      </w:r>
      <w:proofErr w:type="spellEnd"/>
      <w:r w:rsidRPr="00B06469">
        <w:rPr>
          <w:rFonts w:ascii="Times New Roman" w:hAnsi="Times New Roman" w:cs="Times New Roman"/>
          <w:sz w:val="24"/>
          <w:szCs w:val="24"/>
        </w:rPr>
        <w:t xml:space="preserve"> Мацеста». Наиболее мощный из них расположен на левом берегу реки </w:t>
      </w:r>
      <w:proofErr w:type="spellStart"/>
      <w:r w:rsidRPr="00B06469">
        <w:rPr>
          <w:rFonts w:ascii="Times New Roman" w:hAnsi="Times New Roman" w:cs="Times New Roman"/>
          <w:sz w:val="24"/>
          <w:szCs w:val="24"/>
        </w:rPr>
        <w:t>Якшыгул</w:t>
      </w:r>
      <w:proofErr w:type="spellEnd"/>
      <w:r w:rsidRPr="00B06469">
        <w:rPr>
          <w:rFonts w:ascii="Times New Roman" w:hAnsi="Times New Roman" w:cs="Times New Roman"/>
          <w:sz w:val="24"/>
          <w:szCs w:val="24"/>
        </w:rPr>
        <w:t xml:space="preserve">. Рядом с селом Новое </w:t>
      </w:r>
      <w:proofErr w:type="spellStart"/>
      <w:r w:rsidRPr="00B06469">
        <w:rPr>
          <w:rFonts w:ascii="Times New Roman" w:hAnsi="Times New Roman" w:cs="Times New Roman"/>
          <w:sz w:val="24"/>
          <w:szCs w:val="24"/>
        </w:rPr>
        <w:t>Усманово</w:t>
      </w:r>
      <w:proofErr w:type="spellEnd"/>
      <w:r w:rsidRPr="00B06469">
        <w:rPr>
          <w:rFonts w:ascii="Times New Roman" w:hAnsi="Times New Roman" w:cs="Times New Roman"/>
          <w:sz w:val="24"/>
          <w:szCs w:val="24"/>
        </w:rPr>
        <w:t xml:space="preserve"> расположен еще один серный источник, пользующийся особой популярностью у бальнеологов.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Возможно выведение и использование в лечебных целях подземных минеральных вод, содержащих: сероводород, бром, йод и другие микроэлементы. Глубина их залегания определяется геологическим строением территории и требует дополнительного изучения. Однако обоснование и разработки этих проектов тормозятся, так как требуют вложения больших финансовых ресурсов.</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eastAsia="Times New Roman" w:hAnsi="Times New Roman" w:cs="Times New Roman"/>
          <w:b/>
          <w:i/>
          <w:color w:val="365F91"/>
          <w:sz w:val="24"/>
          <w:szCs w:val="24"/>
          <w:lang w:eastAsia="ru-RU"/>
        </w:rPr>
        <w:t xml:space="preserve">Полезные ископаемые. </w:t>
      </w:r>
      <w:r w:rsidRPr="00B06469">
        <w:rPr>
          <w:rFonts w:ascii="Times New Roman" w:hAnsi="Times New Roman" w:cs="Times New Roman"/>
          <w:sz w:val="24"/>
          <w:szCs w:val="24"/>
        </w:rPr>
        <w:t xml:space="preserve">Территория характеризуется преимущественно слабым природно-ресурсным потенциалом. Недра района содержат углеводородное сырье – нефть (1,07 % от запасов по области). Выявлено 10 месторождений нефти. Нефть залегает на </w:t>
      </w:r>
      <w:r w:rsidRPr="00B06469">
        <w:rPr>
          <w:rFonts w:ascii="Times New Roman" w:hAnsi="Times New Roman" w:cs="Times New Roman"/>
          <w:sz w:val="24"/>
          <w:szCs w:val="24"/>
        </w:rPr>
        <w:lastRenderedPageBreak/>
        <w:t xml:space="preserve">сравнительно небольшой глубине. Богатые нефтяные пласты приурочены в основном к толщам карбонатных осадков и песчаников коренных пермских пород каменноугольного периода, составляющих основу геологического строения района. Разрабатываемые нефтяные месторождения расположены в восточной части территории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На существующее положение степень их освоенности не превышает 1%.</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По запасам нефти район занимает 22 место среди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ов и районов области. В 2014 году на территории района добычу нефти осуществлял</w:t>
      </w:r>
      <w:proofErr w:type="gramStart"/>
      <w:r w:rsidRPr="00B06469">
        <w:rPr>
          <w:rFonts w:ascii="Times New Roman" w:hAnsi="Times New Roman" w:cs="Times New Roman"/>
          <w:sz w:val="24"/>
          <w:szCs w:val="24"/>
        </w:rPr>
        <w:t>о ООО</w:t>
      </w:r>
      <w:proofErr w:type="gram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Байтекс</w:t>
      </w:r>
      <w:proofErr w:type="spellEnd"/>
      <w:r w:rsidRPr="00B06469">
        <w:rPr>
          <w:rFonts w:ascii="Times New Roman" w:hAnsi="Times New Roman" w:cs="Times New Roman"/>
          <w:sz w:val="24"/>
          <w:szCs w:val="24"/>
        </w:rPr>
        <w:t xml:space="preserve">» на </w:t>
      </w:r>
      <w:proofErr w:type="spellStart"/>
      <w:r w:rsidRPr="00B06469">
        <w:rPr>
          <w:rFonts w:ascii="Times New Roman" w:hAnsi="Times New Roman" w:cs="Times New Roman"/>
          <w:sz w:val="24"/>
          <w:szCs w:val="24"/>
        </w:rPr>
        <w:t>Байтуганском</w:t>
      </w:r>
      <w:proofErr w:type="spellEnd"/>
      <w:r w:rsidRPr="00B06469">
        <w:rPr>
          <w:rFonts w:ascii="Times New Roman" w:hAnsi="Times New Roman" w:cs="Times New Roman"/>
          <w:sz w:val="24"/>
          <w:szCs w:val="24"/>
        </w:rPr>
        <w:t xml:space="preserve"> месторождении. В последние годы на территории района открыты </w:t>
      </w:r>
      <w:proofErr w:type="gramStart"/>
      <w:r w:rsidRPr="00B06469">
        <w:rPr>
          <w:rFonts w:ascii="Times New Roman" w:hAnsi="Times New Roman" w:cs="Times New Roman"/>
          <w:sz w:val="24"/>
          <w:szCs w:val="24"/>
        </w:rPr>
        <w:t>Ямское</w:t>
      </w:r>
      <w:proofErr w:type="gramEnd"/>
      <w:r w:rsidRPr="00B06469">
        <w:rPr>
          <w:rFonts w:ascii="Times New Roman" w:hAnsi="Times New Roman" w:cs="Times New Roman"/>
          <w:sz w:val="24"/>
          <w:szCs w:val="24"/>
        </w:rPr>
        <w:t xml:space="preserve"> и </w:t>
      </w:r>
      <w:proofErr w:type="spellStart"/>
      <w:r w:rsidRPr="00B06469">
        <w:rPr>
          <w:rFonts w:ascii="Times New Roman" w:hAnsi="Times New Roman" w:cs="Times New Roman"/>
          <w:sz w:val="24"/>
          <w:szCs w:val="24"/>
        </w:rPr>
        <w:t>Улпанское</w:t>
      </w:r>
      <w:proofErr w:type="spellEnd"/>
      <w:r w:rsidRPr="00B06469">
        <w:rPr>
          <w:rFonts w:ascii="Times New Roman" w:hAnsi="Times New Roman" w:cs="Times New Roman"/>
          <w:sz w:val="24"/>
          <w:szCs w:val="24"/>
        </w:rPr>
        <w:t xml:space="preserve"> (на границе с </w:t>
      </w:r>
      <w:proofErr w:type="spellStart"/>
      <w:r w:rsidRPr="00B06469">
        <w:rPr>
          <w:rFonts w:ascii="Times New Roman" w:hAnsi="Times New Roman" w:cs="Times New Roman"/>
          <w:sz w:val="24"/>
          <w:szCs w:val="24"/>
        </w:rPr>
        <w:t>Исаклинским</w:t>
      </w:r>
      <w:proofErr w:type="spellEnd"/>
      <w:r w:rsidRPr="00B06469">
        <w:rPr>
          <w:rFonts w:ascii="Times New Roman" w:hAnsi="Times New Roman" w:cs="Times New Roman"/>
          <w:sz w:val="24"/>
          <w:szCs w:val="24"/>
        </w:rPr>
        <w:t xml:space="preserve"> районом) месторождения нефти, имеющие небольшие запасы, и расположены две структуры, подготовленные к глубокому бурению – Ермаковская и </w:t>
      </w:r>
      <w:proofErr w:type="spellStart"/>
      <w:r w:rsidRPr="00B06469">
        <w:rPr>
          <w:rFonts w:ascii="Times New Roman" w:hAnsi="Times New Roman" w:cs="Times New Roman"/>
          <w:sz w:val="24"/>
          <w:szCs w:val="24"/>
        </w:rPr>
        <w:t>Турнаевская</w:t>
      </w:r>
      <w:proofErr w:type="spellEnd"/>
      <w:r w:rsidRPr="00B06469">
        <w:rPr>
          <w:rFonts w:ascii="Times New Roman" w:hAnsi="Times New Roman" w:cs="Times New Roman"/>
          <w:sz w:val="24"/>
          <w:szCs w:val="24"/>
        </w:rPr>
        <w:t xml:space="preserve">.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Кроме нефти к разряду энергетического сырья, имеющегося в недрах рассматриваемой территории, относится торф. Его запасы разведаны в 1941 году на территории </w:t>
      </w:r>
      <w:proofErr w:type="gramStart"/>
      <w:r w:rsidRPr="00B06469">
        <w:rPr>
          <w:rFonts w:ascii="Times New Roman" w:hAnsi="Times New Roman" w:cs="Times New Roman"/>
          <w:sz w:val="24"/>
          <w:szCs w:val="24"/>
        </w:rPr>
        <w:t>с</w:t>
      </w:r>
      <w:proofErr w:type="gramEnd"/>
      <w:r w:rsidRPr="00B06469">
        <w:rPr>
          <w:rFonts w:ascii="Times New Roman" w:hAnsi="Times New Roman" w:cs="Times New Roman"/>
          <w:sz w:val="24"/>
          <w:szCs w:val="24"/>
        </w:rPr>
        <w:t>. Старое Ермаково. Месторождение не разрабатывается.</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На территории муниципального образования имеются также месторождения некоторых видов неметаллических полезных ископаемых (глинистого сырья, гипса, карбонатных и </w:t>
      </w:r>
      <w:proofErr w:type="spellStart"/>
      <w:r w:rsidRPr="00B06469">
        <w:rPr>
          <w:rFonts w:ascii="Times New Roman" w:hAnsi="Times New Roman" w:cs="Times New Roman"/>
          <w:sz w:val="24"/>
          <w:szCs w:val="24"/>
        </w:rPr>
        <w:t>битумсодержащих</w:t>
      </w:r>
      <w:proofErr w:type="spellEnd"/>
      <w:r w:rsidRPr="00B06469">
        <w:rPr>
          <w:rFonts w:ascii="Times New Roman" w:hAnsi="Times New Roman" w:cs="Times New Roman"/>
          <w:sz w:val="24"/>
          <w:szCs w:val="24"/>
        </w:rPr>
        <w:t xml:space="preserve"> пород, бутового камня, галечника, горного песка; добывается горная масса для выработки алебастра, гипса, извести, щебня). При отделении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от </w:t>
      </w:r>
      <w:proofErr w:type="spellStart"/>
      <w:r w:rsidRPr="00B06469">
        <w:rPr>
          <w:rFonts w:ascii="Times New Roman" w:hAnsi="Times New Roman" w:cs="Times New Roman"/>
          <w:sz w:val="24"/>
          <w:szCs w:val="24"/>
        </w:rPr>
        <w:t>Клявлинского</w:t>
      </w:r>
      <w:proofErr w:type="spellEnd"/>
      <w:r w:rsidRPr="00B06469">
        <w:rPr>
          <w:rFonts w:ascii="Times New Roman" w:hAnsi="Times New Roman" w:cs="Times New Roman"/>
          <w:sz w:val="24"/>
          <w:szCs w:val="24"/>
        </w:rPr>
        <w:t xml:space="preserve">, на его территории остались три месторождения, стоящие на государственном балансе: </w:t>
      </w:r>
      <w:proofErr w:type="spellStart"/>
      <w:r w:rsidRPr="00B06469">
        <w:rPr>
          <w:rFonts w:ascii="Times New Roman" w:hAnsi="Times New Roman" w:cs="Times New Roman"/>
          <w:sz w:val="24"/>
          <w:szCs w:val="24"/>
        </w:rPr>
        <w:t>Бузбашское</w:t>
      </w:r>
      <w:proofErr w:type="spellEnd"/>
      <w:r w:rsidRPr="00B06469">
        <w:rPr>
          <w:rFonts w:ascii="Times New Roman" w:hAnsi="Times New Roman" w:cs="Times New Roman"/>
          <w:sz w:val="24"/>
          <w:szCs w:val="24"/>
        </w:rPr>
        <w:t xml:space="preserve"> глинистого сырья, </w:t>
      </w:r>
      <w:proofErr w:type="spellStart"/>
      <w:r w:rsidRPr="00B06469">
        <w:rPr>
          <w:rFonts w:ascii="Times New Roman" w:hAnsi="Times New Roman" w:cs="Times New Roman"/>
          <w:sz w:val="24"/>
          <w:szCs w:val="24"/>
        </w:rPr>
        <w:t>Бузбашское</w:t>
      </w:r>
      <w:proofErr w:type="spellEnd"/>
      <w:r w:rsidRPr="00B06469">
        <w:rPr>
          <w:rFonts w:ascii="Times New Roman" w:hAnsi="Times New Roman" w:cs="Times New Roman"/>
          <w:sz w:val="24"/>
          <w:szCs w:val="24"/>
        </w:rPr>
        <w:t xml:space="preserve"> гипса и </w:t>
      </w:r>
      <w:proofErr w:type="spellStart"/>
      <w:r w:rsidRPr="00B06469">
        <w:rPr>
          <w:rFonts w:ascii="Times New Roman" w:hAnsi="Times New Roman" w:cs="Times New Roman"/>
          <w:sz w:val="24"/>
          <w:szCs w:val="24"/>
        </w:rPr>
        <w:t>Бузбашское</w:t>
      </w:r>
      <w:proofErr w:type="spellEnd"/>
      <w:r w:rsidRPr="00B06469">
        <w:rPr>
          <w:rFonts w:ascii="Times New Roman" w:hAnsi="Times New Roman" w:cs="Times New Roman"/>
          <w:sz w:val="24"/>
          <w:szCs w:val="24"/>
        </w:rPr>
        <w:t xml:space="preserve"> строительного камня. Добыча полезных ископаемых на них ведется с привлечением местных трудовых ресурсов. В районе имеется еще одно месторождение, не состоящее на балансе - </w:t>
      </w:r>
      <w:proofErr w:type="spellStart"/>
      <w:r w:rsidRPr="00B06469">
        <w:rPr>
          <w:rFonts w:ascii="Times New Roman" w:hAnsi="Times New Roman" w:cs="Times New Roman"/>
          <w:sz w:val="24"/>
          <w:szCs w:val="24"/>
        </w:rPr>
        <w:t>Бузбашское</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битумсодержащих</w:t>
      </w:r>
      <w:proofErr w:type="spellEnd"/>
      <w:r w:rsidRPr="00B06469">
        <w:rPr>
          <w:rFonts w:ascii="Times New Roman" w:hAnsi="Times New Roman" w:cs="Times New Roman"/>
          <w:sz w:val="24"/>
          <w:szCs w:val="24"/>
        </w:rPr>
        <w:t xml:space="preserve"> пород, по предварительной оценке пригодных для использования в строительстве автомобильных дорог. В настоящее время не разрабатывается. Выявлено Сок-</w:t>
      </w:r>
      <w:proofErr w:type="spellStart"/>
      <w:r w:rsidRPr="00B06469">
        <w:rPr>
          <w:rFonts w:ascii="Times New Roman" w:hAnsi="Times New Roman" w:cs="Times New Roman"/>
          <w:sz w:val="24"/>
          <w:szCs w:val="24"/>
        </w:rPr>
        <w:t>Поляевское</w:t>
      </w:r>
      <w:proofErr w:type="spellEnd"/>
      <w:r w:rsidRPr="00B06469">
        <w:rPr>
          <w:rFonts w:ascii="Times New Roman" w:hAnsi="Times New Roman" w:cs="Times New Roman"/>
          <w:sz w:val="24"/>
          <w:szCs w:val="24"/>
        </w:rPr>
        <w:t xml:space="preserve"> месторождение гипса, которое в настоящее время также не разрабатывается.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районе есть перспективы нахождения месторождений: глины кирпичной, глины керамзитовой, песков строительных.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Известняки и доломиты здесь представлены в основном слабыми и средней крепости разностями, с прослоями глин и интереса в качестве строительного камня не представляют.</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Таким образом, в настоящее время в районе используются лишь углеводородные, строительные и сельскохозяйственные ресурсы. От использования углеводородных ресурсов район большой выгоды не получает, поскольку эксплуатация нефтяных месторождений ведется предприятиями, зарегистрированными в соседних районах. Использование строительного сырья и других видов минеральных ресурсов ведется не в полной мере из-за отсутствия финансовых ресурсов.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В районе расположены два геологических памятника природы - гора </w:t>
      </w:r>
      <w:proofErr w:type="spellStart"/>
      <w:r w:rsidRPr="00B06469">
        <w:rPr>
          <w:rFonts w:ascii="Times New Roman" w:hAnsi="Times New Roman" w:cs="Times New Roman"/>
          <w:sz w:val="24"/>
          <w:szCs w:val="24"/>
        </w:rPr>
        <w:t>Куратас-Чагы</w:t>
      </w:r>
      <w:proofErr w:type="spellEnd"/>
      <w:r w:rsidRPr="00B06469">
        <w:rPr>
          <w:rFonts w:ascii="Times New Roman" w:hAnsi="Times New Roman" w:cs="Times New Roman"/>
          <w:sz w:val="24"/>
          <w:szCs w:val="24"/>
        </w:rPr>
        <w:t xml:space="preserve"> и заброшенный карьер у села Новое </w:t>
      </w:r>
      <w:proofErr w:type="spellStart"/>
      <w:r w:rsidRPr="00B06469">
        <w:rPr>
          <w:rFonts w:ascii="Times New Roman" w:hAnsi="Times New Roman" w:cs="Times New Roman"/>
          <w:sz w:val="24"/>
          <w:szCs w:val="24"/>
        </w:rPr>
        <w:t>Усманово</w:t>
      </w:r>
      <w:proofErr w:type="spellEnd"/>
      <w:r w:rsidRPr="00B06469">
        <w:rPr>
          <w:rFonts w:ascii="Times New Roman" w:hAnsi="Times New Roman" w:cs="Times New Roman"/>
          <w:sz w:val="24"/>
          <w:szCs w:val="24"/>
        </w:rPr>
        <w:t>.</w:t>
      </w:r>
    </w:p>
    <w:p w:rsidR="00D14EDE" w:rsidRPr="00B06469" w:rsidRDefault="00D14EDE" w:rsidP="001F0139">
      <w:pPr>
        <w:spacing w:after="0" w:line="360" w:lineRule="auto"/>
        <w:ind w:firstLine="709"/>
        <w:jc w:val="both"/>
        <w:rPr>
          <w:rFonts w:ascii="Times New Roman" w:hAnsi="Times New Roman" w:cs="Times New Roman"/>
          <w:bCs/>
          <w:sz w:val="24"/>
          <w:szCs w:val="24"/>
        </w:rPr>
      </w:pPr>
      <w:r w:rsidRPr="00B06469">
        <w:rPr>
          <w:rFonts w:ascii="Times New Roman" w:eastAsia="Times New Roman" w:hAnsi="Times New Roman" w:cs="Times New Roman"/>
          <w:b/>
          <w:i/>
          <w:color w:val="365F91"/>
          <w:sz w:val="24"/>
          <w:szCs w:val="24"/>
          <w:lang w:eastAsia="ru-RU"/>
        </w:rPr>
        <w:t>Экология.</w:t>
      </w:r>
      <w:r w:rsidRPr="00B06469">
        <w:rPr>
          <w:rFonts w:ascii="Times New Roman" w:hAnsi="Times New Roman" w:cs="Times New Roman"/>
          <w:b/>
          <w:i/>
          <w:color w:val="365F91"/>
          <w:sz w:val="24"/>
          <w:szCs w:val="24"/>
        </w:rPr>
        <w:t xml:space="preserve"> </w:t>
      </w:r>
      <w:r w:rsidRPr="00B06469">
        <w:rPr>
          <w:rFonts w:ascii="Times New Roman" w:eastAsia="Times New Roman" w:hAnsi="Times New Roman" w:cs="Times New Roman"/>
          <w:sz w:val="24"/>
          <w:szCs w:val="24"/>
        </w:rPr>
        <w:t xml:space="preserve">Экологическую обстановку в муниципальном районе можно охарактеризовать как хорошую, сопровождаемую средним уровнем загрязнения атмосферного воздуха. Однако, снижаются текущие затраты на охрану окружающей среды, 17251 тыс. руб. </w:t>
      </w:r>
      <w:r w:rsidRPr="00B06469">
        <w:rPr>
          <w:rFonts w:ascii="Times New Roman" w:hAnsi="Times New Roman" w:cs="Times New Roman"/>
          <w:bCs/>
          <w:sz w:val="24"/>
          <w:szCs w:val="24"/>
        </w:rPr>
        <w:t>в 2015 году, 12169 тыс. руб. в 2016 году, 11989 тыс. руб. в 2018 году, что составляет 69% от уровня 2015 года.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Основными источниками загрязнения атмосферы на территории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являются стационарные источники выбросов от технологических участков производственных объектов, дымовые трубы котельных и автомобиль</w:t>
      </w:r>
      <w:bookmarkStart w:id="8" w:name="OCRUncertain207"/>
      <w:bookmarkEnd w:id="8"/>
      <w:r w:rsidRPr="00B06469">
        <w:rPr>
          <w:rFonts w:ascii="Times New Roman" w:hAnsi="Times New Roman" w:cs="Times New Roman"/>
          <w:sz w:val="24"/>
          <w:szCs w:val="24"/>
        </w:rPr>
        <w:t>ный транспорт.</w:t>
      </w:r>
    </w:p>
    <w:p w:rsidR="00D14EDE" w:rsidRPr="00B06469" w:rsidRDefault="00D14EDE" w:rsidP="001F0139">
      <w:pPr>
        <w:spacing w:after="0" w:line="360" w:lineRule="auto"/>
        <w:ind w:firstLine="709"/>
        <w:jc w:val="both"/>
        <w:rPr>
          <w:rFonts w:ascii="Times New Roman" w:hAnsi="Times New Roman" w:cs="Times New Roman"/>
          <w:sz w:val="24"/>
          <w:szCs w:val="24"/>
        </w:rPr>
      </w:pPr>
      <w:proofErr w:type="gramStart"/>
      <w:r w:rsidRPr="00B06469">
        <w:rPr>
          <w:rFonts w:ascii="Times New Roman" w:hAnsi="Times New Roman" w:cs="Times New Roman"/>
          <w:sz w:val="24"/>
          <w:szCs w:val="24"/>
        </w:rPr>
        <w:t xml:space="preserve">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 на 2016 год выделяют 7 стационарных источников, имеющих выбросы загрязняющих веществ в атмосферу, 10 и более тонн в год, а также с объемом разрешенного выброса от 5 до 10 тонн в год включительно при наличии в составе выбросов загрязняющих веществ 1 и (или) 2 класса опасности (рис. 1.3.1). </w:t>
      </w:r>
      <w:proofErr w:type="gramEnd"/>
    </w:p>
    <w:p w:rsidR="00D14EDE" w:rsidRPr="00B06469" w:rsidRDefault="00B06469"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rPr>
        <w:pict>
          <v:rect id="Rectangle 48" o:spid="_x0000_s1026" style="position:absolute;left:0;text-align:left;margin-left:78.5pt;margin-top:-.35pt;width:338.1pt;height:42.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" fillcolor="#365f91" strokecolor="#365f91">
            <v:textbox style="mso-next-textbox:#Rectangle 48">
              <w:txbxContent>
                <w:p w:rsidR="00C32237" w:rsidRPr="008B54AA" w:rsidRDefault="00C32237" w:rsidP="00D14EDE">
                  <w:pPr>
                    <w:spacing w:after="0" w:line="240" w:lineRule="auto"/>
                    <w:jc w:val="center"/>
                  </w:pPr>
                  <w:r>
                    <w:rPr>
                      <w:rFonts w:ascii="Times New Roman" w:hAnsi="Times New Roman"/>
                      <w:b/>
                      <w:bCs/>
                      <w:color w:val="FFFFFF"/>
                      <w:sz w:val="20"/>
                      <w:szCs w:val="20"/>
                    </w:rPr>
                    <w:t xml:space="preserve">В </w:t>
                  </w:r>
                  <w:proofErr w:type="spellStart"/>
                  <w:r>
                    <w:rPr>
                      <w:rFonts w:ascii="Times New Roman" w:hAnsi="Times New Roman"/>
                      <w:b/>
                      <w:bCs/>
                      <w:color w:val="FFFFFF"/>
                      <w:sz w:val="20"/>
                      <w:szCs w:val="20"/>
                    </w:rPr>
                    <w:t>Камышлинском</w:t>
                  </w:r>
                  <w:proofErr w:type="spellEnd"/>
                  <w:r>
                    <w:rPr>
                      <w:rFonts w:ascii="Times New Roman" w:hAnsi="Times New Roman"/>
                      <w:b/>
                      <w:bCs/>
                      <w:color w:val="FFFFFF"/>
                      <w:sz w:val="20"/>
                      <w:szCs w:val="20"/>
                    </w:rPr>
                    <w:t xml:space="preserve"> районе число объектов, имеющих выбросы загрязняющих веществ в атмосферу от стационарных источников, с 2014 года имеет тенденцию к росту</w:t>
                  </w:r>
                </w:p>
              </w:txbxContent>
            </v:textbox>
          </v:rect>
        </w:pict>
      </w:r>
      <w:r w:rsidR="00D14EDE" w:rsidRPr="00B06469">
        <w:rPr>
          <w:rFonts w:ascii="Times New Roman" w:hAnsi="Times New Roman" w:cs="Times New Roman"/>
          <w:noProof/>
          <w:sz w:val="24"/>
          <w:szCs w:val="24"/>
          <w:lang w:eastAsia="ru-RU"/>
        </w:rPr>
        <w:drawing>
          <wp:inline distT="0" distB="0" distL="0" distR="0" wp14:anchorId="6B38F6B0" wp14:editId="035CA9FD">
            <wp:extent cx="4293491" cy="2335530"/>
            <wp:effectExtent l="6095" t="6096" r="4444" b="5334"/>
            <wp:docPr id="172"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14EDE" w:rsidRPr="00B06469" w:rsidRDefault="00D14EDE"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2017. Статистический сборник. Здесь и далее аналитика ФГБОУ ВО «СГЭУ»</w:t>
      </w:r>
    </w:p>
    <w:p w:rsidR="00D14EDE" w:rsidRPr="00B06469" w:rsidRDefault="00D14EDE"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 xml:space="preserve">Рисунок 1.3.1 – Число объектов </w:t>
      </w:r>
      <w:proofErr w:type="spellStart"/>
      <w:r w:rsidRPr="00B06469">
        <w:rPr>
          <w:rFonts w:ascii="Times New Roman" w:eastAsia="Times New Roman" w:hAnsi="Times New Roman" w:cs="Times New Roman"/>
          <w:b/>
          <w:sz w:val="24"/>
          <w:szCs w:val="24"/>
        </w:rPr>
        <w:t>Камышлинского</w:t>
      </w:r>
      <w:proofErr w:type="spellEnd"/>
      <w:r w:rsidRPr="00B06469">
        <w:rPr>
          <w:rFonts w:ascii="Times New Roman" w:eastAsia="Times New Roman" w:hAnsi="Times New Roman" w:cs="Times New Roman"/>
          <w:b/>
          <w:sz w:val="24"/>
          <w:szCs w:val="24"/>
        </w:rPr>
        <w:t xml:space="preserve"> района, имеющих выбросы загрязняющих веществ в атмосферу от стационарных источников, единиц</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Химический состав выбросов от </w:t>
      </w:r>
      <w:proofErr w:type="spellStart"/>
      <w:r w:rsidRPr="00B06469">
        <w:rPr>
          <w:rFonts w:ascii="Times New Roman" w:hAnsi="Times New Roman" w:cs="Times New Roman"/>
          <w:sz w:val="24"/>
          <w:szCs w:val="24"/>
        </w:rPr>
        <w:t>промобъектов</w:t>
      </w:r>
      <w:proofErr w:type="spellEnd"/>
      <w:r w:rsidRPr="00B06469">
        <w:rPr>
          <w:rFonts w:ascii="Times New Roman" w:hAnsi="Times New Roman" w:cs="Times New Roman"/>
          <w:sz w:val="24"/>
          <w:szCs w:val="24"/>
        </w:rPr>
        <w:t xml:space="preserve">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представлен преимущественно следующими веществами: углеводороды, сероводород, диоксид серы, диоксид азота, оксид углерода, </w:t>
      </w:r>
      <w:proofErr w:type="spellStart"/>
      <w:r w:rsidRPr="00B06469">
        <w:rPr>
          <w:rFonts w:ascii="Times New Roman" w:hAnsi="Times New Roman" w:cs="Times New Roman"/>
          <w:sz w:val="24"/>
          <w:szCs w:val="24"/>
        </w:rPr>
        <w:t>бен</w:t>
      </w:r>
      <w:proofErr w:type="gramStart"/>
      <w:r w:rsidRPr="00B06469">
        <w:rPr>
          <w:rFonts w:ascii="Times New Roman" w:hAnsi="Times New Roman" w:cs="Times New Roman"/>
          <w:sz w:val="24"/>
          <w:szCs w:val="24"/>
        </w:rPr>
        <w:t>з</w:t>
      </w:r>
      <w:proofErr w:type="spellEnd"/>
      <w:r w:rsidRPr="00B06469">
        <w:rPr>
          <w:rFonts w:ascii="Times New Roman" w:hAnsi="Times New Roman" w:cs="Times New Roman"/>
          <w:sz w:val="24"/>
          <w:szCs w:val="24"/>
        </w:rPr>
        <w:t>(</w:t>
      </w:r>
      <w:proofErr w:type="gramEnd"/>
      <w:r w:rsidRPr="00B06469">
        <w:rPr>
          <w:rFonts w:ascii="Times New Roman" w:hAnsi="Times New Roman" w:cs="Times New Roman"/>
          <w:sz w:val="24"/>
          <w:szCs w:val="24"/>
        </w:rPr>
        <w:t>а)</w:t>
      </w:r>
      <w:proofErr w:type="spellStart"/>
      <w:r w:rsidRPr="00B06469">
        <w:rPr>
          <w:rFonts w:ascii="Times New Roman" w:hAnsi="Times New Roman" w:cs="Times New Roman"/>
          <w:sz w:val="24"/>
          <w:szCs w:val="24"/>
        </w:rPr>
        <w:t>пирен</w:t>
      </w:r>
      <w:proofErr w:type="spellEnd"/>
      <w:r w:rsidRPr="00B06469">
        <w:rPr>
          <w:rFonts w:ascii="Times New Roman" w:hAnsi="Times New Roman" w:cs="Times New Roman"/>
          <w:sz w:val="24"/>
          <w:szCs w:val="24"/>
        </w:rPr>
        <w:t>, бензин нефтяной, сажа, пыль древесная.</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По данным 2016 года количество </w:t>
      </w:r>
      <w:proofErr w:type="gramStart"/>
      <w:r w:rsidRPr="00B06469">
        <w:rPr>
          <w:rFonts w:ascii="Times New Roman" w:hAnsi="Times New Roman" w:cs="Times New Roman"/>
          <w:sz w:val="24"/>
          <w:szCs w:val="24"/>
        </w:rPr>
        <w:t>загрязняющих веществ, отходящих от всех источников составляет</w:t>
      </w:r>
      <w:proofErr w:type="gramEnd"/>
      <w:r w:rsidRPr="00B06469">
        <w:rPr>
          <w:rFonts w:ascii="Times New Roman" w:hAnsi="Times New Roman" w:cs="Times New Roman"/>
          <w:sz w:val="24"/>
          <w:szCs w:val="24"/>
        </w:rPr>
        <w:t xml:space="preserve"> 2,2 тыс. тонн (по экологическому паспорту территории 2013 года - без очистки). При этом до 2015 года наблюдалась динамика снижения выбросов по сравнению с 2009-2010 годами (рис. 1.3.2).</w:t>
      </w:r>
    </w:p>
    <w:p w:rsidR="00D14EDE" w:rsidRPr="00B06469" w:rsidRDefault="00B06469" w:rsidP="001F0139">
      <w:pPr>
        <w:spacing w:after="0" w:line="360" w:lineRule="auto"/>
        <w:ind w:firstLine="567"/>
        <w:jc w:val="center"/>
        <w:rPr>
          <w:rFonts w:ascii="Times New Roman" w:hAnsi="Times New Roman" w:cs="Times New Roman"/>
          <w:sz w:val="24"/>
          <w:szCs w:val="24"/>
          <w:lang w:val="en-US"/>
        </w:rPr>
      </w:pPr>
      <w:r w:rsidRPr="00B06469">
        <w:rPr>
          <w:rFonts w:ascii="Times New Roman" w:hAnsi="Times New Roman" w:cs="Times New Roman"/>
          <w:noProof/>
          <w:sz w:val="24"/>
          <w:szCs w:val="24"/>
        </w:rPr>
        <w:lastRenderedPageBreak/>
        <w:pict>
          <v:rect id="_x0000_s1027" style="position:absolute;left:0;text-align:left;margin-left:78.5pt;margin-top:.15pt;width:338.1pt;height:32.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" fillcolor="#365f91" strokecolor="#365f91">
            <v:textbox style="mso-next-textbox:#_x0000_s1027">
              <w:txbxContent>
                <w:p w:rsidR="00C32237" w:rsidRPr="00053AE0" w:rsidRDefault="00C32237" w:rsidP="00D14EDE">
                  <w:pPr>
                    <w:spacing w:after="0" w:line="240" w:lineRule="auto"/>
                    <w:jc w:val="center"/>
                    <w:rPr>
                      <w:rFonts w:ascii="Times New Roman Полужирный" w:hAnsi="Times New Roman Полужирный"/>
                      <w:b/>
                      <w:bCs/>
                      <w:color w:val="FFFFFF"/>
                      <w:sz w:val="20"/>
                      <w:szCs w:val="20"/>
                    </w:rPr>
                  </w:pPr>
                  <w:r w:rsidRPr="00425A32">
                    <w:rPr>
                      <w:rFonts w:ascii="Times New Roman Полужирный" w:hAnsi="Times New Roman Полужирный"/>
                      <w:b/>
                      <w:bCs/>
                      <w:color w:val="FFFFFF"/>
                      <w:sz w:val="20"/>
                      <w:szCs w:val="20"/>
                    </w:rPr>
                    <w:t xml:space="preserve">В </w:t>
                  </w:r>
                  <w:proofErr w:type="spellStart"/>
                  <w:r w:rsidRPr="00425A32">
                    <w:rPr>
                      <w:rFonts w:ascii="Times New Roman Полужирный" w:hAnsi="Times New Roman Полужирный"/>
                      <w:b/>
                      <w:bCs/>
                      <w:color w:val="FFFFFF"/>
                      <w:sz w:val="20"/>
                      <w:szCs w:val="20"/>
                    </w:rPr>
                    <w:t>Камышлинском</w:t>
                  </w:r>
                  <w:proofErr w:type="spellEnd"/>
                  <w:r w:rsidRPr="00425A32">
                    <w:rPr>
                      <w:rFonts w:ascii="Times New Roman Полужирный" w:hAnsi="Times New Roman Полужирный"/>
                      <w:b/>
                      <w:bCs/>
                      <w:color w:val="FFFFFF"/>
                      <w:sz w:val="20"/>
                      <w:szCs w:val="20"/>
                    </w:rPr>
                    <w:t xml:space="preserve"> районе выбросы загрязняющих веществ в атмосферу </w:t>
                  </w:r>
                  <w:r w:rsidRPr="00053AE0">
                    <w:rPr>
                      <w:rFonts w:ascii="Times New Roman Полужирный" w:hAnsi="Times New Roman Полужирный"/>
                      <w:b/>
                      <w:bCs/>
                      <w:color w:val="FFFFFF"/>
                      <w:sz w:val="20"/>
                      <w:szCs w:val="20"/>
                    </w:rPr>
                    <w:t>в последние годы нестабильны</w:t>
                  </w:r>
                </w:p>
              </w:txbxContent>
            </v:textbox>
          </v:rect>
        </w:pict>
      </w:r>
      <w:r w:rsidR="00D14EDE" w:rsidRPr="00B06469">
        <w:rPr>
          <w:rFonts w:ascii="Times New Roman" w:hAnsi="Times New Roman" w:cs="Times New Roman"/>
          <w:noProof/>
          <w:sz w:val="24"/>
          <w:szCs w:val="24"/>
          <w:lang w:eastAsia="ru-RU"/>
        </w:rPr>
        <w:drawing>
          <wp:inline distT="0" distB="0" distL="0" distR="0" wp14:anchorId="14F1FF8B" wp14:editId="22E5268E">
            <wp:extent cx="4297680" cy="2334895"/>
            <wp:effectExtent l="0" t="0" r="0" b="0"/>
            <wp:docPr id="176"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14EDE" w:rsidRPr="00B06469" w:rsidRDefault="00D14EDE" w:rsidP="001F0139">
      <w:pPr>
        <w:spacing w:after="0" w:line="240" w:lineRule="auto"/>
        <w:jc w:val="center"/>
        <w:rPr>
          <w:rFonts w:ascii="Times New Roman" w:hAnsi="Times New Roman" w:cs="Times New Roman"/>
          <w:noProof/>
          <w:sz w:val="24"/>
          <w:szCs w:val="24"/>
          <w:lang w:eastAsia="ru-RU"/>
        </w:rPr>
      </w:pPr>
      <w:r w:rsidRPr="00B06469">
        <w:rPr>
          <w:rFonts w:ascii="Times New Roman" w:eastAsia="Times New Roman" w:hAnsi="Times New Roman" w:cs="Times New Roman"/>
          <w:b/>
          <w:sz w:val="24"/>
          <w:szCs w:val="24"/>
        </w:rPr>
        <w:t xml:space="preserve">Рисунок 1.3.2 – Выбросы загрязняющих веществ в атмосферу в </w:t>
      </w:r>
      <w:proofErr w:type="spellStart"/>
      <w:r w:rsidRPr="00B06469">
        <w:rPr>
          <w:rFonts w:ascii="Times New Roman" w:eastAsia="Times New Roman" w:hAnsi="Times New Roman" w:cs="Times New Roman"/>
          <w:b/>
          <w:sz w:val="24"/>
          <w:szCs w:val="24"/>
        </w:rPr>
        <w:t>Камышлинском</w:t>
      </w:r>
      <w:proofErr w:type="spellEnd"/>
      <w:r w:rsidRPr="00B06469">
        <w:rPr>
          <w:rFonts w:ascii="Times New Roman" w:eastAsia="Times New Roman" w:hAnsi="Times New Roman" w:cs="Times New Roman"/>
          <w:b/>
          <w:sz w:val="24"/>
          <w:szCs w:val="24"/>
        </w:rPr>
        <w:t xml:space="preserve"> муниципальном районе 2006-2016 гг., тыс. тонн</w:t>
      </w:r>
    </w:p>
    <w:p w:rsidR="00D14EDE" w:rsidRPr="00B06469" w:rsidRDefault="00D14EDE" w:rsidP="001F0139">
      <w:pPr>
        <w:spacing w:after="0" w:line="360" w:lineRule="auto"/>
        <w:ind w:firstLine="709"/>
        <w:jc w:val="both"/>
        <w:rPr>
          <w:rFonts w:ascii="Times New Roman" w:hAnsi="Times New Roman" w:cs="Times New Roman"/>
          <w:sz w:val="24"/>
          <w:szCs w:val="24"/>
        </w:rPr>
      </w:pP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Анализ данных статистической отчетности прошлых лет по производственным объектам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показал, что наибольший вклад в загрязнение атмосферного воздуха вносят предприятия нефтедобычи: </w:t>
      </w:r>
      <w:proofErr w:type="gramStart"/>
      <w:r w:rsidRPr="00B06469">
        <w:rPr>
          <w:rFonts w:ascii="Times New Roman" w:hAnsi="Times New Roman" w:cs="Times New Roman"/>
          <w:sz w:val="24"/>
          <w:szCs w:val="24"/>
        </w:rPr>
        <w:t>ОАО «</w:t>
      </w:r>
      <w:proofErr w:type="spellStart"/>
      <w:r w:rsidRPr="00B06469">
        <w:rPr>
          <w:rFonts w:ascii="Times New Roman" w:hAnsi="Times New Roman" w:cs="Times New Roman"/>
          <w:sz w:val="24"/>
          <w:szCs w:val="24"/>
        </w:rPr>
        <w:t>Самараинвестнефть</w:t>
      </w:r>
      <w:proofErr w:type="spellEnd"/>
      <w:r w:rsidRPr="00B06469">
        <w:rPr>
          <w:rFonts w:ascii="Times New Roman" w:hAnsi="Times New Roman" w:cs="Times New Roman"/>
          <w:sz w:val="24"/>
          <w:szCs w:val="24"/>
        </w:rPr>
        <w:t>» и ООО «</w:t>
      </w:r>
      <w:proofErr w:type="spellStart"/>
      <w:r w:rsidRPr="00B06469">
        <w:rPr>
          <w:rFonts w:ascii="Times New Roman" w:hAnsi="Times New Roman" w:cs="Times New Roman"/>
          <w:sz w:val="24"/>
          <w:szCs w:val="24"/>
        </w:rPr>
        <w:t>Байтекс</w:t>
      </w:r>
      <w:proofErr w:type="spellEnd"/>
      <w:r w:rsidRPr="00B06469">
        <w:rPr>
          <w:rFonts w:ascii="Times New Roman" w:hAnsi="Times New Roman" w:cs="Times New Roman"/>
          <w:sz w:val="24"/>
          <w:szCs w:val="24"/>
        </w:rPr>
        <w:t>» (основные загрязняющие вещества - диоксид серы и углеводороды (летучие органические соединения).</w:t>
      </w:r>
      <w:proofErr w:type="gramEnd"/>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Теплоснабжение существующей жилой застройки в населенных пунктах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решается от автономных (встроенных, пристроенных модулей) котельных на газовом топливе. Основными загрязняющими веществами, поступающими в атмосферу от источников теплоснабжения, являются диоксид азота и окись углерода. Наиболее токсичным из названных ингредиентов является диоксид азота, который относится к третьему классу опасности (см. ГН 2.1.6.1983-05 «Предельно допустимые концентрации (ПДК) загрязняющих веществ в атмосферном воздухе населенных мест»).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Загрязнение атмосферного воздуха от автотранспорта в наибольшей степени проявляется в зоне влияния федеральной автодороги «Москва-Челябинск-Урал» (М5)». В выхлопных газах автомобилей содержится более 200 различных соединений - продуктов полного и неполного сгорания топлива, основные из них: окислы азота, сернистый ангидрид, окись углерода, взвешенные вещества, сажа, соединения свинца, углеводороды различных групп (в основном альдегиды, полициклические ароматические углеводороды), наиболее токсичным среди которых является </w:t>
      </w:r>
      <w:proofErr w:type="spellStart"/>
      <w:r w:rsidRPr="00B06469">
        <w:rPr>
          <w:rFonts w:ascii="Times New Roman" w:hAnsi="Times New Roman" w:cs="Times New Roman"/>
          <w:sz w:val="24"/>
          <w:szCs w:val="24"/>
        </w:rPr>
        <w:t>бен</w:t>
      </w:r>
      <w:proofErr w:type="gramStart"/>
      <w:r w:rsidRPr="00B06469">
        <w:rPr>
          <w:rFonts w:ascii="Times New Roman" w:hAnsi="Times New Roman" w:cs="Times New Roman"/>
          <w:sz w:val="24"/>
          <w:szCs w:val="24"/>
        </w:rPr>
        <w:t>з</w:t>
      </w:r>
      <w:proofErr w:type="spellEnd"/>
      <w:r w:rsidRPr="00B06469">
        <w:rPr>
          <w:rFonts w:ascii="Times New Roman" w:hAnsi="Times New Roman" w:cs="Times New Roman"/>
          <w:sz w:val="24"/>
          <w:szCs w:val="24"/>
        </w:rPr>
        <w:t>(</w:t>
      </w:r>
      <w:proofErr w:type="gramEnd"/>
      <w:r w:rsidRPr="00B06469">
        <w:rPr>
          <w:rFonts w:ascii="Times New Roman" w:hAnsi="Times New Roman" w:cs="Times New Roman"/>
          <w:sz w:val="24"/>
          <w:szCs w:val="24"/>
        </w:rPr>
        <w:t>а)</w:t>
      </w:r>
      <w:proofErr w:type="spellStart"/>
      <w:r w:rsidRPr="00B06469">
        <w:rPr>
          <w:rFonts w:ascii="Times New Roman" w:hAnsi="Times New Roman" w:cs="Times New Roman"/>
          <w:sz w:val="24"/>
          <w:szCs w:val="24"/>
        </w:rPr>
        <w:t>пирен</w:t>
      </w:r>
      <w:proofErr w:type="spellEnd"/>
      <w:r w:rsidRPr="00B06469">
        <w:rPr>
          <w:rFonts w:ascii="Times New Roman" w:hAnsi="Times New Roman" w:cs="Times New Roman"/>
          <w:sz w:val="24"/>
          <w:szCs w:val="24"/>
        </w:rPr>
        <w:t xml:space="preserve"> и др.</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Кроме загрязнения окружающей среды токсичными выхлопными газами, автомобиль добавляет не менее опасные для здоровья человека резиновую пыль и летучие вещества - продукты износа шин. Мелкая резиновая пыль может очень долгое время сохраняться на поверхности дорожного покрытия и на почве, поднимаясь в сухую погоду в воздух и попадая в органы дыхания, где она может оседать и вызвать аллергическую реакцию.</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В виду того, что не все внутриквартальные улицы в населенных пунктах имеют асфальтовое покрытие, может отмечаться повышенный уровень запыленности и загрязненности атмосферного воздуха. Для снижения негативного воздействия автотранспорта на окружающую среду необходимо предусмотреть придорожное защитное озеленение.</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Промышленные предприятия и транспорт, загрязняя атмосферный воздух, одновременно оказывают негативное воздействие на почвы, поверхностные и подземные воды, растительность и животный мир и, как следствие – на здоровье человека.</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 xml:space="preserve">Основными видами водопользования в </w:t>
      </w:r>
      <w:proofErr w:type="spellStart"/>
      <w:r w:rsidRPr="00B06469">
        <w:rPr>
          <w:rFonts w:ascii="Times New Roman" w:eastAsia="Times New Roman" w:hAnsi="Times New Roman" w:cs="Times New Roman"/>
          <w:sz w:val="24"/>
          <w:szCs w:val="24"/>
          <w:lang w:eastAsia="ru-RU"/>
        </w:rPr>
        <w:t>Камышлинском</w:t>
      </w:r>
      <w:proofErr w:type="spellEnd"/>
      <w:r w:rsidRPr="00B06469">
        <w:rPr>
          <w:rFonts w:ascii="Times New Roman" w:eastAsia="Times New Roman" w:hAnsi="Times New Roman" w:cs="Times New Roman"/>
          <w:sz w:val="24"/>
          <w:szCs w:val="24"/>
          <w:lang w:eastAsia="ru-RU"/>
        </w:rPr>
        <w:t xml:space="preserve"> районе являются: рекреация, рыболовство, полив </w:t>
      </w:r>
      <w:proofErr w:type="spellStart"/>
      <w:r w:rsidRPr="00B06469">
        <w:rPr>
          <w:rFonts w:ascii="Times New Roman" w:eastAsia="Times New Roman" w:hAnsi="Times New Roman" w:cs="Times New Roman"/>
          <w:sz w:val="24"/>
          <w:szCs w:val="24"/>
          <w:lang w:eastAsia="ru-RU"/>
        </w:rPr>
        <w:t>о</w:t>
      </w:r>
      <w:r w:rsidR="001F0139" w:rsidRPr="00B06469">
        <w:rPr>
          <w:rFonts w:ascii="Times New Roman" w:eastAsia="Times New Roman" w:hAnsi="Times New Roman" w:cs="Times New Roman"/>
          <w:sz w:val="24"/>
          <w:szCs w:val="24"/>
          <w:lang w:eastAsia="ru-RU"/>
        </w:rPr>
        <w:t>район</w:t>
      </w:r>
      <w:r w:rsidRPr="00B06469">
        <w:rPr>
          <w:rFonts w:ascii="Times New Roman" w:eastAsia="Times New Roman" w:hAnsi="Times New Roman" w:cs="Times New Roman"/>
          <w:sz w:val="24"/>
          <w:szCs w:val="24"/>
          <w:lang w:eastAsia="ru-RU"/>
        </w:rPr>
        <w:t>ов</w:t>
      </w:r>
      <w:proofErr w:type="spellEnd"/>
      <w:r w:rsidRPr="00B06469">
        <w:rPr>
          <w:rFonts w:ascii="Times New Roman" w:eastAsia="Times New Roman" w:hAnsi="Times New Roman" w:cs="Times New Roman"/>
          <w:sz w:val="24"/>
          <w:szCs w:val="24"/>
          <w:lang w:eastAsia="ru-RU"/>
        </w:rPr>
        <w:t xml:space="preserve"> и отведение различных категорий сточных вод. Главными причинами загрязнения поверхностных водных объектов в границах территории района является отсутствие системы централизованной канализации хозяйственно-бытовых сточных вод и отсутствие централизованной системы отвода ливневых и талых вод. Смыв загрязняющих веществ с территорий жилых и промышленных зон происходит в пруды, овраги, копани, - имеющие гидравлическую связь с реками. </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 xml:space="preserve">В границах </w:t>
      </w:r>
      <w:proofErr w:type="spellStart"/>
      <w:r w:rsidRPr="00B06469">
        <w:rPr>
          <w:rFonts w:ascii="Times New Roman" w:eastAsia="Times New Roman" w:hAnsi="Times New Roman" w:cs="Times New Roman"/>
          <w:sz w:val="24"/>
          <w:szCs w:val="24"/>
          <w:lang w:eastAsia="ru-RU"/>
        </w:rPr>
        <w:t>Камышлинского</w:t>
      </w:r>
      <w:proofErr w:type="spellEnd"/>
      <w:r w:rsidRPr="00B06469">
        <w:rPr>
          <w:rFonts w:ascii="Times New Roman" w:eastAsia="Times New Roman" w:hAnsi="Times New Roman" w:cs="Times New Roman"/>
          <w:sz w:val="24"/>
          <w:szCs w:val="24"/>
          <w:lang w:eastAsia="ru-RU"/>
        </w:rPr>
        <w:t xml:space="preserve"> района КОС имеются только в села Камышла.</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Состояние действующих КОС неудовлетворительное, степень очистки низкая, загруженность – 100 %, необходимо строительство новых очистных сооружений.</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 xml:space="preserve">Смыв загрязняющих веществ с территорий жилых зон и производственных площадок промышленных предприятий происходит в основном в систему водосбора рек Сок, Камышла и </w:t>
      </w:r>
      <w:proofErr w:type="spellStart"/>
      <w:r w:rsidRPr="00B06469">
        <w:rPr>
          <w:rFonts w:ascii="Times New Roman" w:eastAsia="Times New Roman" w:hAnsi="Times New Roman" w:cs="Times New Roman"/>
          <w:sz w:val="24"/>
          <w:szCs w:val="24"/>
          <w:lang w:eastAsia="ru-RU"/>
        </w:rPr>
        <w:t>Байтуган</w:t>
      </w:r>
      <w:proofErr w:type="spellEnd"/>
      <w:r w:rsidRPr="00B06469">
        <w:rPr>
          <w:rFonts w:ascii="Times New Roman" w:eastAsia="Times New Roman" w:hAnsi="Times New Roman" w:cs="Times New Roman"/>
          <w:sz w:val="24"/>
          <w:szCs w:val="24"/>
          <w:lang w:eastAsia="ru-RU"/>
        </w:rPr>
        <w:t>.</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 xml:space="preserve">Согласно экологическому паспорту 2013 года, характерными загрязняющими веществами являлись сульфаты, ХПК, </w:t>
      </w:r>
      <w:proofErr w:type="spellStart"/>
      <w:r w:rsidRPr="00B06469">
        <w:rPr>
          <w:rFonts w:ascii="Times New Roman" w:eastAsia="Times New Roman" w:hAnsi="Times New Roman" w:cs="Times New Roman"/>
          <w:sz w:val="24"/>
          <w:szCs w:val="24"/>
          <w:lang w:eastAsia="ru-RU"/>
        </w:rPr>
        <w:t>легкоокисляемые</w:t>
      </w:r>
      <w:proofErr w:type="spellEnd"/>
      <w:r w:rsidRPr="00B06469">
        <w:rPr>
          <w:rFonts w:ascii="Times New Roman" w:eastAsia="Times New Roman" w:hAnsi="Times New Roman" w:cs="Times New Roman"/>
          <w:sz w:val="24"/>
          <w:szCs w:val="24"/>
          <w:lang w:eastAsia="ru-RU"/>
        </w:rPr>
        <w:t xml:space="preserve"> органические вещества, соединения меди и фенолы. Наблюдался рост среднегодовой концентрации соединений меди, уменьшение загрязнение загрязнения воды соединениями марганца, среднегодовое содержание </w:t>
      </w:r>
      <w:proofErr w:type="spellStart"/>
      <w:r w:rsidRPr="00B06469">
        <w:rPr>
          <w:rFonts w:ascii="Times New Roman" w:eastAsia="Times New Roman" w:hAnsi="Times New Roman" w:cs="Times New Roman"/>
          <w:sz w:val="24"/>
          <w:szCs w:val="24"/>
          <w:lang w:eastAsia="ru-RU"/>
        </w:rPr>
        <w:t>трудноокисляемых</w:t>
      </w:r>
      <w:proofErr w:type="spellEnd"/>
      <w:r w:rsidRPr="00B06469">
        <w:rPr>
          <w:rFonts w:ascii="Times New Roman" w:eastAsia="Times New Roman" w:hAnsi="Times New Roman" w:cs="Times New Roman"/>
          <w:sz w:val="24"/>
          <w:szCs w:val="24"/>
          <w:lang w:eastAsia="ru-RU"/>
        </w:rPr>
        <w:t xml:space="preserve"> органических веществ (по ХПК) варьировало в пределах 16-29 мг/л. Среднегодовое содержание хлорорганических пестицидов в обоих створах не превышало условно установленную норму. Максимальное содержание гамма – ГХЦГ превышало норму в 2 раза (2 створ). Минимальное содержание кислорода было 9 мг/л.</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 xml:space="preserve">Река Сок относится к водоему </w:t>
      </w:r>
      <w:proofErr w:type="spellStart"/>
      <w:r w:rsidRPr="00B06469">
        <w:rPr>
          <w:rFonts w:ascii="Times New Roman" w:eastAsia="Times New Roman" w:hAnsi="Times New Roman" w:cs="Times New Roman"/>
          <w:sz w:val="24"/>
          <w:szCs w:val="24"/>
          <w:lang w:eastAsia="ru-RU"/>
        </w:rPr>
        <w:t>рыбохозяйственного</w:t>
      </w:r>
      <w:proofErr w:type="spellEnd"/>
      <w:r w:rsidRPr="00B06469">
        <w:rPr>
          <w:rFonts w:ascii="Times New Roman" w:eastAsia="Times New Roman" w:hAnsi="Times New Roman" w:cs="Times New Roman"/>
          <w:sz w:val="24"/>
          <w:szCs w:val="24"/>
          <w:lang w:eastAsia="ru-RU"/>
        </w:rPr>
        <w:t xml:space="preserve"> значения, вода которого должна быть не ниже II-</w:t>
      </w:r>
      <w:proofErr w:type="spellStart"/>
      <w:r w:rsidRPr="00B06469">
        <w:rPr>
          <w:rFonts w:ascii="Times New Roman" w:eastAsia="Times New Roman" w:hAnsi="Times New Roman" w:cs="Times New Roman"/>
          <w:sz w:val="24"/>
          <w:szCs w:val="24"/>
          <w:lang w:eastAsia="ru-RU"/>
        </w:rPr>
        <w:t>го</w:t>
      </w:r>
      <w:proofErr w:type="spellEnd"/>
      <w:r w:rsidRPr="00B06469">
        <w:rPr>
          <w:rFonts w:ascii="Times New Roman" w:eastAsia="Times New Roman" w:hAnsi="Times New Roman" w:cs="Times New Roman"/>
          <w:sz w:val="24"/>
          <w:szCs w:val="24"/>
          <w:lang w:eastAsia="ru-RU"/>
        </w:rPr>
        <w:t xml:space="preserve"> класса качества. Существующий уровень загрязнения воды р. Сок (</w:t>
      </w:r>
      <w:r w:rsidRPr="00B06469">
        <w:rPr>
          <w:rFonts w:ascii="Times New Roman" w:eastAsia="Times New Roman" w:hAnsi="Times New Roman" w:cs="Times New Roman"/>
          <w:sz w:val="24"/>
          <w:szCs w:val="24"/>
          <w:lang w:val="en-US" w:eastAsia="ru-RU"/>
        </w:rPr>
        <w:t>IV</w:t>
      </w:r>
      <w:proofErr w:type="gramStart"/>
      <w:r w:rsidRPr="00B06469">
        <w:rPr>
          <w:rFonts w:ascii="Times New Roman" w:eastAsia="Times New Roman" w:hAnsi="Times New Roman" w:cs="Times New Roman"/>
          <w:sz w:val="24"/>
          <w:szCs w:val="24"/>
          <w:lang w:eastAsia="ru-RU"/>
        </w:rPr>
        <w:t>а</w:t>
      </w:r>
      <w:proofErr w:type="gramEnd"/>
      <w:r w:rsidRPr="00B06469">
        <w:rPr>
          <w:rFonts w:ascii="Times New Roman" w:eastAsia="Times New Roman" w:hAnsi="Times New Roman" w:cs="Times New Roman"/>
          <w:sz w:val="24"/>
          <w:szCs w:val="24"/>
          <w:lang w:eastAsia="ru-RU"/>
        </w:rPr>
        <w:t>) представляет опасность для состояния ее экосистем, которые в таких условиях неизбежно подвергаются негативным изменениям с тенденцией к истощению рыбных запасов.</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B06469">
        <w:rPr>
          <w:rFonts w:ascii="Times New Roman" w:eastAsia="Times New Roman" w:hAnsi="Times New Roman" w:cs="Times New Roman"/>
          <w:color w:val="000000"/>
          <w:sz w:val="24"/>
          <w:szCs w:val="24"/>
          <w:lang w:eastAsia="ru-RU"/>
        </w:rPr>
        <w:t xml:space="preserve">Основными причинами, оказывающими влияние на загрязнение почв и подземных вод населенных территорий, являются: отсутствие организации вывоза бытовых отходов с </w:t>
      </w:r>
      <w:r w:rsidRPr="00B06469">
        <w:rPr>
          <w:rFonts w:ascii="Times New Roman" w:eastAsia="Times New Roman" w:hAnsi="Times New Roman" w:cs="Times New Roman"/>
          <w:color w:val="000000"/>
          <w:sz w:val="24"/>
          <w:szCs w:val="24"/>
          <w:lang w:eastAsia="ru-RU"/>
        </w:rPr>
        <w:lastRenderedPageBreak/>
        <w:t>территорий частных домовладений; возникновение стихийных свалок вокруг дачных поселков и садовых товариществ; отсутствие организованных мест выгула домашних животных; несоблюдение утвержденного порядка захоронения трупов домашних животных; увеличение числа не канализованных объектов мелкой розничной торговли;</w:t>
      </w:r>
      <w:proofErr w:type="gramEnd"/>
      <w:r w:rsidRPr="00B06469">
        <w:rPr>
          <w:rFonts w:ascii="Times New Roman" w:eastAsia="Times New Roman" w:hAnsi="Times New Roman" w:cs="Times New Roman"/>
          <w:color w:val="000000"/>
          <w:sz w:val="24"/>
          <w:szCs w:val="24"/>
          <w:lang w:eastAsia="ru-RU"/>
        </w:rPr>
        <w:t xml:space="preserve"> недостаточное количество общественных туалетов; недостаточное количество оборудованных сливных станций для приема жидких бытовых отходов; отставание развития канализационных сетей от строительства в целом; отсутствие утвержденных суточных нормативов образования жидких и твердых бытовых отходов от частного сектора; недостаточное количество свободных площадей для размещения объектов по переработке (утилизации) отходов.</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Значимыми источниками негативного воздействия на экологическое состояние межселенных территорий в границах района являются разрабатываемые нефтяные месторождения со всей сопутствующей инфраструктурой: скважины, сеть технологических, межпромысловых, промысловых и транзитных трубопроводов и коллекторов, водоводов и продуктопроводов, нефтеочистительные и нефтеперекачивающие станции и прочее. </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Нефть, нефтяной и буровые шламы, сточные воды, содержащие различные химические соединения негативно воздействуют на воздух, воду, почву, растительный и животный мир, на человека. Радиус воздействия на природную среду, как правило, значительно превышает границы месторождений, а глубина техногенного воздействия от нефтедобычи может достигать 3,5 км.</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Прохождение </w:t>
      </w:r>
      <w:proofErr w:type="spellStart"/>
      <w:r w:rsidRPr="00B06469">
        <w:rPr>
          <w:rFonts w:ascii="Times New Roman" w:eastAsia="Times New Roman" w:hAnsi="Times New Roman" w:cs="Times New Roman"/>
          <w:color w:val="000000"/>
          <w:sz w:val="24"/>
          <w:szCs w:val="24"/>
          <w:lang w:eastAsia="ru-RU"/>
        </w:rPr>
        <w:t>газо</w:t>
      </w:r>
      <w:proofErr w:type="spellEnd"/>
      <w:r w:rsidRPr="00B06469">
        <w:rPr>
          <w:rFonts w:ascii="Times New Roman" w:eastAsia="Times New Roman" w:hAnsi="Times New Roman" w:cs="Times New Roman"/>
          <w:color w:val="000000"/>
          <w:sz w:val="24"/>
          <w:szCs w:val="24"/>
          <w:lang w:eastAsia="ru-RU"/>
        </w:rPr>
        <w:t xml:space="preserve"> - и нефтепроводов сопровождается загрязнением территории в результате утечки газа и нефти через негерметичные соединения трубопроводов, при выполнении сливно-наливных операций или развитии аварийных ситуаций. </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На загрязнённых нефтью участках ухудшаются водно-физические свойства почв, изменяется рН, отмечается хлоридно-натриевое засоление, следовательно, наносится вред растительности и почвенным микроорганизмам. Проникая в нижележащие слои почво-грунтов, нефтяное загрязнение может достигать подземных водоносных горизонтов.</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Мощное воздействие на среду оказывают сельскохозяйственные объекты. В частности, серьезным источником загрязнения почв, подземных и поверхностных вод являются стоки и навоз животноводческих предприятий и ферм, а также земледелие, сопровождаемое внесением удобрений и ядохимикатов.</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Выпас скота в </w:t>
      </w:r>
      <w:proofErr w:type="spellStart"/>
      <w:r w:rsidRPr="00B06469">
        <w:rPr>
          <w:rFonts w:ascii="Times New Roman" w:eastAsia="Times New Roman" w:hAnsi="Times New Roman" w:cs="Times New Roman"/>
          <w:color w:val="000000"/>
          <w:sz w:val="24"/>
          <w:szCs w:val="24"/>
          <w:lang w:eastAsia="ru-RU"/>
        </w:rPr>
        <w:t>водоохранных</w:t>
      </w:r>
      <w:proofErr w:type="spellEnd"/>
      <w:r w:rsidRPr="00B06469">
        <w:rPr>
          <w:rFonts w:ascii="Times New Roman" w:eastAsia="Times New Roman" w:hAnsi="Times New Roman" w:cs="Times New Roman"/>
          <w:color w:val="000000"/>
          <w:sz w:val="24"/>
          <w:szCs w:val="24"/>
          <w:lang w:eastAsia="ru-RU"/>
        </w:rPr>
        <w:t xml:space="preserve"> зонах рек и водоёмов неизбежно приводит к уничтожению пойменной растительности, загрязнению воды рек, озер, прудов и водохранилищ </w:t>
      </w:r>
      <w:proofErr w:type="spellStart"/>
      <w:r w:rsidRPr="00B06469">
        <w:rPr>
          <w:rFonts w:ascii="Times New Roman" w:eastAsia="Times New Roman" w:hAnsi="Times New Roman" w:cs="Times New Roman"/>
          <w:color w:val="000000"/>
          <w:sz w:val="24"/>
          <w:szCs w:val="24"/>
          <w:lang w:eastAsia="ru-RU"/>
        </w:rPr>
        <w:t>навозосодержащими</w:t>
      </w:r>
      <w:proofErr w:type="spellEnd"/>
      <w:r w:rsidRPr="00B06469">
        <w:rPr>
          <w:rFonts w:ascii="Times New Roman" w:eastAsia="Times New Roman" w:hAnsi="Times New Roman" w:cs="Times New Roman"/>
          <w:color w:val="000000"/>
          <w:sz w:val="24"/>
          <w:szCs w:val="24"/>
          <w:lang w:eastAsia="ru-RU"/>
        </w:rPr>
        <w:t xml:space="preserve"> стоками, что представляет опасность для сохранения нормативных показателей качества поверхностных вод, почв и равновесного состояния </w:t>
      </w:r>
      <w:r w:rsidRPr="00B06469">
        <w:rPr>
          <w:rFonts w:ascii="Times New Roman" w:eastAsia="Times New Roman" w:hAnsi="Times New Roman" w:cs="Times New Roman"/>
          <w:color w:val="000000"/>
          <w:sz w:val="24"/>
          <w:szCs w:val="24"/>
          <w:lang w:eastAsia="ru-RU"/>
        </w:rPr>
        <w:lastRenderedPageBreak/>
        <w:t>прибрежных и водных экосистем в целом, а значит, может отразиться на здоровье населения.</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Почвы в зоне прохождения автомобильных дорог подвергаются загрязнению соединениями тяжелых металлов, дорожной и резиновой пылью. Потери ГСМ от ходовой части автотранспортных средств и поступление бытового мусора на придорожную полосу оказывает негативное влияние на состояние окружающей среды в целом. </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Неудовлетворительное состояние канализационных сетей </w:t>
      </w:r>
      <w:proofErr w:type="spellStart"/>
      <w:r w:rsidRPr="00B06469">
        <w:rPr>
          <w:rFonts w:ascii="Times New Roman" w:eastAsia="Times New Roman" w:hAnsi="Times New Roman" w:cs="Times New Roman"/>
          <w:color w:val="000000"/>
          <w:sz w:val="24"/>
          <w:szCs w:val="24"/>
          <w:lang w:eastAsia="ru-RU"/>
        </w:rPr>
        <w:t>м.р</w:t>
      </w:r>
      <w:proofErr w:type="spellEnd"/>
      <w:r w:rsidRPr="00B06469">
        <w:rPr>
          <w:rFonts w:ascii="Times New Roman" w:eastAsia="Times New Roman" w:hAnsi="Times New Roman" w:cs="Times New Roman"/>
          <w:color w:val="000000"/>
          <w:sz w:val="24"/>
          <w:szCs w:val="24"/>
          <w:lang w:eastAsia="ru-RU"/>
        </w:rPr>
        <w:t xml:space="preserve">. </w:t>
      </w:r>
      <w:proofErr w:type="spellStart"/>
      <w:r w:rsidRPr="00B06469">
        <w:rPr>
          <w:rFonts w:ascii="Times New Roman" w:eastAsia="Times New Roman" w:hAnsi="Times New Roman" w:cs="Times New Roman"/>
          <w:color w:val="000000"/>
          <w:sz w:val="24"/>
          <w:szCs w:val="24"/>
          <w:lang w:eastAsia="ru-RU"/>
        </w:rPr>
        <w:t>Камышлинский</w:t>
      </w:r>
      <w:proofErr w:type="spellEnd"/>
      <w:r w:rsidRPr="00B06469">
        <w:rPr>
          <w:rFonts w:ascii="Times New Roman" w:eastAsia="Times New Roman" w:hAnsi="Times New Roman" w:cs="Times New Roman"/>
          <w:color w:val="000000"/>
          <w:sz w:val="24"/>
          <w:szCs w:val="24"/>
          <w:lang w:eastAsia="ru-RU"/>
        </w:rPr>
        <w:t xml:space="preserve"> обуславливает возможность загрязнения подземных вод, загрязнение и переувлажнение почв, вследствие утечек из </w:t>
      </w:r>
      <w:proofErr w:type="spellStart"/>
      <w:r w:rsidRPr="00B06469">
        <w:rPr>
          <w:rFonts w:ascii="Times New Roman" w:eastAsia="Times New Roman" w:hAnsi="Times New Roman" w:cs="Times New Roman"/>
          <w:color w:val="000000"/>
          <w:sz w:val="24"/>
          <w:szCs w:val="24"/>
          <w:lang w:eastAsia="ru-RU"/>
        </w:rPr>
        <w:t>водонесущих</w:t>
      </w:r>
      <w:proofErr w:type="spellEnd"/>
      <w:r w:rsidRPr="00B06469">
        <w:rPr>
          <w:rFonts w:ascii="Times New Roman" w:eastAsia="Times New Roman" w:hAnsi="Times New Roman" w:cs="Times New Roman"/>
          <w:color w:val="000000"/>
          <w:sz w:val="24"/>
          <w:szCs w:val="24"/>
          <w:lang w:eastAsia="ru-RU"/>
        </w:rPr>
        <w:t xml:space="preserve"> коммуникаций.</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Значительную опасность для экологического состояния территорий представляют скотомогильники и стихийные свалки бытовых отходов: на территории муниципального района </w:t>
      </w:r>
      <w:proofErr w:type="spellStart"/>
      <w:r w:rsidRPr="00B06469">
        <w:rPr>
          <w:rFonts w:ascii="Times New Roman" w:eastAsia="Times New Roman" w:hAnsi="Times New Roman" w:cs="Times New Roman"/>
          <w:color w:val="000000"/>
          <w:sz w:val="24"/>
          <w:szCs w:val="24"/>
          <w:lang w:eastAsia="ru-RU"/>
        </w:rPr>
        <w:t>Камышлинский</w:t>
      </w:r>
      <w:proofErr w:type="spellEnd"/>
      <w:r w:rsidRPr="00B06469">
        <w:rPr>
          <w:rFonts w:ascii="Times New Roman" w:eastAsia="Times New Roman" w:hAnsi="Times New Roman" w:cs="Times New Roman"/>
          <w:color w:val="000000"/>
          <w:sz w:val="24"/>
          <w:szCs w:val="24"/>
          <w:lang w:eastAsia="ru-RU"/>
        </w:rPr>
        <w:t xml:space="preserve"> насчитывается 10 скотомогильников (из них 3 действующих и 7 – недействующих), которые все не соответствуют ветеринарно-санитарным правилам; несанкционированные свалки в с. Камышла, </w:t>
      </w:r>
      <w:proofErr w:type="gramStart"/>
      <w:r w:rsidRPr="00B06469">
        <w:rPr>
          <w:rFonts w:ascii="Times New Roman" w:eastAsia="Times New Roman" w:hAnsi="Times New Roman" w:cs="Times New Roman"/>
          <w:color w:val="000000"/>
          <w:sz w:val="24"/>
          <w:szCs w:val="24"/>
          <w:lang w:eastAsia="ru-RU"/>
        </w:rPr>
        <w:t>с</w:t>
      </w:r>
      <w:proofErr w:type="gramEnd"/>
      <w:r w:rsidRPr="00B06469">
        <w:rPr>
          <w:rFonts w:ascii="Times New Roman" w:eastAsia="Times New Roman" w:hAnsi="Times New Roman" w:cs="Times New Roman"/>
          <w:color w:val="000000"/>
          <w:sz w:val="24"/>
          <w:szCs w:val="24"/>
          <w:lang w:eastAsia="ru-RU"/>
        </w:rPr>
        <w:t xml:space="preserve">. Старое Ермаково, с. Старая </w:t>
      </w:r>
      <w:proofErr w:type="spellStart"/>
      <w:r w:rsidRPr="00B06469">
        <w:rPr>
          <w:rFonts w:ascii="Times New Roman" w:eastAsia="Times New Roman" w:hAnsi="Times New Roman" w:cs="Times New Roman"/>
          <w:color w:val="000000"/>
          <w:sz w:val="24"/>
          <w:szCs w:val="24"/>
          <w:lang w:eastAsia="ru-RU"/>
        </w:rPr>
        <w:t>Балыкла</w:t>
      </w:r>
      <w:proofErr w:type="spellEnd"/>
      <w:r w:rsidRPr="00B06469">
        <w:rPr>
          <w:rFonts w:ascii="Times New Roman" w:eastAsia="Times New Roman" w:hAnsi="Times New Roman" w:cs="Times New Roman"/>
          <w:color w:val="000000"/>
          <w:sz w:val="24"/>
          <w:szCs w:val="24"/>
          <w:lang w:eastAsia="ru-RU"/>
        </w:rPr>
        <w:t xml:space="preserve">, с. Новое </w:t>
      </w:r>
      <w:proofErr w:type="spellStart"/>
      <w:r w:rsidRPr="00B06469">
        <w:rPr>
          <w:rFonts w:ascii="Times New Roman" w:eastAsia="Times New Roman" w:hAnsi="Times New Roman" w:cs="Times New Roman"/>
          <w:color w:val="000000"/>
          <w:sz w:val="24"/>
          <w:szCs w:val="24"/>
          <w:lang w:eastAsia="ru-RU"/>
        </w:rPr>
        <w:t>Усманово</w:t>
      </w:r>
      <w:proofErr w:type="spellEnd"/>
      <w:r w:rsidRPr="00B06469">
        <w:rPr>
          <w:rFonts w:ascii="Times New Roman" w:eastAsia="Times New Roman" w:hAnsi="Times New Roman" w:cs="Times New Roman"/>
          <w:color w:val="000000"/>
          <w:sz w:val="24"/>
          <w:szCs w:val="24"/>
          <w:lang w:eastAsia="ru-RU"/>
        </w:rPr>
        <w:t xml:space="preserve">, с. Старое </w:t>
      </w:r>
      <w:proofErr w:type="spellStart"/>
      <w:r w:rsidRPr="00B06469">
        <w:rPr>
          <w:rFonts w:ascii="Times New Roman" w:eastAsia="Times New Roman" w:hAnsi="Times New Roman" w:cs="Times New Roman"/>
          <w:color w:val="000000"/>
          <w:sz w:val="24"/>
          <w:szCs w:val="24"/>
          <w:lang w:eastAsia="ru-RU"/>
        </w:rPr>
        <w:t>Усманово</w:t>
      </w:r>
      <w:proofErr w:type="spellEnd"/>
      <w:r w:rsidRPr="00B06469">
        <w:rPr>
          <w:rFonts w:ascii="Times New Roman" w:eastAsia="Times New Roman" w:hAnsi="Times New Roman" w:cs="Times New Roman"/>
          <w:color w:val="000000"/>
          <w:sz w:val="24"/>
          <w:szCs w:val="24"/>
          <w:lang w:eastAsia="ru-RU"/>
        </w:rPr>
        <w:t xml:space="preserve">, с. Татарский </w:t>
      </w:r>
      <w:proofErr w:type="spellStart"/>
      <w:r w:rsidRPr="00B06469">
        <w:rPr>
          <w:rFonts w:ascii="Times New Roman" w:eastAsia="Times New Roman" w:hAnsi="Times New Roman" w:cs="Times New Roman"/>
          <w:color w:val="000000"/>
          <w:sz w:val="24"/>
          <w:szCs w:val="24"/>
          <w:lang w:eastAsia="ru-RU"/>
        </w:rPr>
        <w:t>Байтуган</w:t>
      </w:r>
      <w:proofErr w:type="spellEnd"/>
      <w:r w:rsidRPr="00B06469">
        <w:rPr>
          <w:rFonts w:ascii="Times New Roman" w:eastAsia="Times New Roman" w:hAnsi="Times New Roman" w:cs="Times New Roman"/>
          <w:color w:val="000000"/>
          <w:sz w:val="24"/>
          <w:szCs w:val="24"/>
          <w:lang w:eastAsia="ru-RU"/>
        </w:rPr>
        <w:t xml:space="preserve">, с. Никиткино. Полигон ТБО </w:t>
      </w:r>
      <w:proofErr w:type="spellStart"/>
      <w:r w:rsidRPr="00B06469">
        <w:rPr>
          <w:rFonts w:ascii="Times New Roman" w:eastAsia="Times New Roman" w:hAnsi="Times New Roman" w:cs="Times New Roman"/>
          <w:color w:val="000000"/>
          <w:sz w:val="24"/>
          <w:szCs w:val="24"/>
          <w:lang w:eastAsia="ru-RU"/>
        </w:rPr>
        <w:t>р.ц</w:t>
      </w:r>
      <w:proofErr w:type="spellEnd"/>
      <w:r w:rsidRPr="00B06469">
        <w:rPr>
          <w:rFonts w:ascii="Times New Roman" w:eastAsia="Times New Roman" w:hAnsi="Times New Roman" w:cs="Times New Roman"/>
          <w:color w:val="000000"/>
          <w:sz w:val="24"/>
          <w:szCs w:val="24"/>
          <w:lang w:eastAsia="ru-RU"/>
        </w:rPr>
        <w:t xml:space="preserve">. Камышла </w:t>
      </w:r>
      <w:proofErr w:type="gramStart"/>
      <w:r w:rsidRPr="00B06469">
        <w:rPr>
          <w:rFonts w:ascii="Times New Roman" w:eastAsia="Times New Roman" w:hAnsi="Times New Roman" w:cs="Times New Roman"/>
          <w:color w:val="000000"/>
          <w:sz w:val="24"/>
          <w:szCs w:val="24"/>
          <w:lang w:eastAsia="ru-RU"/>
        </w:rPr>
        <w:t>запроектирован</w:t>
      </w:r>
      <w:proofErr w:type="gramEnd"/>
      <w:r w:rsidRPr="00B06469">
        <w:rPr>
          <w:rFonts w:ascii="Times New Roman" w:eastAsia="Times New Roman" w:hAnsi="Times New Roman" w:cs="Times New Roman"/>
          <w:color w:val="000000"/>
          <w:sz w:val="24"/>
          <w:szCs w:val="24"/>
          <w:lang w:eastAsia="ru-RU"/>
        </w:rPr>
        <w:t>, но строительство еще не начато.</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Источники негативного влияния на геологическую среду могут размещаться в пределах распространения подземных вод незащищенных (I категория защищенности), слабо защищенных (II категория защищенности) или средне защищенных (III-IV категория защищенности) от загрязнения с поверхности. </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I категория защищенности подземных вод, как правило, приурочена к речным долинам, II - к надпойменным террасам, III-IV - к склонам речных долин. На территориях распространения подземных вод I-IV категорий защищенности нельзя допускать устройства скотомогильников, хранилищ </w:t>
      </w:r>
      <w:proofErr w:type="spellStart"/>
      <w:r w:rsidRPr="00B06469">
        <w:rPr>
          <w:rFonts w:ascii="Times New Roman" w:eastAsia="Times New Roman" w:hAnsi="Times New Roman" w:cs="Times New Roman"/>
          <w:color w:val="000000"/>
          <w:sz w:val="24"/>
          <w:szCs w:val="24"/>
          <w:lang w:eastAsia="ru-RU"/>
        </w:rPr>
        <w:t>промотходов</w:t>
      </w:r>
      <w:proofErr w:type="spellEnd"/>
      <w:r w:rsidRPr="00B06469">
        <w:rPr>
          <w:rFonts w:ascii="Times New Roman" w:eastAsia="Times New Roman" w:hAnsi="Times New Roman" w:cs="Times New Roman"/>
          <w:color w:val="000000"/>
          <w:sz w:val="24"/>
          <w:szCs w:val="24"/>
          <w:lang w:eastAsia="ru-RU"/>
        </w:rPr>
        <w:t xml:space="preserve">, ядохимикатов, удобрений, сброса промышленных и хозяйственно-бытовых сточных вод. На сегодняшний день многие объекты промышленной и сельскохозяйственной инфраструктуры размещены с нарушением выше перечисленных требований, что создает потенциальную опасность загрязнения подземных вод, а, следовательно, загрязнение поверхностных водных объектов в местах разгрузки подземных водоносных горизонтов. Таким образом, затрудняется обеспечение населения водой питьевого качества, так как для проектируемой территории хозяйственно-питьевое водоснабжение населения муниципального района </w:t>
      </w:r>
      <w:proofErr w:type="spellStart"/>
      <w:r w:rsidRPr="00B06469">
        <w:rPr>
          <w:rFonts w:ascii="Times New Roman" w:eastAsia="Times New Roman" w:hAnsi="Times New Roman" w:cs="Times New Roman"/>
          <w:color w:val="000000"/>
          <w:sz w:val="24"/>
          <w:szCs w:val="24"/>
          <w:lang w:eastAsia="ru-RU"/>
        </w:rPr>
        <w:t>Камышлинский</w:t>
      </w:r>
      <w:proofErr w:type="spellEnd"/>
      <w:r w:rsidRPr="00B06469">
        <w:rPr>
          <w:rFonts w:ascii="Times New Roman" w:eastAsia="Times New Roman" w:hAnsi="Times New Roman" w:cs="Times New Roman"/>
          <w:color w:val="000000"/>
          <w:sz w:val="24"/>
          <w:szCs w:val="24"/>
          <w:lang w:eastAsia="ru-RU"/>
        </w:rPr>
        <w:t xml:space="preserve"> осуществляется только из подземных водозаборов. Положение усугубляется изношенностью оборудования и сетей централизованного водоснабжения. </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Санитарное состояние большинства родников удовлетворительное. 20 родников в санитарно-гигиеническом отношении неблагополучны, так как находятся около жилых или хозяйственных построек, около </w:t>
      </w:r>
      <w:proofErr w:type="spellStart"/>
      <w:r w:rsidRPr="00B06469">
        <w:rPr>
          <w:rFonts w:ascii="Times New Roman" w:eastAsia="Times New Roman" w:hAnsi="Times New Roman" w:cs="Times New Roman"/>
          <w:color w:val="000000"/>
          <w:sz w:val="24"/>
          <w:szCs w:val="24"/>
          <w:lang w:eastAsia="ru-RU"/>
        </w:rPr>
        <w:t>о</w:t>
      </w:r>
      <w:r w:rsidR="001F0139" w:rsidRPr="00B06469">
        <w:rPr>
          <w:rFonts w:ascii="Times New Roman" w:eastAsia="Times New Roman" w:hAnsi="Times New Roman" w:cs="Times New Roman"/>
          <w:color w:val="000000"/>
          <w:sz w:val="24"/>
          <w:szCs w:val="24"/>
          <w:lang w:eastAsia="ru-RU"/>
        </w:rPr>
        <w:t>район</w:t>
      </w:r>
      <w:r w:rsidRPr="00B06469">
        <w:rPr>
          <w:rFonts w:ascii="Times New Roman" w:eastAsia="Times New Roman" w:hAnsi="Times New Roman" w:cs="Times New Roman"/>
          <w:color w:val="000000"/>
          <w:sz w:val="24"/>
          <w:szCs w:val="24"/>
          <w:lang w:eastAsia="ru-RU"/>
        </w:rPr>
        <w:t>ов</w:t>
      </w:r>
      <w:proofErr w:type="spellEnd"/>
      <w:r w:rsidRPr="00B06469">
        <w:rPr>
          <w:rFonts w:ascii="Times New Roman" w:eastAsia="Times New Roman" w:hAnsi="Times New Roman" w:cs="Times New Roman"/>
          <w:color w:val="000000"/>
          <w:sz w:val="24"/>
          <w:szCs w:val="24"/>
          <w:lang w:eastAsia="ru-RU"/>
        </w:rPr>
        <w:t xml:space="preserve"> или проезжей части дорог. Вблизи </w:t>
      </w:r>
      <w:r w:rsidRPr="00B06469">
        <w:rPr>
          <w:rFonts w:ascii="Times New Roman" w:eastAsia="Times New Roman" w:hAnsi="Times New Roman" w:cs="Times New Roman"/>
          <w:color w:val="000000"/>
          <w:sz w:val="24"/>
          <w:szCs w:val="24"/>
          <w:lang w:eastAsia="ru-RU"/>
        </w:rPr>
        <w:lastRenderedPageBreak/>
        <w:t>нескольких родников производится выпас скота, несколько родников замусорены, 6 родников заболочены, один родник расположен в пойме и затапливается в паводок.</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Причинами ухудшения качества воды являются: загрязнение воды в распределительной сети в связи с изношенностью и отсутствием проведения капитальных ремонтов трубопроводов, несвоевременное проведение очистки и дезинфекции водонапорных башен, накопительных резервуаров и водопроводной сети. </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4D4A30" w:rsidRPr="00B06469" w:rsidRDefault="004D4A30" w:rsidP="001F0139">
      <w:pPr>
        <w:spacing w:after="0" w:line="360" w:lineRule="auto"/>
        <w:contextualSpacing/>
        <w:jc w:val="both"/>
        <w:outlineLvl w:val="1"/>
        <w:rPr>
          <w:rFonts w:ascii="Times New Roman" w:hAnsi="Times New Roman" w:cs="Times New Roman"/>
          <w:b/>
          <w:color w:val="365F91"/>
          <w:sz w:val="24"/>
          <w:szCs w:val="24"/>
        </w:rPr>
      </w:pPr>
      <w:bookmarkStart w:id="9" w:name="bookmark7"/>
      <w:r w:rsidRPr="00B06469">
        <w:rPr>
          <w:rFonts w:ascii="Times New Roman" w:hAnsi="Times New Roman" w:cs="Times New Roman"/>
          <w:b/>
          <w:color w:val="365F91"/>
          <w:sz w:val="24"/>
          <w:szCs w:val="24"/>
        </w:rPr>
        <w:t>4.</w:t>
      </w:r>
      <w:r w:rsidR="002760F1" w:rsidRPr="00B06469">
        <w:rPr>
          <w:rFonts w:ascii="Times New Roman" w:hAnsi="Times New Roman" w:cs="Times New Roman"/>
          <w:b/>
          <w:color w:val="365F91"/>
          <w:sz w:val="24"/>
          <w:szCs w:val="24"/>
        </w:rPr>
        <w:t xml:space="preserve"> </w:t>
      </w:r>
      <w:r w:rsidRPr="00B06469">
        <w:rPr>
          <w:rFonts w:ascii="Times New Roman" w:hAnsi="Times New Roman" w:cs="Times New Roman"/>
          <w:b/>
          <w:color w:val="365F91"/>
          <w:sz w:val="24"/>
          <w:szCs w:val="24"/>
        </w:rPr>
        <w:t xml:space="preserve">Анализ сильных и слабых сторон, возможностей и угроз </w:t>
      </w:r>
      <w:bookmarkEnd w:id="9"/>
      <w:proofErr w:type="spellStart"/>
      <w:r w:rsidRPr="00B06469">
        <w:rPr>
          <w:rFonts w:ascii="Times New Roman" w:hAnsi="Times New Roman" w:cs="Times New Roman"/>
          <w:b/>
          <w:color w:val="365F91"/>
          <w:sz w:val="24"/>
          <w:szCs w:val="24"/>
        </w:rPr>
        <w:t>Камышлинского</w:t>
      </w:r>
      <w:proofErr w:type="spellEnd"/>
      <w:r w:rsidRPr="00B06469">
        <w:rPr>
          <w:rFonts w:ascii="Times New Roman" w:hAnsi="Times New Roman" w:cs="Times New Roman"/>
          <w:b/>
          <w:color w:val="365F91"/>
          <w:sz w:val="24"/>
          <w:szCs w:val="24"/>
        </w:rPr>
        <w:t xml:space="preserve"> </w:t>
      </w:r>
      <w:bookmarkStart w:id="10" w:name="bookmark8"/>
      <w:r w:rsidRPr="00B06469">
        <w:rPr>
          <w:rFonts w:ascii="Times New Roman" w:hAnsi="Times New Roman" w:cs="Times New Roman"/>
          <w:b/>
          <w:color w:val="365F91"/>
          <w:sz w:val="24"/>
          <w:szCs w:val="24"/>
        </w:rPr>
        <w:t>муниципального района</w:t>
      </w:r>
      <w:bookmarkEnd w:id="10"/>
    </w:p>
    <w:p w:rsidR="004D4A30" w:rsidRPr="00B06469" w:rsidRDefault="004D4A30" w:rsidP="001F0139">
      <w:pPr>
        <w:pStyle w:val="a3"/>
        <w:spacing w:after="0" w:line="360" w:lineRule="auto"/>
        <w:ind w:left="0"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Анализ пространственного и социально-экономического развития, человеческого и инфраструктурного потенциала, с учетом опросов населения и выявления желаемого образа будущего, в том числе по различным направлениям позволяет выделить сильные и слабые стороны, возможности и ограничения, риски и угрозы в развитии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на современном этапе.</w:t>
      </w:r>
    </w:p>
    <w:p w:rsidR="004D4A30" w:rsidRPr="00B06469" w:rsidRDefault="004D4A30" w:rsidP="001F0139">
      <w:pPr>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Сильные стороны – факторы, которые в перспективе могут стать конкурентными преимуществами района. </w:t>
      </w:r>
    </w:p>
    <w:p w:rsidR="004D4A30" w:rsidRPr="00B06469" w:rsidRDefault="004D4A30" w:rsidP="001F0139">
      <w:pPr>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Слабые стороны – слаборазвитые конкурентные факторы социально-экономического развития района. </w:t>
      </w:r>
    </w:p>
    <w:p w:rsidR="004D4A30" w:rsidRPr="00B06469" w:rsidRDefault="004D4A30" w:rsidP="001F0139">
      <w:pPr>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Возможности – благоприятные тенденции и внешние потенциалы развития территории.</w:t>
      </w:r>
    </w:p>
    <w:p w:rsidR="004D4A30" w:rsidRPr="00B06469" w:rsidRDefault="004D4A30" w:rsidP="001F0139">
      <w:pPr>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Угрозы (риски) – неблагоприятные тенденции и внешние риски для развития района, вероятность возникновения которых необходимо минимизировать.</w:t>
      </w:r>
    </w:p>
    <w:p w:rsidR="004D4A30" w:rsidRPr="00B06469" w:rsidRDefault="004D4A30" w:rsidP="001F0139">
      <w:pPr>
        <w:spacing w:after="0" w:line="360" w:lineRule="auto"/>
        <w:ind w:firstLine="709"/>
        <w:jc w:val="both"/>
        <w:rPr>
          <w:rFonts w:ascii="Times New Roman" w:hAnsi="Times New Roman" w:cs="Times New Roman"/>
          <w:color w:val="000000"/>
          <w:sz w:val="24"/>
          <w:szCs w:val="24"/>
          <w:shd w:val="clear" w:color="auto" w:fill="FFFFFF"/>
        </w:rPr>
      </w:pPr>
      <w:r w:rsidRPr="00B06469">
        <w:rPr>
          <w:rFonts w:ascii="Times New Roman" w:hAnsi="Times New Roman" w:cs="Times New Roman"/>
          <w:color w:val="000000"/>
          <w:sz w:val="24"/>
          <w:szCs w:val="24"/>
          <w:shd w:val="clear" w:color="auto" w:fill="FFFFFF"/>
        </w:rPr>
        <w:t xml:space="preserve">Суть стратегического анализа состояла не столько в фиксации проблем на основе официальной статистики, сколько в детальной и глубокой диагностике их местной специфики, выявлении факторов критичности данных проблем экспертами рабочих групп, предпринимательским сообществом, жителями района. </w:t>
      </w:r>
    </w:p>
    <w:p w:rsidR="004D4A30" w:rsidRPr="00B06469" w:rsidRDefault="004D4A30" w:rsidP="001F0139">
      <w:pPr>
        <w:tabs>
          <w:tab w:val="left" w:pos="851"/>
          <w:tab w:val="decimal" w:pos="1418"/>
        </w:tabs>
        <w:spacing w:after="0" w:line="360" w:lineRule="auto"/>
        <w:contextualSpacing/>
        <w:jc w:val="both"/>
        <w:outlineLvl w:val="1"/>
        <w:rPr>
          <w:rFonts w:ascii="Times New Roman" w:hAnsi="Times New Roman" w:cs="Times New Roman"/>
          <w:b/>
          <w:color w:val="365F91"/>
          <w:sz w:val="24"/>
          <w:szCs w:val="24"/>
        </w:rPr>
      </w:pPr>
      <w:bookmarkStart w:id="11" w:name="_Toc520894852"/>
      <w:r w:rsidRPr="00B06469">
        <w:rPr>
          <w:rFonts w:ascii="Times New Roman" w:hAnsi="Times New Roman" w:cs="Times New Roman"/>
          <w:b/>
          <w:color w:val="365F91"/>
          <w:sz w:val="24"/>
          <w:szCs w:val="24"/>
        </w:rPr>
        <w:t>4.1.SWOT-анализ развития экономико-географического положения и природно-ресурсного потенциала</w:t>
      </w:r>
      <w:bookmarkEnd w:id="11"/>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SWOT-анализ экономико-географического положения и природно-ресурсного потенциала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w:t>
      </w:r>
      <w:proofErr w:type="gramStart"/>
      <w:r w:rsidRPr="00B06469">
        <w:rPr>
          <w:rFonts w:ascii="Times New Roman" w:hAnsi="Times New Roman" w:cs="Times New Roman"/>
          <w:sz w:val="24"/>
          <w:szCs w:val="24"/>
        </w:rPr>
        <w:t>проведен</w:t>
      </w:r>
      <w:proofErr w:type="gramEnd"/>
      <w:r w:rsidRPr="00B06469">
        <w:rPr>
          <w:rFonts w:ascii="Times New Roman" w:hAnsi="Times New Roman" w:cs="Times New Roman"/>
          <w:sz w:val="24"/>
          <w:szCs w:val="24"/>
        </w:rPr>
        <w:t xml:space="preserve"> с учетом уровня развития, состояния и потенциала различных сторон, включая природно-климатические, водные ресурсы, полезные ископаемые и экологию.</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Сильные стороны</w:t>
      </w:r>
      <w:r w:rsidRPr="00B06469">
        <w:rPr>
          <w:rFonts w:ascii="Times New Roman" w:hAnsi="Times New Roman" w:cs="Times New Roman"/>
          <w:sz w:val="24"/>
          <w:szCs w:val="24"/>
        </w:rPr>
        <w:t xml:space="preserve"> обусловлены тем, что муниципальный район имеет экономико-географическое преимущество в виде стратегической автомобильной магистрали М-5, которое является долгосрочным фактором, способствующим развитию территории. В качестве положительных факторов развития региона можно выделить благоприятную экологическую ситуацию в силу относительной удаленности от крупных промышленных </w:t>
      </w:r>
      <w:r w:rsidRPr="00B06469">
        <w:rPr>
          <w:rFonts w:ascii="Times New Roman" w:hAnsi="Times New Roman" w:cs="Times New Roman"/>
          <w:sz w:val="24"/>
          <w:szCs w:val="24"/>
        </w:rPr>
        <w:lastRenderedPageBreak/>
        <w:t>комплексов; черноземные почвы; уникальные природно-рекреационные ресурсы и хороший климат; характер рельефа и ландшафта, благоприятные для организации лыжных трасс, развития пешего и конного туризма и других видов активного отдыха; уникальные лесные ресурсы, в частности реликтовый смешанный лес, крайне редкий для мест лесостепной зоны, смешение разнообразных древесных, кустарниковых и травянистых растений; достаточное количество водных объектов (крупные и мелкие реки), запас пресной воды (многочисленные пресноводные родники), минеральные источники, обладающие лечебными качествами.</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Слабые стороны</w:t>
      </w:r>
      <w:r w:rsidRPr="00B06469">
        <w:rPr>
          <w:rFonts w:ascii="Times New Roman" w:hAnsi="Times New Roman" w:cs="Times New Roman"/>
          <w:sz w:val="24"/>
          <w:szCs w:val="24"/>
        </w:rPr>
        <w:t xml:space="preserve"> обусловлены такими причинами как удаленность от областного центра; слабый природно-ресурсный потенциал; загрязнение рек; большинство почвенного покрова относится к средн</w:t>
      </w:r>
      <w:proofErr w:type="gramStart"/>
      <w:r w:rsidRPr="00B06469">
        <w:rPr>
          <w:rFonts w:ascii="Times New Roman" w:hAnsi="Times New Roman" w:cs="Times New Roman"/>
          <w:sz w:val="24"/>
          <w:szCs w:val="24"/>
        </w:rPr>
        <w:t>е-</w:t>
      </w:r>
      <w:proofErr w:type="gramEnd"/>
      <w:r w:rsidRPr="00B06469">
        <w:rPr>
          <w:rFonts w:ascii="Times New Roman" w:hAnsi="Times New Roman" w:cs="Times New Roman"/>
          <w:sz w:val="24"/>
          <w:szCs w:val="24"/>
        </w:rPr>
        <w:t xml:space="preserve"> и </w:t>
      </w:r>
      <w:proofErr w:type="spellStart"/>
      <w:r w:rsidRPr="00B06469">
        <w:rPr>
          <w:rFonts w:ascii="Times New Roman" w:hAnsi="Times New Roman" w:cs="Times New Roman"/>
          <w:sz w:val="24"/>
          <w:szCs w:val="24"/>
        </w:rPr>
        <w:t>малогумусному</w:t>
      </w:r>
      <w:proofErr w:type="spellEnd"/>
      <w:r w:rsidRPr="00B06469">
        <w:rPr>
          <w:rFonts w:ascii="Times New Roman" w:hAnsi="Times New Roman" w:cs="Times New Roman"/>
          <w:sz w:val="24"/>
          <w:szCs w:val="24"/>
        </w:rPr>
        <w:t>; сложный рельеф местности и погодные условия для с.-х. деятельности; бедная фауна.</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 xml:space="preserve">Возможности </w:t>
      </w:r>
      <w:r w:rsidRPr="00B06469">
        <w:rPr>
          <w:rFonts w:ascii="Times New Roman" w:hAnsi="Times New Roman" w:cs="Times New Roman"/>
          <w:sz w:val="24"/>
          <w:szCs w:val="24"/>
        </w:rPr>
        <w:t xml:space="preserve">развития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исходя из природно-ресурсного потенциала, следующие: добыча углеводородов, строительного сырья и других минеральных ресурсов; использование водных ресурсов; использование лесных ресурсов.</w:t>
      </w:r>
    </w:p>
    <w:p w:rsidR="004D4A30" w:rsidRPr="00B06469" w:rsidRDefault="004D4A30" w:rsidP="001F0139">
      <w:pPr>
        <w:spacing w:after="0" w:line="360" w:lineRule="auto"/>
        <w:ind w:firstLine="709"/>
        <w:jc w:val="both"/>
        <w:rPr>
          <w:rFonts w:ascii="Times New Roman" w:hAnsi="Times New Roman" w:cs="Times New Roman"/>
          <w:i/>
          <w:sz w:val="24"/>
          <w:szCs w:val="24"/>
        </w:rPr>
      </w:pPr>
      <w:r w:rsidRPr="00B06469">
        <w:rPr>
          <w:rFonts w:ascii="Times New Roman" w:hAnsi="Times New Roman" w:cs="Times New Roman"/>
          <w:sz w:val="24"/>
          <w:szCs w:val="24"/>
        </w:rPr>
        <w:t>К природно-климатическим</w:t>
      </w:r>
      <w:r w:rsidRPr="00B06469">
        <w:rPr>
          <w:rFonts w:ascii="Times New Roman" w:hAnsi="Times New Roman" w:cs="Times New Roman"/>
          <w:i/>
          <w:sz w:val="24"/>
          <w:szCs w:val="24"/>
        </w:rPr>
        <w:t xml:space="preserve"> угрозам района </w:t>
      </w:r>
      <w:r w:rsidRPr="00B06469">
        <w:rPr>
          <w:rFonts w:ascii="Times New Roman" w:hAnsi="Times New Roman" w:cs="Times New Roman"/>
          <w:sz w:val="24"/>
          <w:szCs w:val="24"/>
        </w:rPr>
        <w:t>можно отнести</w:t>
      </w:r>
      <w:r w:rsidRPr="00B06469">
        <w:rPr>
          <w:rFonts w:ascii="Times New Roman" w:hAnsi="Times New Roman" w:cs="Times New Roman"/>
          <w:i/>
          <w:sz w:val="24"/>
          <w:szCs w:val="24"/>
        </w:rPr>
        <w:t xml:space="preserve"> </w:t>
      </w:r>
      <w:r w:rsidRPr="00B06469">
        <w:rPr>
          <w:rFonts w:ascii="Times New Roman" w:hAnsi="Times New Roman" w:cs="Times New Roman"/>
          <w:sz w:val="24"/>
          <w:szCs w:val="24"/>
        </w:rPr>
        <w:t>повышение уровня загрязнённости воздуха, почвы, воды в крупных, малых реках, подземных источниках; эрозия почв; паводки; лесные пожары.</w:t>
      </w:r>
    </w:p>
    <w:p w:rsidR="004D4A30" w:rsidRPr="00B06469" w:rsidRDefault="004D4A30" w:rsidP="001F0139">
      <w:pPr>
        <w:spacing w:after="0" w:line="360" w:lineRule="auto"/>
        <w:ind w:firstLine="709"/>
        <w:contextualSpacing/>
        <w:jc w:val="both"/>
        <w:rPr>
          <w:rFonts w:ascii="Times New Roman" w:hAnsi="Times New Roman" w:cs="Times New Roman"/>
          <w:b/>
          <w:color w:val="0070C0"/>
          <w:sz w:val="24"/>
          <w:szCs w:val="24"/>
        </w:rPr>
      </w:pPr>
    </w:p>
    <w:p w:rsidR="004D4A30" w:rsidRPr="00B06469" w:rsidRDefault="004D4A30" w:rsidP="001F0139">
      <w:pPr>
        <w:tabs>
          <w:tab w:val="left" w:pos="851"/>
          <w:tab w:val="decimal" w:pos="1418"/>
        </w:tabs>
        <w:spacing w:after="0" w:line="360" w:lineRule="auto"/>
        <w:contextualSpacing/>
        <w:jc w:val="both"/>
        <w:outlineLvl w:val="1"/>
        <w:rPr>
          <w:rFonts w:ascii="Times New Roman" w:hAnsi="Times New Roman" w:cs="Times New Roman"/>
          <w:b/>
          <w:color w:val="365F91"/>
          <w:sz w:val="24"/>
          <w:szCs w:val="24"/>
        </w:rPr>
      </w:pPr>
      <w:bookmarkStart w:id="12" w:name="_Toc520894853"/>
      <w:r w:rsidRPr="00B06469">
        <w:rPr>
          <w:rFonts w:ascii="Times New Roman" w:hAnsi="Times New Roman" w:cs="Times New Roman"/>
          <w:b/>
          <w:color w:val="365F91"/>
          <w:sz w:val="24"/>
          <w:szCs w:val="24"/>
        </w:rPr>
        <w:t>4.2.SWOT-анализ развития человеческого капитала</w:t>
      </w:r>
      <w:bookmarkEnd w:id="12"/>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SWOT-анализ развития человеческого капитала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проведен с учетом уровня развития и потенциала различных сфер, включая демографическое развитие, миграцию, занятость, уровень жизни населения, систему социальной защиты населения, образование, здравоохранение, экологию, физическую культуру и спорт, культуру, досуг, молодежную политику.</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Сильные стороны</w:t>
      </w:r>
      <w:r w:rsidRPr="00B06469">
        <w:rPr>
          <w:rFonts w:ascii="Times New Roman" w:hAnsi="Times New Roman" w:cs="Times New Roman"/>
          <w:sz w:val="24"/>
          <w:szCs w:val="24"/>
        </w:rPr>
        <w:t xml:space="preserve"> обусловлены стабильной работой учреждений здравоохранения, образования, социальной защиты населения.</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К достоинствам системы здравоохранения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муниципального района можно отнести: хорошая укомплектованность </w:t>
      </w:r>
      <w:proofErr w:type="spellStart"/>
      <w:r w:rsidRPr="00B06469">
        <w:rPr>
          <w:rFonts w:ascii="Times New Roman" w:hAnsi="Times New Roman" w:cs="Times New Roman"/>
          <w:sz w:val="24"/>
          <w:szCs w:val="24"/>
        </w:rPr>
        <w:t>Камышлинской</w:t>
      </w:r>
      <w:proofErr w:type="spellEnd"/>
      <w:r w:rsidRPr="00B06469">
        <w:rPr>
          <w:rFonts w:ascii="Times New Roman" w:hAnsi="Times New Roman" w:cs="Times New Roman"/>
          <w:sz w:val="24"/>
          <w:szCs w:val="24"/>
        </w:rPr>
        <w:t xml:space="preserve"> ЦРБ медицинским оборудованием; капитальный ремонт поликлиники и </w:t>
      </w:r>
      <w:proofErr w:type="spellStart"/>
      <w:r w:rsidRPr="00B06469">
        <w:rPr>
          <w:rFonts w:ascii="Times New Roman" w:hAnsi="Times New Roman" w:cs="Times New Roman"/>
          <w:sz w:val="24"/>
          <w:szCs w:val="24"/>
        </w:rPr>
        <w:t>ФАПов</w:t>
      </w:r>
      <w:proofErr w:type="spellEnd"/>
      <w:r w:rsidRPr="00B06469">
        <w:rPr>
          <w:rFonts w:ascii="Times New Roman" w:hAnsi="Times New Roman" w:cs="Times New Roman"/>
          <w:sz w:val="24"/>
          <w:szCs w:val="24"/>
        </w:rPr>
        <w:t xml:space="preserve">; достаточно высокий уровень обеспеченности койко-местами по сравнению с другими муниципальными районами Самарской области; прием врачей узких специальностей: терапевт, хирург, онколог, гинеколог, </w:t>
      </w:r>
      <w:proofErr w:type="spellStart"/>
      <w:r w:rsidRPr="00B06469">
        <w:rPr>
          <w:rFonts w:ascii="Times New Roman" w:hAnsi="Times New Roman" w:cs="Times New Roman"/>
          <w:sz w:val="24"/>
          <w:szCs w:val="24"/>
        </w:rPr>
        <w:t>оториноларинголог</w:t>
      </w:r>
      <w:proofErr w:type="spellEnd"/>
      <w:r w:rsidRPr="00B06469">
        <w:rPr>
          <w:rFonts w:ascii="Times New Roman" w:hAnsi="Times New Roman" w:cs="Times New Roman"/>
          <w:sz w:val="24"/>
          <w:szCs w:val="24"/>
        </w:rPr>
        <w:t xml:space="preserve">, педиатр, невролог, врач клинической лабораторной диагностики, нарколог; прием ведется без предварительной записи, по принципу «всех – в день обращения». </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Также район занимает 1 место по удельному весу населения младше трудоспособного возраста, при этом характеризуется высокой доступностью услуг </w:t>
      </w:r>
      <w:r w:rsidRPr="00B06469">
        <w:rPr>
          <w:rFonts w:ascii="Times New Roman" w:hAnsi="Times New Roman" w:cs="Times New Roman"/>
          <w:sz w:val="24"/>
          <w:szCs w:val="24"/>
        </w:rPr>
        <w:lastRenderedPageBreak/>
        <w:t>дошкольного образования, систем дополнительного и общего образования детей, продуктивной работой творческих коллективов и объединений; обеспечением высокого качества образования (высокие баллы ЕГЭ, медали).</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Сильной стороной, является наличие некоммерческих, общественных, профсоюзных, религиозных, молодежных организаций, а также поддержка гражданских инициатив, участие в приоритетном федеральном проекте «Формирование комфортной </w:t>
      </w:r>
      <w:proofErr w:type="spellStart"/>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ской</w:t>
      </w:r>
      <w:proofErr w:type="spellEnd"/>
      <w:r w:rsidRPr="00B06469">
        <w:rPr>
          <w:rFonts w:ascii="Times New Roman" w:hAnsi="Times New Roman" w:cs="Times New Roman"/>
          <w:sz w:val="24"/>
          <w:szCs w:val="24"/>
        </w:rPr>
        <w:t xml:space="preserve"> среды».</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Кроме того район отличается сложившейся системой предоставления минимальных социальных гарантий населению, и, главное, в муниципальном районе проживают трудолюбивые люди с крепкими семейными и национальными традициями. </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Проведенный анализ выявил такие </w:t>
      </w:r>
      <w:r w:rsidRPr="00B06469">
        <w:rPr>
          <w:rFonts w:ascii="Times New Roman" w:hAnsi="Times New Roman" w:cs="Times New Roman"/>
          <w:i/>
          <w:sz w:val="24"/>
          <w:szCs w:val="24"/>
        </w:rPr>
        <w:t>слабые стороны</w:t>
      </w:r>
      <w:r w:rsidRPr="00B06469">
        <w:rPr>
          <w:rFonts w:ascii="Times New Roman" w:hAnsi="Times New Roman" w:cs="Times New Roman"/>
          <w:sz w:val="24"/>
          <w:szCs w:val="24"/>
        </w:rPr>
        <w:t xml:space="preserve">, как расположение муниципального образования на периферии Самарской области, его относительная удаленность от промышленных и культурных центров; слабое участие молодежи в развитии района, высокий уровень официально зарегистрированной безработицы; дефицит привлекательных рабочих мест и низкий уровень заработной платы в районе; </w:t>
      </w:r>
      <w:proofErr w:type="gramStart"/>
      <w:r w:rsidRPr="00B06469">
        <w:rPr>
          <w:rFonts w:ascii="Times New Roman" w:hAnsi="Times New Roman" w:cs="Times New Roman"/>
          <w:sz w:val="24"/>
          <w:szCs w:val="24"/>
        </w:rPr>
        <w:t>несбалансированная структура распределения организаций по видам деятельности (ИП: 50% – торговля и сфера услуг, 15% – с.-х., охота, лесное хоз-во; большинство организация связано с бюджетной сферой); слабое развитие институтов поддержки некоммерческого сектора; слабая кадровая обеспеченность, старение квалифицированных кадров медицинских учреждений района; регион является одним из аутсайдеров по ситуации по обеспеченности медицинским персоналом;</w:t>
      </w:r>
      <w:proofErr w:type="gramEnd"/>
      <w:r w:rsidRPr="00B06469">
        <w:rPr>
          <w:rFonts w:ascii="Times New Roman" w:hAnsi="Times New Roman" w:cs="Times New Roman"/>
          <w:sz w:val="24"/>
          <w:szCs w:val="24"/>
        </w:rPr>
        <w:t xml:space="preserve"> низкая удовлетворенность жителей района услугами в сферах здравоохранения, культуры и проведения досуга, физкультуры и спорта. </w:t>
      </w:r>
    </w:p>
    <w:p w:rsidR="004D4A30" w:rsidRPr="00B06469" w:rsidRDefault="004D4A30" w:rsidP="001F0139">
      <w:pPr>
        <w:spacing w:after="0" w:line="360" w:lineRule="auto"/>
        <w:ind w:firstLine="709"/>
        <w:jc w:val="both"/>
        <w:rPr>
          <w:rFonts w:ascii="Times New Roman" w:hAnsi="Times New Roman" w:cs="Times New Roman"/>
          <w:sz w:val="24"/>
          <w:szCs w:val="24"/>
        </w:rPr>
      </w:pPr>
      <w:proofErr w:type="gramStart"/>
      <w:r w:rsidRPr="00B06469">
        <w:rPr>
          <w:rFonts w:ascii="Times New Roman" w:hAnsi="Times New Roman" w:cs="Times New Roman"/>
          <w:sz w:val="24"/>
          <w:szCs w:val="24"/>
        </w:rPr>
        <w:t xml:space="preserve">Также необходимо отметить негативную демографическую ситуацию (низкая рождаемость, высокая смертность, уровень рождаемости пока не обеспечивает простого воспроизводства населения); возрастная структура населения относится к регрессивному типу (старение населения); устойчивое отрицательное сальдо миграции (преимущественно </w:t>
      </w:r>
      <w:proofErr w:type="spellStart"/>
      <w:r w:rsidRPr="00B06469">
        <w:rPr>
          <w:rFonts w:ascii="Times New Roman" w:hAnsi="Times New Roman" w:cs="Times New Roman"/>
          <w:sz w:val="24"/>
          <w:szCs w:val="24"/>
        </w:rPr>
        <w:t>внутрирегиональная</w:t>
      </w:r>
      <w:proofErr w:type="spellEnd"/>
      <w:r w:rsidRPr="00B06469">
        <w:rPr>
          <w:rFonts w:ascii="Times New Roman" w:hAnsi="Times New Roman" w:cs="Times New Roman"/>
          <w:sz w:val="24"/>
          <w:szCs w:val="24"/>
        </w:rPr>
        <w:t xml:space="preserve"> миграция)</w:t>
      </w:r>
      <w:r w:rsidRPr="00B06469">
        <w:rPr>
          <w:rFonts w:ascii="Times New Roman" w:eastAsia="TimesNewRomanPSMT" w:hAnsi="Times New Roman" w:cs="Times New Roman"/>
          <w:sz w:val="24"/>
          <w:szCs w:val="24"/>
        </w:rPr>
        <w:t>;</w:t>
      </w:r>
      <w:r w:rsidRPr="00B06469">
        <w:rPr>
          <w:rFonts w:ascii="Times New Roman" w:hAnsi="Times New Roman" w:cs="Times New Roman"/>
          <w:sz w:val="24"/>
          <w:szCs w:val="24"/>
        </w:rPr>
        <w:t xml:space="preserve"> и низкую вовлеченность населения в занятия спортом; недостаточное количество специалистов в системе дополнительного образования; отсутствие организаций ступени высшего образования в районе;</w:t>
      </w:r>
      <w:proofErr w:type="gramEnd"/>
      <w:r w:rsidRPr="00B06469">
        <w:rPr>
          <w:rFonts w:ascii="Times New Roman" w:hAnsi="Times New Roman" w:cs="Times New Roman"/>
          <w:sz w:val="24"/>
          <w:szCs w:val="24"/>
        </w:rPr>
        <w:t xml:space="preserve"> малое число местной прессы (</w:t>
      </w:r>
      <w:proofErr w:type="spellStart"/>
      <w:r w:rsidRPr="00B06469">
        <w:rPr>
          <w:rFonts w:ascii="Times New Roman" w:hAnsi="Times New Roman" w:cs="Times New Roman"/>
          <w:sz w:val="24"/>
          <w:szCs w:val="24"/>
        </w:rPr>
        <w:t>Камышлинские</w:t>
      </w:r>
      <w:proofErr w:type="spellEnd"/>
      <w:r w:rsidRPr="00B06469">
        <w:rPr>
          <w:rFonts w:ascii="Times New Roman" w:hAnsi="Times New Roman" w:cs="Times New Roman"/>
          <w:sz w:val="24"/>
          <w:szCs w:val="24"/>
        </w:rPr>
        <w:t xml:space="preserve"> известия) и СМИ (телеканал НУР, 3 часа в неделю).</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Потенциальными возможностями</w:t>
      </w:r>
      <w:r w:rsidRPr="00B06469">
        <w:rPr>
          <w:rFonts w:ascii="Times New Roman" w:hAnsi="Times New Roman" w:cs="Times New Roman"/>
          <w:sz w:val="24"/>
          <w:szCs w:val="24"/>
        </w:rPr>
        <w:t xml:space="preserve"> для развития человеческого капитала 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 являются такие факторы, как сохранение и развитие уникального природного комплекса условий, динамичное развитие технологий связи и информационно-коммуникационных технологий, растущая потребность населения России в санаторно-курортных услугах, а также сложившиеся макроэкономические и </w:t>
      </w:r>
      <w:r w:rsidRPr="00B06469">
        <w:rPr>
          <w:rFonts w:ascii="Times New Roman" w:hAnsi="Times New Roman" w:cs="Times New Roman"/>
          <w:sz w:val="24"/>
          <w:szCs w:val="24"/>
        </w:rPr>
        <w:lastRenderedPageBreak/>
        <w:t xml:space="preserve">внешнеполитические предпосылки для развития внутреннего туризма и отечественного АПК. Возможно создание рабочих мест за счет развития с/х производства, добычи углеводородов, строительного сырья и других минеральных ресурсов, создание районообразующих предприятий (хлебозавод, молокозавод и др.), </w:t>
      </w:r>
    </w:p>
    <w:p w:rsidR="004D4A30" w:rsidRPr="00B06469" w:rsidRDefault="004D4A30" w:rsidP="001F0139">
      <w:pPr>
        <w:spacing w:after="0" w:line="360" w:lineRule="auto"/>
        <w:jc w:val="both"/>
        <w:rPr>
          <w:rFonts w:ascii="Times New Roman" w:hAnsi="Times New Roman" w:cs="Times New Roman"/>
          <w:sz w:val="24"/>
          <w:szCs w:val="24"/>
        </w:rPr>
      </w:pPr>
      <w:r w:rsidRPr="00B06469">
        <w:rPr>
          <w:rFonts w:ascii="Times New Roman" w:hAnsi="Times New Roman" w:cs="Times New Roman"/>
          <w:sz w:val="24"/>
          <w:szCs w:val="24"/>
        </w:rPr>
        <w:t xml:space="preserve">развитие семейного бизнеса. </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В социально-культурном плане в качестве возможностей можно выделить следующие направления: открытие школы искусств, развлекательно-досугового центра для населения; строительство доступного жилья; создание комфортной среды для семейного отдыха; участие в федеральных и региональных программах по поддержке семейного бизнеса и молодых семей (материальное стимулирование и общественное признание социальной значимости многодетных семей), защита детей, модернизация образования, воспитание молодежи, формирование доступной среды для людей с ограниченными возможностями; развитие, сохранение и укрепление национальных традиций.</w:t>
      </w:r>
    </w:p>
    <w:p w:rsidR="004D4A30" w:rsidRPr="00B06469" w:rsidRDefault="004D4A30" w:rsidP="001F0139">
      <w:pPr>
        <w:spacing w:after="0" w:line="360" w:lineRule="auto"/>
        <w:ind w:firstLine="709"/>
        <w:jc w:val="both"/>
        <w:rPr>
          <w:rFonts w:ascii="Times New Roman" w:hAnsi="Times New Roman" w:cs="Times New Roman"/>
          <w:sz w:val="24"/>
          <w:szCs w:val="24"/>
        </w:rPr>
      </w:pPr>
      <w:proofErr w:type="gramStart"/>
      <w:r w:rsidRPr="00B06469">
        <w:rPr>
          <w:rFonts w:ascii="Times New Roman" w:hAnsi="Times New Roman" w:cs="Times New Roman"/>
          <w:sz w:val="24"/>
          <w:szCs w:val="24"/>
        </w:rPr>
        <w:t>Кроме того положительный эффект могут оказать складывающиеся в регионе предпосылки для устойчивого развития таких отраслей как туризм, транспорт и логистика, образование, торговля; переориентация государственной политики в направлении привлечения молодежи в регион и на развитие мер поддержки молодых специалистов и меры, принимаемые на федеральном и региональном уровне по вовлечению СО НКО в процессы оказания социальных и общественно полезных услуг.</w:t>
      </w:r>
      <w:proofErr w:type="gramEnd"/>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К внешним угрозам</w:t>
      </w:r>
      <w:r w:rsidRPr="00B06469">
        <w:rPr>
          <w:rFonts w:ascii="Times New Roman" w:hAnsi="Times New Roman" w:cs="Times New Roman"/>
          <w:b/>
          <w:sz w:val="24"/>
          <w:szCs w:val="24"/>
        </w:rPr>
        <w:t>,</w:t>
      </w:r>
      <w:r w:rsidRPr="00B06469">
        <w:rPr>
          <w:rFonts w:ascii="Times New Roman" w:hAnsi="Times New Roman" w:cs="Times New Roman"/>
          <w:sz w:val="24"/>
          <w:szCs w:val="24"/>
        </w:rPr>
        <w:t xml:space="preserve"> прежде всего, относится отток квалифицированных специалистов в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 xml:space="preserve">а области и других регионов страны; отсутствие значимого роста доходов бюджета района в среднесрочной перспективе; возможные отрицательные последствия проводимых на </w:t>
      </w:r>
      <w:proofErr w:type="gramStart"/>
      <w:r w:rsidRPr="00B06469">
        <w:rPr>
          <w:rFonts w:ascii="Times New Roman" w:hAnsi="Times New Roman" w:cs="Times New Roman"/>
          <w:sz w:val="24"/>
          <w:szCs w:val="24"/>
        </w:rPr>
        <w:t>федеральном</w:t>
      </w:r>
      <w:proofErr w:type="gramEnd"/>
      <w:r w:rsidRPr="00B06469">
        <w:rPr>
          <w:rFonts w:ascii="Times New Roman" w:hAnsi="Times New Roman" w:cs="Times New Roman"/>
          <w:sz w:val="24"/>
          <w:szCs w:val="24"/>
        </w:rPr>
        <w:t xml:space="preserve"> и региональном уровнях преобразований в социальной сфере; низкая эффективность действующих в области форм поддержки малоимущих граждан.</w:t>
      </w:r>
    </w:p>
    <w:p w:rsidR="004D4A30" w:rsidRPr="00B06469" w:rsidRDefault="004D4A30" w:rsidP="001F0139">
      <w:pPr>
        <w:tabs>
          <w:tab w:val="left" w:pos="851"/>
          <w:tab w:val="decimal" w:pos="1418"/>
        </w:tabs>
        <w:spacing w:after="0" w:line="360" w:lineRule="auto"/>
        <w:contextualSpacing/>
        <w:jc w:val="both"/>
        <w:outlineLvl w:val="1"/>
        <w:rPr>
          <w:rFonts w:ascii="Times New Roman" w:hAnsi="Times New Roman" w:cs="Times New Roman"/>
          <w:b/>
          <w:color w:val="365F91"/>
          <w:sz w:val="24"/>
          <w:szCs w:val="24"/>
        </w:rPr>
      </w:pPr>
      <w:bookmarkStart w:id="13" w:name="_Toc520894854"/>
      <w:r w:rsidRPr="00B06469">
        <w:rPr>
          <w:rFonts w:ascii="Times New Roman" w:hAnsi="Times New Roman" w:cs="Times New Roman"/>
          <w:b/>
          <w:color w:val="365F91"/>
          <w:sz w:val="24"/>
          <w:szCs w:val="24"/>
        </w:rPr>
        <w:t>4.3.SWOT-анализ экономического развития и управлени</w:t>
      </w:r>
      <w:bookmarkEnd w:id="13"/>
      <w:r w:rsidRPr="00B06469">
        <w:rPr>
          <w:rFonts w:ascii="Times New Roman" w:hAnsi="Times New Roman" w:cs="Times New Roman"/>
          <w:b/>
          <w:color w:val="365F91"/>
          <w:sz w:val="24"/>
          <w:szCs w:val="24"/>
        </w:rPr>
        <w:t>я</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SWOT-анализ экономического развития и инвестиционного потенциала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w:t>
      </w:r>
      <w:proofErr w:type="gramStart"/>
      <w:r w:rsidRPr="00B06469">
        <w:rPr>
          <w:rFonts w:ascii="Times New Roman" w:hAnsi="Times New Roman" w:cs="Times New Roman"/>
          <w:sz w:val="24"/>
          <w:szCs w:val="24"/>
        </w:rPr>
        <w:t>проведен</w:t>
      </w:r>
      <w:proofErr w:type="gramEnd"/>
      <w:r w:rsidRPr="00B06469">
        <w:rPr>
          <w:rFonts w:ascii="Times New Roman" w:hAnsi="Times New Roman" w:cs="Times New Roman"/>
          <w:sz w:val="24"/>
          <w:szCs w:val="24"/>
        </w:rPr>
        <w:t xml:space="preserve"> с учетом уровня развития и потенциала различных сфер, включая промышленность, сельское хозяйство, развитие малого и среднего бизнеса, потребительского рынка и сферы услуг, инвестиций, финансового обеспечения развития и межбюджетных отношений, муниципального управления.</w:t>
      </w:r>
    </w:p>
    <w:p w:rsidR="004D4A30" w:rsidRPr="00B06469" w:rsidRDefault="004D4A30" w:rsidP="001F0139">
      <w:pPr>
        <w:widowControl w:val="0"/>
        <w:shd w:val="clear" w:color="auto" w:fill="FFFFFF"/>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Промышленность и сельское хозяйство</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shd w:val="clear" w:color="auto" w:fill="FFFFFF"/>
        </w:rPr>
        <w:t>Сильные стороны</w:t>
      </w:r>
      <w:r w:rsidRPr="00B06469">
        <w:rPr>
          <w:rFonts w:ascii="Times New Roman" w:hAnsi="Times New Roman" w:cs="Times New Roman"/>
          <w:sz w:val="24"/>
          <w:szCs w:val="24"/>
          <w:shd w:val="clear" w:color="auto" w:fill="FFFFFF"/>
        </w:rPr>
        <w:t xml:space="preserve"> </w:t>
      </w:r>
      <w:r w:rsidRPr="00B06469">
        <w:rPr>
          <w:rFonts w:ascii="Times New Roman" w:hAnsi="Times New Roman" w:cs="Times New Roman"/>
          <w:sz w:val="24"/>
          <w:szCs w:val="24"/>
        </w:rPr>
        <w:t xml:space="preserve">обусловлены наличием 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собственной ресурсной базы для деятельности предприятий по производству строительных материалов, использованием при производстве пшеницы и ячменя только элитных семян и семян первой репродукции, наличием у ООО «Байком-Сервис» лицензии для распространения </w:t>
      </w:r>
      <w:r w:rsidRPr="00B06469">
        <w:rPr>
          <w:rFonts w:ascii="Times New Roman" w:hAnsi="Times New Roman" w:cs="Times New Roman"/>
          <w:sz w:val="24"/>
          <w:szCs w:val="24"/>
        </w:rPr>
        <w:lastRenderedPageBreak/>
        <w:t xml:space="preserve">своих собственных семян, качество которых сопоставимо </w:t>
      </w:r>
      <w:proofErr w:type="gramStart"/>
      <w:r w:rsidRPr="00B06469">
        <w:rPr>
          <w:rFonts w:ascii="Times New Roman" w:hAnsi="Times New Roman" w:cs="Times New Roman"/>
          <w:sz w:val="24"/>
          <w:szCs w:val="24"/>
        </w:rPr>
        <w:t>с</w:t>
      </w:r>
      <w:proofErr w:type="gramEnd"/>
      <w:r w:rsidRPr="00B06469">
        <w:rPr>
          <w:rFonts w:ascii="Times New Roman" w:hAnsi="Times New Roman" w:cs="Times New Roman"/>
          <w:sz w:val="24"/>
          <w:szCs w:val="24"/>
        </w:rPr>
        <w:t xml:space="preserve"> элитными. К сильным сторонам можно отнести начало работ</w:t>
      </w:r>
      <w:proofErr w:type="gramStart"/>
      <w:r w:rsidRPr="00B06469">
        <w:rPr>
          <w:rFonts w:ascii="Times New Roman" w:hAnsi="Times New Roman" w:cs="Times New Roman"/>
          <w:sz w:val="24"/>
          <w:szCs w:val="24"/>
        </w:rPr>
        <w:t>ы ООО</w:t>
      </w:r>
      <w:proofErr w:type="gramEnd"/>
      <w:r w:rsidRPr="00B06469">
        <w:rPr>
          <w:rFonts w:ascii="Times New Roman" w:hAnsi="Times New Roman" w:cs="Times New Roman"/>
          <w:sz w:val="24"/>
          <w:szCs w:val="24"/>
        </w:rPr>
        <w:t xml:space="preserve"> СХП «Раздольное», которое специализируется на выращивании сельскохозяйственных культур, а также увеличение урожайности зерновых при постоянной площади обрабатываемой пашни и уменьшении размера посевных площадей.</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w:t>
      </w:r>
      <w:proofErr w:type="gramStart"/>
      <w:r w:rsidRPr="00B06469">
        <w:rPr>
          <w:rFonts w:ascii="Times New Roman" w:hAnsi="Times New Roman" w:cs="Times New Roman"/>
          <w:sz w:val="24"/>
          <w:szCs w:val="24"/>
        </w:rPr>
        <w:t xml:space="preserve">Анализ </w:t>
      </w:r>
      <w:r w:rsidRPr="00B06469">
        <w:rPr>
          <w:rFonts w:ascii="Times New Roman" w:hAnsi="Times New Roman" w:cs="Times New Roman"/>
          <w:i/>
          <w:sz w:val="24"/>
          <w:szCs w:val="24"/>
          <w:shd w:val="clear" w:color="auto" w:fill="FFFFFF"/>
        </w:rPr>
        <w:t>слабых сторон</w:t>
      </w:r>
      <w:r w:rsidRPr="00B06469">
        <w:rPr>
          <w:rFonts w:ascii="Times New Roman" w:hAnsi="Times New Roman" w:cs="Times New Roman"/>
          <w:sz w:val="24"/>
          <w:szCs w:val="24"/>
          <w:shd w:val="clear" w:color="auto" w:fill="FFFFFF"/>
        </w:rPr>
        <w:t xml:space="preserve"> </w:t>
      </w:r>
      <w:r w:rsidRPr="00B06469">
        <w:rPr>
          <w:rFonts w:ascii="Times New Roman" w:hAnsi="Times New Roman" w:cs="Times New Roman"/>
          <w:sz w:val="24"/>
          <w:szCs w:val="24"/>
        </w:rPr>
        <w:t xml:space="preserve">выявил, что ограничениями в развитии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согласно экспертной оценке являются следующие обстоятельства: нестабильная отрицательная динамика сальдированного финансового результата промышленных предприятий, изношенность основных фондов крупных и средних промышленных предприятий, небольшой ассортимент производимой продукции, рост числа убыточных предприятий, сложный рельеф территории, существенная зависимости от погодных условий, сокращение объемов производства по большинству видов животноводческой продукции, недостаточно диверсифицированная и динамично</w:t>
      </w:r>
      <w:proofErr w:type="gramEnd"/>
      <w:r w:rsidRPr="00B06469">
        <w:rPr>
          <w:rFonts w:ascii="Times New Roman" w:hAnsi="Times New Roman" w:cs="Times New Roman"/>
          <w:sz w:val="24"/>
          <w:szCs w:val="24"/>
        </w:rPr>
        <w:t xml:space="preserve"> развивающаяся структура экономики.</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shd w:val="clear" w:color="auto" w:fill="FFFFFF"/>
        </w:rPr>
        <w:t>Потенциальными возможностями</w:t>
      </w:r>
      <w:r w:rsidRPr="00B06469">
        <w:rPr>
          <w:rFonts w:ascii="Times New Roman" w:hAnsi="Times New Roman" w:cs="Times New Roman"/>
          <w:sz w:val="24"/>
          <w:szCs w:val="24"/>
          <w:shd w:val="clear" w:color="auto" w:fill="FFFFFF"/>
        </w:rPr>
        <w:t xml:space="preserve"> </w:t>
      </w:r>
      <w:r w:rsidRPr="00B06469">
        <w:rPr>
          <w:rFonts w:ascii="Times New Roman" w:hAnsi="Times New Roman" w:cs="Times New Roman"/>
          <w:sz w:val="24"/>
          <w:szCs w:val="24"/>
        </w:rPr>
        <w:t xml:space="preserve">развития промышленности и сельского хозяйства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являются: </w:t>
      </w:r>
    </w:p>
    <w:p w:rsidR="004D4A30" w:rsidRPr="00B0646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сохранения нефтедобычи, добычи неметаллических полезных ископаемых как отрасли экономики района на максимально возможный срок; повышения эффективности использования природных ресурсов территории; </w:t>
      </w:r>
    </w:p>
    <w:p w:rsidR="004D4A30" w:rsidRPr="00B0646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модернизация технологий существующих предприятий и организация новых высокотехнологичных произво</w:t>
      </w:r>
      <w:proofErr w:type="gramStart"/>
      <w:r w:rsidRPr="00B06469">
        <w:rPr>
          <w:rFonts w:ascii="Times New Roman" w:hAnsi="Times New Roman" w:cs="Times New Roman"/>
          <w:sz w:val="24"/>
          <w:szCs w:val="24"/>
        </w:rPr>
        <w:t>дств в сф</w:t>
      </w:r>
      <w:proofErr w:type="gramEnd"/>
      <w:r w:rsidRPr="00B06469">
        <w:rPr>
          <w:rFonts w:ascii="Times New Roman" w:hAnsi="Times New Roman" w:cs="Times New Roman"/>
          <w:sz w:val="24"/>
          <w:szCs w:val="24"/>
        </w:rPr>
        <w:t xml:space="preserve">ере добывающей промышленности; </w:t>
      </w:r>
    </w:p>
    <w:p w:rsidR="004D4A30" w:rsidRPr="00B0646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внедрение энергосберегающих экологически безвредных технологий и производств; </w:t>
      </w:r>
    </w:p>
    <w:p w:rsidR="004D4A30" w:rsidRPr="00B0646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повышение степени диверсификации экономики и ускорение экономического развития; </w:t>
      </w:r>
    </w:p>
    <w:p w:rsidR="004D4A30" w:rsidRPr="00B0646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ввод в сельскохозяйственный оборот неиспользуемых земель; </w:t>
      </w:r>
    </w:p>
    <w:p w:rsidR="004D4A30" w:rsidRPr="00B0646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стимулирование развития малых форм хозяйствования и личных подсобных хозяйств; </w:t>
      </w:r>
    </w:p>
    <w:p w:rsidR="004D4A30" w:rsidRPr="00B0646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увеличение объемов производства и расширение рынков сбыта сельскохозяйственной продукции.</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Современная экономическая ситуация, когда хозяйствующие субъекты вынуждены приспосабливаться к новым условиям нестабильности, негативно сказывается на динамике и характере экономического развития района. </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shd w:val="clear" w:color="auto" w:fill="FFFFFF"/>
        </w:rPr>
        <w:t>К</w:t>
      </w:r>
      <w:r w:rsidRPr="00B06469">
        <w:rPr>
          <w:rFonts w:ascii="Times New Roman" w:hAnsi="Times New Roman" w:cs="Times New Roman"/>
          <w:sz w:val="24"/>
          <w:szCs w:val="24"/>
          <w:shd w:val="clear" w:color="auto" w:fill="FFFFFF"/>
        </w:rPr>
        <w:t xml:space="preserve"> </w:t>
      </w:r>
      <w:r w:rsidRPr="00B06469">
        <w:rPr>
          <w:rFonts w:ascii="Times New Roman" w:hAnsi="Times New Roman" w:cs="Times New Roman"/>
          <w:i/>
          <w:sz w:val="24"/>
          <w:szCs w:val="24"/>
          <w:shd w:val="clear" w:color="auto" w:fill="FFFFFF"/>
        </w:rPr>
        <w:t>внешним угрозам</w:t>
      </w:r>
      <w:r w:rsidRPr="00B06469">
        <w:rPr>
          <w:rFonts w:ascii="Times New Roman" w:hAnsi="Times New Roman" w:cs="Times New Roman"/>
          <w:sz w:val="24"/>
          <w:szCs w:val="24"/>
          <w:shd w:val="clear" w:color="auto" w:fill="FFFFFF"/>
        </w:rPr>
        <w:t xml:space="preserve"> </w:t>
      </w:r>
      <w:r w:rsidRPr="00B06469">
        <w:rPr>
          <w:rFonts w:ascii="Times New Roman" w:hAnsi="Times New Roman" w:cs="Times New Roman"/>
          <w:sz w:val="24"/>
          <w:szCs w:val="24"/>
        </w:rPr>
        <w:t>развития можно отнести: недостаток высококвалифицированной рабочей силы; продолжительную экономическую рецессию; снижение внутреннего платежеспособного спроса; сужение рынков сбыта продукции традиционных промышленных отраслей, составляющих основу специализации района.</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lastRenderedPageBreak/>
        <w:t>Малый и средний бизнес</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i/>
          <w:sz w:val="24"/>
          <w:szCs w:val="24"/>
          <w:shd w:val="clear" w:color="auto" w:fill="FFFFFF"/>
        </w:rPr>
        <w:t>К сильным сторонам</w:t>
      </w:r>
      <w:r w:rsidRPr="00B06469">
        <w:rPr>
          <w:rFonts w:ascii="Times New Roman" w:hAnsi="Times New Roman" w:cs="Times New Roman"/>
          <w:sz w:val="24"/>
          <w:szCs w:val="24"/>
          <w:shd w:val="clear" w:color="auto" w:fill="FFFFFF"/>
        </w:rPr>
        <w:t xml:space="preserve"> развития малого бизнеса в районе относятся: финансовая поддержка районного фонда микрофинансирования субъектов малого и среднего предпринимательства и содействие населению в организации собственного дела по программе </w:t>
      </w:r>
      <w:proofErr w:type="spellStart"/>
      <w:r w:rsidRPr="00B06469">
        <w:rPr>
          <w:rFonts w:ascii="Times New Roman" w:hAnsi="Times New Roman" w:cs="Times New Roman"/>
          <w:sz w:val="24"/>
          <w:szCs w:val="24"/>
          <w:shd w:val="clear" w:color="auto" w:fill="FFFFFF"/>
        </w:rPr>
        <w:t>самозанятости</w:t>
      </w:r>
      <w:proofErr w:type="spellEnd"/>
      <w:r w:rsidRPr="00B06469">
        <w:rPr>
          <w:rFonts w:ascii="Times New Roman" w:hAnsi="Times New Roman" w:cs="Times New Roman"/>
          <w:sz w:val="24"/>
          <w:szCs w:val="24"/>
          <w:shd w:val="clear" w:color="auto" w:fill="FFFFFF"/>
        </w:rPr>
        <w:t>.</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i/>
          <w:sz w:val="24"/>
          <w:szCs w:val="24"/>
          <w:shd w:val="clear" w:color="auto" w:fill="FFFFFF"/>
        </w:rPr>
        <w:t>К слабым сторонам</w:t>
      </w:r>
      <w:r w:rsidRPr="00B06469">
        <w:rPr>
          <w:rFonts w:ascii="Times New Roman" w:hAnsi="Times New Roman" w:cs="Times New Roman"/>
          <w:sz w:val="24"/>
          <w:szCs w:val="24"/>
          <w:shd w:val="clear" w:color="auto" w:fill="FFFFFF"/>
        </w:rPr>
        <w:t xml:space="preserve"> развития предпринимательского сектора можно отнести: преобладание оптово-розничной торговли над сельскохозяйственным производством, отсутствие финансирования программы поддержки и развития малого предпринимательства со стороны местного бюджета с 2014 г., отрицательную динамику по большинству показателей развития субъектов малого и среднего предпринимательства с 2012 г.</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sz w:val="24"/>
          <w:szCs w:val="24"/>
          <w:shd w:val="clear" w:color="auto" w:fill="FFFFFF"/>
        </w:rPr>
        <w:t xml:space="preserve">Развитие предпринимательской активности будет во многом определяться макроэкономической ситуацией в стране и регионе, а также последовательностью и эффективностью действий органов местного самоуправления по улучшению </w:t>
      </w:r>
      <w:proofErr w:type="gramStart"/>
      <w:r w:rsidRPr="00B06469">
        <w:rPr>
          <w:rFonts w:ascii="Times New Roman" w:hAnsi="Times New Roman" w:cs="Times New Roman"/>
          <w:sz w:val="24"/>
          <w:szCs w:val="24"/>
          <w:shd w:val="clear" w:color="auto" w:fill="FFFFFF"/>
        </w:rPr>
        <w:t>бизнес-климата</w:t>
      </w:r>
      <w:proofErr w:type="gramEnd"/>
      <w:r w:rsidRPr="00B06469">
        <w:rPr>
          <w:rFonts w:ascii="Times New Roman" w:hAnsi="Times New Roman" w:cs="Times New Roman"/>
          <w:sz w:val="24"/>
          <w:szCs w:val="24"/>
          <w:shd w:val="clear" w:color="auto" w:fill="FFFFFF"/>
        </w:rPr>
        <w:t xml:space="preserve"> на территории </w:t>
      </w:r>
      <w:proofErr w:type="spellStart"/>
      <w:r w:rsidRPr="00B06469">
        <w:rPr>
          <w:rFonts w:ascii="Times New Roman" w:hAnsi="Times New Roman" w:cs="Times New Roman"/>
          <w:sz w:val="24"/>
          <w:szCs w:val="24"/>
          <w:shd w:val="clear" w:color="auto" w:fill="FFFFFF"/>
        </w:rPr>
        <w:t>Камышлинского</w:t>
      </w:r>
      <w:proofErr w:type="spellEnd"/>
      <w:r w:rsidRPr="00B06469">
        <w:rPr>
          <w:rFonts w:ascii="Times New Roman" w:hAnsi="Times New Roman" w:cs="Times New Roman"/>
          <w:sz w:val="24"/>
          <w:szCs w:val="24"/>
          <w:shd w:val="clear" w:color="auto" w:fill="FFFFFF"/>
        </w:rPr>
        <w:t xml:space="preserve"> района.</w:t>
      </w:r>
    </w:p>
    <w:p w:rsidR="004D4A30" w:rsidRPr="00B06469" w:rsidRDefault="004D4A30" w:rsidP="001F0139">
      <w:pPr>
        <w:spacing w:after="0" w:line="360" w:lineRule="auto"/>
        <w:ind w:firstLine="709"/>
        <w:jc w:val="both"/>
        <w:rPr>
          <w:rFonts w:ascii="Times New Roman" w:hAnsi="Times New Roman" w:cs="Times New Roman"/>
          <w:sz w:val="24"/>
          <w:szCs w:val="24"/>
        </w:rPr>
      </w:pPr>
      <w:proofErr w:type="gramStart"/>
      <w:r w:rsidRPr="00B06469">
        <w:rPr>
          <w:rFonts w:ascii="Times New Roman" w:hAnsi="Times New Roman" w:cs="Times New Roman"/>
          <w:sz w:val="24"/>
          <w:szCs w:val="24"/>
          <w:shd w:val="clear" w:color="auto" w:fill="FFFFFF"/>
        </w:rPr>
        <w:t xml:space="preserve">Успешное развитие малого и среднего бизнеса связаны с реализацией следующих </w:t>
      </w:r>
      <w:r w:rsidRPr="00B06469">
        <w:rPr>
          <w:rFonts w:ascii="Times New Roman" w:hAnsi="Times New Roman" w:cs="Times New Roman"/>
          <w:i/>
          <w:sz w:val="24"/>
          <w:szCs w:val="24"/>
          <w:shd w:val="clear" w:color="auto" w:fill="FFFFFF"/>
        </w:rPr>
        <w:t>потенциальных возможностей</w:t>
      </w:r>
      <w:r w:rsidRPr="00B06469">
        <w:rPr>
          <w:rFonts w:ascii="Times New Roman" w:hAnsi="Times New Roman" w:cs="Times New Roman"/>
          <w:sz w:val="24"/>
          <w:szCs w:val="24"/>
          <w:shd w:val="clear" w:color="auto" w:fill="FFFFFF"/>
        </w:rPr>
        <w:t>: п</w:t>
      </w:r>
      <w:r w:rsidRPr="00B06469">
        <w:rPr>
          <w:rFonts w:ascii="Times New Roman" w:hAnsi="Times New Roman" w:cs="Times New Roman"/>
          <w:sz w:val="24"/>
          <w:szCs w:val="24"/>
        </w:rPr>
        <w:t>овышение комфортности бизнес-среды, снижение административных барьеров для выхода на новые рынки, участие в государственных программах по поддержке малого и среднего бизнеса, развитие производственной кооперации между крупным бизнесом и предприятиями МСП в рамках реализации муниципальной программы, расширение рыночных сегментов присутствия малого бизнеса в экономике района.</w:t>
      </w:r>
      <w:proofErr w:type="gramEnd"/>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shd w:val="clear" w:color="auto" w:fill="FFFFFF"/>
        </w:rPr>
        <w:t>Внешние угрозы</w:t>
      </w:r>
      <w:r w:rsidRPr="00B06469">
        <w:rPr>
          <w:rFonts w:ascii="Times New Roman" w:hAnsi="Times New Roman" w:cs="Times New Roman"/>
          <w:sz w:val="24"/>
          <w:szCs w:val="24"/>
          <w:shd w:val="clear" w:color="auto" w:fill="FFFFFF"/>
        </w:rPr>
        <w:t xml:space="preserve"> для развития малого бизнеса связаны с ростом фискальной нагрузки на бизнес; с</w:t>
      </w:r>
      <w:r w:rsidRPr="00B06469">
        <w:rPr>
          <w:rFonts w:ascii="Times New Roman" w:hAnsi="Times New Roman" w:cs="Times New Roman"/>
          <w:sz w:val="24"/>
          <w:szCs w:val="24"/>
        </w:rPr>
        <w:t>нижением платежеспособного спроса, удорожанием кредитных ресурсов, отсутствием действенных механизмов господдержки.</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Потребительский рынок и сфера услуг</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shd w:val="clear" w:color="auto" w:fill="FFFFFF"/>
        </w:rPr>
        <w:t xml:space="preserve"> </w:t>
      </w:r>
      <w:r w:rsidRPr="00B06469">
        <w:rPr>
          <w:rFonts w:ascii="Times New Roman" w:hAnsi="Times New Roman" w:cs="Times New Roman"/>
          <w:i/>
          <w:sz w:val="24"/>
          <w:szCs w:val="24"/>
          <w:shd w:val="clear" w:color="auto" w:fill="FFFFFF"/>
        </w:rPr>
        <w:t>К сильным сторонам</w:t>
      </w:r>
      <w:r w:rsidRPr="00B06469">
        <w:rPr>
          <w:rFonts w:ascii="Times New Roman" w:hAnsi="Times New Roman" w:cs="Times New Roman"/>
          <w:sz w:val="24"/>
          <w:szCs w:val="24"/>
          <w:shd w:val="clear" w:color="auto" w:fill="FFFFFF"/>
        </w:rPr>
        <w:t xml:space="preserve"> развития потребительского рынка и сферы услуг следует отнести: </w:t>
      </w:r>
      <w:r w:rsidRPr="00B06469">
        <w:rPr>
          <w:rFonts w:ascii="Times New Roman" w:hAnsi="Times New Roman" w:cs="Times New Roman"/>
          <w:sz w:val="24"/>
          <w:szCs w:val="24"/>
        </w:rPr>
        <w:t>лидирующие позиции среди муниципальных районов Самарской области по обороту общественного питания и рост оборота розничной торговли.</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shd w:val="clear" w:color="auto" w:fill="FFFFFF"/>
        </w:rPr>
        <w:t xml:space="preserve">Наряду с положительными характеристиками, на потребительском рынке района существует и ряд проблем, определяющих его </w:t>
      </w:r>
      <w:r w:rsidRPr="00B06469">
        <w:rPr>
          <w:rFonts w:ascii="Times New Roman" w:hAnsi="Times New Roman" w:cs="Times New Roman"/>
          <w:i/>
          <w:sz w:val="24"/>
          <w:szCs w:val="24"/>
          <w:shd w:val="clear" w:color="auto" w:fill="FFFFFF"/>
        </w:rPr>
        <w:t>слабые стороны</w:t>
      </w:r>
      <w:r w:rsidRPr="00B06469">
        <w:rPr>
          <w:rFonts w:ascii="Times New Roman" w:hAnsi="Times New Roman" w:cs="Times New Roman"/>
          <w:b/>
          <w:sz w:val="24"/>
          <w:szCs w:val="24"/>
          <w:shd w:val="clear" w:color="auto" w:fill="FFFFFF"/>
        </w:rPr>
        <w:t xml:space="preserve">: </w:t>
      </w:r>
      <w:r w:rsidRPr="00B06469">
        <w:rPr>
          <w:rFonts w:ascii="Times New Roman" w:hAnsi="Times New Roman" w:cs="Times New Roman"/>
          <w:sz w:val="24"/>
          <w:szCs w:val="24"/>
        </w:rPr>
        <w:t>не развита потребительская кооперация по розничной торговле, а в сфере услуг ее объемы сокращаются; не развита система бытового обслуживания. Многие виды бытовых услуг отсутствуют.</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shd w:val="clear" w:color="auto" w:fill="FFFFFF"/>
        </w:rPr>
        <w:t>Угрозы</w:t>
      </w:r>
      <w:r w:rsidRPr="00B06469">
        <w:rPr>
          <w:rFonts w:ascii="Times New Roman" w:hAnsi="Times New Roman" w:cs="Times New Roman"/>
          <w:sz w:val="24"/>
          <w:szCs w:val="24"/>
          <w:shd w:val="clear" w:color="auto" w:fill="FFFFFF"/>
        </w:rPr>
        <w:t xml:space="preserve"> развития сферы услуг и потребительского рынка обусловлены внешними негативными обстоятельствами, вызванными общеэкономической нестабильностью, </w:t>
      </w:r>
      <w:r w:rsidRPr="00B06469">
        <w:rPr>
          <w:rFonts w:ascii="Times New Roman" w:hAnsi="Times New Roman" w:cs="Times New Roman"/>
          <w:sz w:val="24"/>
          <w:szCs w:val="24"/>
        </w:rPr>
        <w:lastRenderedPageBreak/>
        <w:t>сокращением расходов местного бюджета на поддержку организаций, работающих в сфере розничной торговли и закрытием ряда торговых сетей в связи с падением прибыли.</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sz w:val="24"/>
          <w:szCs w:val="24"/>
          <w:shd w:val="clear" w:color="auto" w:fill="FFFFFF"/>
        </w:rPr>
        <w:t xml:space="preserve"> </w:t>
      </w:r>
      <w:r w:rsidRPr="00B06469">
        <w:rPr>
          <w:rFonts w:ascii="Times New Roman" w:hAnsi="Times New Roman" w:cs="Times New Roman"/>
          <w:i/>
          <w:sz w:val="24"/>
          <w:szCs w:val="24"/>
          <w:shd w:val="clear" w:color="auto" w:fill="FFFFFF"/>
        </w:rPr>
        <w:t>Возможности</w:t>
      </w:r>
      <w:r w:rsidRPr="00B06469">
        <w:rPr>
          <w:rFonts w:ascii="Times New Roman" w:hAnsi="Times New Roman" w:cs="Times New Roman"/>
          <w:sz w:val="24"/>
          <w:szCs w:val="24"/>
          <w:shd w:val="clear" w:color="auto" w:fill="FFFFFF"/>
        </w:rPr>
        <w:t xml:space="preserve"> развития потребительского рынка и сферы услуг связаны, прежде всего, с повышением качества и расширением видов платных услуг, предоставляемых населению; повышением уровня добротности и дизайна торговых объектов; </w:t>
      </w:r>
      <w:r w:rsidRPr="00B06469">
        <w:rPr>
          <w:rFonts w:ascii="Times New Roman" w:hAnsi="Times New Roman" w:cs="Times New Roman"/>
          <w:sz w:val="24"/>
          <w:szCs w:val="24"/>
        </w:rPr>
        <w:t>повышением качества обслуживания на предприятиях общественного питания.</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Инвестиции</w:t>
      </w:r>
    </w:p>
    <w:p w:rsidR="004D4A30" w:rsidRPr="00B06469" w:rsidRDefault="004D4A30" w:rsidP="001F0139">
      <w:pPr>
        <w:spacing w:after="0" w:line="360" w:lineRule="auto"/>
        <w:ind w:firstLine="709"/>
        <w:jc w:val="both"/>
        <w:rPr>
          <w:rFonts w:ascii="Times New Roman" w:hAnsi="Times New Roman" w:cs="Times New Roman"/>
          <w:iCs/>
          <w:sz w:val="24"/>
          <w:szCs w:val="24"/>
        </w:rPr>
      </w:pPr>
      <w:r w:rsidRPr="00B06469">
        <w:rPr>
          <w:rFonts w:ascii="Times New Roman" w:hAnsi="Times New Roman" w:cs="Times New Roman"/>
          <w:sz w:val="24"/>
          <w:szCs w:val="24"/>
        </w:rPr>
        <w:t xml:space="preserve"> </w:t>
      </w:r>
      <w:r w:rsidRPr="00B06469">
        <w:rPr>
          <w:rFonts w:ascii="Times New Roman" w:hAnsi="Times New Roman" w:cs="Times New Roman"/>
          <w:i/>
          <w:iCs/>
          <w:sz w:val="24"/>
          <w:szCs w:val="24"/>
        </w:rPr>
        <w:t>К сильным сторонам</w:t>
      </w:r>
      <w:r w:rsidRPr="00B06469">
        <w:rPr>
          <w:rFonts w:ascii="Times New Roman" w:hAnsi="Times New Roman" w:cs="Times New Roman"/>
          <w:iCs/>
          <w:sz w:val="24"/>
          <w:szCs w:val="24"/>
        </w:rPr>
        <w:t xml:space="preserve"> можно отнести </w:t>
      </w:r>
      <w:r w:rsidRPr="00B06469">
        <w:rPr>
          <w:rFonts w:ascii="Times New Roman" w:hAnsi="Times New Roman" w:cs="Times New Roman"/>
          <w:sz w:val="24"/>
          <w:szCs w:val="24"/>
        </w:rPr>
        <w:t>наличие свободных инвестиционно-привлекательных земельных участков, предназначенных под застройку населением и бизнесом, наличие документов, регламентирующих инвестиционное развитие муниципального района, положительную динамику темпов роста инвестиционных вложений.</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Cs/>
          <w:sz w:val="24"/>
          <w:szCs w:val="24"/>
        </w:rPr>
        <w:t xml:space="preserve">Одновременно с этими обстоятельствами, отмечены </w:t>
      </w:r>
      <w:r w:rsidRPr="00B06469">
        <w:rPr>
          <w:rFonts w:ascii="Times New Roman" w:hAnsi="Times New Roman" w:cs="Times New Roman"/>
          <w:b/>
          <w:i/>
          <w:iCs/>
          <w:sz w:val="24"/>
          <w:szCs w:val="24"/>
        </w:rPr>
        <w:t>слабые стороны</w:t>
      </w:r>
      <w:r w:rsidRPr="00B06469">
        <w:rPr>
          <w:rFonts w:ascii="Times New Roman" w:hAnsi="Times New Roman" w:cs="Times New Roman"/>
          <w:iCs/>
          <w:sz w:val="24"/>
          <w:szCs w:val="24"/>
        </w:rPr>
        <w:t xml:space="preserve"> в развитии инвестиционной деятельности на территории района: </w:t>
      </w:r>
      <w:r w:rsidRPr="00B06469">
        <w:rPr>
          <w:rFonts w:ascii="Times New Roman" w:hAnsi="Times New Roman" w:cs="Times New Roman"/>
          <w:sz w:val="24"/>
          <w:szCs w:val="24"/>
        </w:rPr>
        <w:t xml:space="preserve">дотационный бюджет района; отсутствие привлеченных зарубежных инвестиций; дефицит собственных финансовых средств. </w:t>
      </w:r>
    </w:p>
    <w:p w:rsidR="004D4A30" w:rsidRPr="00B06469" w:rsidRDefault="004D4A30" w:rsidP="001F0139">
      <w:pPr>
        <w:spacing w:after="0" w:line="360" w:lineRule="auto"/>
        <w:ind w:firstLine="709"/>
        <w:jc w:val="both"/>
        <w:rPr>
          <w:rFonts w:ascii="Times New Roman" w:hAnsi="Times New Roman" w:cs="Times New Roman"/>
          <w:iCs/>
          <w:sz w:val="24"/>
          <w:szCs w:val="24"/>
        </w:rPr>
      </w:pPr>
      <w:r w:rsidRPr="00B06469">
        <w:rPr>
          <w:rFonts w:ascii="Times New Roman" w:hAnsi="Times New Roman" w:cs="Times New Roman"/>
          <w:iCs/>
          <w:sz w:val="24"/>
          <w:szCs w:val="24"/>
        </w:rPr>
        <w:t xml:space="preserve">Благоприятные перспективы, </w:t>
      </w:r>
      <w:r w:rsidRPr="00B06469">
        <w:rPr>
          <w:rFonts w:ascii="Times New Roman" w:hAnsi="Times New Roman" w:cs="Times New Roman"/>
          <w:i/>
          <w:iCs/>
          <w:sz w:val="24"/>
          <w:szCs w:val="24"/>
        </w:rPr>
        <w:t>потенциальные возможности</w:t>
      </w:r>
      <w:r w:rsidRPr="00B06469">
        <w:rPr>
          <w:rFonts w:ascii="Times New Roman" w:hAnsi="Times New Roman" w:cs="Times New Roman"/>
          <w:iCs/>
          <w:sz w:val="24"/>
          <w:szCs w:val="24"/>
        </w:rPr>
        <w:t xml:space="preserve"> развития инвестиционной деятельности на территории </w:t>
      </w:r>
      <w:proofErr w:type="spellStart"/>
      <w:r w:rsidRPr="00B06469">
        <w:rPr>
          <w:rFonts w:ascii="Times New Roman" w:hAnsi="Times New Roman" w:cs="Times New Roman"/>
          <w:iCs/>
          <w:sz w:val="24"/>
          <w:szCs w:val="24"/>
        </w:rPr>
        <w:t>Камышлинского</w:t>
      </w:r>
      <w:proofErr w:type="spellEnd"/>
      <w:r w:rsidRPr="00B06469">
        <w:rPr>
          <w:rFonts w:ascii="Times New Roman" w:hAnsi="Times New Roman" w:cs="Times New Roman"/>
          <w:iCs/>
          <w:sz w:val="24"/>
          <w:szCs w:val="24"/>
        </w:rPr>
        <w:t xml:space="preserve"> района связаны со следующими мероприятиями:</w:t>
      </w:r>
    </w:p>
    <w:p w:rsidR="004D4A30" w:rsidRPr="00B06469" w:rsidRDefault="004D4A30" w:rsidP="001F0139">
      <w:pPr>
        <w:numPr>
          <w:ilvl w:val="0"/>
          <w:numId w:val="9"/>
        </w:numPr>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реализация федеральных и региональных инвестиционных проектов и программ, создающих новые импульсы для развития муниципального района;</w:t>
      </w:r>
    </w:p>
    <w:p w:rsidR="004D4A30" w:rsidRPr="00B06469" w:rsidRDefault="004D4A30" w:rsidP="001F0139">
      <w:pPr>
        <w:numPr>
          <w:ilvl w:val="0"/>
          <w:numId w:val="9"/>
        </w:numPr>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участие в программах и конкурсах привлечения инвестиций;</w:t>
      </w:r>
    </w:p>
    <w:p w:rsidR="004D4A30" w:rsidRPr="00B06469" w:rsidRDefault="004D4A30" w:rsidP="001F0139">
      <w:pPr>
        <w:numPr>
          <w:ilvl w:val="0"/>
          <w:numId w:val="9"/>
        </w:numPr>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развитие механизма </w:t>
      </w:r>
      <w:proofErr w:type="spellStart"/>
      <w:r w:rsidRPr="00B06469">
        <w:rPr>
          <w:rFonts w:ascii="Times New Roman" w:hAnsi="Times New Roman" w:cs="Times New Roman"/>
          <w:sz w:val="24"/>
          <w:szCs w:val="24"/>
        </w:rPr>
        <w:t>муниципально</w:t>
      </w:r>
      <w:proofErr w:type="spellEnd"/>
      <w:r w:rsidRPr="00B06469">
        <w:rPr>
          <w:rFonts w:ascii="Times New Roman" w:hAnsi="Times New Roman" w:cs="Times New Roman"/>
          <w:sz w:val="24"/>
          <w:szCs w:val="24"/>
        </w:rPr>
        <w:t>-частного партнерства;</w:t>
      </w:r>
    </w:p>
    <w:p w:rsidR="004D4A30" w:rsidRPr="00B06469" w:rsidRDefault="004D4A30" w:rsidP="001F0139">
      <w:pPr>
        <w:numPr>
          <w:ilvl w:val="0"/>
          <w:numId w:val="9"/>
        </w:numPr>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повышение инвестиционной активности местных инвесторов и привлечение зарубежных партнеров;</w:t>
      </w:r>
    </w:p>
    <w:p w:rsidR="004D4A30" w:rsidRPr="00B06469" w:rsidRDefault="004D4A30" w:rsidP="001F0139">
      <w:pPr>
        <w:numPr>
          <w:ilvl w:val="0"/>
          <w:numId w:val="9"/>
        </w:numPr>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увеличение доли собственных доходов бюджета в общих доходах местного бюджета;</w:t>
      </w:r>
    </w:p>
    <w:p w:rsidR="004D4A30" w:rsidRPr="00B06469" w:rsidRDefault="004D4A30" w:rsidP="001F0139">
      <w:pPr>
        <w:numPr>
          <w:ilvl w:val="0"/>
          <w:numId w:val="9"/>
        </w:numPr>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наращивание налогового потенциала.</w:t>
      </w:r>
    </w:p>
    <w:p w:rsidR="004D4A30" w:rsidRPr="00B06469" w:rsidRDefault="004D4A30" w:rsidP="001F0139">
      <w:pPr>
        <w:spacing w:after="0" w:line="360" w:lineRule="auto"/>
        <w:ind w:firstLine="709"/>
        <w:jc w:val="both"/>
        <w:rPr>
          <w:rFonts w:ascii="Times New Roman" w:hAnsi="Times New Roman" w:cs="Times New Roman"/>
          <w:iCs/>
          <w:sz w:val="24"/>
          <w:szCs w:val="24"/>
        </w:rPr>
      </w:pPr>
      <w:proofErr w:type="gramStart"/>
      <w:r w:rsidRPr="00B06469">
        <w:rPr>
          <w:rFonts w:ascii="Times New Roman" w:hAnsi="Times New Roman" w:cs="Times New Roman"/>
          <w:iCs/>
          <w:sz w:val="24"/>
          <w:szCs w:val="24"/>
        </w:rPr>
        <w:t xml:space="preserve">Инвестиционную активность в районе сдерживают следующие обстоятельства, формирующие </w:t>
      </w:r>
      <w:r w:rsidRPr="00B06469">
        <w:rPr>
          <w:rFonts w:ascii="Times New Roman" w:hAnsi="Times New Roman" w:cs="Times New Roman"/>
          <w:i/>
          <w:iCs/>
          <w:sz w:val="24"/>
          <w:szCs w:val="24"/>
        </w:rPr>
        <w:t>внешние угрозы</w:t>
      </w:r>
      <w:r w:rsidRPr="00B06469">
        <w:rPr>
          <w:rFonts w:ascii="Times New Roman" w:hAnsi="Times New Roman" w:cs="Times New Roman"/>
          <w:iCs/>
          <w:sz w:val="24"/>
          <w:szCs w:val="24"/>
        </w:rPr>
        <w:t xml:space="preserve">: рост инфляции; снижение надежности </w:t>
      </w:r>
      <w:r w:rsidRPr="00B06469">
        <w:rPr>
          <w:rFonts w:ascii="Times New Roman" w:hAnsi="Times New Roman" w:cs="Times New Roman"/>
          <w:sz w:val="24"/>
          <w:szCs w:val="24"/>
        </w:rPr>
        <w:t>финансовой системы страны; сокращение предложения и удорожание финансовых и инвестиционных ресурсов; сокращение налоговой базы в связи с рецессией в экономике; замедление темпов экономического развития и, как следствие, снижение темпов роста инвестиций; рост конкуренции за инвестиционные ресурсы, в том числе бюджетные.</w:t>
      </w:r>
      <w:proofErr w:type="gramEnd"/>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Финансовое обеспечение развития МО</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 xml:space="preserve"> </w:t>
      </w:r>
      <w:r w:rsidRPr="00B06469">
        <w:rPr>
          <w:rFonts w:ascii="Times New Roman" w:hAnsi="Times New Roman" w:cs="Times New Roman"/>
          <w:i/>
          <w:sz w:val="24"/>
          <w:szCs w:val="24"/>
          <w:shd w:val="clear" w:color="auto" w:fill="FFFFFF"/>
        </w:rPr>
        <w:t>К сильным сторонам</w:t>
      </w:r>
      <w:r w:rsidRPr="00B06469">
        <w:rPr>
          <w:rFonts w:ascii="Times New Roman" w:hAnsi="Times New Roman" w:cs="Times New Roman"/>
          <w:sz w:val="24"/>
          <w:szCs w:val="24"/>
          <w:shd w:val="clear" w:color="auto" w:fill="FFFFFF"/>
        </w:rPr>
        <w:t xml:space="preserve"> относятся: </w:t>
      </w:r>
      <w:r w:rsidRPr="00B06469">
        <w:rPr>
          <w:rFonts w:ascii="Times New Roman" w:hAnsi="Times New Roman" w:cs="Times New Roman"/>
          <w:sz w:val="24"/>
          <w:szCs w:val="24"/>
        </w:rPr>
        <w:t xml:space="preserve">положительная динамика наполняемости бюджета за счет налоговых поступлений, положительная динамика расходов бюджета на </w:t>
      </w:r>
      <w:r w:rsidRPr="00B06469">
        <w:rPr>
          <w:rFonts w:ascii="Times New Roman" w:hAnsi="Times New Roman" w:cs="Times New Roman"/>
          <w:sz w:val="24"/>
          <w:szCs w:val="24"/>
        </w:rPr>
        <w:lastRenderedPageBreak/>
        <w:t>национальную экономику и культуру, возобновление финансирования местным бюджетом физической культуры и спорта (с 2015 г.).</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shd w:val="clear" w:color="auto" w:fill="FFFFFF"/>
        </w:rPr>
        <w:t xml:space="preserve">Наряду с положительными характеристиками финансового обеспечения </w:t>
      </w:r>
      <w:proofErr w:type="spellStart"/>
      <w:r w:rsidRPr="00B06469">
        <w:rPr>
          <w:rFonts w:ascii="Times New Roman" w:hAnsi="Times New Roman" w:cs="Times New Roman"/>
          <w:sz w:val="24"/>
          <w:szCs w:val="24"/>
          <w:shd w:val="clear" w:color="auto" w:fill="FFFFFF"/>
        </w:rPr>
        <w:t>Камышлинского</w:t>
      </w:r>
      <w:proofErr w:type="spellEnd"/>
      <w:r w:rsidRPr="00B06469">
        <w:rPr>
          <w:rFonts w:ascii="Times New Roman" w:hAnsi="Times New Roman" w:cs="Times New Roman"/>
          <w:sz w:val="24"/>
          <w:szCs w:val="24"/>
          <w:shd w:val="clear" w:color="auto" w:fill="FFFFFF"/>
        </w:rPr>
        <w:t xml:space="preserve"> района, существует и ряд проблем, определяющих его </w:t>
      </w:r>
      <w:r w:rsidRPr="00B06469">
        <w:rPr>
          <w:rFonts w:ascii="Times New Roman" w:hAnsi="Times New Roman" w:cs="Times New Roman"/>
          <w:i/>
          <w:sz w:val="24"/>
          <w:szCs w:val="24"/>
          <w:shd w:val="clear" w:color="auto" w:fill="FFFFFF"/>
        </w:rPr>
        <w:t>слабые стороны</w:t>
      </w:r>
      <w:r w:rsidRPr="00B06469">
        <w:rPr>
          <w:rFonts w:ascii="Times New Roman" w:hAnsi="Times New Roman" w:cs="Times New Roman"/>
          <w:sz w:val="24"/>
          <w:szCs w:val="24"/>
          <w:shd w:val="clear" w:color="auto" w:fill="FFFFFF"/>
        </w:rPr>
        <w:t xml:space="preserve">: </w:t>
      </w:r>
      <w:r w:rsidRPr="00B06469">
        <w:rPr>
          <w:rFonts w:ascii="Times New Roman" w:hAnsi="Times New Roman" w:cs="Times New Roman"/>
          <w:sz w:val="24"/>
          <w:szCs w:val="24"/>
        </w:rPr>
        <w:t xml:space="preserve">отрицательная динамика наполняемости бюджета за счет неналоговых поступлений; высокий уровень </w:t>
      </w:r>
      <w:proofErr w:type="spellStart"/>
      <w:r w:rsidRPr="00B06469">
        <w:rPr>
          <w:rFonts w:ascii="Times New Roman" w:hAnsi="Times New Roman" w:cs="Times New Roman"/>
          <w:sz w:val="24"/>
          <w:szCs w:val="24"/>
        </w:rPr>
        <w:t>дотационности</w:t>
      </w:r>
      <w:proofErr w:type="spellEnd"/>
      <w:r w:rsidRPr="00B06469">
        <w:rPr>
          <w:rFonts w:ascii="Times New Roman" w:hAnsi="Times New Roman" w:cs="Times New Roman"/>
          <w:sz w:val="24"/>
          <w:szCs w:val="24"/>
        </w:rPr>
        <w:t xml:space="preserve"> местного бюджета; отрицательная динамика расходов бюджета на ЖКХ, образование и социальную политику.</w:t>
      </w:r>
    </w:p>
    <w:p w:rsidR="004D4A30" w:rsidRPr="00B06469" w:rsidRDefault="004D4A30" w:rsidP="001F0139">
      <w:pPr>
        <w:spacing w:after="0" w:line="360" w:lineRule="auto"/>
        <w:ind w:firstLine="709"/>
        <w:jc w:val="both"/>
        <w:rPr>
          <w:rFonts w:ascii="Times New Roman" w:hAnsi="Times New Roman" w:cs="Times New Roman"/>
          <w:iCs/>
          <w:sz w:val="24"/>
          <w:szCs w:val="24"/>
        </w:rPr>
      </w:pPr>
      <w:r w:rsidRPr="00B06469">
        <w:rPr>
          <w:rFonts w:ascii="Times New Roman" w:hAnsi="Times New Roman" w:cs="Times New Roman"/>
          <w:iCs/>
          <w:sz w:val="24"/>
          <w:szCs w:val="24"/>
        </w:rPr>
        <w:t xml:space="preserve">Благоприятные перспективы, </w:t>
      </w:r>
      <w:r w:rsidRPr="00B06469">
        <w:rPr>
          <w:rFonts w:ascii="Times New Roman" w:hAnsi="Times New Roman" w:cs="Times New Roman"/>
          <w:i/>
          <w:iCs/>
          <w:sz w:val="24"/>
          <w:szCs w:val="24"/>
        </w:rPr>
        <w:t>потенциальные возможности</w:t>
      </w:r>
      <w:r w:rsidRPr="00B06469">
        <w:rPr>
          <w:rFonts w:ascii="Times New Roman" w:hAnsi="Times New Roman" w:cs="Times New Roman"/>
          <w:iCs/>
          <w:sz w:val="24"/>
          <w:szCs w:val="24"/>
        </w:rPr>
        <w:t xml:space="preserve"> </w:t>
      </w:r>
      <w:r w:rsidRPr="00B06469">
        <w:rPr>
          <w:rFonts w:ascii="Times New Roman" w:hAnsi="Times New Roman" w:cs="Times New Roman"/>
          <w:sz w:val="24"/>
          <w:szCs w:val="24"/>
          <w:shd w:val="clear" w:color="auto" w:fill="FFFFFF"/>
        </w:rPr>
        <w:t>финансового обеспечения</w:t>
      </w:r>
      <w:r w:rsidRPr="00B06469">
        <w:rPr>
          <w:rFonts w:ascii="Times New Roman" w:hAnsi="Times New Roman" w:cs="Times New Roman"/>
          <w:iCs/>
          <w:sz w:val="24"/>
          <w:szCs w:val="24"/>
        </w:rPr>
        <w:t xml:space="preserve"> </w:t>
      </w:r>
      <w:proofErr w:type="spellStart"/>
      <w:r w:rsidRPr="00B06469">
        <w:rPr>
          <w:rFonts w:ascii="Times New Roman" w:hAnsi="Times New Roman" w:cs="Times New Roman"/>
          <w:iCs/>
          <w:sz w:val="24"/>
          <w:szCs w:val="24"/>
        </w:rPr>
        <w:t>Камышлинского</w:t>
      </w:r>
      <w:proofErr w:type="spellEnd"/>
      <w:r w:rsidRPr="00B06469">
        <w:rPr>
          <w:rFonts w:ascii="Times New Roman" w:hAnsi="Times New Roman" w:cs="Times New Roman"/>
          <w:iCs/>
          <w:sz w:val="24"/>
          <w:szCs w:val="24"/>
        </w:rPr>
        <w:t xml:space="preserve"> района связаны со следующими мероприятиями:</w:t>
      </w:r>
    </w:p>
    <w:p w:rsidR="004D4A30" w:rsidRPr="00B06469" w:rsidRDefault="004D4A30" w:rsidP="001F0139">
      <w:pPr>
        <w:numPr>
          <w:ilvl w:val="0"/>
          <w:numId w:val="6"/>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улучшение качества администрирования местных налогов, повышение качества прогнозирования и планирования доходов бюджета района;</w:t>
      </w:r>
    </w:p>
    <w:p w:rsidR="004D4A30" w:rsidRPr="00B06469" w:rsidRDefault="004D4A30" w:rsidP="001F0139">
      <w:pPr>
        <w:numPr>
          <w:ilvl w:val="0"/>
          <w:numId w:val="6"/>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увеличение доходной части бюджета;</w:t>
      </w:r>
    </w:p>
    <w:p w:rsidR="004D4A30" w:rsidRPr="00B06469" w:rsidRDefault="004D4A30" w:rsidP="001F0139">
      <w:pPr>
        <w:numPr>
          <w:ilvl w:val="0"/>
          <w:numId w:val="6"/>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оптимизация действующих расходных обязательств и повышение эффективности использования финансовых ресурсов.</w:t>
      </w:r>
    </w:p>
    <w:p w:rsidR="004D4A30" w:rsidRPr="00B06469" w:rsidRDefault="004D4A30" w:rsidP="001F0139">
      <w:pPr>
        <w:spacing w:after="0" w:line="360" w:lineRule="auto"/>
        <w:ind w:firstLine="709"/>
        <w:jc w:val="both"/>
        <w:rPr>
          <w:rFonts w:ascii="Times New Roman" w:hAnsi="Times New Roman" w:cs="Times New Roman"/>
          <w:iCs/>
          <w:sz w:val="24"/>
          <w:szCs w:val="24"/>
        </w:rPr>
      </w:pPr>
      <w:r w:rsidRPr="00B06469">
        <w:rPr>
          <w:rFonts w:ascii="Times New Roman" w:hAnsi="Times New Roman" w:cs="Times New Roman"/>
          <w:iCs/>
          <w:sz w:val="24"/>
          <w:szCs w:val="24"/>
        </w:rPr>
        <w:t xml:space="preserve">Среди </w:t>
      </w:r>
      <w:r w:rsidRPr="00B06469">
        <w:rPr>
          <w:rFonts w:ascii="Times New Roman" w:hAnsi="Times New Roman" w:cs="Times New Roman"/>
          <w:i/>
          <w:iCs/>
          <w:sz w:val="24"/>
          <w:szCs w:val="24"/>
        </w:rPr>
        <w:t>возможных угроз:</w:t>
      </w:r>
      <w:r w:rsidRPr="00B06469">
        <w:rPr>
          <w:rFonts w:ascii="Times New Roman" w:hAnsi="Times New Roman" w:cs="Times New Roman"/>
          <w:iCs/>
          <w:sz w:val="24"/>
          <w:szCs w:val="24"/>
        </w:rPr>
        <w:t xml:space="preserve"> </w:t>
      </w:r>
    </w:p>
    <w:p w:rsidR="004D4A30" w:rsidRPr="00B06469" w:rsidRDefault="004D4A30" w:rsidP="001F0139">
      <w:pPr>
        <w:numPr>
          <w:ilvl w:val="0"/>
          <w:numId w:val="10"/>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угроза повышения зависимости от дотаций, субсидий и субвенций регионального бюджета;</w:t>
      </w:r>
    </w:p>
    <w:p w:rsidR="004D4A30" w:rsidRPr="00B06469" w:rsidRDefault="004D4A30" w:rsidP="001F0139">
      <w:pPr>
        <w:numPr>
          <w:ilvl w:val="0"/>
          <w:numId w:val="10"/>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угроза финансового кризиса и ухода с территории </w:t>
      </w:r>
      <w:proofErr w:type="spellStart"/>
      <w:r w:rsidRPr="00B06469">
        <w:rPr>
          <w:rFonts w:ascii="Times New Roman" w:hAnsi="Times New Roman" w:cs="Times New Roman"/>
          <w:sz w:val="24"/>
          <w:szCs w:val="24"/>
        </w:rPr>
        <w:t>бюджетообразующих</w:t>
      </w:r>
      <w:proofErr w:type="spellEnd"/>
      <w:r w:rsidRPr="00B06469">
        <w:rPr>
          <w:rFonts w:ascii="Times New Roman" w:hAnsi="Times New Roman" w:cs="Times New Roman"/>
          <w:sz w:val="24"/>
          <w:szCs w:val="24"/>
        </w:rPr>
        <w:t xml:space="preserve"> предприятий.</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Муниципальное управление</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sz w:val="24"/>
          <w:szCs w:val="24"/>
        </w:rPr>
        <w:t xml:space="preserve"> </w:t>
      </w:r>
      <w:r w:rsidRPr="00B06469">
        <w:rPr>
          <w:rFonts w:ascii="Times New Roman" w:hAnsi="Times New Roman" w:cs="Times New Roman"/>
          <w:sz w:val="24"/>
          <w:szCs w:val="24"/>
          <w:shd w:val="clear" w:color="auto" w:fill="FFFFFF"/>
        </w:rPr>
        <w:t xml:space="preserve">К </w:t>
      </w:r>
      <w:r w:rsidRPr="00B06469">
        <w:rPr>
          <w:rFonts w:ascii="Times New Roman" w:hAnsi="Times New Roman" w:cs="Times New Roman"/>
          <w:i/>
          <w:sz w:val="24"/>
          <w:szCs w:val="24"/>
          <w:shd w:val="clear" w:color="auto" w:fill="FFFFFF"/>
        </w:rPr>
        <w:t>сильным сторонам</w:t>
      </w:r>
      <w:r w:rsidRPr="00B06469">
        <w:rPr>
          <w:rFonts w:ascii="Times New Roman" w:hAnsi="Times New Roman" w:cs="Times New Roman"/>
          <w:sz w:val="24"/>
          <w:szCs w:val="24"/>
          <w:shd w:val="clear" w:color="auto" w:fill="FFFFFF"/>
        </w:rPr>
        <w:t xml:space="preserve"> относятся:</w:t>
      </w:r>
    </w:p>
    <w:p w:rsidR="004D4A30" w:rsidRPr="00B06469" w:rsidRDefault="004D4A30" w:rsidP="001F0139">
      <w:pPr>
        <w:numPr>
          <w:ilvl w:val="0"/>
          <w:numId w:val="7"/>
        </w:numPr>
        <w:tabs>
          <w:tab w:val="left" w:pos="1134"/>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сформирован реестр муниципальных услуг, предоставляемых на территории района;</w:t>
      </w:r>
    </w:p>
    <w:p w:rsidR="004D4A30" w:rsidRPr="00B06469" w:rsidRDefault="004D4A30" w:rsidP="001F0139">
      <w:pPr>
        <w:numPr>
          <w:ilvl w:val="0"/>
          <w:numId w:val="7"/>
        </w:numPr>
        <w:tabs>
          <w:tab w:val="left" w:pos="1134"/>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наличие многофункционального центра предоставления государственных и муниципальных услуг;</w:t>
      </w:r>
    </w:p>
    <w:p w:rsidR="004D4A30" w:rsidRPr="00B06469" w:rsidRDefault="004D4A30" w:rsidP="001F0139">
      <w:pPr>
        <w:numPr>
          <w:ilvl w:val="0"/>
          <w:numId w:val="7"/>
        </w:numPr>
        <w:tabs>
          <w:tab w:val="left" w:pos="1134"/>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уровень удовлетворенности граждан качеством предоставления государственных и муниципальных за 2016 года составляет 100%;</w:t>
      </w:r>
    </w:p>
    <w:p w:rsidR="004D4A30" w:rsidRPr="00B06469" w:rsidRDefault="004D4A30" w:rsidP="001F0139">
      <w:pPr>
        <w:numPr>
          <w:ilvl w:val="0"/>
          <w:numId w:val="7"/>
        </w:numPr>
        <w:tabs>
          <w:tab w:val="left" w:pos="1134"/>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наличие Проекта поддержки местных инициатив. </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i/>
          <w:sz w:val="24"/>
          <w:szCs w:val="24"/>
          <w:shd w:val="clear" w:color="auto" w:fill="FFFFFF"/>
        </w:rPr>
        <w:t>К слабым сторонам</w:t>
      </w:r>
      <w:r w:rsidRPr="00B06469">
        <w:rPr>
          <w:rFonts w:ascii="Times New Roman" w:hAnsi="Times New Roman" w:cs="Times New Roman"/>
          <w:sz w:val="24"/>
          <w:szCs w:val="24"/>
          <w:shd w:val="clear" w:color="auto" w:fill="FFFFFF"/>
        </w:rPr>
        <w:t xml:space="preserve"> можно отнести </w:t>
      </w:r>
      <w:r w:rsidRPr="00B06469">
        <w:rPr>
          <w:rFonts w:ascii="Times New Roman" w:hAnsi="Times New Roman" w:cs="Times New Roman"/>
          <w:sz w:val="24"/>
          <w:szCs w:val="24"/>
        </w:rPr>
        <w:t>низкий уровень удовлетворенности населения деятельностью органов местного самоуправления, равный 76%, что ниже среднего значения по муниципальным районам (77,5%).</w:t>
      </w:r>
      <w:r w:rsidRPr="00B06469">
        <w:rPr>
          <w:rFonts w:ascii="Times New Roman" w:hAnsi="Times New Roman" w:cs="Times New Roman"/>
          <w:sz w:val="24"/>
          <w:szCs w:val="24"/>
          <w:shd w:val="clear" w:color="auto" w:fill="FFFFFF"/>
        </w:rPr>
        <w:t xml:space="preserve"> </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i/>
          <w:sz w:val="24"/>
          <w:szCs w:val="24"/>
          <w:shd w:val="clear" w:color="auto" w:fill="FFFFFF"/>
        </w:rPr>
        <w:t>Потенциальные возможности</w:t>
      </w:r>
      <w:r w:rsidRPr="00B06469">
        <w:rPr>
          <w:rFonts w:ascii="Times New Roman" w:hAnsi="Times New Roman" w:cs="Times New Roman"/>
          <w:sz w:val="24"/>
          <w:szCs w:val="24"/>
          <w:shd w:val="clear" w:color="auto" w:fill="FFFFFF"/>
        </w:rPr>
        <w:t>: демократизация государственного управления и рост созидательной активности селян.</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i/>
          <w:sz w:val="24"/>
          <w:szCs w:val="24"/>
          <w:shd w:val="clear" w:color="auto" w:fill="FFFFFF"/>
        </w:rPr>
        <w:t>К угрозам</w:t>
      </w:r>
      <w:r w:rsidRPr="00B06469">
        <w:rPr>
          <w:rFonts w:ascii="Times New Roman" w:hAnsi="Times New Roman" w:cs="Times New Roman"/>
          <w:b/>
          <w:i/>
          <w:sz w:val="24"/>
          <w:szCs w:val="24"/>
          <w:shd w:val="clear" w:color="auto" w:fill="FFFFFF"/>
        </w:rPr>
        <w:t xml:space="preserve"> </w:t>
      </w:r>
      <w:r w:rsidRPr="00B06469">
        <w:rPr>
          <w:rFonts w:ascii="Times New Roman" w:hAnsi="Times New Roman" w:cs="Times New Roman"/>
          <w:sz w:val="24"/>
          <w:szCs w:val="24"/>
          <w:shd w:val="clear" w:color="auto" w:fill="FFFFFF"/>
        </w:rPr>
        <w:t xml:space="preserve">относится: коррупция в деятельности органов государственной власти, конфликты на этнической и религиозной почве, </w:t>
      </w:r>
      <w:proofErr w:type="gramStart"/>
      <w:r w:rsidRPr="00B06469">
        <w:rPr>
          <w:rFonts w:ascii="Times New Roman" w:hAnsi="Times New Roman" w:cs="Times New Roman"/>
          <w:sz w:val="24"/>
          <w:szCs w:val="24"/>
          <w:shd w:val="clear" w:color="auto" w:fill="FFFFFF"/>
        </w:rPr>
        <w:t>криминогенная обстановка</w:t>
      </w:r>
      <w:proofErr w:type="gramEnd"/>
      <w:r w:rsidRPr="00B06469">
        <w:rPr>
          <w:rFonts w:ascii="Times New Roman" w:hAnsi="Times New Roman" w:cs="Times New Roman"/>
          <w:sz w:val="24"/>
          <w:szCs w:val="24"/>
          <w:shd w:val="clear" w:color="auto" w:fill="FFFFFF"/>
        </w:rPr>
        <w:t>, невыполнение обязательств органами власти в различных сферах жизни района.</w:t>
      </w:r>
    </w:p>
    <w:p w:rsidR="004D4A30" w:rsidRPr="00B06469" w:rsidRDefault="004D4A30" w:rsidP="001F0139">
      <w:pPr>
        <w:tabs>
          <w:tab w:val="left" w:pos="851"/>
          <w:tab w:val="decimal" w:pos="1418"/>
        </w:tabs>
        <w:spacing w:after="0" w:line="360" w:lineRule="auto"/>
        <w:contextualSpacing/>
        <w:jc w:val="both"/>
        <w:outlineLvl w:val="1"/>
        <w:rPr>
          <w:rFonts w:ascii="Times New Roman" w:hAnsi="Times New Roman" w:cs="Times New Roman"/>
          <w:b/>
          <w:color w:val="365F91"/>
          <w:sz w:val="24"/>
          <w:szCs w:val="24"/>
        </w:rPr>
      </w:pPr>
      <w:bookmarkStart w:id="14" w:name="_Toc520894855"/>
      <w:r w:rsidRPr="00B06469">
        <w:rPr>
          <w:rFonts w:ascii="Times New Roman" w:hAnsi="Times New Roman" w:cs="Times New Roman"/>
          <w:b/>
          <w:color w:val="365F91"/>
          <w:sz w:val="24"/>
          <w:szCs w:val="24"/>
        </w:rPr>
        <w:t>4.4.SWOT-анализ ЖКХ и комфортной сред</w:t>
      </w:r>
      <w:bookmarkEnd w:id="14"/>
      <w:r w:rsidRPr="00B06469">
        <w:rPr>
          <w:rFonts w:ascii="Times New Roman" w:hAnsi="Times New Roman" w:cs="Times New Roman"/>
          <w:b/>
          <w:color w:val="365F91"/>
          <w:sz w:val="24"/>
          <w:szCs w:val="24"/>
        </w:rPr>
        <w:t>ы</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sz w:val="24"/>
          <w:szCs w:val="24"/>
        </w:rPr>
        <w:lastRenderedPageBreak/>
        <w:t>SWOT-анализ среды проживания включал экологическую ситуацию; жилищную сферу, градостроительство и благоустройство; жилищно-коммунальное хозяйство; дорожно-транспортный комплекс; информационно-коммуникационную инфраструктуру.</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Жилье, градостроительство и комфортная среда</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b/>
          <w:sz w:val="24"/>
          <w:szCs w:val="24"/>
        </w:rPr>
        <w:t xml:space="preserve"> </w:t>
      </w:r>
      <w:proofErr w:type="gramStart"/>
      <w:r w:rsidRPr="00B06469">
        <w:rPr>
          <w:rFonts w:ascii="Times New Roman" w:hAnsi="Times New Roman" w:cs="Times New Roman"/>
          <w:iCs/>
          <w:sz w:val="24"/>
          <w:szCs w:val="24"/>
        </w:rPr>
        <w:t xml:space="preserve">В ходе проведенного SWOT-анализа эксперты отнесли </w:t>
      </w:r>
      <w:r w:rsidRPr="00B06469">
        <w:rPr>
          <w:rFonts w:ascii="Times New Roman" w:hAnsi="Times New Roman" w:cs="Times New Roman"/>
          <w:b/>
          <w:iCs/>
          <w:sz w:val="24"/>
          <w:szCs w:val="24"/>
        </w:rPr>
        <w:t xml:space="preserve">к </w:t>
      </w:r>
      <w:r w:rsidRPr="00B06469">
        <w:rPr>
          <w:rFonts w:ascii="Times New Roman" w:hAnsi="Times New Roman" w:cs="Times New Roman"/>
          <w:b/>
          <w:i/>
          <w:iCs/>
          <w:sz w:val="24"/>
          <w:szCs w:val="24"/>
        </w:rPr>
        <w:t>сильным сторонам</w:t>
      </w:r>
      <w:r w:rsidRPr="00B06469">
        <w:rPr>
          <w:rFonts w:ascii="Times New Roman" w:hAnsi="Times New Roman" w:cs="Times New Roman"/>
          <w:iCs/>
          <w:sz w:val="24"/>
          <w:szCs w:val="24"/>
        </w:rPr>
        <w:t xml:space="preserve"> района </w:t>
      </w:r>
      <w:r w:rsidRPr="00B06469">
        <w:rPr>
          <w:rFonts w:ascii="Times New Roman" w:hAnsi="Times New Roman" w:cs="Times New Roman"/>
          <w:sz w:val="24"/>
          <w:szCs w:val="24"/>
        </w:rPr>
        <w:t>наличие основных систем жизнеобеспечения (электроснабжение, водоснабжение, отопление, газоснабжение, связи и т.п.), устойчивый рост обеспеченности жильем и общей площади вводимого в эксплуатацию жилья, увеличение количества индивидуальных застройщиков, уменьшение общей площади ветхих и аварийных жилых помещений, наличие чистой родниковой воды; отсутствие очередей в детские сады;</w:t>
      </w:r>
      <w:proofErr w:type="gramEnd"/>
      <w:r w:rsidRPr="00B06469">
        <w:rPr>
          <w:rFonts w:ascii="Times New Roman" w:hAnsi="Times New Roman" w:cs="Times New Roman"/>
          <w:sz w:val="24"/>
          <w:szCs w:val="24"/>
        </w:rPr>
        <w:t xml:space="preserve"> высокий уровень газификации; реализация проекта «Поддержка инициатив населения муниципальных образований на 2017-2025 гг.»; модернизация материально-технической базы ЖКХ; Южный обводной мостовой переход через реку Сок; толерантность, доброжелательность, сохранение традиций, гостеприимство населения.</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proofErr w:type="gramStart"/>
      <w:r w:rsidRPr="00B06469">
        <w:rPr>
          <w:rFonts w:ascii="Times New Roman" w:hAnsi="Times New Roman" w:cs="Times New Roman"/>
          <w:i/>
          <w:sz w:val="24"/>
          <w:szCs w:val="24"/>
        </w:rPr>
        <w:t>Слабые стороны</w:t>
      </w:r>
      <w:r w:rsidRPr="00B06469">
        <w:rPr>
          <w:rFonts w:ascii="Times New Roman" w:hAnsi="Times New Roman" w:cs="Times New Roman"/>
          <w:sz w:val="24"/>
          <w:szCs w:val="24"/>
        </w:rPr>
        <w:t xml:space="preserve"> данной сферы жизни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w:t>
      </w:r>
      <w:r w:rsidRPr="00B06469">
        <w:rPr>
          <w:rFonts w:ascii="Times New Roman" w:hAnsi="Times New Roman" w:cs="Times New Roman"/>
          <w:color w:val="000000"/>
          <w:sz w:val="24"/>
          <w:szCs w:val="24"/>
        </w:rPr>
        <w:t>отрицательная динамика по вводу в действие общей площади жилых помещений в расчете на 1000 жителей и у</w:t>
      </w:r>
      <w:r w:rsidRPr="00B06469">
        <w:rPr>
          <w:rFonts w:ascii="Times New Roman" w:hAnsi="Times New Roman" w:cs="Times New Roman"/>
          <w:sz w:val="24"/>
          <w:szCs w:val="24"/>
        </w:rPr>
        <w:t xml:space="preserve">величение числа семей и граждан, состоящих на учете по улучшению жилищных условий; недостаточное финансирование для улучшения жилищных условий населения; износ инженерной инфраструктуры; отсутствие </w:t>
      </w:r>
      <w:proofErr w:type="spellStart"/>
      <w:r w:rsidRPr="00B06469">
        <w:rPr>
          <w:rFonts w:ascii="Times New Roman" w:hAnsi="Times New Roman" w:cs="Times New Roman"/>
          <w:sz w:val="24"/>
          <w:szCs w:val="24"/>
        </w:rPr>
        <w:t>спорткомлекса</w:t>
      </w:r>
      <w:proofErr w:type="spellEnd"/>
      <w:r w:rsidRPr="00B06469">
        <w:rPr>
          <w:rFonts w:ascii="Times New Roman" w:hAnsi="Times New Roman" w:cs="Times New Roman"/>
          <w:sz w:val="24"/>
          <w:szCs w:val="24"/>
        </w:rPr>
        <w:t xml:space="preserve"> с бассейном; отсутствие оборудованного благоустроенного пляжа;</w:t>
      </w:r>
      <w:proofErr w:type="gramEnd"/>
      <w:r w:rsidRPr="00B06469">
        <w:rPr>
          <w:rFonts w:ascii="Times New Roman" w:hAnsi="Times New Roman" w:cs="Times New Roman"/>
          <w:sz w:val="24"/>
          <w:szCs w:val="24"/>
        </w:rPr>
        <w:t xml:space="preserve"> недостаточная протяженность дорог с твердым покрытием; отсутствие банкоматов; повсеместное отсутствие очистных сооружений; низкое качество </w:t>
      </w:r>
      <w:proofErr w:type="gramStart"/>
      <w:r w:rsidRPr="00B06469">
        <w:rPr>
          <w:rFonts w:ascii="Times New Roman" w:hAnsi="Times New Roman" w:cs="Times New Roman"/>
          <w:sz w:val="24"/>
          <w:szCs w:val="24"/>
        </w:rPr>
        <w:t>мобильной</w:t>
      </w:r>
      <w:proofErr w:type="gramEnd"/>
      <w:r w:rsidRPr="00B06469">
        <w:rPr>
          <w:rFonts w:ascii="Times New Roman" w:hAnsi="Times New Roman" w:cs="Times New Roman"/>
          <w:sz w:val="24"/>
          <w:szCs w:val="24"/>
        </w:rPr>
        <w:t xml:space="preserve"> и Интернет-связи; отсутствие полигона твёрдых бытовых отходов.</w:t>
      </w:r>
    </w:p>
    <w:p w:rsidR="004D4A30" w:rsidRPr="00B06469" w:rsidRDefault="004D4A30" w:rsidP="001F0139">
      <w:pPr>
        <w:spacing w:after="0" w:line="360" w:lineRule="auto"/>
        <w:ind w:firstLine="709"/>
        <w:jc w:val="both"/>
        <w:rPr>
          <w:rFonts w:ascii="Times New Roman" w:hAnsi="Times New Roman" w:cs="Times New Roman"/>
          <w:iCs/>
          <w:sz w:val="24"/>
          <w:szCs w:val="24"/>
        </w:rPr>
      </w:pPr>
      <w:proofErr w:type="gramStart"/>
      <w:r w:rsidRPr="00B06469">
        <w:rPr>
          <w:rFonts w:ascii="Times New Roman" w:hAnsi="Times New Roman" w:cs="Times New Roman"/>
          <w:i/>
          <w:iCs/>
          <w:sz w:val="24"/>
          <w:szCs w:val="24"/>
        </w:rPr>
        <w:t>Потенциальными возможностями</w:t>
      </w:r>
      <w:r w:rsidRPr="00B06469">
        <w:rPr>
          <w:rFonts w:ascii="Times New Roman" w:hAnsi="Times New Roman" w:cs="Times New Roman"/>
          <w:iCs/>
          <w:sz w:val="24"/>
          <w:szCs w:val="24"/>
        </w:rPr>
        <w:t xml:space="preserve"> являются: р</w:t>
      </w:r>
      <w:r w:rsidRPr="00B06469">
        <w:rPr>
          <w:rFonts w:ascii="Times New Roman" w:hAnsi="Times New Roman" w:cs="Times New Roman"/>
          <w:sz w:val="24"/>
          <w:szCs w:val="24"/>
        </w:rPr>
        <w:t xml:space="preserve">еализация федерального проекта «Формирование комфортной </w:t>
      </w:r>
      <w:proofErr w:type="spellStart"/>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ской</w:t>
      </w:r>
      <w:proofErr w:type="spellEnd"/>
      <w:r w:rsidRPr="00B06469">
        <w:rPr>
          <w:rFonts w:ascii="Times New Roman" w:hAnsi="Times New Roman" w:cs="Times New Roman"/>
          <w:sz w:val="24"/>
          <w:szCs w:val="24"/>
        </w:rPr>
        <w:t xml:space="preserve"> среды»; формирование чёткой градостроительной политики; увеличение общей площади жилых помещений, приходящихся в среднем на одного жителя за счет ввода нового жилья и реконструкции существующего жилья; развитие социальной инфраструктуры; увеличение протяженности и качества дорог с твердым покрытием; повышение эффективности муниципального управления; создание механизма прямого участия граждан в формировании комфортной </w:t>
      </w:r>
      <w:proofErr w:type="spellStart"/>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ской</w:t>
      </w:r>
      <w:proofErr w:type="spellEnd"/>
      <w:r w:rsidRPr="00B06469">
        <w:rPr>
          <w:rFonts w:ascii="Times New Roman" w:hAnsi="Times New Roman" w:cs="Times New Roman"/>
          <w:sz w:val="24"/>
          <w:szCs w:val="24"/>
        </w:rPr>
        <w:t xml:space="preserve"> среды;</w:t>
      </w:r>
      <w:proofErr w:type="gramEnd"/>
      <w:r w:rsidRPr="00B06469">
        <w:rPr>
          <w:rFonts w:ascii="Times New Roman" w:hAnsi="Times New Roman" w:cs="Times New Roman"/>
          <w:sz w:val="24"/>
          <w:szCs w:val="24"/>
        </w:rPr>
        <w:t xml:space="preserve"> улучшение экологии за счет уменьшения количества вредных выбросов в атмосферу, строительства очистных сооружений, улучшения состояния рек района, строительство полигона ТБО.</w:t>
      </w:r>
    </w:p>
    <w:p w:rsidR="004D4A30" w:rsidRPr="00B06469" w:rsidRDefault="004D4A30" w:rsidP="001F0139">
      <w:pPr>
        <w:spacing w:after="0" w:line="360" w:lineRule="auto"/>
        <w:ind w:firstLine="709"/>
        <w:jc w:val="both"/>
        <w:rPr>
          <w:rFonts w:ascii="Times New Roman" w:hAnsi="Times New Roman" w:cs="Times New Roman"/>
          <w:b/>
          <w:iCs/>
          <w:sz w:val="24"/>
          <w:szCs w:val="24"/>
        </w:rPr>
      </w:pPr>
      <w:r w:rsidRPr="00B06469">
        <w:rPr>
          <w:rFonts w:ascii="Times New Roman" w:hAnsi="Times New Roman" w:cs="Times New Roman"/>
          <w:i/>
          <w:iCs/>
          <w:sz w:val="24"/>
          <w:szCs w:val="24"/>
        </w:rPr>
        <w:t>К внешним угрозам</w:t>
      </w:r>
      <w:r w:rsidRPr="00B06469">
        <w:rPr>
          <w:rFonts w:ascii="Times New Roman" w:hAnsi="Times New Roman" w:cs="Times New Roman"/>
          <w:iCs/>
          <w:sz w:val="24"/>
          <w:szCs w:val="24"/>
        </w:rPr>
        <w:t xml:space="preserve"> можно отнести </w:t>
      </w:r>
      <w:r w:rsidRPr="00B06469">
        <w:rPr>
          <w:rFonts w:ascii="Times New Roman" w:hAnsi="Times New Roman" w:cs="Times New Roman"/>
          <w:sz w:val="24"/>
          <w:szCs w:val="24"/>
        </w:rPr>
        <w:t>финансовые ограничения в связи с экономической ситуацией в стране и падением доходов населения и бизнеса.</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ЖКХ</w:t>
      </w:r>
    </w:p>
    <w:p w:rsidR="004D4A30" w:rsidRPr="00B06469" w:rsidRDefault="004D4A30" w:rsidP="001F0139">
      <w:pPr>
        <w:spacing w:after="0" w:line="360" w:lineRule="auto"/>
        <w:ind w:firstLine="709"/>
        <w:jc w:val="both"/>
        <w:rPr>
          <w:rFonts w:ascii="Times New Roman" w:hAnsi="Times New Roman" w:cs="Times New Roman"/>
          <w:iCs/>
          <w:sz w:val="24"/>
          <w:szCs w:val="24"/>
        </w:rPr>
      </w:pPr>
      <w:r w:rsidRPr="00B06469">
        <w:rPr>
          <w:rFonts w:ascii="Times New Roman" w:hAnsi="Times New Roman" w:cs="Times New Roman"/>
          <w:i/>
          <w:sz w:val="24"/>
          <w:szCs w:val="24"/>
        </w:rPr>
        <w:t>Сильные стороны</w:t>
      </w:r>
      <w:r w:rsidRPr="00B06469">
        <w:rPr>
          <w:rFonts w:ascii="Times New Roman" w:hAnsi="Times New Roman" w:cs="Times New Roman"/>
          <w:sz w:val="24"/>
          <w:szCs w:val="24"/>
        </w:rPr>
        <w:t xml:space="preserve"> функционирования ЖКХ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w:t>
      </w:r>
    </w:p>
    <w:p w:rsidR="004D4A30" w:rsidRPr="00B06469" w:rsidRDefault="004D4A30" w:rsidP="001F0139">
      <w:pPr>
        <w:numPr>
          <w:ilvl w:val="0"/>
          <w:numId w:val="8"/>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lastRenderedPageBreak/>
        <w:t>выполнение мероприятий по модернизации и укреплению материально-технической базы предприятий ЖКХ;</w:t>
      </w:r>
    </w:p>
    <w:p w:rsidR="004D4A30" w:rsidRPr="00B06469" w:rsidRDefault="004D4A30" w:rsidP="001F0139">
      <w:pPr>
        <w:numPr>
          <w:ilvl w:val="0"/>
          <w:numId w:val="8"/>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приобретение коммунальной техники путем участия в федеральных и областных программах;</w:t>
      </w:r>
    </w:p>
    <w:p w:rsidR="004D4A30" w:rsidRPr="00B06469" w:rsidRDefault="004D4A30" w:rsidP="001F0139">
      <w:pPr>
        <w:numPr>
          <w:ilvl w:val="0"/>
          <w:numId w:val="8"/>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строительство и реконструкция водоводов и водопроводных сетей;</w:t>
      </w:r>
    </w:p>
    <w:p w:rsidR="004D4A30" w:rsidRPr="00B06469" w:rsidRDefault="004D4A30" w:rsidP="001F0139">
      <w:pPr>
        <w:numPr>
          <w:ilvl w:val="0"/>
          <w:numId w:val="8"/>
        </w:numPr>
        <w:tabs>
          <w:tab w:val="left" w:pos="993"/>
        </w:tabs>
        <w:spacing w:after="0" w:line="360" w:lineRule="auto"/>
        <w:ind w:left="0" w:firstLine="709"/>
        <w:contextualSpacing/>
        <w:jc w:val="both"/>
        <w:rPr>
          <w:rFonts w:ascii="Times New Roman" w:hAnsi="Times New Roman" w:cs="Times New Roman"/>
          <w:iCs/>
          <w:sz w:val="24"/>
          <w:szCs w:val="24"/>
        </w:rPr>
      </w:pPr>
      <w:r w:rsidRPr="00B06469">
        <w:rPr>
          <w:rFonts w:ascii="Times New Roman" w:hAnsi="Times New Roman" w:cs="Times New Roman"/>
          <w:sz w:val="24"/>
          <w:szCs w:val="24"/>
        </w:rPr>
        <w:t>высокий уровень газификация жилого фонда сетевым газом.</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iCs/>
          <w:sz w:val="24"/>
          <w:szCs w:val="24"/>
        </w:rPr>
        <w:t>Слабые стороны</w:t>
      </w:r>
      <w:r w:rsidRPr="00B06469">
        <w:rPr>
          <w:rFonts w:ascii="Times New Roman" w:hAnsi="Times New Roman" w:cs="Times New Roman"/>
          <w:iCs/>
          <w:sz w:val="24"/>
          <w:szCs w:val="24"/>
        </w:rPr>
        <w:t>: н</w:t>
      </w:r>
      <w:r w:rsidRPr="00B06469">
        <w:rPr>
          <w:rFonts w:ascii="Times New Roman" w:hAnsi="Times New Roman" w:cs="Times New Roman"/>
          <w:sz w:val="24"/>
          <w:szCs w:val="24"/>
        </w:rPr>
        <w:t>аличие задолженности населения за коммунальные услуги, высокая степень износа систем водоотведения, низкий уровень обеспеченности водопроводом.</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iCs/>
          <w:sz w:val="24"/>
          <w:szCs w:val="24"/>
        </w:rPr>
        <w:t>Потенциальными возможностями</w:t>
      </w:r>
      <w:r w:rsidRPr="00B06469">
        <w:rPr>
          <w:rFonts w:ascii="Times New Roman" w:hAnsi="Times New Roman" w:cs="Times New Roman"/>
          <w:iCs/>
          <w:sz w:val="24"/>
          <w:szCs w:val="24"/>
        </w:rPr>
        <w:t xml:space="preserve"> могут быть: п</w:t>
      </w:r>
      <w:r w:rsidRPr="00B06469">
        <w:rPr>
          <w:rFonts w:ascii="Times New Roman" w:hAnsi="Times New Roman" w:cs="Times New Roman"/>
          <w:sz w:val="24"/>
          <w:szCs w:val="24"/>
        </w:rPr>
        <w:t xml:space="preserve">овышение уровня и качества жилищно-коммунальных услуг, создание предприятий на основе государственно - частного партнёрства (ГЧП) или </w:t>
      </w:r>
      <w:proofErr w:type="spellStart"/>
      <w:r w:rsidRPr="00B06469">
        <w:rPr>
          <w:rFonts w:ascii="Times New Roman" w:hAnsi="Times New Roman" w:cs="Times New Roman"/>
          <w:sz w:val="24"/>
          <w:szCs w:val="24"/>
        </w:rPr>
        <w:t>муниципально</w:t>
      </w:r>
      <w:proofErr w:type="spellEnd"/>
      <w:r w:rsidRPr="00B06469">
        <w:rPr>
          <w:rFonts w:ascii="Times New Roman" w:hAnsi="Times New Roman" w:cs="Times New Roman"/>
          <w:sz w:val="24"/>
          <w:szCs w:val="24"/>
        </w:rPr>
        <w:t>-частного партнёрства (МЧП) в сфере ЖКХ: эксплуатация коммунальных сетей, уборка улиц, вывоз и утилизация мусора, применения в муниципальных организациях энергосберегающих технологий.</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Угрозы</w:t>
      </w:r>
      <w:r w:rsidRPr="00B06469">
        <w:rPr>
          <w:rFonts w:ascii="Times New Roman" w:hAnsi="Times New Roman" w:cs="Times New Roman"/>
          <w:sz w:val="24"/>
          <w:szCs w:val="24"/>
        </w:rPr>
        <w:t>: значительное увеличение тарифов на газ, электр</w:t>
      </w:r>
      <w:proofErr w:type="gramStart"/>
      <w:r w:rsidRPr="00B06469">
        <w:rPr>
          <w:rFonts w:ascii="Times New Roman" w:hAnsi="Times New Roman" w:cs="Times New Roman"/>
          <w:sz w:val="24"/>
          <w:szCs w:val="24"/>
        </w:rPr>
        <w:t>о-</w:t>
      </w:r>
      <w:proofErr w:type="gramEnd"/>
      <w:r w:rsidRPr="00B06469">
        <w:rPr>
          <w:rFonts w:ascii="Times New Roman" w:hAnsi="Times New Roman" w:cs="Times New Roman"/>
          <w:sz w:val="24"/>
          <w:szCs w:val="24"/>
        </w:rPr>
        <w:t xml:space="preserve"> и </w:t>
      </w:r>
      <w:proofErr w:type="spellStart"/>
      <w:r w:rsidRPr="00B06469">
        <w:rPr>
          <w:rFonts w:ascii="Times New Roman" w:hAnsi="Times New Roman" w:cs="Times New Roman"/>
          <w:sz w:val="24"/>
          <w:szCs w:val="24"/>
        </w:rPr>
        <w:t>теплоэнергию</w:t>
      </w:r>
      <w:proofErr w:type="spellEnd"/>
      <w:r w:rsidRPr="00B06469">
        <w:rPr>
          <w:rFonts w:ascii="Times New Roman" w:hAnsi="Times New Roman" w:cs="Times New Roman"/>
          <w:sz w:val="24"/>
          <w:szCs w:val="24"/>
        </w:rPr>
        <w:t>, рост вероятности и частоты возникновения аварий на объектах жилищно-коммунального хозяйства, замедление темпов реформирования ЖКХ.</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Дорожно-транспортный комплекс</w:t>
      </w:r>
    </w:p>
    <w:p w:rsidR="004D4A30" w:rsidRPr="00B06469" w:rsidRDefault="004D4A30" w:rsidP="001F0139">
      <w:pPr>
        <w:spacing w:after="0" w:line="360" w:lineRule="auto"/>
        <w:ind w:firstLine="709"/>
        <w:jc w:val="both"/>
        <w:rPr>
          <w:rFonts w:ascii="Times New Roman" w:hAnsi="Times New Roman" w:cs="Times New Roman"/>
          <w:b/>
          <w:sz w:val="24"/>
          <w:szCs w:val="24"/>
        </w:rPr>
      </w:pPr>
      <w:r w:rsidRPr="00B06469">
        <w:rPr>
          <w:rFonts w:ascii="Times New Roman" w:hAnsi="Times New Roman" w:cs="Times New Roman"/>
          <w:i/>
          <w:sz w:val="24"/>
          <w:szCs w:val="24"/>
          <w:shd w:val="clear" w:color="auto" w:fill="FFFFFF"/>
        </w:rPr>
        <w:t>К сильным сторонам</w:t>
      </w:r>
      <w:r w:rsidRPr="00B06469">
        <w:rPr>
          <w:rFonts w:ascii="Times New Roman" w:hAnsi="Times New Roman" w:cs="Times New Roman"/>
          <w:sz w:val="24"/>
          <w:szCs w:val="24"/>
          <w:shd w:val="clear" w:color="auto" w:fill="FFFFFF"/>
        </w:rPr>
        <w:t xml:space="preserve"> развития дорожно-транспортного комплекса можно отнести: </w:t>
      </w:r>
      <w:r w:rsidRPr="00B06469">
        <w:rPr>
          <w:rFonts w:ascii="Times New Roman" w:hAnsi="Times New Roman" w:cs="Times New Roman"/>
          <w:sz w:val="24"/>
          <w:szCs w:val="24"/>
        </w:rPr>
        <w:t xml:space="preserve">сдачу в эксплуатацию южного обводного мостового перехода через реку Сок, все населенные пункты района соединены с районным центром дорогами с твердым покрытием, производен капитальный ремонт автодороги местного значения с устройством твердого покрытия в сельских поселениях </w:t>
      </w:r>
      <w:proofErr w:type="spellStart"/>
      <w:r w:rsidRPr="00B06469">
        <w:rPr>
          <w:rFonts w:ascii="Times New Roman" w:hAnsi="Times New Roman" w:cs="Times New Roman"/>
          <w:sz w:val="24"/>
          <w:szCs w:val="24"/>
        </w:rPr>
        <w:t>Байтуган</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Балыкла</w:t>
      </w:r>
      <w:proofErr w:type="spellEnd"/>
      <w:r w:rsidRPr="00B06469">
        <w:rPr>
          <w:rFonts w:ascii="Times New Roman" w:hAnsi="Times New Roman" w:cs="Times New Roman"/>
          <w:sz w:val="24"/>
          <w:szCs w:val="24"/>
        </w:rPr>
        <w:t>, Ермаково и Камышла.</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Негативные моменты или </w:t>
      </w:r>
      <w:r w:rsidRPr="00B06469">
        <w:rPr>
          <w:rFonts w:ascii="Times New Roman" w:hAnsi="Times New Roman" w:cs="Times New Roman"/>
          <w:i/>
          <w:sz w:val="24"/>
          <w:szCs w:val="24"/>
        </w:rPr>
        <w:t>слабые стороны</w:t>
      </w:r>
      <w:r w:rsidRPr="00B06469">
        <w:rPr>
          <w:rFonts w:ascii="Times New Roman" w:hAnsi="Times New Roman" w:cs="Times New Roman"/>
          <w:sz w:val="24"/>
          <w:szCs w:val="24"/>
        </w:rPr>
        <w:t>: уменьшение удельного веса автодорог общего пользования с твердым покрытием в общей протяженности автодорог общего пользования.</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iCs/>
          <w:sz w:val="24"/>
          <w:szCs w:val="24"/>
        </w:rPr>
        <w:t>Потенциальные возможности</w:t>
      </w:r>
      <w:r w:rsidRPr="00B06469">
        <w:rPr>
          <w:rFonts w:ascii="Times New Roman" w:hAnsi="Times New Roman" w:cs="Times New Roman"/>
          <w:iCs/>
          <w:sz w:val="24"/>
          <w:szCs w:val="24"/>
        </w:rPr>
        <w:t xml:space="preserve"> развития дорожно-транспортного комплекса следующие: </w:t>
      </w:r>
      <w:r w:rsidRPr="00B06469">
        <w:rPr>
          <w:rFonts w:ascii="Times New Roman" w:hAnsi="Times New Roman" w:cs="Times New Roman"/>
          <w:sz w:val="24"/>
          <w:szCs w:val="24"/>
        </w:rPr>
        <w:t>ежегодное обследование автомобильных дорог местного значения, определение приоритетных участков дорог, подлежащих ремонту, участие в профильных государственных программах, эффективное использование средств муниципального дорожного фонда, эффективные контрактные взаимоотношения с подрядчиками, в том числе активное использование гарантийных механизмов.</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iCs/>
          <w:sz w:val="24"/>
          <w:szCs w:val="24"/>
        </w:rPr>
        <w:t>К внешним угрозам</w:t>
      </w:r>
      <w:r w:rsidRPr="00B06469">
        <w:rPr>
          <w:rFonts w:ascii="Times New Roman" w:hAnsi="Times New Roman" w:cs="Times New Roman"/>
          <w:iCs/>
          <w:sz w:val="24"/>
          <w:szCs w:val="24"/>
        </w:rPr>
        <w:t xml:space="preserve"> можно отнести </w:t>
      </w:r>
      <w:r w:rsidRPr="00B06469">
        <w:rPr>
          <w:rFonts w:ascii="Times New Roman" w:hAnsi="Times New Roman" w:cs="Times New Roman"/>
          <w:sz w:val="24"/>
          <w:szCs w:val="24"/>
        </w:rPr>
        <w:t>рост тарифов на транспортные перевозки.</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 xml:space="preserve">Информационно-коммуникационная инфраструктура </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Сильными сторонами</w:t>
      </w:r>
      <w:r w:rsidRPr="00B06469">
        <w:rPr>
          <w:rFonts w:ascii="Times New Roman" w:hAnsi="Times New Roman" w:cs="Times New Roman"/>
          <w:sz w:val="24"/>
          <w:szCs w:val="24"/>
        </w:rPr>
        <w:t xml:space="preserve"> являются: охват населения телевизионным вещанием составляет на 100 %, все АТС района являются цифровыми.</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lastRenderedPageBreak/>
        <w:t>Слабые стороны</w:t>
      </w:r>
      <w:r w:rsidRPr="00B06469">
        <w:rPr>
          <w:rFonts w:ascii="Times New Roman" w:hAnsi="Times New Roman" w:cs="Times New Roman"/>
          <w:sz w:val="24"/>
          <w:szCs w:val="24"/>
        </w:rPr>
        <w:t xml:space="preserve">: недостаточное количество пунктов коллективного доступа к сети Интернет; отсутствие банкоматов; низкое качество мобильной и </w:t>
      </w:r>
      <w:proofErr w:type="gramStart"/>
      <w:r w:rsidRPr="00B06469">
        <w:rPr>
          <w:rFonts w:ascii="Times New Roman" w:hAnsi="Times New Roman" w:cs="Times New Roman"/>
          <w:sz w:val="24"/>
          <w:szCs w:val="24"/>
        </w:rPr>
        <w:t>Интернет-связи</w:t>
      </w:r>
      <w:proofErr w:type="gramEnd"/>
      <w:r w:rsidRPr="00B06469">
        <w:rPr>
          <w:rFonts w:ascii="Times New Roman" w:hAnsi="Times New Roman" w:cs="Times New Roman"/>
          <w:sz w:val="24"/>
          <w:szCs w:val="24"/>
        </w:rPr>
        <w:t>.</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iCs/>
          <w:sz w:val="24"/>
          <w:szCs w:val="24"/>
        </w:rPr>
        <w:t>Потенциальные возможности</w:t>
      </w:r>
      <w:r w:rsidRPr="00B06469">
        <w:rPr>
          <w:rFonts w:ascii="Times New Roman" w:hAnsi="Times New Roman" w:cs="Times New Roman"/>
          <w:iCs/>
          <w:sz w:val="24"/>
          <w:szCs w:val="24"/>
        </w:rPr>
        <w:t xml:space="preserve">: </w:t>
      </w:r>
      <w:r w:rsidRPr="00B06469">
        <w:rPr>
          <w:rFonts w:ascii="Times New Roman" w:hAnsi="Times New Roman" w:cs="Times New Roman"/>
          <w:sz w:val="24"/>
          <w:szCs w:val="24"/>
        </w:rPr>
        <w:t>динамичное развитие технологий связи и информационно-коммуникационных технологий, внедрение цифровой экономики.</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iCs/>
          <w:sz w:val="24"/>
          <w:szCs w:val="24"/>
        </w:rPr>
        <w:t>К внешним угрозам</w:t>
      </w:r>
      <w:r w:rsidRPr="00B06469">
        <w:rPr>
          <w:rFonts w:ascii="Times New Roman" w:hAnsi="Times New Roman" w:cs="Times New Roman"/>
          <w:iCs/>
          <w:sz w:val="24"/>
          <w:szCs w:val="24"/>
        </w:rPr>
        <w:t xml:space="preserve"> можно отнести: </w:t>
      </w:r>
      <w:r w:rsidRPr="00B06469">
        <w:rPr>
          <w:rFonts w:ascii="Times New Roman" w:hAnsi="Times New Roman" w:cs="Times New Roman"/>
          <w:sz w:val="24"/>
          <w:szCs w:val="24"/>
        </w:rPr>
        <w:t>рост тарифов на услуги связи, возможные хакерские атаки, слабая организация и технология защиты информации.</w:t>
      </w:r>
    </w:p>
    <w:p w:rsidR="002760F1" w:rsidRPr="00B06469" w:rsidRDefault="002760F1" w:rsidP="001F0139">
      <w:pPr>
        <w:pStyle w:val="10"/>
        <w:keepNext/>
        <w:keepLines/>
        <w:shd w:val="clear" w:color="auto" w:fill="auto"/>
        <w:tabs>
          <w:tab w:val="left" w:pos="922"/>
        </w:tabs>
        <w:spacing w:after="0" w:line="326" w:lineRule="exact"/>
        <w:ind w:firstLine="0"/>
        <w:jc w:val="left"/>
        <w:rPr>
          <w:rFonts w:eastAsiaTheme="minorHAnsi"/>
          <w:bCs w:val="0"/>
          <w:color w:val="365F91"/>
          <w:sz w:val="24"/>
          <w:szCs w:val="24"/>
        </w:rPr>
      </w:pPr>
      <w:bookmarkStart w:id="15" w:name="bookmark23"/>
    </w:p>
    <w:p w:rsidR="00DE1D1C" w:rsidRPr="00B06469" w:rsidRDefault="00DE1D1C" w:rsidP="001F0139">
      <w:pPr>
        <w:pStyle w:val="10"/>
        <w:keepNext/>
        <w:keepLines/>
        <w:shd w:val="clear" w:color="auto" w:fill="auto"/>
        <w:tabs>
          <w:tab w:val="left" w:pos="922"/>
        </w:tabs>
        <w:spacing w:after="0" w:line="326" w:lineRule="exact"/>
        <w:ind w:firstLine="0"/>
        <w:jc w:val="left"/>
        <w:rPr>
          <w:rFonts w:eastAsiaTheme="minorHAnsi"/>
          <w:bCs w:val="0"/>
          <w:color w:val="365F91"/>
          <w:sz w:val="24"/>
          <w:szCs w:val="24"/>
        </w:rPr>
      </w:pPr>
      <w:r w:rsidRPr="00B06469">
        <w:rPr>
          <w:rFonts w:eastAsiaTheme="minorHAnsi"/>
          <w:bCs w:val="0"/>
          <w:color w:val="365F91"/>
          <w:sz w:val="24"/>
          <w:szCs w:val="24"/>
        </w:rPr>
        <w:t xml:space="preserve">5.Приоритеты социально-экономического развития </w:t>
      </w:r>
      <w:r w:rsidR="005B62B2" w:rsidRPr="00B06469">
        <w:rPr>
          <w:rFonts w:eastAsiaTheme="minorHAnsi"/>
          <w:bCs w:val="0"/>
          <w:color w:val="365F91"/>
          <w:sz w:val="24"/>
          <w:szCs w:val="24"/>
        </w:rPr>
        <w:t xml:space="preserve">и система целей </w:t>
      </w:r>
      <w:r w:rsidR="002760F1" w:rsidRPr="00B06469">
        <w:rPr>
          <w:rFonts w:eastAsiaTheme="minorHAnsi"/>
          <w:bCs w:val="0"/>
          <w:color w:val="365F91"/>
          <w:sz w:val="24"/>
          <w:szCs w:val="24"/>
        </w:rPr>
        <w:t xml:space="preserve">муниципального района </w:t>
      </w:r>
      <w:proofErr w:type="spellStart"/>
      <w:r w:rsidRPr="00B06469">
        <w:rPr>
          <w:rFonts w:eastAsiaTheme="minorHAnsi"/>
          <w:bCs w:val="0"/>
          <w:color w:val="365F91"/>
          <w:sz w:val="24"/>
          <w:szCs w:val="24"/>
        </w:rPr>
        <w:t>Камышлинск</w:t>
      </w:r>
      <w:r w:rsidR="002760F1" w:rsidRPr="00B06469">
        <w:rPr>
          <w:rFonts w:eastAsiaTheme="minorHAnsi"/>
          <w:bCs w:val="0"/>
          <w:color w:val="365F91"/>
          <w:sz w:val="24"/>
          <w:szCs w:val="24"/>
        </w:rPr>
        <w:t>ий</w:t>
      </w:r>
      <w:proofErr w:type="spellEnd"/>
      <w:r w:rsidRPr="00B06469">
        <w:rPr>
          <w:rFonts w:eastAsiaTheme="minorHAnsi"/>
          <w:bCs w:val="0"/>
          <w:color w:val="365F91"/>
          <w:sz w:val="24"/>
          <w:szCs w:val="24"/>
        </w:rPr>
        <w:t xml:space="preserve"> </w:t>
      </w:r>
      <w:bookmarkEnd w:id="15"/>
    </w:p>
    <w:p w:rsidR="002760F1" w:rsidRPr="00B06469" w:rsidRDefault="002760F1" w:rsidP="001F0139">
      <w:pPr>
        <w:pStyle w:val="10"/>
        <w:keepNext/>
        <w:keepLines/>
        <w:shd w:val="clear" w:color="auto" w:fill="auto"/>
        <w:tabs>
          <w:tab w:val="left" w:pos="922"/>
        </w:tabs>
        <w:spacing w:after="0" w:line="326" w:lineRule="exact"/>
        <w:ind w:firstLine="0"/>
        <w:jc w:val="left"/>
        <w:rPr>
          <w:rFonts w:eastAsiaTheme="minorHAnsi"/>
          <w:bCs w:val="0"/>
          <w:color w:val="365F91"/>
          <w:sz w:val="24"/>
          <w:szCs w:val="24"/>
        </w:rPr>
      </w:pP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Главной ценностью Стратегии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муниципального района является Человек - неповторимая свободная личность. Высшей целью стратегии является создание благоприятных условий для его развития и совершенствования. Мерой успешности развития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муниципального района является качество жизни населения, количество и качество накопленного и успешно функционирующего человеческого капитала.</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Стратегия развития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муниципального района включает три приоритетных направления:</w:t>
      </w:r>
    </w:p>
    <w:p w:rsidR="00DE1D1C" w:rsidRPr="00B06469" w:rsidRDefault="00DE1D1C" w:rsidP="001F0139">
      <w:pPr>
        <w:pStyle w:val="a3"/>
        <w:numPr>
          <w:ilvl w:val="0"/>
          <w:numId w:val="15"/>
        </w:numPr>
        <w:spacing w:after="0" w:line="360" w:lineRule="auto"/>
        <w:ind w:left="0"/>
        <w:jc w:val="both"/>
        <w:rPr>
          <w:rFonts w:ascii="Times New Roman" w:hAnsi="Times New Roman" w:cs="Times New Roman"/>
          <w:b/>
          <w:sz w:val="24"/>
          <w:szCs w:val="24"/>
        </w:rPr>
      </w:pPr>
      <w:r w:rsidRPr="00B06469">
        <w:rPr>
          <w:rFonts w:ascii="Times New Roman" w:hAnsi="Times New Roman" w:cs="Times New Roman"/>
          <w:b/>
          <w:sz w:val="24"/>
          <w:szCs w:val="24"/>
        </w:rPr>
        <w:t xml:space="preserve">Формирование, совершенствование и накопление человеческого капитала; </w:t>
      </w:r>
    </w:p>
    <w:p w:rsidR="00DE1D1C" w:rsidRPr="00B06469" w:rsidRDefault="00DE1D1C" w:rsidP="001F0139">
      <w:pPr>
        <w:pStyle w:val="a3"/>
        <w:numPr>
          <w:ilvl w:val="0"/>
          <w:numId w:val="15"/>
        </w:numPr>
        <w:spacing w:after="0" w:line="360" w:lineRule="auto"/>
        <w:ind w:left="0"/>
        <w:jc w:val="both"/>
        <w:rPr>
          <w:rFonts w:ascii="Times New Roman" w:hAnsi="Times New Roman" w:cs="Times New Roman"/>
          <w:b/>
          <w:sz w:val="24"/>
          <w:szCs w:val="24"/>
        </w:rPr>
      </w:pPr>
      <w:r w:rsidRPr="00B06469">
        <w:rPr>
          <w:rFonts w:ascii="Times New Roman" w:hAnsi="Times New Roman" w:cs="Times New Roman"/>
          <w:b/>
          <w:sz w:val="24"/>
          <w:szCs w:val="24"/>
        </w:rPr>
        <w:t>Создание комфортного пространства района</w:t>
      </w:r>
      <w:r w:rsidR="002760F1" w:rsidRPr="00B06469">
        <w:rPr>
          <w:rFonts w:ascii="Times New Roman" w:hAnsi="Times New Roman" w:cs="Times New Roman"/>
          <w:b/>
          <w:sz w:val="24"/>
          <w:szCs w:val="24"/>
        </w:rPr>
        <w:t xml:space="preserve"> </w:t>
      </w:r>
      <w:r w:rsidRPr="00B06469">
        <w:rPr>
          <w:rFonts w:ascii="Times New Roman" w:hAnsi="Times New Roman" w:cs="Times New Roman"/>
          <w:b/>
          <w:sz w:val="24"/>
          <w:szCs w:val="24"/>
        </w:rPr>
        <w:t xml:space="preserve">для гармоничного развития человеческого капитала; </w:t>
      </w:r>
    </w:p>
    <w:p w:rsidR="00DE1D1C" w:rsidRPr="00B06469" w:rsidRDefault="00DE1D1C" w:rsidP="001F0139">
      <w:pPr>
        <w:pStyle w:val="a3"/>
        <w:numPr>
          <w:ilvl w:val="0"/>
          <w:numId w:val="15"/>
        </w:numPr>
        <w:spacing w:after="0" w:line="360" w:lineRule="auto"/>
        <w:ind w:left="0"/>
        <w:jc w:val="both"/>
        <w:rPr>
          <w:rFonts w:ascii="Times New Roman" w:hAnsi="Times New Roman" w:cs="Times New Roman"/>
          <w:b/>
          <w:sz w:val="24"/>
          <w:szCs w:val="24"/>
        </w:rPr>
      </w:pPr>
      <w:r w:rsidRPr="00B06469">
        <w:rPr>
          <w:rFonts w:ascii="Times New Roman" w:hAnsi="Times New Roman" w:cs="Times New Roman"/>
          <w:b/>
          <w:sz w:val="24"/>
          <w:szCs w:val="24"/>
        </w:rPr>
        <w:t>Создание инновационной экономики, в которой человеческий капитал востребован, успешно функционирует и развивается.</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Человеческий капитал представляет собой способности, знания, навыки и умения, воплощенные в людях, которые позволяют им создавать социальное и экономическое благосостояние. Стратегия накопления человеческого капитала 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муниципальном районе включает стратегию формирования человеческого капитала (демографическое развитие), образование, молодежную политику, систему здравоохранения, культуру, рынок труда, поддержку занятости и социальную защиту.</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Накопленный человеческий капитал обеспечивает конкурентоспособность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муниципального района, что достигается выполнением следующих задач:</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Ускорение темпов роста индивидуальных возможностей. Человек становится субъектом глобального мира, является саморазвивающимся мобильным активом, что способствует росту компаний, функционирующих вокруг таланта конкретного человека.</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Повышение качества образования, обусловленное изменением условий труда и возможностями широкого использования информационно-коммуникационных технологий.</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Возрастание роли религиозных ценностей и институтов.</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Рост производительности труда за счет увеличения его технологической вооруженности и развития методов и технологий повышения эффективности.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Все рассматриваемые направления наделены локальными целями развития, но находятся во взаимосвязи и совместно работают на основную цель Стратегии.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Набор характеристик, наличие которых способствует успеху:</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образованное, предприимчивое, активное, талантливое, креативное население;</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система образования мирового уровня;</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система управления миграционными потоками, привлечение и удержание талантов;</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низкие барьеры для карьерного роста, предпринимательства, инвестиций;</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диверсификация экономики (высокая доля малого бизнеса, наличие отраслей - драйверов роста);</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комфортные условия для жизни, здоровая окружающая среда, безопасность;</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открытость (активные международные и межрегиональные связи);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идентичность, узнаваемость, известность;</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эффективная система управления будущим.</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Для того чтобы укреплять свои позиции </w:t>
      </w:r>
      <w:proofErr w:type="spellStart"/>
      <w:r w:rsidRPr="00B06469">
        <w:rPr>
          <w:rFonts w:ascii="Times New Roman" w:hAnsi="Times New Roman" w:cs="Times New Roman"/>
          <w:sz w:val="24"/>
          <w:szCs w:val="24"/>
        </w:rPr>
        <w:t>Камышлинскому</w:t>
      </w:r>
      <w:proofErr w:type="spellEnd"/>
      <w:r w:rsidRPr="00B06469">
        <w:rPr>
          <w:rFonts w:ascii="Times New Roman" w:hAnsi="Times New Roman" w:cs="Times New Roman"/>
          <w:sz w:val="24"/>
          <w:szCs w:val="24"/>
        </w:rPr>
        <w:t xml:space="preserve"> муниципальному району стратегически важно совершенствоваться в следующих направлениях:</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части накопления человеческого капитала и общественных институтов</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массовое качественное образование, включая иностранные языки;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управление талантами;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поддержка вертикальной и горизонтальной мобильности по способностям и компетентности;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рост уровня доверия в обществе;</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ценности здорового образа жизни и эффективное здравоохранение;</w:t>
      </w:r>
    </w:p>
    <w:p w:rsidR="00DE1D1C" w:rsidRPr="00B06469" w:rsidRDefault="00DE1D1C" w:rsidP="001F0139">
      <w:pPr>
        <w:spacing w:after="0" w:line="360" w:lineRule="auto"/>
        <w:ind w:firstLine="709"/>
        <w:jc w:val="both"/>
        <w:rPr>
          <w:rFonts w:ascii="Times New Roman" w:hAnsi="Times New Roman" w:cs="Times New Roman"/>
          <w:sz w:val="24"/>
          <w:szCs w:val="24"/>
        </w:rPr>
      </w:pPr>
      <w:proofErr w:type="spellStart"/>
      <w:r w:rsidRPr="00B06469">
        <w:rPr>
          <w:rFonts w:ascii="Times New Roman" w:hAnsi="Times New Roman" w:cs="Times New Roman"/>
          <w:sz w:val="24"/>
          <w:szCs w:val="24"/>
        </w:rPr>
        <w:t>поликультурность</w:t>
      </w:r>
      <w:proofErr w:type="spellEnd"/>
      <w:r w:rsidRPr="00B06469">
        <w:rPr>
          <w:rFonts w:ascii="Times New Roman" w:hAnsi="Times New Roman" w:cs="Times New Roman"/>
          <w:sz w:val="24"/>
          <w:szCs w:val="24"/>
        </w:rPr>
        <w:t>;</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равенство конфессий;</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части пространства - устойчивое </w:t>
      </w:r>
      <w:proofErr w:type="spellStart"/>
      <w:r w:rsidRPr="00B06469">
        <w:rPr>
          <w:rFonts w:ascii="Times New Roman" w:hAnsi="Times New Roman" w:cs="Times New Roman"/>
          <w:sz w:val="24"/>
          <w:szCs w:val="24"/>
        </w:rPr>
        <w:t>природосообразное</w:t>
      </w:r>
      <w:proofErr w:type="spellEnd"/>
      <w:r w:rsidRPr="00B06469">
        <w:rPr>
          <w:rFonts w:ascii="Times New Roman" w:hAnsi="Times New Roman" w:cs="Times New Roman"/>
          <w:sz w:val="24"/>
          <w:szCs w:val="24"/>
        </w:rPr>
        <w:t xml:space="preserve"> развитие;</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резервирование ресурсов для будущего;</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транспортная доступность всех типов поселений внутри района и надежные связи с соседними муниципальными районами;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удобная безопасная </w:t>
      </w:r>
      <w:proofErr w:type="spellStart"/>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ская</w:t>
      </w:r>
      <w:proofErr w:type="spellEnd"/>
      <w:r w:rsidRPr="00B06469">
        <w:rPr>
          <w:rFonts w:ascii="Times New Roman" w:hAnsi="Times New Roman" w:cs="Times New Roman"/>
          <w:sz w:val="24"/>
          <w:szCs w:val="24"/>
        </w:rPr>
        <w:t xml:space="preserve"> среда с общественными пространствами, способствующими коммуникации и доверию;</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сохранение сельской местности;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части экономических отношений и управления</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рост уровня доверия как фактор экономического развития: развитие кластерных отношений, коллективного управления, обучение </w:t>
      </w:r>
      <w:proofErr w:type="spellStart"/>
      <w:r w:rsidRPr="00B06469">
        <w:rPr>
          <w:rFonts w:ascii="Times New Roman" w:hAnsi="Times New Roman" w:cs="Times New Roman"/>
          <w:sz w:val="24"/>
          <w:szCs w:val="24"/>
        </w:rPr>
        <w:t>сотруенции</w:t>
      </w:r>
      <w:proofErr w:type="spellEnd"/>
      <w:r w:rsidRPr="00B06469">
        <w:rPr>
          <w:rFonts w:ascii="Times New Roman" w:hAnsi="Times New Roman" w:cs="Times New Roman"/>
          <w:sz w:val="24"/>
          <w:szCs w:val="24"/>
        </w:rPr>
        <w:t xml:space="preserve"> (сотрудничеству конкурентов);</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открытая экономика, глобализация как стимул конкурентоспособности;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расширение и выравнивание доступа к ресурсам;</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полноценная экосистема инноваций;</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взаимовыгодное сотрудничество с федеральным центром;</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эффективное участие государства в инфраструктурных проектах;</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системное решение вопросов, связанных с коррупцией, значительное сокращение теневой экономики;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снижение централизации государственного управления, делегирование полномочий в интересах повышения скорости принятия решений при внедрении принципов проектного управления, управления "на результат" и государственно-частного партнерства.</w:t>
      </w:r>
    </w:p>
    <w:p w:rsidR="002760F1" w:rsidRPr="00B06469" w:rsidRDefault="002760F1">
      <w:pPr>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br w:type="page"/>
      </w:r>
    </w:p>
    <w:p w:rsidR="005B62B2" w:rsidRPr="00B06469" w:rsidRDefault="005B62B2"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lastRenderedPageBreak/>
        <w:t>6.Формирование, совершенствование и накопление человеческого капитала</w:t>
      </w:r>
    </w:p>
    <w:p w:rsidR="00E74438" w:rsidRPr="00B06469" w:rsidRDefault="00E7443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6.1. Стратегическая диагностика</w:t>
      </w:r>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360" w:lineRule="auto"/>
        <w:contextualSpacing/>
        <w:jc w:val="both"/>
        <w:outlineLvl w:val="2"/>
        <w:rPr>
          <w:rFonts w:ascii="Times New Roman" w:hAnsi="Times New Roman" w:cs="Times New Roman"/>
          <w:b/>
          <w:color w:val="365F91"/>
          <w:sz w:val="24"/>
          <w:szCs w:val="24"/>
        </w:rPr>
      </w:pPr>
      <w:bookmarkStart w:id="16" w:name="_Toc520894830"/>
      <w:r w:rsidRPr="00B06469">
        <w:rPr>
          <w:rFonts w:ascii="Times New Roman" w:hAnsi="Times New Roman" w:cs="Times New Roman"/>
          <w:b/>
          <w:color w:val="365F91"/>
          <w:sz w:val="24"/>
          <w:szCs w:val="24"/>
        </w:rPr>
        <w:t>Демографическое развитие, занятость и уровень жизни населения</w:t>
      </w:r>
      <w:bookmarkEnd w:id="16"/>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b/>
          <w:i/>
          <w:color w:val="365F91"/>
          <w:sz w:val="24"/>
          <w:szCs w:val="24"/>
        </w:rPr>
        <w:t xml:space="preserve">Демография. </w:t>
      </w:r>
      <w:r w:rsidRPr="00B06469">
        <w:rPr>
          <w:rFonts w:ascii="Times New Roman" w:hAnsi="Times New Roman" w:cs="Times New Roman"/>
          <w:sz w:val="24"/>
          <w:szCs w:val="24"/>
        </w:rPr>
        <w:t xml:space="preserve">Общая численность населения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по состоянию на начало 2017 года составляла 10,8 тыс. человек (26 место среди 27 районов Самарской области). Всё население района является сельским.</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 наблюдается сложная демографическая ситуация. Район стабильно характеризуется как естественной, так и миграционной убылью населения. За последние 5 лет общая численность населения снизилась на 327 человек.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По уровню рождаемости в 2016 году (9,9 родившихся на 1000 человек населения) район занял 22 место среди муниципальных районов Самарской области. При этом за три последних года средний темп снижения рождаемости составлял около 10,7% ежегодно. </w:t>
      </w:r>
    </w:p>
    <w:p w:rsidR="00FA0047" w:rsidRPr="00B06469" w:rsidRDefault="00B06469"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noProof/>
          <w:sz w:val="24"/>
          <w:szCs w:val="24"/>
        </w:rPr>
        <w:pict>
          <v:rect id="_x0000_s1047" style="position:absolute;left:0;text-align:left;margin-left:217.8pt;margin-top:1.3pt;width:241.95pt;height:42.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" fillcolor="#365f91" strokecolor="#365f91">
            <v:textbox style="mso-next-textbox:#_x0000_s1047">
              <w:txbxContent>
                <w:p w:rsidR="00C32237" w:rsidRPr="00047D4E" w:rsidRDefault="00C32237" w:rsidP="00FA0047">
                  <w:pPr>
                    <w:spacing w:after="0" w:line="240" w:lineRule="auto"/>
                    <w:jc w:val="center"/>
                    <w:rPr>
                      <w:sz w:val="20"/>
                      <w:szCs w:val="20"/>
                    </w:rPr>
                  </w:pPr>
                  <w:proofErr w:type="spellStart"/>
                  <w:proofErr w:type="gramStart"/>
                  <w:r w:rsidRPr="00047D4E">
                    <w:rPr>
                      <w:rFonts w:ascii="Times New Roman" w:hAnsi="Times New Roman"/>
                      <w:b/>
                      <w:bCs/>
                      <w:color w:val="FFFFFF"/>
                      <w:sz w:val="20"/>
                      <w:szCs w:val="20"/>
                    </w:rPr>
                    <w:t>Камышлинский</w:t>
                  </w:r>
                  <w:proofErr w:type="spellEnd"/>
                  <w:r w:rsidRPr="00047D4E">
                    <w:rPr>
                      <w:rFonts w:ascii="Times New Roman" w:hAnsi="Times New Roman"/>
                      <w:b/>
                      <w:bCs/>
                      <w:color w:val="FFFFFF"/>
                      <w:sz w:val="20"/>
                      <w:szCs w:val="20"/>
                    </w:rPr>
                    <w:t xml:space="preserve"> район занимает среднюю позицию по числу умерших среди сельских районов Самарской области</w:t>
                  </w:r>
                  <w:proofErr w:type="gramEnd"/>
                </w:p>
              </w:txbxContent>
            </v:textbox>
          </v:rect>
        </w:pict>
      </w:r>
      <w:r w:rsidRPr="00B06469">
        <w:rPr>
          <w:rFonts w:ascii="Times New Roman" w:hAnsi="Times New Roman" w:cs="Times New Roman"/>
          <w:noProof/>
          <w:sz w:val="24"/>
          <w:szCs w:val="24"/>
        </w:rPr>
        <w:pict>
          <v:rect id="_x0000_s1034" style="position:absolute;left:0;text-align:left;margin-left:1.1pt;margin-top:1.4pt;width:205.7pt;height:4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" fillcolor="#365f91" strokecolor="#365f91">
            <v:textbox style="mso-next-textbox:#_x0000_s1034">
              <w:txbxContent>
                <w:p w:rsidR="00C32237" w:rsidRPr="00BC1922" w:rsidRDefault="00C32237" w:rsidP="00FA0047">
                  <w:pPr>
                    <w:spacing w:after="0" w:line="240" w:lineRule="auto"/>
                    <w:jc w:val="center"/>
                  </w:pPr>
                  <w:proofErr w:type="spellStart"/>
                  <w:r>
                    <w:rPr>
                      <w:rFonts w:ascii="Times New Roman" w:hAnsi="Times New Roman"/>
                      <w:b/>
                      <w:bCs/>
                      <w:color w:val="FFFFFF"/>
                      <w:sz w:val="20"/>
                      <w:szCs w:val="20"/>
                    </w:rPr>
                    <w:t>Камышлинский</w:t>
                  </w:r>
                  <w:proofErr w:type="spellEnd"/>
                  <w:r>
                    <w:rPr>
                      <w:rFonts w:ascii="Times New Roman" w:hAnsi="Times New Roman"/>
                      <w:b/>
                      <w:bCs/>
                      <w:color w:val="FFFFFF"/>
                      <w:sz w:val="20"/>
                      <w:szCs w:val="20"/>
                    </w:rPr>
                    <w:t xml:space="preserve"> район занимает 22 место по числу </w:t>
                  </w:r>
                  <w:proofErr w:type="gramStart"/>
                  <w:r>
                    <w:rPr>
                      <w:rFonts w:ascii="Times New Roman" w:hAnsi="Times New Roman"/>
                      <w:b/>
                      <w:bCs/>
                      <w:color w:val="FFFFFF"/>
                      <w:sz w:val="20"/>
                      <w:szCs w:val="20"/>
                    </w:rPr>
                    <w:t>родившихся</w:t>
                  </w:r>
                  <w:proofErr w:type="gramEnd"/>
                  <w:r>
                    <w:rPr>
                      <w:rFonts w:ascii="Times New Roman" w:hAnsi="Times New Roman"/>
                      <w:b/>
                      <w:bCs/>
                      <w:color w:val="FFFFFF"/>
                      <w:sz w:val="20"/>
                      <w:szCs w:val="20"/>
                    </w:rPr>
                    <w:t xml:space="preserve"> в 2016 году</w:t>
                  </w:r>
                </w:p>
              </w:txbxContent>
            </v:textbox>
          </v:rect>
        </w:pict>
      </w:r>
      <w:r w:rsidRPr="00B06469">
        <w:rPr>
          <w:rFonts w:ascii="Times New Roman" w:hAnsi="Times New Roman" w:cs="Times New Roman"/>
          <w:noProof/>
          <w:sz w:val="24"/>
          <w:szCs w:val="24"/>
        </w:rPr>
        <w:pict>
          <v:line id="Прямая соединительная линия 7" o:spid="_x0000_s1033" style="position:absolute;left:0;text-align:left;z-index:251669504;visibility:visible;mso-width-relative:margin" from="44.05pt,193.15pt" to="206.8pt,1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">
            <v:stroke dashstyle="3 1"/>
          </v:line>
        </w:pict>
      </w:r>
      <w:r w:rsidRPr="00B06469">
        <w:rPr>
          <w:rFonts w:ascii="Times New Roman" w:hAnsi="Times New Roman" w:cs="Times New Roman"/>
          <w:noProof/>
          <w:sz w:val="24"/>
          <w:szCs w:val="24"/>
        </w:rPr>
        <w:pict>
          <v:line id="_x0000_s1046" style="position:absolute;left:0;text-align:left;z-index:251682816;visibility:visible;mso-width-relative:margin;mso-height-relative:margin" from="246.8pt,142.75pt" to="413.5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">
            <v:stroke dashstyle="3 1"/>
          </v:line>
        </w:pict>
      </w:r>
      <w:r w:rsidRPr="00B06469">
        <w:rPr>
          <w:rFonts w:ascii="Times New Roman" w:hAnsi="Times New Roman" w:cs="Times New Roman"/>
          <w:noProof/>
          <w:sz w:val="24"/>
          <w:szCs w:val="24"/>
        </w:rPr>
        <w:pict>
          <v:line id="Прямая соединительная линия 3" o:spid="_x0000_s1032" style="position:absolute;left:0;text-align:left;flip:y;z-index:251668480;visibility:visible;mso-width-relative:margin;mso-height-relative:margin" from="58.95pt,51.4pt" to="58.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">
            <v:stroke dashstyle="3 1"/>
          </v:line>
        </w:pict>
      </w:r>
      <w:r w:rsidR="00FA0047" w:rsidRPr="00B06469">
        <w:rPr>
          <w:rFonts w:ascii="Times New Roman" w:hAnsi="Times New Roman" w:cs="Times New Roman"/>
          <w:b/>
          <w:noProof/>
          <w:sz w:val="24"/>
          <w:szCs w:val="24"/>
          <w:lang w:eastAsia="ru-RU"/>
        </w:rPr>
        <w:drawing>
          <wp:inline distT="0" distB="0" distL="0" distR="0" wp14:anchorId="4C04CBC2" wp14:editId="6F09B7D3">
            <wp:extent cx="2629561" cy="3477583"/>
            <wp:effectExtent l="6663" t="6665" r="3471" b="8887"/>
            <wp:docPr id="198"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A0047" w:rsidRPr="00B06469">
        <w:rPr>
          <w:rFonts w:ascii="Times New Roman" w:hAnsi="Times New Roman" w:cs="Times New Roman"/>
          <w:noProof/>
          <w:sz w:val="24"/>
          <w:szCs w:val="24"/>
          <w:lang w:eastAsia="ru-RU"/>
        </w:rPr>
        <w:t xml:space="preserve"> </w:t>
      </w:r>
      <w:r w:rsidR="00FA0047" w:rsidRPr="00B06469">
        <w:rPr>
          <w:rFonts w:ascii="Times New Roman" w:hAnsi="Times New Roman" w:cs="Times New Roman"/>
          <w:noProof/>
          <w:sz w:val="24"/>
          <w:szCs w:val="24"/>
          <w:lang w:eastAsia="ru-RU"/>
        </w:rPr>
        <w:drawing>
          <wp:inline distT="0" distB="0" distL="0" distR="0" wp14:anchorId="62DE1E80" wp14:editId="7E44F049">
            <wp:extent cx="3060869" cy="3477756"/>
            <wp:effectExtent l="7112" t="6835" r="4149" b="8544"/>
            <wp:docPr id="5"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Статистический сборник</w:t>
      </w:r>
    </w:p>
    <w:p w:rsidR="00FA0047" w:rsidRPr="00B06469" w:rsidRDefault="00FA0047" w:rsidP="001F0139">
      <w:pPr>
        <w:spacing w:after="0" w:line="240" w:lineRule="auto"/>
        <w:jc w:val="center"/>
        <w:rPr>
          <w:rFonts w:ascii="Times New Roman" w:hAnsi="Times New Roman" w:cs="Times New Roman"/>
          <w:noProof/>
          <w:sz w:val="24"/>
          <w:szCs w:val="24"/>
          <w:lang w:eastAsia="ru-RU"/>
        </w:rPr>
      </w:pPr>
      <w:r w:rsidRPr="00B06469">
        <w:rPr>
          <w:rFonts w:ascii="Times New Roman" w:eastAsia="Times New Roman" w:hAnsi="Times New Roman" w:cs="Times New Roman"/>
          <w:b/>
          <w:sz w:val="24"/>
          <w:szCs w:val="24"/>
        </w:rPr>
        <w:t>Рисунок 1.4.1 – Число родившихся и умерших (на 1000 чел. населения) в 2016 году и среднегодовой темп прироста показателя в 2014-2016 годах по муниципальным районам Самарской области</w:t>
      </w:r>
    </w:p>
    <w:p w:rsidR="00FA0047" w:rsidRPr="00B06469" w:rsidRDefault="00FA0047" w:rsidP="001F0139">
      <w:pPr>
        <w:spacing w:after="0" w:line="240" w:lineRule="auto"/>
        <w:jc w:val="both"/>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Коэффициент смертности в 2016 году составил 15,6 умерших на 1000 человек населения, что значительно выше уровня рождаемости. Вместе с тем за последние три года уровень смертности несколько уменьшился – в среднем на 2% ежегодно.</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По коэффициенту смертности район занимает среднюю позицию среди сельских районов области, что в значительной мере может объясняться сравнительно небольшой долей населения старше трудоспособного возраста (24,4%, 3 место, начиная с наименьшего значения). По удельному весу населения младше трудоспособного возраста </w:t>
      </w:r>
      <w:r w:rsidRPr="00B06469">
        <w:rPr>
          <w:rFonts w:ascii="Times New Roman" w:hAnsi="Times New Roman" w:cs="Times New Roman"/>
          <w:sz w:val="24"/>
          <w:szCs w:val="24"/>
        </w:rPr>
        <w:lastRenderedPageBreak/>
        <w:t>район занимает 1 место среди 27 районов области, в трудоспособном возрасте – 15 место (начиная с наибольшего значения, рис. 1.4.2).</w:t>
      </w:r>
    </w:p>
    <w:p w:rsidR="00FA0047" w:rsidRPr="00B06469" w:rsidRDefault="00B06469" w:rsidP="001F0139">
      <w:pPr>
        <w:spacing w:after="0" w:line="240" w:lineRule="auto"/>
        <w:ind w:firstLine="709"/>
        <w:jc w:val="center"/>
        <w:rPr>
          <w:rFonts w:ascii="Times New Roman" w:hAnsi="Times New Roman" w:cs="Times New Roman"/>
          <w:sz w:val="24"/>
          <w:szCs w:val="24"/>
        </w:rPr>
      </w:pPr>
      <w:r w:rsidRPr="00B06469">
        <w:rPr>
          <w:rFonts w:ascii="Times New Roman" w:hAnsi="Times New Roman" w:cs="Times New Roman"/>
          <w:noProof/>
          <w:sz w:val="24"/>
          <w:szCs w:val="24"/>
        </w:rPr>
        <w:pict>
          <v:rect id="Прямоугольник 2" o:spid="_x0000_s1035" style="position:absolute;left:0;text-align:left;margin-left:94.15pt;margin-top:27.6pt;width:310.65pt;height:11.55pt;z-index:2516715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" filled="f" strokecolor="red" strokeweight="2pt">
            <v:stroke dashstyle="3 1"/>
          </v:rect>
        </w:pict>
      </w:r>
      <w:r w:rsidRPr="00B06469">
        <w:rPr>
          <w:rFonts w:ascii="Times New Roman" w:hAnsi="Times New Roman" w:cs="Times New Roman"/>
          <w:noProof/>
          <w:sz w:val="24"/>
          <w:szCs w:val="24"/>
        </w:rPr>
        <w:pict>
          <v:rect id="_x0000_s1036" style="position:absolute;left:0;text-align:left;margin-left:94.15pt;margin-top:-6.6pt;width:316.15pt;height:29.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" fillcolor="#365f91" strokecolor="#365f91">
            <v:textbox style="mso-next-textbox:#_x0000_s1036">
              <w:txbxContent>
                <w:p w:rsidR="00C32237" w:rsidRPr="009755B7" w:rsidRDefault="00C32237" w:rsidP="00FA0047">
                  <w:pPr>
                    <w:spacing w:after="0" w:line="240" w:lineRule="auto"/>
                    <w:jc w:val="center"/>
                    <w:rPr>
                      <w:sz w:val="20"/>
                      <w:szCs w:val="20"/>
                    </w:rPr>
                  </w:pPr>
                  <w:proofErr w:type="spellStart"/>
                  <w:r w:rsidRPr="009755B7">
                    <w:rPr>
                      <w:rFonts w:ascii="Times New Roman" w:hAnsi="Times New Roman"/>
                      <w:b/>
                      <w:bCs/>
                      <w:color w:val="FFFFFF"/>
                      <w:sz w:val="20"/>
                      <w:szCs w:val="20"/>
                    </w:rPr>
                    <w:t>Камышлинский</w:t>
                  </w:r>
                  <w:proofErr w:type="spellEnd"/>
                  <w:r w:rsidRPr="009755B7">
                    <w:rPr>
                      <w:rFonts w:ascii="Times New Roman" w:hAnsi="Times New Roman"/>
                      <w:b/>
                      <w:bCs/>
                      <w:color w:val="FFFFFF"/>
                      <w:sz w:val="20"/>
                      <w:szCs w:val="20"/>
                    </w:rPr>
                    <w:t xml:space="preserve"> район занимает 1 место по удельному весу населения младше трудоспособного возраста</w:t>
                  </w:r>
                </w:p>
              </w:txbxContent>
            </v:textbox>
          </v:rect>
        </w:pict>
      </w:r>
      <w:r w:rsidR="00FA0047" w:rsidRPr="00B06469">
        <w:rPr>
          <w:rFonts w:ascii="Times New Roman" w:hAnsi="Times New Roman" w:cs="Times New Roman"/>
          <w:noProof/>
          <w:sz w:val="24"/>
          <w:szCs w:val="24"/>
          <w:lang w:eastAsia="ru-RU"/>
        </w:rPr>
        <w:drawing>
          <wp:inline distT="0" distB="0" distL="0" distR="0" wp14:anchorId="35C30DEA" wp14:editId="16F9AB58">
            <wp:extent cx="3985516" cy="3498471"/>
            <wp:effectExtent l="6095" t="6095" r="7619" b="6984"/>
            <wp:docPr id="6"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0047" w:rsidRPr="00B06469" w:rsidRDefault="00FA0047" w:rsidP="001F0139">
      <w:pPr>
        <w:spacing w:after="0" w:line="240" w:lineRule="auto"/>
        <w:ind w:firstLine="426"/>
        <w:jc w:val="both"/>
        <w:rPr>
          <w:rFonts w:ascii="Times New Roman" w:hAnsi="Times New Roman" w:cs="Times New Roman"/>
          <w:noProof/>
          <w:sz w:val="24"/>
          <w:szCs w:val="24"/>
          <w:lang w:eastAsia="ru-RU"/>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ind w:firstLine="709"/>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1.4.2 – Демографическая структура населения в 2016 году по муниципальным районам Самарской области</w:t>
      </w:r>
    </w:p>
    <w:p w:rsidR="00FA0047" w:rsidRPr="00B06469" w:rsidRDefault="00FA0047" w:rsidP="001F0139">
      <w:pPr>
        <w:spacing w:after="0" w:line="240" w:lineRule="auto"/>
        <w:ind w:firstLine="709"/>
        <w:jc w:val="center"/>
        <w:rPr>
          <w:rFonts w:ascii="Times New Roman" w:eastAsia="Times New Roman" w:hAnsi="Times New Roman" w:cs="Times New Roman"/>
          <w:b/>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Сравнивая удельный вес по возрастным группам населения (моложе трудоспособного, трудоспособное и старше трудоспособного), можно сделать вывод о стационарной возрастной структуре населения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(старение населения), близкой к структуре Самарской области и Российской Федерации в целом (рис.1.4.3). </w:t>
      </w:r>
    </w:p>
    <w:p w:rsidR="00FA0047" w:rsidRPr="00B06469" w:rsidRDefault="00B06469"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noProof/>
          <w:sz w:val="24"/>
          <w:szCs w:val="24"/>
        </w:rPr>
        <w:pict>
          <v:rect id="_x0000_s1037" style="position:absolute;left:0;text-align:left;margin-left:50.65pt;margin-top:2.25pt;width:399.15pt;height:47.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" fillcolor="#365f91" strokecolor="#365f91">
            <v:textbox style="mso-next-textbox:#_x0000_s1037">
              <w:txbxContent>
                <w:p w:rsidR="00C32237" w:rsidRPr="00BC1922" w:rsidRDefault="00C32237" w:rsidP="00FA0047">
                  <w:pPr>
                    <w:spacing w:after="0" w:line="240" w:lineRule="auto"/>
                    <w:jc w:val="center"/>
                  </w:pPr>
                  <w:r>
                    <w:rPr>
                      <w:rFonts w:ascii="Times New Roman" w:hAnsi="Times New Roman"/>
                      <w:b/>
                      <w:bCs/>
                      <w:color w:val="FFFFFF"/>
                      <w:sz w:val="20"/>
                      <w:szCs w:val="20"/>
                    </w:rPr>
                    <w:t xml:space="preserve">Демографическая структура населения </w:t>
                  </w:r>
                  <w:proofErr w:type="spellStart"/>
                  <w:r>
                    <w:rPr>
                      <w:rFonts w:ascii="Times New Roman" w:hAnsi="Times New Roman"/>
                      <w:b/>
                      <w:bCs/>
                      <w:color w:val="FFFFFF"/>
                      <w:sz w:val="20"/>
                      <w:szCs w:val="20"/>
                    </w:rPr>
                    <w:t>Камышлинского</w:t>
                  </w:r>
                  <w:proofErr w:type="spellEnd"/>
                  <w:r>
                    <w:rPr>
                      <w:rFonts w:ascii="Times New Roman" w:hAnsi="Times New Roman"/>
                      <w:b/>
                      <w:bCs/>
                      <w:color w:val="FFFFFF"/>
                      <w:sz w:val="20"/>
                      <w:szCs w:val="20"/>
                    </w:rPr>
                    <w:t xml:space="preserve"> района в 2016 году занимает среднюю позицию по сравнению с демографической структурой Самарской области и Российской Федерации</w:t>
                  </w:r>
                </w:p>
              </w:txbxContent>
            </v:textbox>
          </v:rect>
        </w:pict>
      </w:r>
    </w:p>
    <w:p w:rsidR="00FA0047" w:rsidRPr="00B06469" w:rsidRDefault="00FA0047" w:rsidP="001F0139">
      <w:pPr>
        <w:spacing w:after="0" w:line="360" w:lineRule="auto"/>
        <w:ind w:firstLine="709"/>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032F0093" wp14:editId="3D35C452">
            <wp:extent cx="5035296" cy="1889760"/>
            <wp:effectExtent l="19050" t="0" r="12954" b="0"/>
            <wp:docPr id="7" name="Диаграмма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Источники: Муниципальные районы Самарской области, 2017. Статистический сборник. – Самара, 2017; Самарский статистический ежегодник. Статистический сборник. – Самара, 2017;</w:t>
      </w:r>
    </w:p>
    <w:p w:rsidR="00FA0047" w:rsidRPr="00B06469" w:rsidRDefault="00FA0047" w:rsidP="001F0139">
      <w:pPr>
        <w:spacing w:after="0" w:line="240" w:lineRule="auto"/>
        <w:jc w:val="center"/>
        <w:rPr>
          <w:rFonts w:ascii="Times New Roman" w:hAnsi="Times New Roman" w:cs="Times New Roman"/>
          <w:noProof/>
          <w:sz w:val="24"/>
          <w:szCs w:val="24"/>
          <w:lang w:eastAsia="ru-RU"/>
        </w:rPr>
      </w:pPr>
      <w:r w:rsidRPr="00B06469">
        <w:rPr>
          <w:rFonts w:ascii="Times New Roman" w:hAnsi="Times New Roman" w:cs="Times New Roman"/>
          <w:sz w:val="24"/>
          <w:szCs w:val="24"/>
        </w:rPr>
        <w:t>Российский статистический ежегодник. Статистический сборник. – Москва, 2017.</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 xml:space="preserve">Рисунок 1.4.3 – Сравнение распределения населения </w:t>
      </w:r>
      <w:proofErr w:type="spellStart"/>
      <w:r w:rsidRPr="00B06469">
        <w:rPr>
          <w:rFonts w:ascii="Times New Roman" w:eastAsia="Times New Roman" w:hAnsi="Times New Roman" w:cs="Times New Roman"/>
          <w:b/>
          <w:sz w:val="24"/>
          <w:szCs w:val="24"/>
        </w:rPr>
        <w:t>Камышлинского</w:t>
      </w:r>
      <w:proofErr w:type="spellEnd"/>
      <w:r w:rsidRPr="00B06469">
        <w:rPr>
          <w:rFonts w:ascii="Times New Roman" w:eastAsia="Times New Roman" w:hAnsi="Times New Roman" w:cs="Times New Roman"/>
          <w:b/>
          <w:sz w:val="24"/>
          <w:szCs w:val="24"/>
        </w:rPr>
        <w:t xml:space="preserve"> района, Самарской области и Российской Федерации по возрастным группам в 2016 году</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При существующей возрастной структуре населения в муниципальном районе в будущем сохранится тенденция снижения доли трудоспособного населения и демографического старения населения, что представляет собой риски демографического развития, негативно влияющие на рынок труда.</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Кроме естественной убыли населения на его численность также влияет миграционный отток. Не смотря на то, что максимальные цифры миграционной убыли значительно не снижаются, нельзя говорить о четкой тенденции к миграционной убыли населения: значения колеблются от 79 выехавших с территории человек в 2012 году до 6 прибывших человек в 2013 году. В 2012, 2014, 2015 гг., миграционная убыль в районе преобладала, в 2016 году наметилась тенденция к ее уменьшению (5 человек выбывших).</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2012-2015 гг. устойчивой тенденцией в районе является выбытие жителей в другие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а и районы Самарской области, регионы России и прибытие жителей других государств (по большей части – жителей стран СНГ). Однако, в 2016 году ситуация изменилась, жители по-прежнему перемещаются в основном внутри региона, а выбывают в другие государства, и прибывают из других регионов России (рис. 1.4.4).</w:t>
      </w:r>
    </w:p>
    <w:p w:rsidR="00FA0047" w:rsidRPr="00B06469" w:rsidRDefault="00FA0047" w:rsidP="001F0139">
      <w:pPr>
        <w:spacing w:after="0" w:line="360" w:lineRule="auto"/>
        <w:ind w:firstLine="567"/>
        <w:jc w:val="both"/>
        <w:rPr>
          <w:rFonts w:ascii="Times New Roman" w:hAnsi="Times New Roman" w:cs="Times New Roman"/>
          <w:sz w:val="24"/>
          <w:szCs w:val="24"/>
        </w:rPr>
      </w:pPr>
    </w:p>
    <w:p w:rsidR="00FA0047" w:rsidRPr="00B06469" w:rsidRDefault="00B06469"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rPr>
        <w:pict>
          <v:rect id="_x0000_s1038" style="position:absolute;left:0;text-align:left;margin-left:12.65pt;margin-top:-26.3pt;width:213.8pt;height:43.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" fillcolor="#365f91" strokecolor="#365f91">
            <v:textbox style="mso-next-textbox:#_x0000_s1038">
              <w:txbxContent>
                <w:p w:rsidR="00C32237" w:rsidRPr="00BC1922" w:rsidRDefault="00C32237" w:rsidP="00FA0047">
                  <w:pPr>
                    <w:spacing w:after="0" w:line="240" w:lineRule="auto"/>
                    <w:jc w:val="center"/>
                  </w:pPr>
                  <w:r>
                    <w:rPr>
                      <w:rFonts w:ascii="Times New Roman" w:hAnsi="Times New Roman"/>
                      <w:b/>
                      <w:bCs/>
                      <w:color w:val="FFFFFF"/>
                      <w:sz w:val="20"/>
                      <w:szCs w:val="20"/>
                    </w:rPr>
                    <w:t xml:space="preserve">В </w:t>
                  </w:r>
                  <w:proofErr w:type="spellStart"/>
                  <w:r>
                    <w:rPr>
                      <w:rFonts w:ascii="Times New Roman" w:hAnsi="Times New Roman"/>
                      <w:b/>
                      <w:bCs/>
                      <w:color w:val="FFFFFF"/>
                      <w:sz w:val="20"/>
                      <w:szCs w:val="20"/>
                    </w:rPr>
                    <w:t>Камышлинском</w:t>
                  </w:r>
                  <w:proofErr w:type="spellEnd"/>
                  <w:r>
                    <w:rPr>
                      <w:rFonts w:ascii="Times New Roman" w:hAnsi="Times New Roman"/>
                      <w:b/>
                      <w:bCs/>
                      <w:color w:val="FFFFFF"/>
                      <w:sz w:val="20"/>
                      <w:szCs w:val="20"/>
                    </w:rPr>
                    <w:t xml:space="preserve"> районе в 2015 году преобладают </w:t>
                  </w:r>
                  <w:proofErr w:type="spellStart"/>
                  <w:r>
                    <w:rPr>
                      <w:rFonts w:ascii="Times New Roman" w:hAnsi="Times New Roman"/>
                      <w:b/>
                      <w:bCs/>
                      <w:color w:val="FFFFFF"/>
                      <w:sz w:val="20"/>
                      <w:szCs w:val="20"/>
                    </w:rPr>
                    <w:t>внутрирегиональная</w:t>
                  </w:r>
                  <w:proofErr w:type="spellEnd"/>
                  <w:r>
                    <w:rPr>
                      <w:rFonts w:ascii="Times New Roman" w:hAnsi="Times New Roman"/>
                      <w:b/>
                      <w:bCs/>
                      <w:color w:val="FFFFFF"/>
                      <w:sz w:val="20"/>
                      <w:szCs w:val="20"/>
                    </w:rPr>
                    <w:t xml:space="preserve"> и межрегиональная миграция</w:t>
                  </w:r>
                </w:p>
              </w:txbxContent>
            </v:textbox>
          </v:rect>
        </w:pict>
      </w:r>
      <w:r w:rsidRPr="00B06469">
        <w:rPr>
          <w:rFonts w:ascii="Times New Roman" w:hAnsi="Times New Roman" w:cs="Times New Roman"/>
          <w:noProof/>
          <w:sz w:val="24"/>
          <w:szCs w:val="24"/>
        </w:rPr>
        <w:pict>
          <v:rect id="_x0000_s1039" style="position:absolute;left:0;text-align:left;margin-left:236.45pt;margin-top:-26.3pt;width:216.1pt;height:42.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" fillcolor="#365f91" strokecolor="#365f91">
            <v:textbox style="mso-next-textbox:#_x0000_s1039">
              <w:txbxContent>
                <w:p w:rsidR="00C32237" w:rsidRPr="00BC1922" w:rsidRDefault="00C32237" w:rsidP="00FA0047">
                  <w:pPr>
                    <w:spacing w:after="0" w:line="240" w:lineRule="auto"/>
                    <w:jc w:val="center"/>
                  </w:pPr>
                  <w:r>
                    <w:rPr>
                      <w:rFonts w:ascii="Times New Roman" w:hAnsi="Times New Roman"/>
                      <w:b/>
                      <w:bCs/>
                      <w:color w:val="FFFFFF"/>
                      <w:sz w:val="20"/>
                      <w:szCs w:val="20"/>
                    </w:rPr>
                    <w:t xml:space="preserve">В </w:t>
                  </w:r>
                  <w:proofErr w:type="spellStart"/>
                  <w:r>
                    <w:rPr>
                      <w:rFonts w:ascii="Times New Roman" w:hAnsi="Times New Roman"/>
                      <w:b/>
                      <w:bCs/>
                      <w:color w:val="FFFFFF"/>
                      <w:sz w:val="20"/>
                      <w:szCs w:val="20"/>
                    </w:rPr>
                    <w:t>Камышлинском</w:t>
                  </w:r>
                  <w:proofErr w:type="spellEnd"/>
                  <w:r>
                    <w:rPr>
                      <w:rFonts w:ascii="Times New Roman" w:hAnsi="Times New Roman"/>
                      <w:b/>
                      <w:bCs/>
                      <w:color w:val="FFFFFF"/>
                      <w:sz w:val="20"/>
                      <w:szCs w:val="20"/>
                    </w:rPr>
                    <w:t xml:space="preserve"> районе в 2016 году преобладает межрегиональная миграция</w:t>
                  </w:r>
                </w:p>
              </w:txbxContent>
            </v:textbox>
          </v:rect>
        </w:pict>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52B94B1E" wp14:editId="298399C3">
            <wp:extent cx="2651760" cy="2231390"/>
            <wp:effectExtent l="0" t="0" r="0" b="0"/>
            <wp:docPr id="221" name="Объект 2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B06469">
        <w:rPr>
          <w:rFonts w:ascii="Times New Roman" w:hAnsi="Times New Roman" w:cs="Times New Roman"/>
          <w:sz w:val="24"/>
          <w:szCs w:val="24"/>
        </w:rPr>
        <w:t xml:space="preserve"> </w:t>
      </w:r>
      <w:r w:rsidRPr="00B06469">
        <w:rPr>
          <w:rFonts w:ascii="Times New Roman" w:hAnsi="Times New Roman" w:cs="Times New Roman"/>
          <w:noProof/>
          <w:sz w:val="24"/>
          <w:szCs w:val="24"/>
          <w:lang w:eastAsia="ru-RU"/>
        </w:rPr>
        <w:drawing>
          <wp:inline distT="0" distB="0" distL="0" distR="0" wp14:anchorId="38AE9BD7" wp14:editId="1D9D6452">
            <wp:extent cx="2739675" cy="2525559"/>
            <wp:effectExtent l="6803" t="6706" r="8787" b="9640"/>
            <wp:docPr id="8" name="Диаграм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Территориальный орган Федеральной службы государственной статистики по Самарской области. Режим доступа: http://www.gks.ru</w:t>
      </w:r>
    </w:p>
    <w:p w:rsidR="00FA0047" w:rsidRPr="00B06469" w:rsidRDefault="00FA0047" w:rsidP="001F0139">
      <w:pPr>
        <w:spacing w:after="0" w:line="240" w:lineRule="auto"/>
        <w:jc w:val="center"/>
        <w:rPr>
          <w:rFonts w:ascii="Times New Roman" w:hAnsi="Times New Roman" w:cs="Times New Roman"/>
          <w:b/>
          <w:sz w:val="24"/>
          <w:szCs w:val="24"/>
        </w:rPr>
      </w:pPr>
      <w:r w:rsidRPr="00B06469">
        <w:rPr>
          <w:rFonts w:ascii="Times New Roman" w:eastAsia="Times New Roman" w:hAnsi="Times New Roman" w:cs="Times New Roman"/>
          <w:b/>
          <w:sz w:val="24"/>
          <w:szCs w:val="24"/>
        </w:rPr>
        <w:t xml:space="preserve">Рисунок 1.4.4 – Территориальная структура миграционной убыли в </w:t>
      </w:r>
      <w:proofErr w:type="spellStart"/>
      <w:r w:rsidRPr="00B06469">
        <w:rPr>
          <w:rFonts w:ascii="Times New Roman" w:eastAsia="Times New Roman" w:hAnsi="Times New Roman" w:cs="Times New Roman"/>
          <w:b/>
          <w:sz w:val="24"/>
          <w:szCs w:val="24"/>
        </w:rPr>
        <w:t>Камышлинском</w:t>
      </w:r>
      <w:proofErr w:type="spellEnd"/>
      <w:r w:rsidRPr="00B06469">
        <w:rPr>
          <w:rFonts w:ascii="Times New Roman" w:eastAsia="Times New Roman" w:hAnsi="Times New Roman" w:cs="Times New Roman"/>
          <w:b/>
          <w:sz w:val="24"/>
          <w:szCs w:val="24"/>
        </w:rPr>
        <w:t xml:space="preserve"> районе в 2015, 2016 году</w:t>
      </w:r>
    </w:p>
    <w:p w:rsidR="00FA0047" w:rsidRPr="00B06469" w:rsidRDefault="00FA0047" w:rsidP="001F0139">
      <w:pPr>
        <w:spacing w:after="0" w:line="240" w:lineRule="auto"/>
        <w:jc w:val="center"/>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район приезжают люди из других территорий, в том числе и по программам, призванным решить кадровую проблему в бюджетной сфере — учреждениях образования, здравоохранения и культуры.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Ведется работа</w:t>
      </w:r>
      <w:r w:rsidRPr="00B06469">
        <w:rPr>
          <w:rFonts w:ascii="Times New Roman" w:hAnsi="Times New Roman" w:cs="Times New Roman"/>
          <w:color w:val="000000"/>
          <w:sz w:val="24"/>
          <w:szCs w:val="24"/>
        </w:rPr>
        <w:t xml:space="preserve"> </w:t>
      </w:r>
      <w:r w:rsidRPr="00B06469">
        <w:rPr>
          <w:rFonts w:ascii="Times New Roman" w:hAnsi="Times New Roman" w:cs="Times New Roman"/>
          <w:sz w:val="24"/>
          <w:szCs w:val="24"/>
        </w:rPr>
        <w:t xml:space="preserve">по таким направлениям, как укрепление института семьи, создание равных возможностей для полноценного развития всех детей. На территории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проживает 4101 семья, в том числе 2302 семьи, имеющих детей в возрасте от 0 до 18 лет, 132 – многодетные семьи. За последние годы, благодаря государственной поддержке семьи произошел рост рождаемости детей по сравнению с </w:t>
      </w:r>
      <w:r w:rsidRPr="00B06469">
        <w:rPr>
          <w:rFonts w:ascii="Times New Roman" w:hAnsi="Times New Roman" w:cs="Times New Roman"/>
          <w:sz w:val="24"/>
          <w:szCs w:val="24"/>
        </w:rPr>
        <w:lastRenderedPageBreak/>
        <w:t xml:space="preserve">2011 годом почти в 2 раза. Так, на декабрь 2017 года их насчитывается 110. Знаком отличия «Материнская доблесть» 1 и 2 степени на сегодня награждены 119 матерей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80 многодетных семей на сегодня изъявили желание получить земельный участок, 43 из них уже получили. Сформировано для многодетных семей – 103 земельных участка, зарегистрировано право на 19 участков. Самое широкое развитие в районе получил институт приемной семьи. Всего в районе 174 приемных детей и детей, живущих под опекой родственников, 85 — приемных семей.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b/>
          <w:i/>
          <w:color w:val="365F91"/>
          <w:sz w:val="24"/>
          <w:szCs w:val="24"/>
        </w:rPr>
        <w:t xml:space="preserve">Сфера занятости и трудовые отношения, уровень жизни населения. </w:t>
      </w:r>
      <w:r w:rsidRPr="00B06469">
        <w:rPr>
          <w:rFonts w:ascii="Times New Roman" w:hAnsi="Times New Roman" w:cs="Times New Roman"/>
          <w:sz w:val="24"/>
          <w:szCs w:val="24"/>
        </w:rPr>
        <w:t xml:space="preserve">Численность жителей района в трудоспособном возрасте составляет менее 5,9 тыс. человек. При этом среднегодовая численность работников организаций составляет 1,5 тыс. человек. Таким образом, значительная доля населения района занята в малом бизнесе. В 2017 году на территории района зарегистрировано 211 индивидуальных предпринимателей и 112 организаций. </w:t>
      </w:r>
      <w:proofErr w:type="gramStart"/>
      <w:r w:rsidRPr="00B06469">
        <w:rPr>
          <w:rFonts w:ascii="Times New Roman" w:hAnsi="Times New Roman" w:cs="Times New Roman"/>
          <w:sz w:val="24"/>
          <w:szCs w:val="24"/>
        </w:rPr>
        <w:t>Из которых: 27 организаций, осуществляющих государственное управление и обеспечение военной безопасности, социального страхования, 27 – предоставление коммунальных, социальных и персональных услуг; 14 – операции с недвижимым имуществом, аренда и предоставление других услуг; 12 – организаций оптовой и розничной торговли, по ремонту автотранспортных средств, мотоциклов, бытовых изделий и предметов личного пользования; 10 – предприятий сельского хозяйства, охоты и лесного хозяйства;</w:t>
      </w:r>
      <w:proofErr w:type="gramEnd"/>
      <w:r w:rsidRPr="00B06469">
        <w:rPr>
          <w:rFonts w:ascii="Times New Roman" w:hAnsi="Times New Roman" w:cs="Times New Roman"/>
          <w:sz w:val="24"/>
          <w:szCs w:val="24"/>
        </w:rPr>
        <w:t xml:space="preserve"> 6 –образование; 5 – производство и распределение электроэнергии, газа и воды; 4 – здравоохранение и предоставление социальных услуг; 3 – транспорт и связь; 2 – строительство; 1 – обрабатывающие производства; 1 – гостиницы и рестораны; не зарегистрировано организаций, осуществляющих финансовую деятельность.</w:t>
      </w:r>
    </w:p>
    <w:p w:rsidR="00FA0047" w:rsidRPr="00B06469" w:rsidRDefault="00FA0047" w:rsidP="001F0139">
      <w:pPr>
        <w:spacing w:after="0" w:line="360" w:lineRule="auto"/>
        <w:ind w:firstLine="709"/>
        <w:jc w:val="both"/>
        <w:rPr>
          <w:rFonts w:ascii="Times New Roman" w:hAnsi="Times New Roman" w:cs="Times New Roman"/>
          <w:sz w:val="24"/>
          <w:szCs w:val="24"/>
        </w:rPr>
      </w:pPr>
      <w:proofErr w:type="gramStart"/>
      <w:r w:rsidRPr="00B06469">
        <w:rPr>
          <w:rFonts w:ascii="Times New Roman" w:hAnsi="Times New Roman" w:cs="Times New Roman"/>
          <w:sz w:val="24"/>
          <w:szCs w:val="24"/>
        </w:rPr>
        <w:t>Большинство занятых в организациях, так или иначе связанных с бюджетной сферой (рис. 1.4.5).</w:t>
      </w:r>
      <w:proofErr w:type="gramEnd"/>
    </w:p>
    <w:p w:rsidR="00FA0047" w:rsidRPr="00B06469" w:rsidRDefault="00B06469"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rPr>
        <w:lastRenderedPageBreak/>
        <w:pict>
          <v:rect id="_x0000_s1040" style="position:absolute;left:0;text-align:left;margin-left:46.5pt;margin-top:-.15pt;width:375.65pt;height:32.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" fillcolor="#365f91" strokecolor="#365f91">
            <v:textbox style="mso-next-textbox:#_x0000_s1040">
              <w:txbxContent>
                <w:p w:rsidR="00C32237" w:rsidRDefault="00C32237" w:rsidP="00FA0047">
                  <w:pPr>
                    <w:spacing w:after="0" w:line="240" w:lineRule="auto"/>
                    <w:jc w:val="center"/>
                    <w:rPr>
                      <w:b/>
                      <w:bCs/>
                      <w:color w:val="FFFFFF"/>
                      <w:sz w:val="20"/>
                    </w:rPr>
                  </w:pPr>
                  <w:r w:rsidRPr="00543920">
                    <w:rPr>
                      <w:rFonts w:ascii="Times New Roman Полужирный" w:hAnsi="Times New Roman Полужирный"/>
                      <w:b/>
                      <w:bCs/>
                      <w:color w:val="FFFFFF"/>
                      <w:sz w:val="20"/>
                    </w:rPr>
                    <w:t xml:space="preserve">Распределение организаций </w:t>
                  </w:r>
                  <w:proofErr w:type="spellStart"/>
                  <w:r w:rsidRPr="00543920">
                    <w:rPr>
                      <w:rFonts w:ascii="Times New Roman Полужирный" w:hAnsi="Times New Roman Полужирный"/>
                      <w:b/>
                      <w:bCs/>
                      <w:color w:val="FFFFFF"/>
                      <w:sz w:val="20"/>
                    </w:rPr>
                    <w:t>Камышлинского</w:t>
                  </w:r>
                  <w:proofErr w:type="spellEnd"/>
                  <w:r w:rsidRPr="00543920">
                    <w:rPr>
                      <w:rFonts w:ascii="Times New Roman Полужирный" w:hAnsi="Times New Roman Полужирный"/>
                      <w:b/>
                      <w:bCs/>
                      <w:color w:val="FFFFFF"/>
                      <w:sz w:val="20"/>
                    </w:rPr>
                    <w:t xml:space="preserve"> района </w:t>
                  </w:r>
                </w:p>
                <w:p w:rsidR="00C32237" w:rsidRPr="008F0D53" w:rsidRDefault="00C32237" w:rsidP="00FA0047">
                  <w:pPr>
                    <w:spacing w:after="0" w:line="240" w:lineRule="auto"/>
                    <w:jc w:val="center"/>
                    <w:rPr>
                      <w:rFonts w:ascii="Times New Roman Полужирный" w:hAnsi="Times New Roman Полужирный"/>
                      <w:color w:val="FFFFFF"/>
                      <w:sz w:val="20"/>
                    </w:rPr>
                  </w:pPr>
                  <w:r w:rsidRPr="00543920">
                    <w:rPr>
                      <w:rFonts w:ascii="Times New Roman Полужирный" w:hAnsi="Times New Roman Полужирный"/>
                      <w:b/>
                      <w:bCs/>
                      <w:color w:val="FFFFFF"/>
                      <w:sz w:val="20"/>
                    </w:rPr>
                    <w:t xml:space="preserve">по видам экономической </w:t>
                  </w:r>
                  <w:r w:rsidRPr="008F0D53">
                    <w:rPr>
                      <w:rFonts w:ascii="Times New Roman Полужирный" w:hAnsi="Times New Roman Полужирный"/>
                      <w:b/>
                      <w:bCs/>
                      <w:color w:val="FFFFFF"/>
                      <w:sz w:val="20"/>
                    </w:rPr>
                    <w:t>деятельности</w:t>
                  </w:r>
                </w:p>
              </w:txbxContent>
            </v:textbox>
          </v:rect>
        </w:pict>
      </w:r>
      <w:r w:rsidR="00FA0047" w:rsidRPr="00B06469">
        <w:rPr>
          <w:rFonts w:ascii="Times New Roman" w:hAnsi="Times New Roman" w:cs="Times New Roman"/>
          <w:noProof/>
          <w:sz w:val="24"/>
          <w:szCs w:val="24"/>
          <w:lang w:eastAsia="ru-RU"/>
        </w:rPr>
        <w:drawing>
          <wp:inline distT="0" distB="0" distL="0" distR="0" wp14:anchorId="3A1E4FC4" wp14:editId="37E6F1F6">
            <wp:extent cx="4785360" cy="5260975"/>
            <wp:effectExtent l="0" t="0" r="0" b="0"/>
            <wp:docPr id="9" name="Диаграмма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p>
    <w:p w:rsidR="00FA0047" w:rsidRPr="00B06469" w:rsidRDefault="00FA0047" w:rsidP="001F0139">
      <w:pPr>
        <w:spacing w:after="0" w:line="240" w:lineRule="auto"/>
        <w:jc w:val="center"/>
        <w:rPr>
          <w:rFonts w:ascii="Times New Roman" w:hAnsi="Times New Roman" w:cs="Times New Roman"/>
          <w:noProof/>
          <w:sz w:val="24"/>
          <w:szCs w:val="24"/>
          <w:lang w:eastAsia="ru-RU"/>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 xml:space="preserve">Рисунок 1.4.5 – Количество организаций по видам экономической деятельности в </w:t>
      </w:r>
      <w:proofErr w:type="spellStart"/>
      <w:r w:rsidRPr="00B06469">
        <w:rPr>
          <w:rFonts w:ascii="Times New Roman" w:eastAsia="Times New Roman" w:hAnsi="Times New Roman" w:cs="Times New Roman"/>
          <w:b/>
          <w:sz w:val="24"/>
          <w:szCs w:val="24"/>
        </w:rPr>
        <w:t>Камышлинском</w:t>
      </w:r>
      <w:proofErr w:type="spellEnd"/>
      <w:r w:rsidRPr="00B06469">
        <w:rPr>
          <w:rFonts w:ascii="Times New Roman" w:eastAsia="Times New Roman" w:hAnsi="Times New Roman" w:cs="Times New Roman"/>
          <w:b/>
          <w:sz w:val="24"/>
          <w:szCs w:val="24"/>
        </w:rPr>
        <w:t xml:space="preserve"> районе на 1 января 2017 года</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Принципиально другая структура распределения по видам экономической деятельности у индивидуальных предпринимателей (рис. 1.4.6). </w:t>
      </w:r>
      <w:proofErr w:type="gramStart"/>
      <w:r w:rsidRPr="00B06469">
        <w:rPr>
          <w:rFonts w:ascii="Times New Roman" w:hAnsi="Times New Roman" w:cs="Times New Roman"/>
          <w:sz w:val="24"/>
          <w:szCs w:val="24"/>
        </w:rPr>
        <w:t>Зарегистрировано: 105 – организаций оптовой и розничной торговли, по ремонту автотранспортных средств, мотоциклов, бытовых изделий и предметов личного пользования; 32 – предприятий сельского хозяйства, охоты и лесного хозяйства; 19 – транспорт и связь; 15 – обрабатывающие производства; 14 – гостиницы и рестораны; 12 – предоставление коммунальных, социальных и персональных услуг; 7 – операции с недвижимым имуществом, аренда и предоставление других услуг;</w:t>
      </w:r>
      <w:proofErr w:type="gramEnd"/>
      <w:r w:rsidRPr="00B06469">
        <w:rPr>
          <w:rFonts w:ascii="Times New Roman" w:hAnsi="Times New Roman" w:cs="Times New Roman"/>
          <w:sz w:val="24"/>
          <w:szCs w:val="24"/>
        </w:rPr>
        <w:t xml:space="preserve"> 4 – строительство; 1 – рыболовство, рыбоводство; 1– финансовая деятельность, 1 – образование. </w:t>
      </w:r>
    </w:p>
    <w:p w:rsidR="00FA0047" w:rsidRPr="00B06469" w:rsidRDefault="00B06469" w:rsidP="001F0139">
      <w:pPr>
        <w:spacing w:after="0" w:line="360" w:lineRule="auto"/>
        <w:ind w:firstLine="567"/>
        <w:jc w:val="center"/>
        <w:rPr>
          <w:rFonts w:ascii="Times New Roman" w:hAnsi="Times New Roman" w:cs="Times New Roman"/>
          <w:sz w:val="24"/>
          <w:szCs w:val="24"/>
        </w:rPr>
      </w:pPr>
      <w:r w:rsidRPr="00B06469">
        <w:rPr>
          <w:rFonts w:ascii="Times New Roman" w:hAnsi="Times New Roman" w:cs="Times New Roman"/>
          <w:noProof/>
          <w:sz w:val="24"/>
          <w:szCs w:val="24"/>
        </w:rPr>
        <w:lastRenderedPageBreak/>
        <w:pict>
          <v:rect id="_x0000_s1041" style="position:absolute;left:0;text-align:left;margin-left:65.4pt;margin-top:1.1pt;width:366.25pt;height:36.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" fillcolor="#365f91" strokecolor="#365f91">
            <v:textbox style="mso-next-textbox:#_x0000_s1041">
              <w:txbxContent>
                <w:p w:rsidR="00C32237" w:rsidRPr="008F0D53" w:rsidRDefault="00C32237" w:rsidP="00FA0047">
                  <w:pPr>
                    <w:spacing w:after="0" w:line="240" w:lineRule="auto"/>
                    <w:jc w:val="center"/>
                    <w:rPr>
                      <w:rFonts w:ascii="Times New Roman Полужирный" w:hAnsi="Times New Roman Полужирный"/>
                      <w:color w:val="FFFFFF"/>
                      <w:sz w:val="20"/>
                    </w:rPr>
                  </w:pPr>
                  <w:r w:rsidRPr="00454639">
                    <w:rPr>
                      <w:rFonts w:ascii="Times New Roman Полужирный" w:hAnsi="Times New Roman Полужирный"/>
                      <w:b/>
                      <w:bCs/>
                      <w:color w:val="FFFFFF"/>
                      <w:sz w:val="20"/>
                    </w:rPr>
                    <w:t xml:space="preserve">Распределение индивидуальных предпринимателей </w:t>
                  </w:r>
                  <w:proofErr w:type="spellStart"/>
                  <w:r w:rsidRPr="00454639">
                    <w:rPr>
                      <w:rFonts w:ascii="Times New Roman Полужирный" w:hAnsi="Times New Roman Полужирный"/>
                      <w:b/>
                      <w:bCs/>
                      <w:color w:val="FFFFFF"/>
                      <w:sz w:val="20"/>
                    </w:rPr>
                    <w:t>Камышлинского</w:t>
                  </w:r>
                  <w:proofErr w:type="spellEnd"/>
                  <w:r w:rsidRPr="00454639">
                    <w:rPr>
                      <w:rFonts w:ascii="Times New Roman Полужирный" w:hAnsi="Times New Roman Полужирный"/>
                      <w:b/>
                      <w:bCs/>
                      <w:color w:val="FFFFFF"/>
                      <w:sz w:val="20"/>
                    </w:rPr>
                    <w:t xml:space="preserve"> района по видам экономической </w:t>
                  </w:r>
                  <w:r w:rsidRPr="008F0D53">
                    <w:rPr>
                      <w:rFonts w:ascii="Times New Roman Полужирный" w:hAnsi="Times New Roman Полужирный"/>
                      <w:b/>
                      <w:bCs/>
                      <w:color w:val="FFFFFF"/>
                      <w:sz w:val="20"/>
                    </w:rPr>
                    <w:t>деятельности</w:t>
                  </w:r>
                </w:p>
              </w:txbxContent>
            </v:textbox>
          </v:rect>
        </w:pict>
      </w:r>
      <w:r w:rsidR="00FA0047" w:rsidRPr="00B06469">
        <w:rPr>
          <w:rFonts w:ascii="Times New Roman" w:hAnsi="Times New Roman" w:cs="Times New Roman"/>
          <w:noProof/>
          <w:sz w:val="24"/>
          <w:szCs w:val="24"/>
          <w:lang w:eastAsia="ru-RU"/>
        </w:rPr>
        <w:drawing>
          <wp:inline distT="0" distB="0" distL="0" distR="0" wp14:anchorId="31DD4974" wp14:editId="1157ADE0">
            <wp:extent cx="4663440" cy="4730750"/>
            <wp:effectExtent l="0" t="0" r="0" b="0"/>
            <wp:docPr id="10" name="Диаграмма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A0047" w:rsidRPr="00B06469" w:rsidRDefault="00FA0047" w:rsidP="001F0139">
      <w:pPr>
        <w:spacing w:after="0" w:line="240" w:lineRule="auto"/>
        <w:ind w:firstLine="426"/>
        <w:jc w:val="both"/>
        <w:rPr>
          <w:rFonts w:ascii="Times New Roman" w:hAnsi="Times New Roman" w:cs="Times New Roman"/>
          <w:noProof/>
          <w:sz w:val="24"/>
          <w:szCs w:val="24"/>
          <w:lang w:eastAsia="ru-RU"/>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ind w:firstLine="709"/>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 xml:space="preserve">Рисунок 1.4.6 – Количество индивидуальных предпринимателей </w:t>
      </w:r>
    </w:p>
    <w:p w:rsidR="00FA0047" w:rsidRPr="00B06469" w:rsidRDefault="00FA0047" w:rsidP="001F0139">
      <w:pPr>
        <w:spacing w:after="0" w:line="240" w:lineRule="auto"/>
        <w:ind w:firstLine="709"/>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 xml:space="preserve">по видам экономической деятельности в </w:t>
      </w:r>
      <w:proofErr w:type="spellStart"/>
      <w:r w:rsidRPr="00B06469">
        <w:rPr>
          <w:rFonts w:ascii="Times New Roman" w:eastAsia="Times New Roman" w:hAnsi="Times New Roman" w:cs="Times New Roman"/>
          <w:b/>
          <w:sz w:val="24"/>
          <w:szCs w:val="24"/>
        </w:rPr>
        <w:t>Камышлинском</w:t>
      </w:r>
      <w:proofErr w:type="spellEnd"/>
      <w:r w:rsidRPr="00B06469">
        <w:rPr>
          <w:rFonts w:ascii="Times New Roman" w:eastAsia="Times New Roman" w:hAnsi="Times New Roman" w:cs="Times New Roman"/>
          <w:b/>
          <w:sz w:val="24"/>
          <w:szCs w:val="24"/>
        </w:rPr>
        <w:t xml:space="preserve"> районе на 1 января 2017 года</w:t>
      </w:r>
    </w:p>
    <w:p w:rsidR="00FA0047" w:rsidRPr="00B06469" w:rsidRDefault="00FA0047" w:rsidP="001F0139">
      <w:pPr>
        <w:spacing w:after="0" w:line="240" w:lineRule="auto"/>
        <w:ind w:firstLine="709"/>
        <w:jc w:val="both"/>
        <w:rPr>
          <w:rFonts w:ascii="Times New Roman" w:eastAsia="Times New Roman" w:hAnsi="Times New Roman" w:cs="Times New Roman"/>
          <w:b/>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Общий уровень официально зарегистрированной безработицы 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 на начало 2017 года составил 2,2% - это 9 место среди районов области (начиная с наибольшего значения, рис. 1.4.7). За три последних года уровень безработицы повысился – в среднем на 1,6% ежегодно. В анализируемом периоде отсутствовала просроченная задолженность по заработной плате работникам предприятий.</w:t>
      </w:r>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B06469"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rPr>
        <w:lastRenderedPageBreak/>
        <w:pict>
          <v:rect id="_x0000_s1042" style="position:absolute;left:0;text-align:left;margin-left:20pt;margin-top:-16.4pt;width:428.1pt;height:34.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" fillcolor="#365f91" strokecolor="#365f91">
            <v:textbox style="mso-next-textbox:#_x0000_s1042">
              <w:txbxContent>
                <w:p w:rsidR="00C32237" w:rsidRPr="008F0D53" w:rsidRDefault="00C32237" w:rsidP="00FA0047">
                  <w:pPr>
                    <w:spacing w:after="0" w:line="240" w:lineRule="auto"/>
                    <w:jc w:val="center"/>
                    <w:rPr>
                      <w:rFonts w:ascii="Times New Roman Полужирный" w:hAnsi="Times New Roman Полужирный"/>
                      <w:color w:val="FFFFFF"/>
                      <w:sz w:val="20"/>
                    </w:rPr>
                  </w:pPr>
                  <w:proofErr w:type="spellStart"/>
                  <w:r w:rsidRPr="00E32B63">
                    <w:rPr>
                      <w:rFonts w:ascii="Times New Roman Полужирный" w:hAnsi="Times New Roman Полужирный"/>
                      <w:b/>
                      <w:bCs/>
                      <w:color w:val="FFFFFF"/>
                      <w:sz w:val="20"/>
                    </w:rPr>
                    <w:t>Камышлинский</w:t>
                  </w:r>
                  <w:proofErr w:type="spellEnd"/>
                  <w:r w:rsidRPr="00E32B63">
                    <w:rPr>
                      <w:rFonts w:ascii="Times New Roman Полужирный" w:hAnsi="Times New Roman Полужирный"/>
                      <w:b/>
                      <w:bCs/>
                      <w:color w:val="FFFFFF"/>
                      <w:sz w:val="20"/>
                    </w:rPr>
                    <w:t xml:space="preserve"> район занимает 9 место по официально зарегистрированной безработице на начало 2017 года среди районов Самарской области</w:t>
                  </w:r>
                </w:p>
              </w:txbxContent>
            </v:textbox>
          </v:rect>
        </w:pict>
      </w:r>
      <w:r w:rsidR="00FA0047" w:rsidRPr="00B06469">
        <w:rPr>
          <w:rFonts w:ascii="Times New Roman" w:hAnsi="Times New Roman" w:cs="Times New Roman"/>
          <w:noProof/>
          <w:sz w:val="24"/>
          <w:szCs w:val="24"/>
          <w:lang w:eastAsia="ru-RU"/>
        </w:rPr>
        <w:drawing>
          <wp:inline distT="0" distB="0" distL="0" distR="0" wp14:anchorId="6BB62FD5" wp14:editId="4755E6D4">
            <wp:extent cx="5435983" cy="3209674"/>
            <wp:effectExtent l="6095" t="6095" r="7492" b="8761"/>
            <wp:docPr id="11" name="Диаграмма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A0047" w:rsidRPr="00B06469" w:rsidRDefault="00FA0047" w:rsidP="001F0139">
      <w:pPr>
        <w:spacing w:after="0" w:line="240" w:lineRule="auto"/>
        <w:jc w:val="center"/>
        <w:rPr>
          <w:rFonts w:ascii="Times New Roman" w:hAnsi="Times New Roman" w:cs="Times New Roman"/>
          <w:noProof/>
          <w:sz w:val="24"/>
          <w:szCs w:val="24"/>
          <w:lang w:eastAsia="ru-RU"/>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jc w:val="center"/>
        <w:rPr>
          <w:rFonts w:ascii="Times New Roman" w:hAnsi="Times New Roman" w:cs="Times New Roman"/>
          <w:b/>
          <w:sz w:val="24"/>
          <w:szCs w:val="24"/>
        </w:rPr>
      </w:pPr>
      <w:r w:rsidRPr="00B06469">
        <w:rPr>
          <w:rFonts w:ascii="Times New Roman" w:eastAsia="Times New Roman" w:hAnsi="Times New Roman" w:cs="Times New Roman"/>
          <w:b/>
          <w:sz w:val="24"/>
          <w:szCs w:val="24"/>
        </w:rPr>
        <w:t xml:space="preserve">Рисунок 1.4.7 – Уровень зарегистрированной безработицы </w:t>
      </w:r>
      <w:proofErr w:type="gramStart"/>
      <w:r w:rsidRPr="00B06469">
        <w:rPr>
          <w:rFonts w:ascii="Times New Roman" w:eastAsia="Times New Roman" w:hAnsi="Times New Roman" w:cs="Times New Roman"/>
          <w:b/>
          <w:sz w:val="24"/>
          <w:szCs w:val="24"/>
        </w:rPr>
        <w:t>на конец</w:t>
      </w:r>
      <w:proofErr w:type="gramEnd"/>
      <w:r w:rsidRPr="00B06469">
        <w:rPr>
          <w:rFonts w:ascii="Times New Roman" w:eastAsia="Times New Roman" w:hAnsi="Times New Roman" w:cs="Times New Roman"/>
          <w:b/>
          <w:sz w:val="24"/>
          <w:szCs w:val="24"/>
        </w:rPr>
        <w:t xml:space="preserve"> 2016 года и среднегодовой темп прироста показателя в 2014-2016 годах по муниципальным районам Самарской области</w:t>
      </w:r>
    </w:p>
    <w:p w:rsidR="00FA0047" w:rsidRPr="00B06469" w:rsidRDefault="00FA0047" w:rsidP="001F0139">
      <w:pPr>
        <w:spacing w:after="0" w:line="240" w:lineRule="auto"/>
        <w:jc w:val="center"/>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 величине среднемесячной заработной платы работников организаций по итогам 2016 года (21407,2 руб.) район занял 21 место среди районов области (рис. 1.4.8). При этом по динамике показателя район занимает 18 место - в последние три года средний размер заработной платы рос в среднем на 7,02% ежегодно. Вместе с тем инфляция за тот же период в среднем составляла около 10% ежегодно и таким образом реальные доходы работающего населения сократились.</w:t>
      </w:r>
    </w:p>
    <w:p w:rsidR="00FA0047" w:rsidRPr="00B06469" w:rsidRDefault="00FA0047" w:rsidP="001F0139">
      <w:pPr>
        <w:spacing w:after="0" w:line="360" w:lineRule="auto"/>
        <w:ind w:firstLine="567"/>
        <w:jc w:val="both"/>
        <w:rPr>
          <w:rFonts w:ascii="Times New Roman" w:hAnsi="Times New Roman" w:cs="Times New Roman"/>
          <w:sz w:val="24"/>
          <w:szCs w:val="24"/>
        </w:rPr>
      </w:pPr>
    </w:p>
    <w:p w:rsidR="00FA0047" w:rsidRPr="00B06469" w:rsidRDefault="00B06469"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rPr>
        <w:lastRenderedPageBreak/>
        <w:pict>
          <v:rect id="Прямоугольник 9" o:spid="_x0000_s1043" style="position:absolute;left:0;text-align:left;margin-left:13.55pt;margin-top:-10.15pt;width:439.6pt;height:34.8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" fillcolor="#365f91" strokecolor="#365f91">
            <v:textbox style="mso-next-textbox:#Прямоугольник 9">
              <w:txbxContent>
                <w:p w:rsidR="00C32237" w:rsidRDefault="00C32237" w:rsidP="00FA0047">
                  <w:pPr>
                    <w:pStyle w:val="a7"/>
                    <w:spacing w:before="0" w:beforeAutospacing="0" w:after="0" w:afterAutospacing="0" w:line="276" w:lineRule="auto"/>
                    <w:jc w:val="center"/>
                  </w:pPr>
                  <w:proofErr w:type="spellStart"/>
                  <w:r w:rsidRPr="00D34D5F">
                    <w:rPr>
                      <w:rFonts w:eastAsia="Calibri"/>
                      <w:b/>
                      <w:bCs/>
                      <w:color w:val="FFFFFF"/>
                      <w:sz w:val="20"/>
                      <w:szCs w:val="20"/>
                    </w:rPr>
                    <w:t>Камышлинский</w:t>
                  </w:r>
                  <w:proofErr w:type="spellEnd"/>
                  <w:r w:rsidRPr="00D34D5F">
                    <w:rPr>
                      <w:rFonts w:eastAsia="Calibri"/>
                      <w:b/>
                      <w:bCs/>
                      <w:color w:val="FFFFFF"/>
                      <w:sz w:val="20"/>
                      <w:szCs w:val="20"/>
                    </w:rPr>
                    <w:t xml:space="preserve"> район занимает 21 место по величине среднемесячной заработной платы работников организаций в 2016</w:t>
                  </w:r>
                  <w:r>
                    <w:rPr>
                      <w:rFonts w:eastAsia="Calibri"/>
                      <w:b/>
                      <w:bCs/>
                      <w:color w:val="FFFFFF"/>
                      <w:sz w:val="20"/>
                      <w:szCs w:val="20"/>
                    </w:rPr>
                    <w:t xml:space="preserve"> </w:t>
                  </w:r>
                  <w:r w:rsidRPr="00D34D5F">
                    <w:rPr>
                      <w:rFonts w:eastAsia="Calibri"/>
                      <w:b/>
                      <w:bCs/>
                      <w:color w:val="FFFFFF"/>
                      <w:sz w:val="20"/>
                      <w:szCs w:val="20"/>
                    </w:rPr>
                    <w:t>году среди районов Самарской области</w:t>
                  </w:r>
                  <w:r>
                    <w:rPr>
                      <w:rFonts w:ascii="Arial" w:eastAsia="Calibri" w:hAnsi="Arial"/>
                      <w:sz w:val="22"/>
                      <w:szCs w:val="22"/>
                    </w:rPr>
                    <w:t> </w:t>
                  </w:r>
                </w:p>
              </w:txbxContent>
            </v:textbox>
          </v:rect>
        </w:pict>
      </w:r>
      <w:r w:rsidR="00FA0047" w:rsidRPr="00B06469">
        <w:rPr>
          <w:rFonts w:ascii="Times New Roman" w:hAnsi="Times New Roman" w:cs="Times New Roman"/>
          <w:noProof/>
          <w:sz w:val="24"/>
          <w:szCs w:val="24"/>
          <w:lang w:eastAsia="ru-RU"/>
        </w:rPr>
        <w:drawing>
          <wp:inline distT="0" distB="0" distL="0" distR="0" wp14:anchorId="458534CC" wp14:editId="22475186">
            <wp:extent cx="5583047" cy="4044317"/>
            <wp:effectExtent l="19050" t="0" r="17653" b="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1.4.8 – Среднемесячная заработная плата в 2016 году и среднегодовой темп прироста показателя в 2014-2016 годах по муниципальным районам Самарской области</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Среднемесячная номинальная начисленная заработная плата работников организаций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2014-2017 гг. находится ниже уровня </w:t>
      </w:r>
      <w:proofErr w:type="spellStart"/>
      <w:r w:rsidRPr="00B06469">
        <w:rPr>
          <w:rFonts w:ascii="Times New Roman" w:hAnsi="Times New Roman" w:cs="Times New Roman"/>
          <w:sz w:val="24"/>
          <w:szCs w:val="24"/>
        </w:rPr>
        <w:t>среднеобластного</w:t>
      </w:r>
      <w:proofErr w:type="spellEnd"/>
      <w:r w:rsidRPr="00B06469">
        <w:rPr>
          <w:rFonts w:ascii="Times New Roman" w:hAnsi="Times New Roman" w:cs="Times New Roman"/>
          <w:sz w:val="24"/>
          <w:szCs w:val="24"/>
        </w:rPr>
        <w:t xml:space="preserve"> и среднероссийского значения. В целом динамика роста среднемесячной номинальной начисленной заработной платы работников организаций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совпадает с динамикой по Самарской области и РФ. Уровень зарегистрированной безработицы 2014-2016 гг. высокий по сравнению с уровнем Самарской области и РФ (рис. 1.4.9).</w:t>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250F4C3C" wp14:editId="56EC695F">
            <wp:extent cx="2419985" cy="3432175"/>
            <wp:effectExtent l="0" t="0" r="0" b="0"/>
            <wp:docPr id="255" name="Объект 2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B06469">
        <w:rPr>
          <w:rFonts w:ascii="Times New Roman" w:hAnsi="Times New Roman" w:cs="Times New Roman"/>
          <w:noProof/>
          <w:sz w:val="24"/>
          <w:szCs w:val="24"/>
          <w:lang w:eastAsia="ru-RU"/>
        </w:rPr>
        <w:t xml:space="preserve"> </w:t>
      </w:r>
      <w:r w:rsidRPr="00B06469">
        <w:rPr>
          <w:rFonts w:ascii="Times New Roman" w:hAnsi="Times New Roman" w:cs="Times New Roman"/>
          <w:noProof/>
          <w:sz w:val="24"/>
          <w:szCs w:val="24"/>
          <w:lang w:eastAsia="ru-RU"/>
        </w:rPr>
        <w:drawing>
          <wp:inline distT="0" distB="0" distL="0" distR="0" wp14:anchorId="4693379B" wp14:editId="18C903D6">
            <wp:extent cx="2480945" cy="3432175"/>
            <wp:effectExtent l="0" t="0" r="0" b="0"/>
            <wp:docPr id="251" name="Объект 2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A0047" w:rsidRPr="00B06469" w:rsidRDefault="00FA0047" w:rsidP="001F0139">
      <w:pPr>
        <w:pStyle w:val="a3"/>
        <w:spacing w:after="0" w:line="240" w:lineRule="auto"/>
        <w:ind w:left="0"/>
        <w:jc w:val="center"/>
        <w:rPr>
          <w:rFonts w:ascii="Times New Roman" w:hAnsi="Times New Roman" w:cs="Times New Roman"/>
          <w:sz w:val="24"/>
          <w:szCs w:val="24"/>
        </w:rPr>
      </w:pPr>
      <w:r w:rsidRPr="00B06469">
        <w:rPr>
          <w:rFonts w:ascii="Times New Roman" w:hAnsi="Times New Roman" w:cs="Times New Roman"/>
          <w:sz w:val="24"/>
          <w:szCs w:val="24"/>
        </w:rPr>
        <w:t xml:space="preserve">Источники: ФСГС </w:t>
      </w:r>
      <w:r w:rsidRPr="00B06469">
        <w:rPr>
          <w:rFonts w:ascii="Times New Roman" w:hAnsi="Times New Roman" w:cs="Times New Roman"/>
          <w:sz w:val="24"/>
          <w:szCs w:val="24"/>
          <w:lang w:val="en-US" w:eastAsia="ru-RU"/>
        </w:rPr>
        <w:t>URL</w:t>
      </w:r>
      <w:r w:rsidRPr="00B06469">
        <w:rPr>
          <w:rFonts w:ascii="Times New Roman" w:hAnsi="Times New Roman" w:cs="Times New Roman"/>
          <w:sz w:val="24"/>
          <w:szCs w:val="24"/>
        </w:rPr>
        <w:t xml:space="preserve">: </w:t>
      </w:r>
      <w:hyperlink r:id="rId25" w:history="1">
        <w:r w:rsidRPr="00B06469">
          <w:rPr>
            <w:rStyle w:val="ae"/>
            <w:rFonts w:ascii="Times New Roman" w:hAnsi="Times New Roman" w:cs="Times New Roman"/>
            <w:sz w:val="24"/>
            <w:szCs w:val="24"/>
          </w:rPr>
          <w:t>http://www.gks.ru/</w:t>
        </w:r>
      </w:hyperlink>
      <w:r w:rsidRPr="00B06469">
        <w:rPr>
          <w:rFonts w:ascii="Times New Roman" w:hAnsi="Times New Roman" w:cs="Times New Roman"/>
          <w:sz w:val="24"/>
          <w:szCs w:val="24"/>
        </w:rPr>
        <w:t xml:space="preserve">; Муниципальные районы Самарской области. Статистический сборник. – Самара, 2017. Рейтинг социально-экономического развития муниципальных образований Самарской области МЭРИТ </w:t>
      </w:r>
      <w:r w:rsidRPr="00B06469">
        <w:rPr>
          <w:rFonts w:ascii="Times New Roman" w:hAnsi="Times New Roman" w:cs="Times New Roman"/>
          <w:sz w:val="24"/>
          <w:szCs w:val="24"/>
          <w:lang w:val="en-US" w:eastAsia="ru-RU"/>
        </w:rPr>
        <w:t>URL</w:t>
      </w:r>
      <w:r w:rsidRPr="00B06469">
        <w:rPr>
          <w:rFonts w:ascii="Times New Roman" w:hAnsi="Times New Roman" w:cs="Times New Roman"/>
          <w:sz w:val="24"/>
          <w:szCs w:val="24"/>
          <w:lang w:eastAsia="ru-RU"/>
        </w:rPr>
        <w:t xml:space="preserve">: </w:t>
      </w:r>
      <w:hyperlink r:id="rId26" w:history="1">
        <w:r w:rsidRPr="00B06469">
          <w:rPr>
            <w:rStyle w:val="ae"/>
            <w:rFonts w:ascii="Times New Roman" w:hAnsi="Times New Roman" w:cs="Times New Roman"/>
            <w:sz w:val="24"/>
            <w:szCs w:val="24"/>
          </w:rPr>
          <w:t>http://economy.samregion.ru/</w:t>
        </w:r>
      </w:hyperlink>
      <w:r w:rsidRPr="00B06469">
        <w:rPr>
          <w:rFonts w:ascii="Times New Roman" w:hAnsi="Times New Roman" w:cs="Times New Roman"/>
          <w:sz w:val="24"/>
          <w:szCs w:val="24"/>
        </w:rPr>
        <w:t>; аналитика ФГБОУ ВО «СГЭУ»</w:t>
      </w:r>
    </w:p>
    <w:p w:rsidR="00FA0047" w:rsidRPr="00B06469" w:rsidRDefault="00FA0047" w:rsidP="001F0139">
      <w:pPr>
        <w:pStyle w:val="a3"/>
        <w:spacing w:after="0" w:line="240" w:lineRule="auto"/>
        <w:ind w:left="0"/>
        <w:jc w:val="center"/>
        <w:rPr>
          <w:rFonts w:ascii="Times New Roman" w:hAnsi="Times New Roman" w:cs="Times New Roman"/>
          <w:b/>
          <w:bCs/>
          <w:sz w:val="24"/>
          <w:szCs w:val="24"/>
        </w:rPr>
      </w:pPr>
      <w:r w:rsidRPr="00B06469">
        <w:rPr>
          <w:rFonts w:ascii="Times New Roman" w:eastAsia="Times New Roman" w:hAnsi="Times New Roman" w:cs="Times New Roman"/>
          <w:b/>
          <w:sz w:val="24"/>
          <w:szCs w:val="24"/>
        </w:rPr>
        <w:t xml:space="preserve">Рисунок 1.4.9 – </w:t>
      </w:r>
      <w:r w:rsidRPr="00B06469">
        <w:rPr>
          <w:rFonts w:ascii="Times New Roman" w:hAnsi="Times New Roman" w:cs="Times New Roman"/>
          <w:b/>
          <w:bCs/>
          <w:sz w:val="24"/>
          <w:szCs w:val="24"/>
        </w:rPr>
        <w:t xml:space="preserve">Динамика </w:t>
      </w:r>
      <w:proofErr w:type="gramStart"/>
      <w:r w:rsidRPr="00B06469">
        <w:rPr>
          <w:rFonts w:ascii="Times New Roman" w:hAnsi="Times New Roman" w:cs="Times New Roman"/>
          <w:b/>
          <w:bCs/>
          <w:sz w:val="24"/>
          <w:szCs w:val="24"/>
        </w:rPr>
        <w:t>среднемесячной</w:t>
      </w:r>
      <w:proofErr w:type="gramEnd"/>
      <w:r w:rsidRPr="00B06469">
        <w:rPr>
          <w:rFonts w:ascii="Times New Roman" w:hAnsi="Times New Roman" w:cs="Times New Roman"/>
          <w:b/>
          <w:bCs/>
          <w:sz w:val="24"/>
          <w:szCs w:val="24"/>
        </w:rPr>
        <w:t xml:space="preserve"> номинальной начисленной</w:t>
      </w:r>
    </w:p>
    <w:p w:rsidR="00FA0047" w:rsidRPr="00B06469" w:rsidRDefault="00FA0047" w:rsidP="001F0139">
      <w:pPr>
        <w:pStyle w:val="a3"/>
        <w:spacing w:after="0" w:line="240" w:lineRule="auto"/>
        <w:ind w:left="0"/>
        <w:jc w:val="center"/>
        <w:rPr>
          <w:rFonts w:ascii="Times New Roman" w:hAnsi="Times New Roman" w:cs="Times New Roman"/>
          <w:b/>
          <w:bCs/>
          <w:sz w:val="24"/>
          <w:szCs w:val="24"/>
        </w:rPr>
      </w:pPr>
      <w:r w:rsidRPr="00B06469">
        <w:rPr>
          <w:rFonts w:ascii="Times New Roman" w:hAnsi="Times New Roman" w:cs="Times New Roman"/>
          <w:b/>
          <w:bCs/>
          <w:sz w:val="24"/>
          <w:szCs w:val="24"/>
        </w:rPr>
        <w:t xml:space="preserve">заработной платы работников организаций в РФ, Самарской области и </w:t>
      </w:r>
      <w:proofErr w:type="spellStart"/>
      <w:r w:rsidRPr="00B06469">
        <w:rPr>
          <w:rFonts w:ascii="Times New Roman" w:hAnsi="Times New Roman" w:cs="Times New Roman"/>
          <w:b/>
          <w:bCs/>
          <w:sz w:val="24"/>
          <w:szCs w:val="24"/>
        </w:rPr>
        <w:t>м.р</w:t>
      </w:r>
      <w:proofErr w:type="spellEnd"/>
      <w:r w:rsidRPr="00B06469">
        <w:rPr>
          <w:rFonts w:ascii="Times New Roman" w:hAnsi="Times New Roman" w:cs="Times New Roman"/>
          <w:b/>
          <w:bCs/>
          <w:sz w:val="24"/>
          <w:szCs w:val="24"/>
        </w:rPr>
        <w:t xml:space="preserve">. </w:t>
      </w:r>
      <w:proofErr w:type="spellStart"/>
      <w:r w:rsidRPr="00B06469">
        <w:rPr>
          <w:rFonts w:ascii="Times New Roman" w:hAnsi="Times New Roman" w:cs="Times New Roman"/>
          <w:b/>
          <w:bCs/>
          <w:sz w:val="24"/>
          <w:szCs w:val="24"/>
        </w:rPr>
        <w:t>Камышлинский</w:t>
      </w:r>
      <w:proofErr w:type="spellEnd"/>
      <w:r w:rsidRPr="00B06469">
        <w:rPr>
          <w:rFonts w:ascii="Times New Roman" w:hAnsi="Times New Roman" w:cs="Times New Roman"/>
          <w:b/>
          <w:bCs/>
          <w:sz w:val="24"/>
          <w:szCs w:val="24"/>
        </w:rPr>
        <w:t xml:space="preserve">, руб. и уровня зарегистрированной безработицы в РФ, Самарской области и </w:t>
      </w:r>
      <w:proofErr w:type="spellStart"/>
      <w:r w:rsidRPr="00B06469">
        <w:rPr>
          <w:rFonts w:ascii="Times New Roman" w:hAnsi="Times New Roman" w:cs="Times New Roman"/>
          <w:b/>
          <w:bCs/>
          <w:sz w:val="24"/>
          <w:szCs w:val="24"/>
        </w:rPr>
        <w:t>м.р</w:t>
      </w:r>
      <w:proofErr w:type="spellEnd"/>
      <w:r w:rsidRPr="00B06469">
        <w:rPr>
          <w:rFonts w:ascii="Times New Roman" w:hAnsi="Times New Roman" w:cs="Times New Roman"/>
          <w:b/>
          <w:bCs/>
          <w:sz w:val="24"/>
          <w:szCs w:val="24"/>
        </w:rPr>
        <w:t xml:space="preserve">. </w:t>
      </w:r>
      <w:proofErr w:type="spellStart"/>
      <w:r w:rsidRPr="00B06469">
        <w:rPr>
          <w:rFonts w:ascii="Times New Roman" w:hAnsi="Times New Roman" w:cs="Times New Roman"/>
          <w:b/>
          <w:bCs/>
          <w:sz w:val="24"/>
          <w:szCs w:val="24"/>
        </w:rPr>
        <w:t>Камышлинский</w:t>
      </w:r>
      <w:proofErr w:type="spellEnd"/>
      <w:r w:rsidRPr="00B06469">
        <w:rPr>
          <w:rFonts w:ascii="Times New Roman" w:hAnsi="Times New Roman" w:cs="Times New Roman"/>
          <w:b/>
          <w:bCs/>
          <w:sz w:val="24"/>
          <w:szCs w:val="24"/>
        </w:rPr>
        <w:t xml:space="preserve"> (на конец года), %</w:t>
      </w:r>
    </w:p>
    <w:p w:rsidR="00FA0047" w:rsidRPr="00B06469" w:rsidRDefault="00FA0047" w:rsidP="001F0139">
      <w:pPr>
        <w:spacing w:after="0" w:line="240" w:lineRule="auto"/>
        <w:jc w:val="center"/>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На территории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муниципального района существует 3 социально-ориентированные некоммерческие организации.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полной мере представлена сеть учреждений социальной защиты, необходимая для обеспечения предоставления минимальных социальных гарантий населению. В целях сохранения социальной стабильности в части обеспечения своевременности и полноты социальных выплат и льгот населению социальными учреждениями ежегодно предоставляется весь комплекс мер социальной поддержки, а именно: материальная помощь за счет всех источников финансирования, гражданам пожилого возраста и инвалидам оказывается социальная помощь на дому.</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Работает отделение социальной реабилитации граждан пожилого возраста и инвалидов. Управлением социальной защиты населения постоянно ведется работа по предоставлению адресных субсидий на оплату жилья и коммунальных услуг малообеспеченным семьям. </w:t>
      </w:r>
    </w:p>
    <w:p w:rsidR="00FA0047" w:rsidRPr="00B06469" w:rsidRDefault="00FA0047" w:rsidP="001F0139">
      <w:pPr>
        <w:spacing w:after="0" w:line="360" w:lineRule="auto"/>
        <w:contextualSpacing/>
        <w:outlineLvl w:val="2"/>
        <w:rPr>
          <w:rFonts w:ascii="Times New Roman" w:hAnsi="Times New Roman" w:cs="Times New Roman"/>
          <w:b/>
          <w:color w:val="365F91"/>
          <w:sz w:val="24"/>
          <w:szCs w:val="24"/>
        </w:rPr>
      </w:pPr>
      <w:bookmarkStart w:id="17" w:name="_Toc520894831"/>
      <w:r w:rsidRPr="00B06469">
        <w:rPr>
          <w:rFonts w:ascii="Times New Roman" w:hAnsi="Times New Roman" w:cs="Times New Roman"/>
          <w:b/>
          <w:color w:val="365F91"/>
          <w:sz w:val="24"/>
          <w:szCs w:val="24"/>
        </w:rPr>
        <w:t>Образование</w:t>
      </w:r>
      <w:bookmarkEnd w:id="17"/>
    </w:p>
    <w:p w:rsidR="00FA0047" w:rsidRPr="00B06469" w:rsidRDefault="00FA0047" w:rsidP="001F0139">
      <w:pPr>
        <w:keepNext/>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состав образовательной системы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муниципального района входят: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 государственные бюджетные общеобразовательные учреждения со структурными подразделениями дошкольного и дополнительного образования;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коррекционная школа-интернат;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ГБПОУ «Образовательный центр </w:t>
      </w:r>
      <w:proofErr w:type="gramStart"/>
      <w:r w:rsidRPr="00B06469">
        <w:rPr>
          <w:rFonts w:ascii="Times New Roman" w:hAnsi="Times New Roman" w:cs="Times New Roman"/>
          <w:sz w:val="24"/>
          <w:szCs w:val="24"/>
        </w:rPr>
        <w:t>с</w:t>
      </w:r>
      <w:proofErr w:type="gramEnd"/>
      <w:r w:rsidRPr="00B06469">
        <w:rPr>
          <w:rFonts w:ascii="Times New Roman" w:hAnsi="Times New Roman" w:cs="Times New Roman"/>
          <w:sz w:val="24"/>
          <w:szCs w:val="24"/>
        </w:rPr>
        <w:t>. Камышла».</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На территории муниципального района функционирует 7 структурных подразделений (филиалов) дневных общеобразовательных учреждений с общим количеством мест 1007; 519 воспитанников, посещающих организаций, осуществляющие образовательную деятельность по образовательным программам дошкольного образования, присмотр и уход за детьми.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результате реорганизации в 2012 году дошкольные образовательные организации утратили статус юридических лиц и вошли в состав </w:t>
      </w:r>
      <w:r w:rsidRPr="00B06469">
        <w:rPr>
          <w:rFonts w:ascii="Times New Roman" w:hAnsi="Times New Roman" w:cs="Times New Roman"/>
          <w:sz w:val="24"/>
          <w:szCs w:val="24"/>
        </w:rPr>
        <w:br/>
        <w:t>общеобразовательных организаций. До 2012 года на территории района функционировало 4 дошкольные образовательные организации, в 2016 году – 6 организаций, осуществляющих образовательную деятельность по образовательным программам дошкольного образования, присмотр и уход за детьми.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Дошкольным образованием охвачено около 500 детей, что составляет почти 57% от общей численности детей в возрасте 1-7 лет (5 место среди муниципальных районов области, рис. 1.4.10). Капитальный ремонт всех детских дошкольных учреждений завершен. По состоянию на 1 января 2016 года очередь для зачисления детей в возрасте от 3 до 7 лет в </w:t>
      </w:r>
      <w:proofErr w:type="gramStart"/>
      <w:r w:rsidRPr="00B06469">
        <w:rPr>
          <w:rFonts w:ascii="Times New Roman" w:hAnsi="Times New Roman" w:cs="Times New Roman"/>
          <w:sz w:val="24"/>
          <w:szCs w:val="24"/>
        </w:rPr>
        <w:t>дошкольные учреждения, реализующие основную общеобразовательную программу дошкольного образования ликвидирована</w:t>
      </w:r>
      <w:proofErr w:type="gramEnd"/>
      <w:r w:rsidRPr="00B06469">
        <w:rPr>
          <w:rFonts w:ascii="Times New Roman" w:hAnsi="Times New Roman" w:cs="Times New Roman"/>
          <w:sz w:val="24"/>
          <w:szCs w:val="24"/>
        </w:rPr>
        <w:t xml:space="preserve">.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2016 году продолжилась работа по приведению зданий образовательных учреждений в соответствие с установленными требованиями. В районе в прошедшем году школы размещались в 11 капитальных зданиях. В 2015-2016 гг. капитальный ремонт требуется в пяти зданиях школ из 11-ти (доля зданий составила 45,5%), к 2019 году планируется отремонтировать 3 здания. </w:t>
      </w:r>
    </w:p>
    <w:p w:rsidR="00FA0047" w:rsidRPr="00B06469" w:rsidRDefault="00B06469" w:rsidP="001F0139">
      <w:pPr>
        <w:spacing w:after="0" w:line="360" w:lineRule="auto"/>
        <w:ind w:firstLine="709"/>
        <w:jc w:val="center"/>
        <w:rPr>
          <w:rFonts w:ascii="Times New Roman" w:hAnsi="Times New Roman" w:cs="Times New Roman"/>
          <w:sz w:val="24"/>
          <w:szCs w:val="24"/>
        </w:rPr>
      </w:pPr>
      <w:r w:rsidRPr="00B06469">
        <w:rPr>
          <w:rFonts w:ascii="Times New Roman" w:hAnsi="Times New Roman" w:cs="Times New Roman"/>
          <w:noProof/>
          <w:sz w:val="24"/>
          <w:szCs w:val="24"/>
        </w:rPr>
        <w:pict>
          <v:rect id="Прямоугольник 54" o:spid="_x0000_s1028" style="position:absolute;left:0;text-align:left;margin-left:58.15pt;margin-top:3.65pt;width:370.15pt;height:45.35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" fillcolor="#365f91" strokecolor="#365f91">
            <v:textbox style="mso-next-textbox:#Прямоугольник 54">
              <w:txbxContent>
                <w:p w:rsidR="00C32237" w:rsidRPr="00790352" w:rsidRDefault="00C32237" w:rsidP="00FA0047">
                  <w:pPr>
                    <w:pStyle w:val="a7"/>
                    <w:spacing w:before="0" w:beforeAutospacing="0" w:after="0" w:afterAutospacing="0" w:line="276" w:lineRule="auto"/>
                    <w:jc w:val="center"/>
                    <w:rPr>
                      <w:sz w:val="20"/>
                      <w:szCs w:val="20"/>
                    </w:rPr>
                  </w:pPr>
                  <w:r w:rsidRPr="00790352">
                    <w:rPr>
                      <w:rFonts w:eastAsia="Calibri"/>
                      <w:b/>
                      <w:bCs/>
                      <w:color w:val="FFFFFF"/>
                      <w:sz w:val="20"/>
                      <w:szCs w:val="20"/>
                    </w:rPr>
                    <w:t>По доле детей в возрасте 1-7 лет, охваченных услугами дошкольного образования, в общей численности детей 1-7 лет в 2016 году</w:t>
                  </w:r>
                  <w:r>
                    <w:rPr>
                      <w:rFonts w:eastAsia="Calibri"/>
                      <w:b/>
                      <w:bCs/>
                      <w:color w:val="FFFFFF"/>
                      <w:sz w:val="20"/>
                      <w:szCs w:val="20"/>
                    </w:rPr>
                    <w:t xml:space="preserve"> </w:t>
                  </w:r>
                  <w:proofErr w:type="spellStart"/>
                  <w:r w:rsidRPr="00790352">
                    <w:rPr>
                      <w:rFonts w:eastAsia="Calibri"/>
                      <w:b/>
                      <w:bCs/>
                      <w:color w:val="FFFFFF"/>
                      <w:sz w:val="20"/>
                      <w:szCs w:val="20"/>
                    </w:rPr>
                    <w:t>Камышлинский</w:t>
                  </w:r>
                  <w:proofErr w:type="spellEnd"/>
                  <w:r>
                    <w:rPr>
                      <w:rFonts w:eastAsia="Calibri"/>
                      <w:b/>
                      <w:bCs/>
                      <w:color w:val="FFFFFF"/>
                      <w:sz w:val="20"/>
                      <w:szCs w:val="20"/>
                    </w:rPr>
                    <w:t xml:space="preserve"> </w:t>
                  </w:r>
                  <w:r w:rsidRPr="00790352">
                    <w:rPr>
                      <w:rFonts w:eastAsia="Calibri"/>
                      <w:b/>
                      <w:bCs/>
                      <w:color w:val="FFFFFF"/>
                      <w:sz w:val="20"/>
                      <w:szCs w:val="20"/>
                    </w:rPr>
                    <w:t>район занимает 5 место среди районов Самарской области</w:t>
                  </w:r>
                </w:p>
              </w:txbxContent>
            </v:textbox>
          </v:rect>
        </w:pict>
      </w:r>
    </w:p>
    <w:p w:rsidR="00FA0047" w:rsidRPr="00B06469" w:rsidRDefault="00FA0047" w:rsidP="001F0139">
      <w:pPr>
        <w:spacing w:after="0" w:line="240" w:lineRule="auto"/>
        <w:ind w:firstLine="426"/>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72A4EA01" wp14:editId="3BB20A38">
            <wp:extent cx="4712335" cy="3200400"/>
            <wp:effectExtent l="19050" t="0" r="0" b="0"/>
            <wp:docPr id="15" name="Диаграмма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5"/>
                    <pic:cNvPicPr>
                      <a:picLocks noChangeArrowheads="1"/>
                    </pic:cNvPicPr>
                  </pic:nvPicPr>
                  <pic:blipFill>
                    <a:blip r:embed="rId27" cstate="print"/>
                    <a:srcRect/>
                    <a:stretch>
                      <a:fillRect/>
                    </a:stretch>
                  </pic:blipFill>
                  <pic:spPr bwMode="auto">
                    <a:xfrm>
                      <a:off x="0" y="0"/>
                      <a:ext cx="4712335" cy="3200400"/>
                    </a:xfrm>
                    <a:prstGeom prst="rect">
                      <a:avLst/>
                    </a:prstGeom>
                    <a:noFill/>
                    <a:ln w="9525">
                      <a:noFill/>
                      <a:miter lim="800000"/>
                      <a:headEnd/>
                      <a:tailEnd/>
                    </a:ln>
                  </pic:spPr>
                </pic:pic>
              </a:graphicData>
            </a:graphic>
          </wp:inline>
        </w:drawing>
      </w:r>
    </w:p>
    <w:p w:rsidR="00FA0047" w:rsidRPr="00B06469" w:rsidRDefault="00FA0047" w:rsidP="001F0139">
      <w:pPr>
        <w:spacing w:after="0" w:line="240" w:lineRule="auto"/>
        <w:ind w:firstLine="426"/>
        <w:jc w:val="both"/>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ind w:firstLine="709"/>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1.4.10 – Доля детей в возрасте 1-7 лет, охваченных услугами дошкольного образования, в общей численности детей 1-7 лет по муниципальным районам Самарской области</w:t>
      </w:r>
      <w:proofErr w:type="gramStart"/>
      <w:r w:rsidRPr="00B06469">
        <w:rPr>
          <w:rFonts w:ascii="Times New Roman" w:eastAsia="Times New Roman" w:hAnsi="Times New Roman" w:cs="Times New Roman"/>
          <w:b/>
          <w:sz w:val="24"/>
          <w:szCs w:val="24"/>
        </w:rPr>
        <w:t>, (%)</w:t>
      </w:r>
      <w:proofErr w:type="gramEnd"/>
    </w:p>
    <w:p w:rsidR="00FA0047" w:rsidRPr="00B06469" w:rsidRDefault="00FA0047" w:rsidP="001F0139">
      <w:pPr>
        <w:spacing w:after="0" w:line="360" w:lineRule="auto"/>
        <w:ind w:firstLine="709"/>
        <w:jc w:val="center"/>
        <w:rPr>
          <w:rFonts w:ascii="Times New Roman" w:eastAsia="Times New Roman" w:hAnsi="Times New Roman" w:cs="Times New Roman"/>
          <w:b/>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Динамика доли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осталась на уровне 2015 года (65%). Одна из основных проблем системы образования в последние годы - недостаточное количество специалистов в системе дополнительного образования. Задача на ближайшие 3 года - увеличение охвата детей в возрасте от 5 до 18 лет услугами дополнительного образования до 68%.</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составляет 72,3% (14 место среди муниципальных районов области), что несколько выше, чем в среднем по районам области (рис.1.4.11).</w:t>
      </w:r>
    </w:p>
    <w:p w:rsidR="00FA0047" w:rsidRPr="00B06469" w:rsidRDefault="00FA0047" w:rsidP="001F0139">
      <w:pPr>
        <w:spacing w:after="0" w:line="360" w:lineRule="auto"/>
        <w:ind w:firstLine="709"/>
        <w:jc w:val="center"/>
        <w:rPr>
          <w:rFonts w:ascii="Times New Roman" w:hAnsi="Times New Roman" w:cs="Times New Roman"/>
          <w:sz w:val="24"/>
          <w:szCs w:val="24"/>
          <w:highlight w:val="yellow"/>
        </w:rPr>
      </w:pPr>
      <w:r w:rsidRPr="00B06469">
        <w:rPr>
          <w:rFonts w:ascii="Times New Roman" w:hAnsi="Times New Roman" w:cs="Times New Roman"/>
          <w:noProof/>
          <w:sz w:val="24"/>
          <w:szCs w:val="24"/>
          <w:lang w:eastAsia="ru-RU"/>
        </w:rPr>
        <w:lastRenderedPageBreak/>
        <w:drawing>
          <wp:inline distT="0" distB="0" distL="0" distR="0" wp14:anchorId="383EE8BA" wp14:editId="6072EE00">
            <wp:extent cx="4919345" cy="3962400"/>
            <wp:effectExtent l="19050" t="0" r="0" b="0"/>
            <wp:docPr id="16" name="Диаграмма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6"/>
                    <pic:cNvPicPr>
                      <a:picLocks noChangeArrowheads="1"/>
                    </pic:cNvPicPr>
                  </pic:nvPicPr>
                  <pic:blipFill>
                    <a:blip r:embed="rId28" cstate="print"/>
                    <a:srcRect/>
                    <a:stretch>
                      <a:fillRect/>
                    </a:stretch>
                  </pic:blipFill>
                  <pic:spPr bwMode="auto">
                    <a:xfrm>
                      <a:off x="0" y="0"/>
                      <a:ext cx="4919345" cy="3962400"/>
                    </a:xfrm>
                    <a:prstGeom prst="rect">
                      <a:avLst/>
                    </a:prstGeom>
                    <a:noFill/>
                    <a:ln w="9525">
                      <a:noFill/>
                      <a:miter lim="800000"/>
                      <a:headEnd/>
                      <a:tailEnd/>
                    </a:ln>
                  </pic:spPr>
                </pic:pic>
              </a:graphicData>
            </a:graphic>
          </wp:inline>
        </w:drawing>
      </w:r>
    </w:p>
    <w:p w:rsidR="00FA0047" w:rsidRPr="00B06469" w:rsidRDefault="00FA0047" w:rsidP="001F0139">
      <w:pPr>
        <w:spacing w:after="0" w:line="240" w:lineRule="auto"/>
        <w:ind w:firstLine="426"/>
        <w:jc w:val="both"/>
        <w:rPr>
          <w:rFonts w:ascii="Times New Roman" w:hAnsi="Times New Roman" w:cs="Times New Roman"/>
          <w:sz w:val="24"/>
          <w:szCs w:val="24"/>
        </w:rPr>
      </w:pPr>
      <w:r w:rsidRPr="00B06469">
        <w:rPr>
          <w:rFonts w:ascii="Times New Roman" w:hAnsi="Times New Roman" w:cs="Times New Roman"/>
          <w:sz w:val="24"/>
          <w:szCs w:val="24"/>
        </w:rPr>
        <w:t xml:space="preserve">Источник: Муниципальные районы Самарской области. Статистический сборник. – Самара, 2017. </w:t>
      </w:r>
    </w:p>
    <w:p w:rsidR="00FA0047" w:rsidRPr="00B06469" w:rsidRDefault="00FA0047" w:rsidP="001F0139">
      <w:pPr>
        <w:spacing w:after="0" w:line="240" w:lineRule="auto"/>
        <w:ind w:firstLine="709"/>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1.4.11 – Доля детей в возрасте 5-18 лет, получающих услуги по дополнительному образованию по муниципальным районам Самарской области</w:t>
      </w:r>
      <w:proofErr w:type="gramStart"/>
      <w:r w:rsidRPr="00B06469">
        <w:rPr>
          <w:rFonts w:ascii="Times New Roman" w:eastAsia="Times New Roman" w:hAnsi="Times New Roman" w:cs="Times New Roman"/>
          <w:b/>
          <w:sz w:val="24"/>
          <w:szCs w:val="24"/>
        </w:rPr>
        <w:t>, (%)</w:t>
      </w:r>
      <w:proofErr w:type="gramEnd"/>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Все образовательные учреждения района работают по пятидневной учебной неделе в одну смену. В образовательных учреждениях имеется достаточный научно-методический потенциал для реализации основных направлений модернизации образования. Учащиеся и педагоги ежегодно принимают участие в различных конкурсах и неоднократно становились победителями и призерами окружного, областного и даже федерального уровня.</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Повышение учительского потенциала является одним из основных направлений модернизации образования. Хорошей возможностью для личностного роста педагогов является участие в профессиональных конкурсах. В районе сложился костяк талантливых и высокопрофессиональных педагогов, определяющих развитие системы образования, что напрямую влияет на качество знаний учащихся.</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Ежегодно по результатам итоговой аттестации выпускники 9 и 11-х классов района показывают высокие результаты. За пять лет не было ни одного ученика, не получившего документа об образовании. Результат итоговой аттестации 2016-2017 года: по всем предметам единого государственного экзамена баллы наших учащихся выше среднего по северо-восточному управлению образования и науки. Ежегодно увеличивается количество медалистов. К примеру, в 2015 году было 4, в 2016 – 5, в 2017 – 8 медалистов.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В образовательных учреждениях муниципального района накоплен опыт работы по </w:t>
      </w:r>
      <w:proofErr w:type="spellStart"/>
      <w:r w:rsidRPr="00B06469">
        <w:rPr>
          <w:rFonts w:ascii="Times New Roman" w:hAnsi="Times New Roman" w:cs="Times New Roman"/>
          <w:sz w:val="24"/>
          <w:szCs w:val="24"/>
        </w:rPr>
        <w:t>разноуровневым</w:t>
      </w:r>
      <w:proofErr w:type="spellEnd"/>
      <w:r w:rsidRPr="00B06469">
        <w:rPr>
          <w:rFonts w:ascii="Times New Roman" w:hAnsi="Times New Roman" w:cs="Times New Roman"/>
          <w:sz w:val="24"/>
          <w:szCs w:val="24"/>
        </w:rPr>
        <w:t xml:space="preserve"> стратегиям общего и профессионального образования, формируется гибкая система образовательных программ в соответствии с потребностями рынка труда. В течение 2015-2016 учебного года ГБПОУ «Образовательный центр с. «Камышла» реализовало программы среднего профессионального образования на базе основного общего и среднего общего образования по нижеследующим профессиям: хозяйка (ин) усадьбы; мастер сельскохозяйственного производства; социальный работник; тракторист-машинист сельскохозяйственного производства. Численность обучающихся по состоянию на 1 сентября 2016 года – 198 человек.</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Вопросы обеспечения антитеррористической защищенности образовательных учреждений района находятся на постоянном контроле. Все предписания надзорных служб выполняются. 75% образовательных организаций оборудованы кнопками </w:t>
      </w:r>
      <w:proofErr w:type="gramStart"/>
      <w:r w:rsidRPr="00B06469">
        <w:rPr>
          <w:rFonts w:ascii="Times New Roman" w:hAnsi="Times New Roman" w:cs="Times New Roman"/>
          <w:sz w:val="24"/>
          <w:szCs w:val="24"/>
        </w:rPr>
        <w:t>тревожной</w:t>
      </w:r>
      <w:proofErr w:type="gramEnd"/>
      <w:r w:rsidRPr="00B06469">
        <w:rPr>
          <w:rFonts w:ascii="Times New Roman" w:hAnsi="Times New Roman" w:cs="Times New Roman"/>
          <w:sz w:val="24"/>
          <w:szCs w:val="24"/>
        </w:rPr>
        <w:t xml:space="preserve"> сигнализаций, 63% — видеонаблюдением. Это один из высоких показателей в области.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Для организации безопасного подвоза учащихся из других населенных пунктов в базовые школы отрыто 10 школьных маршрутов, по которым курсируют 9 автобусов. Все школьные автобусы оборудованы в соответствии с требованиями Государственного стандарта для перевозки детей и оснащены системами спутниковой навигации ГЛОНАСС.</w:t>
      </w:r>
    </w:p>
    <w:p w:rsidR="00FA0047" w:rsidRPr="00B06469" w:rsidRDefault="00FA0047" w:rsidP="001F0139">
      <w:pPr>
        <w:spacing w:after="0" w:line="360" w:lineRule="auto"/>
        <w:ind w:firstLine="709"/>
        <w:jc w:val="both"/>
        <w:rPr>
          <w:rFonts w:ascii="Times New Roman" w:hAnsi="Times New Roman" w:cs="Times New Roman"/>
          <w:sz w:val="24"/>
          <w:szCs w:val="24"/>
          <w:highlight w:val="yellow"/>
        </w:rPr>
      </w:pPr>
    </w:p>
    <w:p w:rsidR="00FA0047" w:rsidRPr="00B06469" w:rsidRDefault="00FA0047" w:rsidP="001F0139">
      <w:pPr>
        <w:spacing w:after="0" w:line="360" w:lineRule="auto"/>
        <w:contextualSpacing/>
        <w:outlineLvl w:val="2"/>
        <w:rPr>
          <w:rFonts w:ascii="Times New Roman" w:hAnsi="Times New Roman" w:cs="Times New Roman"/>
          <w:b/>
          <w:color w:val="365F91"/>
          <w:sz w:val="24"/>
          <w:szCs w:val="24"/>
        </w:rPr>
      </w:pPr>
      <w:bookmarkStart w:id="18" w:name="_Toc520894832"/>
      <w:r w:rsidRPr="00B06469">
        <w:rPr>
          <w:rFonts w:ascii="Times New Roman" w:hAnsi="Times New Roman" w:cs="Times New Roman"/>
          <w:b/>
          <w:color w:val="365F91"/>
          <w:sz w:val="24"/>
          <w:szCs w:val="24"/>
        </w:rPr>
        <w:t>Здравоохранение</w:t>
      </w:r>
      <w:bookmarkEnd w:id="18"/>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На территории муниципального района оказывает медицинские услуги </w:t>
      </w:r>
      <w:proofErr w:type="spellStart"/>
      <w:r w:rsidRPr="00B06469">
        <w:rPr>
          <w:rFonts w:ascii="Times New Roman" w:hAnsi="Times New Roman" w:cs="Times New Roman"/>
          <w:sz w:val="24"/>
          <w:szCs w:val="24"/>
        </w:rPr>
        <w:t>Камышлинская</w:t>
      </w:r>
      <w:proofErr w:type="spellEnd"/>
      <w:r w:rsidRPr="00B06469">
        <w:rPr>
          <w:rFonts w:ascii="Times New Roman" w:hAnsi="Times New Roman" w:cs="Times New Roman"/>
          <w:sz w:val="24"/>
          <w:szCs w:val="24"/>
        </w:rPr>
        <w:t xml:space="preserve"> центральная районная больница. На базе учреждения предоставляется амбулаторно-поликлиническая (как плановая, так и экстренная) и круглосуточная – стационарная помощь, созданы выездные бригады врачей специалистов для оказания различных видов медицинской, организационно методической и консультативной помощи.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структуре ЛПУ в комплексе, присутствует поликлиника, многопрофильный круглосуточный стационар, стационар дневного пребывания, офисы врачей общей практики, отделение скорой медицинской помощи. Поликлиника рассчитана на 160 посещений в день, стационар — на 55 коек, из них 20 коек — </w:t>
      </w:r>
      <w:proofErr w:type="gramStart"/>
      <w:r w:rsidRPr="00B06469">
        <w:rPr>
          <w:rFonts w:ascii="Times New Roman" w:hAnsi="Times New Roman" w:cs="Times New Roman"/>
          <w:sz w:val="24"/>
          <w:szCs w:val="24"/>
        </w:rPr>
        <w:t>медико-социальные</w:t>
      </w:r>
      <w:proofErr w:type="gramEnd"/>
      <w:r w:rsidRPr="00B06469">
        <w:rPr>
          <w:rFonts w:ascii="Times New Roman" w:hAnsi="Times New Roman" w:cs="Times New Roman"/>
          <w:sz w:val="24"/>
          <w:szCs w:val="24"/>
        </w:rPr>
        <w:t xml:space="preserve">. В состав ЦРБ так же входят 2 офиса врача общей практики — в селах Новое </w:t>
      </w:r>
      <w:proofErr w:type="spellStart"/>
      <w:r w:rsidRPr="00B06469">
        <w:rPr>
          <w:rFonts w:ascii="Times New Roman" w:hAnsi="Times New Roman" w:cs="Times New Roman"/>
          <w:sz w:val="24"/>
          <w:szCs w:val="24"/>
        </w:rPr>
        <w:t>Усманово</w:t>
      </w:r>
      <w:proofErr w:type="spellEnd"/>
      <w:r w:rsidRPr="00B06469">
        <w:rPr>
          <w:rFonts w:ascii="Times New Roman" w:hAnsi="Times New Roman" w:cs="Times New Roman"/>
          <w:sz w:val="24"/>
          <w:szCs w:val="24"/>
        </w:rPr>
        <w:t xml:space="preserve"> и Старое Ермаково и 13 фельдшерско-акушерских пунктов.</w:t>
      </w:r>
    </w:p>
    <w:p w:rsidR="00FA0047" w:rsidRPr="00B06469" w:rsidRDefault="00FA0047" w:rsidP="001F0139">
      <w:pPr>
        <w:spacing w:after="0" w:line="360" w:lineRule="auto"/>
        <w:ind w:firstLine="709"/>
        <w:jc w:val="both"/>
        <w:rPr>
          <w:rFonts w:ascii="Times New Roman" w:hAnsi="Times New Roman" w:cs="Times New Roman"/>
          <w:sz w:val="24"/>
          <w:szCs w:val="24"/>
        </w:rPr>
      </w:pPr>
      <w:proofErr w:type="gramStart"/>
      <w:r w:rsidRPr="00B06469">
        <w:rPr>
          <w:rFonts w:ascii="Times New Roman" w:hAnsi="Times New Roman" w:cs="Times New Roman"/>
          <w:sz w:val="24"/>
          <w:szCs w:val="24"/>
        </w:rPr>
        <w:t xml:space="preserve">В поликлинике ведут прием врачи специальностей: терапевт, хирург, онколог, гинеколог, </w:t>
      </w:r>
      <w:proofErr w:type="spellStart"/>
      <w:r w:rsidRPr="00B06469">
        <w:rPr>
          <w:rFonts w:ascii="Times New Roman" w:hAnsi="Times New Roman" w:cs="Times New Roman"/>
          <w:sz w:val="24"/>
          <w:szCs w:val="24"/>
        </w:rPr>
        <w:t>оториноларинголог</w:t>
      </w:r>
      <w:proofErr w:type="spellEnd"/>
      <w:r w:rsidRPr="00B06469">
        <w:rPr>
          <w:rFonts w:ascii="Times New Roman" w:hAnsi="Times New Roman" w:cs="Times New Roman"/>
          <w:sz w:val="24"/>
          <w:szCs w:val="24"/>
        </w:rPr>
        <w:t>, педиатр, невролог, нарколог.</w:t>
      </w:r>
      <w:proofErr w:type="gramEnd"/>
      <w:r w:rsidRPr="00B06469">
        <w:rPr>
          <w:rFonts w:ascii="Times New Roman" w:hAnsi="Times New Roman" w:cs="Times New Roman"/>
          <w:sz w:val="24"/>
          <w:szCs w:val="24"/>
        </w:rPr>
        <w:t xml:space="preserve"> Прием ведется без предварительной записи, по принципу «всех — в день обращения».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Диагностическую службу представляют клинико-диагностическая (общеклиническая и биохимическая) лаборатория, отделение ультразвуковой диагностики, кабинеты флюорографии, рентгенологический кабинет, службы ЛФК и физиотерапии.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2011 году поликлиника в Камышле была капитально отремонтирована и соединена теплым переходом со зданием центральной районной больницы, которая также была модернизирована. По областной целевой программе «Модернизация здравоохранения в Самарской области на 2011-2015 годы» был проведен капитальный ремонт кровли поликлинического отделения, получены медицинское оборудование на сумму 4 500 000 рублей, автомашины скорой помощи. Кроме того, были отремонтированы 4 </w:t>
      </w:r>
      <w:proofErr w:type="spellStart"/>
      <w:r w:rsidRPr="00B06469">
        <w:rPr>
          <w:rFonts w:ascii="Times New Roman" w:hAnsi="Times New Roman" w:cs="Times New Roman"/>
          <w:sz w:val="24"/>
          <w:szCs w:val="24"/>
        </w:rPr>
        <w:t>ФАПа</w:t>
      </w:r>
      <w:proofErr w:type="spellEnd"/>
      <w:r w:rsidRPr="00B06469">
        <w:rPr>
          <w:rFonts w:ascii="Times New Roman" w:hAnsi="Times New Roman" w:cs="Times New Roman"/>
          <w:sz w:val="24"/>
          <w:szCs w:val="24"/>
        </w:rPr>
        <w:t xml:space="preserve">, в рамках реализации областной программы модернизации здравоохранения, в селе Никиткино был построен новый модульный ФАП, в настоящее время завершено строительство такого же </w:t>
      </w:r>
      <w:proofErr w:type="spellStart"/>
      <w:r w:rsidRPr="00B06469">
        <w:rPr>
          <w:rFonts w:ascii="Times New Roman" w:hAnsi="Times New Roman" w:cs="Times New Roman"/>
          <w:sz w:val="24"/>
          <w:szCs w:val="24"/>
        </w:rPr>
        <w:t>ФАПа</w:t>
      </w:r>
      <w:proofErr w:type="spellEnd"/>
      <w:r w:rsidRPr="00B06469">
        <w:rPr>
          <w:rFonts w:ascii="Times New Roman" w:hAnsi="Times New Roman" w:cs="Times New Roman"/>
          <w:sz w:val="24"/>
          <w:szCs w:val="24"/>
        </w:rPr>
        <w:t xml:space="preserve"> в селе </w:t>
      </w:r>
      <w:proofErr w:type="spellStart"/>
      <w:r w:rsidRPr="00B06469">
        <w:rPr>
          <w:rFonts w:ascii="Times New Roman" w:hAnsi="Times New Roman" w:cs="Times New Roman"/>
          <w:sz w:val="24"/>
          <w:szCs w:val="24"/>
        </w:rPr>
        <w:t>Балыкла</w:t>
      </w:r>
      <w:proofErr w:type="spellEnd"/>
      <w:r w:rsidRPr="00B06469">
        <w:rPr>
          <w:rFonts w:ascii="Times New Roman" w:hAnsi="Times New Roman" w:cs="Times New Roman"/>
          <w:sz w:val="24"/>
          <w:szCs w:val="24"/>
        </w:rPr>
        <w:t xml:space="preserve">. В селе Новое </w:t>
      </w:r>
      <w:proofErr w:type="spellStart"/>
      <w:r w:rsidRPr="00B06469">
        <w:rPr>
          <w:rFonts w:ascii="Times New Roman" w:hAnsi="Times New Roman" w:cs="Times New Roman"/>
          <w:sz w:val="24"/>
          <w:szCs w:val="24"/>
        </w:rPr>
        <w:t>усманово</w:t>
      </w:r>
      <w:proofErr w:type="spellEnd"/>
      <w:r w:rsidRPr="00B06469">
        <w:rPr>
          <w:rFonts w:ascii="Times New Roman" w:hAnsi="Times New Roman" w:cs="Times New Roman"/>
          <w:sz w:val="24"/>
          <w:szCs w:val="24"/>
        </w:rPr>
        <w:t xml:space="preserve"> успешно работает стоматологический кабинет.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Число больничных коек в больничных организациях района снижалось и к 2014 году достигло минимума в 40,8 на 10 тыс. населения, после чего наметилась тенденция к увеличению числа больничных коек, в 2016 году оно составило 45,2 на 10 тыс. населения.</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Сокращение числа больничных коек – это общая тенденция практически для всех муниципальных образований региона на пути к оптимизации. Во многом она обусловлена внедрением </w:t>
      </w:r>
      <w:proofErr w:type="spellStart"/>
      <w:r w:rsidRPr="00B06469">
        <w:rPr>
          <w:rFonts w:ascii="Times New Roman" w:hAnsi="Times New Roman" w:cs="Times New Roman"/>
          <w:sz w:val="24"/>
          <w:szCs w:val="24"/>
        </w:rPr>
        <w:t>стационарозамещающих</w:t>
      </w:r>
      <w:proofErr w:type="spellEnd"/>
      <w:r w:rsidRPr="00B06469">
        <w:rPr>
          <w:rFonts w:ascii="Times New Roman" w:hAnsi="Times New Roman" w:cs="Times New Roman"/>
          <w:sz w:val="24"/>
          <w:szCs w:val="24"/>
        </w:rPr>
        <w:t xml:space="preserve"> технологий, а также повышением эффективности использования имеющихся коек. По обеспеченности жителей больничными койками в расчете на 10 тыс. населения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район находится на 9 месте среди муниципальных районов области (рис. 1.4.12).</w:t>
      </w:r>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360" w:lineRule="auto"/>
        <w:ind w:firstLine="709"/>
        <w:jc w:val="center"/>
        <w:rPr>
          <w:rFonts w:ascii="Times New Roman" w:hAnsi="Times New Roman" w:cs="Times New Roman"/>
          <w:sz w:val="24"/>
          <w:szCs w:val="24"/>
        </w:rPr>
      </w:pPr>
    </w:p>
    <w:p w:rsidR="00FA0047" w:rsidRPr="00B06469" w:rsidRDefault="00B06469" w:rsidP="001F0139">
      <w:pPr>
        <w:spacing w:after="0" w:line="240" w:lineRule="auto"/>
        <w:ind w:firstLine="426"/>
        <w:jc w:val="center"/>
        <w:rPr>
          <w:rFonts w:ascii="Times New Roman" w:hAnsi="Times New Roman" w:cs="Times New Roman"/>
          <w:sz w:val="24"/>
          <w:szCs w:val="24"/>
        </w:rPr>
      </w:pPr>
      <w:r w:rsidRPr="00B06469">
        <w:rPr>
          <w:rFonts w:ascii="Times New Roman" w:hAnsi="Times New Roman" w:cs="Times New Roman"/>
          <w:noProof/>
          <w:sz w:val="24"/>
          <w:szCs w:val="24"/>
        </w:rPr>
        <w:lastRenderedPageBreak/>
        <w:pict>
          <v:rect id="Прямоугольник 51" o:spid="_x0000_s1029" style="position:absolute;left:0;text-align:left;margin-left:43.5pt;margin-top:-16.8pt;width:403.05pt;height:32.85pt;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" fillcolor="#365f91" strokecolor="#365f91">
            <v:textbox style="mso-next-textbox:#Прямоугольник 51">
              <w:txbxContent>
                <w:p w:rsidR="00C32237" w:rsidRDefault="00C32237" w:rsidP="00FA0047">
                  <w:pPr>
                    <w:pStyle w:val="a7"/>
                    <w:spacing w:before="0" w:beforeAutospacing="0" w:after="0" w:afterAutospacing="0" w:line="276" w:lineRule="auto"/>
                    <w:jc w:val="center"/>
                    <w:rPr>
                      <w:rFonts w:eastAsia="Calibri"/>
                      <w:b/>
                      <w:bCs/>
                      <w:color w:val="FFFFFF"/>
                      <w:sz w:val="20"/>
                      <w:szCs w:val="20"/>
                    </w:rPr>
                  </w:pPr>
                  <w:r>
                    <w:rPr>
                      <w:rFonts w:ascii="Arial" w:eastAsia="Calibri" w:hAnsi="Arial"/>
                      <w:b/>
                      <w:bCs/>
                      <w:color w:val="FFFFFF"/>
                      <w:sz w:val="20"/>
                      <w:szCs w:val="20"/>
                    </w:rPr>
                    <w:t> </w:t>
                  </w:r>
                  <w:proofErr w:type="spellStart"/>
                  <w:r w:rsidRPr="00CB4D0E">
                    <w:rPr>
                      <w:rFonts w:eastAsia="Calibri"/>
                      <w:b/>
                      <w:bCs/>
                      <w:color w:val="FFFFFF"/>
                      <w:sz w:val="20"/>
                      <w:szCs w:val="20"/>
                    </w:rPr>
                    <w:t>Камышлинский</w:t>
                  </w:r>
                  <w:proofErr w:type="spellEnd"/>
                  <w:r w:rsidRPr="00CB4D0E">
                    <w:rPr>
                      <w:rFonts w:eastAsia="Calibri"/>
                      <w:b/>
                      <w:bCs/>
                      <w:color w:val="FFFFFF"/>
                      <w:sz w:val="20"/>
                      <w:szCs w:val="20"/>
                    </w:rPr>
                    <w:t xml:space="preserve"> район занимает 9 место по количеству больничных коек </w:t>
                  </w:r>
                </w:p>
                <w:p w:rsidR="00C32237" w:rsidRPr="00CB4D0E" w:rsidRDefault="00C32237" w:rsidP="00FA0047">
                  <w:pPr>
                    <w:pStyle w:val="a7"/>
                    <w:spacing w:before="0" w:beforeAutospacing="0" w:after="0" w:afterAutospacing="0" w:line="276" w:lineRule="auto"/>
                    <w:jc w:val="center"/>
                  </w:pPr>
                  <w:r w:rsidRPr="00CB4D0E">
                    <w:rPr>
                      <w:rFonts w:eastAsia="Calibri"/>
                      <w:b/>
                      <w:bCs/>
                      <w:color w:val="FFFFFF"/>
                      <w:sz w:val="20"/>
                      <w:szCs w:val="20"/>
                    </w:rPr>
                    <w:t>на 10 тыс. чел. населения среди районов Самарской области в 2016 году</w:t>
                  </w:r>
                </w:p>
              </w:txbxContent>
            </v:textbox>
          </v:rect>
        </w:pict>
      </w:r>
      <w:r w:rsidR="00FA0047" w:rsidRPr="00B06469">
        <w:rPr>
          <w:rFonts w:ascii="Times New Roman" w:hAnsi="Times New Roman" w:cs="Times New Roman"/>
          <w:noProof/>
          <w:sz w:val="24"/>
          <w:szCs w:val="24"/>
          <w:lang w:eastAsia="ru-RU"/>
        </w:rPr>
        <w:drawing>
          <wp:inline distT="0" distB="0" distL="0" distR="0" wp14:anchorId="34216C50" wp14:editId="01450BA3">
            <wp:extent cx="5132705" cy="3706495"/>
            <wp:effectExtent l="0" t="0" r="0" b="0"/>
            <wp:docPr id="17" name="Диаграмма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A0047" w:rsidRPr="00B06469" w:rsidRDefault="00FA0047" w:rsidP="001F0139">
      <w:pPr>
        <w:spacing w:after="0" w:line="240" w:lineRule="auto"/>
        <w:ind w:firstLine="426"/>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ind w:firstLine="709"/>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1.4.12 – Количество больничных коек на 10 тыс. чел. населения в больничных организациях по районам Самарской области на 2016 год</w:t>
      </w:r>
    </w:p>
    <w:p w:rsidR="00FA0047" w:rsidRPr="00B06469" w:rsidRDefault="00FA0047" w:rsidP="001F0139">
      <w:pPr>
        <w:spacing w:after="0" w:line="240" w:lineRule="auto"/>
        <w:ind w:firstLine="709"/>
        <w:jc w:val="center"/>
        <w:rPr>
          <w:rFonts w:ascii="Times New Roman" w:hAnsi="Times New Roman" w:cs="Times New Roman"/>
          <w:b/>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Доступность и качество медицинских услуг в значительной мере связано с численностью и степенью профессионализма медицинского персонала. Число врачей 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 по сравнению с 2012 годом увеличилось на 7,4 %, а показатель числа врачей в расчете на 10 тыс. человек населения составил 20,3, что несколько ниже среднего уровня по муниципальным районам области (рис.1.4.13). По данному показателю район занимает 23 место среди муниципальных районов.</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Проблема нехватки и старение квалифицированных кадров требует особого внимания. Необходимы врачи основных специальностей. С 2012 года в Самарской области действует программа «Земский доктор». По областной программе «Земский доктор» медицину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усилили три врача. Коллектив центральной районной больницы пополнился врачом клинической лабораторной диагностики, терапевтом и педиатром в поликлинике. </w:t>
      </w:r>
    </w:p>
    <w:p w:rsidR="00FA0047" w:rsidRPr="00B06469" w:rsidRDefault="00FA0047" w:rsidP="001F0139">
      <w:pPr>
        <w:spacing w:after="0" w:line="360" w:lineRule="auto"/>
        <w:ind w:firstLine="709"/>
        <w:jc w:val="center"/>
        <w:rPr>
          <w:rFonts w:ascii="Times New Roman" w:hAnsi="Times New Roman" w:cs="Times New Roman"/>
          <w:sz w:val="24"/>
          <w:szCs w:val="24"/>
        </w:rPr>
      </w:pPr>
    </w:p>
    <w:p w:rsidR="00FA0047" w:rsidRPr="00B06469" w:rsidRDefault="00B06469" w:rsidP="001F0139">
      <w:pPr>
        <w:spacing w:after="0" w:line="240" w:lineRule="auto"/>
        <w:jc w:val="center"/>
        <w:rPr>
          <w:rFonts w:ascii="Times New Roman" w:hAnsi="Times New Roman" w:cs="Times New Roman"/>
          <w:b/>
          <w:bCs/>
          <w:sz w:val="24"/>
          <w:szCs w:val="24"/>
        </w:rPr>
      </w:pPr>
      <w:r w:rsidRPr="00B06469">
        <w:rPr>
          <w:rFonts w:ascii="Times New Roman" w:hAnsi="Times New Roman" w:cs="Times New Roman"/>
          <w:noProof/>
          <w:sz w:val="24"/>
          <w:szCs w:val="24"/>
        </w:rPr>
        <w:lastRenderedPageBreak/>
        <w:pict>
          <v:rect id="Прямоугольник 60" o:spid="_x0000_s1030" style="position:absolute;left:0;text-align:left;margin-left:33.1pt;margin-top:-.35pt;width:395.2pt;height:33.4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" fillcolor="#365f91" strokecolor="#365f91">
            <v:textbox style="mso-next-textbox:#Прямоугольник 60">
              <w:txbxContent>
                <w:p w:rsidR="00C32237" w:rsidRPr="00536F99" w:rsidRDefault="00C32237" w:rsidP="00FA0047">
                  <w:pPr>
                    <w:pStyle w:val="a7"/>
                    <w:spacing w:before="0" w:beforeAutospacing="0" w:after="0" w:afterAutospacing="0" w:line="276" w:lineRule="auto"/>
                    <w:jc w:val="center"/>
                    <w:rPr>
                      <w:sz w:val="20"/>
                      <w:szCs w:val="20"/>
                    </w:rPr>
                  </w:pPr>
                  <w:proofErr w:type="spellStart"/>
                  <w:r w:rsidRPr="00536F99">
                    <w:rPr>
                      <w:rFonts w:eastAsia="Calibri"/>
                      <w:b/>
                      <w:bCs/>
                      <w:color w:val="FFFFFF"/>
                      <w:sz w:val="20"/>
                      <w:szCs w:val="20"/>
                    </w:rPr>
                    <w:t>Камышлинский</w:t>
                  </w:r>
                  <w:proofErr w:type="spellEnd"/>
                  <w:r w:rsidRPr="00536F99">
                    <w:rPr>
                      <w:rFonts w:eastAsia="Calibri"/>
                      <w:b/>
                      <w:bCs/>
                      <w:color w:val="FFFFFF"/>
                      <w:sz w:val="20"/>
                      <w:szCs w:val="20"/>
                    </w:rPr>
                    <w:t xml:space="preserve"> район занимает 23 место по количеству врачей на 10 тыс. человек населения среди районов Самарской области</w:t>
                  </w:r>
                </w:p>
              </w:txbxContent>
            </v:textbox>
          </v:rect>
        </w:pict>
      </w:r>
      <w:r w:rsidR="00FA0047" w:rsidRPr="00B06469">
        <w:rPr>
          <w:rFonts w:ascii="Times New Roman" w:hAnsi="Times New Roman" w:cs="Times New Roman"/>
          <w:noProof/>
          <w:sz w:val="24"/>
          <w:szCs w:val="24"/>
          <w:lang w:eastAsia="ru-RU"/>
        </w:rPr>
        <w:drawing>
          <wp:inline distT="0" distB="0" distL="0" distR="0" wp14:anchorId="50DC2622" wp14:editId="28AFCFDA">
            <wp:extent cx="4989195" cy="2882265"/>
            <wp:effectExtent l="6096" t="6096" r="3429" b="7239"/>
            <wp:docPr id="18"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1.4.13 – Численность врачей в муниципальных районах Самарской области на 10 тыс. населения в 2016 году</w:t>
      </w:r>
    </w:p>
    <w:p w:rsidR="00FA0047" w:rsidRPr="00B06469" w:rsidRDefault="00FA0047" w:rsidP="001F0139">
      <w:pPr>
        <w:spacing w:after="0" w:line="240" w:lineRule="auto"/>
        <w:jc w:val="center"/>
        <w:rPr>
          <w:rFonts w:ascii="Times New Roman" w:hAnsi="Times New Roman" w:cs="Times New Roman"/>
          <w:b/>
          <w:bCs/>
          <w:sz w:val="24"/>
          <w:szCs w:val="24"/>
        </w:rPr>
      </w:pPr>
    </w:p>
    <w:p w:rsidR="00FA0047" w:rsidRPr="00B06469" w:rsidRDefault="00B06469"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noProof/>
          <w:sz w:val="24"/>
          <w:szCs w:val="24"/>
        </w:rPr>
        <w:pict>
          <v:rect id="_x0000_s1044" style="position:absolute;left:0;text-align:left;margin-left:58.45pt;margin-top:115.6pt;width:351.4pt;height:29.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" fillcolor="#365f91" strokecolor="#365f91">
            <v:textbox style="mso-next-textbox:#_x0000_s1044">
              <w:txbxContent>
                <w:p w:rsidR="00C32237" w:rsidRPr="00BC1922" w:rsidRDefault="00C32237" w:rsidP="00FA0047">
                  <w:pPr>
                    <w:spacing w:after="0" w:line="240" w:lineRule="auto"/>
                    <w:jc w:val="center"/>
                  </w:pPr>
                  <w:r>
                    <w:rPr>
                      <w:rFonts w:ascii="Times New Roman" w:hAnsi="Times New Roman"/>
                      <w:b/>
                      <w:bCs/>
                      <w:color w:val="FFFFFF"/>
                      <w:sz w:val="20"/>
                      <w:szCs w:val="20"/>
                    </w:rPr>
                    <w:t>Средняя о</w:t>
                  </w:r>
                  <w:r w:rsidRPr="00BC1922">
                    <w:rPr>
                      <w:rFonts w:ascii="Times New Roman" w:hAnsi="Times New Roman"/>
                      <w:b/>
                      <w:bCs/>
                      <w:color w:val="FFFFFF"/>
                      <w:sz w:val="20"/>
                      <w:szCs w:val="20"/>
                    </w:rPr>
                    <w:t>беспеченность населения врачами и медперсоналом среди районов</w:t>
                  </w:r>
                  <w:r>
                    <w:rPr>
                      <w:rFonts w:ascii="Times New Roman" w:hAnsi="Times New Roman"/>
                      <w:b/>
                      <w:bCs/>
                      <w:color w:val="FFFFFF"/>
                      <w:sz w:val="20"/>
                      <w:szCs w:val="20"/>
                    </w:rPr>
                    <w:t xml:space="preserve"> области</w:t>
                  </w:r>
                </w:p>
              </w:txbxContent>
            </v:textbox>
          </v:rect>
        </w:pict>
      </w:r>
      <w:r w:rsidR="00FA0047" w:rsidRPr="00B06469">
        <w:rPr>
          <w:rFonts w:ascii="Times New Roman" w:hAnsi="Times New Roman" w:cs="Times New Roman"/>
          <w:sz w:val="24"/>
          <w:szCs w:val="24"/>
        </w:rPr>
        <w:t>Ситуация по обеспеченности средним медицинским персоналом тоже остается сложной. Уровень остается несколько ниже среднего по муниципальным районам уровня. По данному показателю район занимает 16 место среди муниципальных районов, что составляет 73,3 на 10 тыс. человек населения по данным на 2015 год (рис.1.4.14).</w:t>
      </w:r>
    </w:p>
    <w:p w:rsidR="00FA0047" w:rsidRPr="00B06469" w:rsidRDefault="00FA0047" w:rsidP="001F0139">
      <w:pPr>
        <w:spacing w:after="0"/>
        <w:ind w:firstLine="567"/>
        <w:jc w:val="both"/>
        <w:rPr>
          <w:rFonts w:ascii="Times New Roman" w:hAnsi="Times New Roman" w:cs="Times New Roman"/>
          <w:sz w:val="24"/>
          <w:szCs w:val="24"/>
        </w:rPr>
      </w:pPr>
    </w:p>
    <w:p w:rsidR="00FA0047" w:rsidRPr="00B06469" w:rsidRDefault="00FA0047" w:rsidP="001F0139">
      <w:pPr>
        <w:spacing w:after="0" w:line="240" w:lineRule="auto"/>
        <w:jc w:val="center"/>
        <w:rPr>
          <w:rFonts w:ascii="Times New Roman" w:hAnsi="Times New Roman" w:cs="Times New Roman"/>
          <w:sz w:val="24"/>
          <w:szCs w:val="24"/>
          <w:lang w:val="en-US"/>
        </w:rPr>
      </w:pPr>
      <w:r w:rsidRPr="00B06469">
        <w:rPr>
          <w:rFonts w:ascii="Times New Roman" w:hAnsi="Times New Roman" w:cs="Times New Roman"/>
          <w:noProof/>
          <w:sz w:val="24"/>
          <w:szCs w:val="24"/>
          <w:lang w:eastAsia="ru-RU"/>
        </w:rPr>
        <w:drawing>
          <wp:inline distT="0" distB="0" distL="0" distR="0" wp14:anchorId="7BC5B9E7" wp14:editId="6B79DFB5">
            <wp:extent cx="4464707" cy="3041904"/>
            <wp:effectExtent l="19050" t="0" r="12043" b="6096"/>
            <wp:docPr id="19"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 xml:space="preserve">Источники: ФСГС: Социально-экономические показатели муниципальных районов </w:t>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 xml:space="preserve">и </w:t>
      </w:r>
      <w:proofErr w:type="spellStart"/>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ских</w:t>
      </w:r>
      <w:proofErr w:type="spellEnd"/>
      <w:r w:rsidRPr="00B06469">
        <w:rPr>
          <w:rFonts w:ascii="Times New Roman" w:hAnsi="Times New Roman" w:cs="Times New Roman"/>
          <w:sz w:val="24"/>
          <w:szCs w:val="24"/>
        </w:rPr>
        <w:t xml:space="preserve"> округов Самарской области, 2017.</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1.4.14 – Обеспеченность населения средним медицинским персоналом и врачами в муниципальных районах, 2016 г.</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структуре общей заболеваемости в муниципальном районе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первое место занимают болезни органов дыхания, на втором месте находятся болезни мочеполовой системы.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Среди детей (0 – 14 лет) в структуре общей заболеваемости первое место занимают болезни органов дыхания. У подростков (15 – 17 лет) в муниципальном районе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на первом месте также заболевания органов дыхания, а у взрослого населения (18 лет и старше) на первое место выходят заболевания мочеполовой системы.</w:t>
      </w:r>
    </w:p>
    <w:p w:rsidR="00FA0047" w:rsidRPr="00B06469" w:rsidRDefault="00FA0047" w:rsidP="001F0139">
      <w:pPr>
        <w:spacing w:after="0" w:line="360" w:lineRule="auto"/>
        <w:contextualSpacing/>
        <w:outlineLvl w:val="2"/>
        <w:rPr>
          <w:rFonts w:ascii="Times New Roman" w:hAnsi="Times New Roman" w:cs="Times New Roman"/>
          <w:b/>
          <w:color w:val="365F91"/>
          <w:sz w:val="24"/>
          <w:szCs w:val="24"/>
        </w:rPr>
      </w:pPr>
      <w:bookmarkStart w:id="19" w:name="_Toc520894833"/>
      <w:r w:rsidRPr="00B06469">
        <w:rPr>
          <w:rFonts w:ascii="Times New Roman" w:hAnsi="Times New Roman" w:cs="Times New Roman"/>
          <w:b/>
          <w:color w:val="365F91"/>
          <w:sz w:val="24"/>
          <w:szCs w:val="24"/>
        </w:rPr>
        <w:t>Физическая культура и спорт</w:t>
      </w:r>
      <w:bookmarkEnd w:id="19"/>
    </w:p>
    <w:p w:rsidR="00FA0047" w:rsidRPr="00B06469" w:rsidRDefault="00FA0047" w:rsidP="001F0139">
      <w:pPr>
        <w:spacing w:after="0" w:line="360" w:lineRule="auto"/>
        <w:ind w:firstLine="709"/>
        <w:jc w:val="both"/>
        <w:rPr>
          <w:rFonts w:ascii="Times New Roman" w:hAnsi="Times New Roman" w:cs="Times New Roman"/>
          <w:sz w:val="24"/>
          <w:szCs w:val="24"/>
          <w:highlight w:val="yellow"/>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Спортивная инфраструктура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представлена 37 спортивными сооружениями, в том числе 10 спортивных залов, 1 тренажерный зал. Однако</w:t>
      </w:r>
      <w:proofErr w:type="gramStart"/>
      <w:r w:rsidRPr="00B06469">
        <w:rPr>
          <w:rFonts w:ascii="Times New Roman" w:hAnsi="Times New Roman" w:cs="Times New Roman"/>
          <w:sz w:val="24"/>
          <w:szCs w:val="24"/>
        </w:rPr>
        <w:t>,</w:t>
      </w:r>
      <w:proofErr w:type="gramEnd"/>
      <w:r w:rsidRPr="00B06469">
        <w:rPr>
          <w:rFonts w:ascii="Times New Roman" w:hAnsi="Times New Roman" w:cs="Times New Roman"/>
          <w:sz w:val="24"/>
          <w:szCs w:val="24"/>
        </w:rPr>
        <w:t xml:space="preserve"> в районе нет бассейна, стадиона, </w:t>
      </w:r>
      <w:r w:rsidRPr="00B06469">
        <w:rPr>
          <w:rFonts w:ascii="Times New Roman" w:hAnsi="Times New Roman" w:cs="Times New Roman"/>
          <w:color w:val="242424"/>
          <w:sz w:val="24"/>
          <w:szCs w:val="24"/>
        </w:rPr>
        <w:t>универсального спортивного комплекса</w:t>
      </w:r>
      <w:r w:rsidRPr="00B06469">
        <w:rPr>
          <w:rFonts w:ascii="Times New Roman" w:hAnsi="Times New Roman" w:cs="Times New Roman"/>
          <w:sz w:val="24"/>
          <w:szCs w:val="24"/>
        </w:rPr>
        <w:t xml:space="preserve">. Как для детей, так и для взрослого населения создаются условия для занятий физической культурой и спортом. В их распоряжении спортивные залы в центре дополнительного образования СП ДЮСШ «Фортуна» и тренажерный зал «Батыр», а также в спортивные залы учебных заведений в вечернее время.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Уровень фактической обеспеченности объектами физической культуры и спорта жителей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в 2016 году составил 60% .</w:t>
      </w:r>
    </w:p>
    <w:p w:rsidR="00FA0047" w:rsidRPr="00B06469" w:rsidRDefault="00FA0047" w:rsidP="001F0139">
      <w:pPr>
        <w:spacing w:after="0" w:line="360" w:lineRule="auto"/>
        <w:ind w:firstLine="709"/>
        <w:jc w:val="both"/>
        <w:rPr>
          <w:rFonts w:ascii="Times New Roman" w:hAnsi="Times New Roman" w:cs="Times New Roman"/>
          <w:color w:val="242424"/>
          <w:sz w:val="24"/>
          <w:szCs w:val="24"/>
        </w:rPr>
      </w:pPr>
      <w:r w:rsidRPr="00B06469">
        <w:rPr>
          <w:rFonts w:ascii="Times New Roman" w:hAnsi="Times New Roman" w:cs="Times New Roman"/>
          <w:color w:val="242424"/>
          <w:sz w:val="24"/>
          <w:szCs w:val="24"/>
        </w:rPr>
        <w:t xml:space="preserve">Доля населения, регулярно занимающегося спортом, в последние годы увеличилась и достигла 33,7% в 2016 году, что близко к среднему значению по муниципальным районам – 34,7% (рис.1.4.16). </w:t>
      </w:r>
    </w:p>
    <w:p w:rsidR="00FA0047" w:rsidRPr="00B06469" w:rsidRDefault="00FA0047" w:rsidP="001F0139">
      <w:pPr>
        <w:spacing w:after="0" w:line="360" w:lineRule="auto"/>
        <w:ind w:firstLine="709"/>
        <w:jc w:val="both"/>
        <w:rPr>
          <w:rFonts w:ascii="Times New Roman" w:hAnsi="Times New Roman" w:cs="Times New Roman"/>
          <w:color w:val="242424"/>
          <w:sz w:val="24"/>
          <w:szCs w:val="24"/>
        </w:rPr>
      </w:pPr>
      <w:r w:rsidRPr="00B06469">
        <w:rPr>
          <w:rFonts w:ascii="Times New Roman" w:hAnsi="Times New Roman" w:cs="Times New Roman"/>
          <w:color w:val="242424"/>
          <w:sz w:val="24"/>
          <w:szCs w:val="24"/>
        </w:rPr>
        <w:t xml:space="preserve">Рост количества занимающихся физической культурой по сравнению с предыдущими годами произошел в основном за счет увеличения количества спортивно-массовых мероприятий, проводимых в районе после введения в эксплуатацию новых универсальных спортивных площадок. </w:t>
      </w:r>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3D880848" wp14:editId="26B290CB">
            <wp:extent cx="4328160" cy="4212590"/>
            <wp:effectExtent l="0" t="0" r="0" b="0"/>
            <wp:docPr id="262" name="Объект 2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A0047" w:rsidRPr="00B06469" w:rsidRDefault="00FA0047" w:rsidP="001F0139">
      <w:pPr>
        <w:spacing w:after="0" w:line="240" w:lineRule="auto"/>
        <w:jc w:val="center"/>
        <w:rPr>
          <w:rFonts w:ascii="Times New Roman" w:hAnsi="Times New Roman" w:cs="Times New Roman"/>
          <w:color w:val="242424"/>
          <w:sz w:val="24"/>
          <w:szCs w:val="24"/>
        </w:rPr>
      </w:pPr>
      <w:r w:rsidRPr="00B06469">
        <w:rPr>
          <w:rFonts w:ascii="Times New Roman" w:eastAsia="Times New Roman" w:hAnsi="Times New Roman" w:cs="Times New Roman"/>
          <w:b/>
          <w:sz w:val="24"/>
          <w:szCs w:val="24"/>
        </w:rPr>
        <w:t>Рисунок 1.4.15 – Обеспеченность населения муниципальных районов Самарской области спортивными сооружениями (</w:t>
      </w:r>
      <w:proofErr w:type="gramStart"/>
      <w:r w:rsidRPr="00B06469">
        <w:rPr>
          <w:rFonts w:ascii="Times New Roman" w:eastAsia="Times New Roman" w:hAnsi="Times New Roman" w:cs="Times New Roman"/>
          <w:b/>
          <w:sz w:val="24"/>
          <w:szCs w:val="24"/>
        </w:rPr>
        <w:t>в</w:t>
      </w:r>
      <w:proofErr w:type="gramEnd"/>
      <w:r w:rsidRPr="00B06469">
        <w:rPr>
          <w:rFonts w:ascii="Times New Roman" w:eastAsia="Times New Roman" w:hAnsi="Times New Roman" w:cs="Times New Roman"/>
          <w:b/>
          <w:sz w:val="24"/>
          <w:szCs w:val="24"/>
        </w:rPr>
        <w:t xml:space="preserve"> % от норматива)</w:t>
      </w:r>
    </w:p>
    <w:p w:rsidR="00FA0047" w:rsidRPr="00B06469" w:rsidRDefault="00FA0047" w:rsidP="001F0139">
      <w:pPr>
        <w:spacing w:after="0" w:line="240" w:lineRule="auto"/>
        <w:jc w:val="both"/>
        <w:rPr>
          <w:rFonts w:ascii="Times New Roman" w:hAnsi="Times New Roman" w:cs="Times New Roman"/>
          <w:sz w:val="24"/>
          <w:szCs w:val="24"/>
        </w:rPr>
      </w:pPr>
    </w:p>
    <w:p w:rsidR="00FA0047" w:rsidRPr="00B06469" w:rsidRDefault="00B06469"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rPr>
        <w:pict>
          <v:rect id="Прямоугольник 50" o:spid="_x0000_s1031" style="position:absolute;left:0;text-align:left;margin-left:39.6pt;margin-top:-4.25pt;width:389.7pt;height:34.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" fillcolor="#365f91" strokecolor="#365f91">
            <v:textbox style="mso-next-textbox:#Прямоугольник 50">
              <w:txbxContent>
                <w:p w:rsidR="00C32237" w:rsidRPr="008B6C71" w:rsidRDefault="00C32237" w:rsidP="00FA0047">
                  <w:pPr>
                    <w:spacing w:after="0" w:line="240" w:lineRule="auto"/>
                    <w:jc w:val="center"/>
                    <w:rPr>
                      <w:rFonts w:ascii="Times New Roman" w:hAnsi="Times New Roman"/>
                      <w:b/>
                      <w:bCs/>
                      <w:color w:val="FFFFFF"/>
                      <w:sz w:val="20"/>
                      <w:szCs w:val="20"/>
                    </w:rPr>
                  </w:pPr>
                  <w:proofErr w:type="spellStart"/>
                  <w:r w:rsidRPr="008B6C71">
                    <w:rPr>
                      <w:rFonts w:ascii="Times New Roman" w:hAnsi="Times New Roman"/>
                      <w:b/>
                      <w:bCs/>
                      <w:color w:val="FFFFFF"/>
                      <w:sz w:val="20"/>
                      <w:szCs w:val="20"/>
                    </w:rPr>
                    <w:t>Камышлинский</w:t>
                  </w:r>
                  <w:proofErr w:type="spellEnd"/>
                  <w:r w:rsidRPr="008B6C71">
                    <w:rPr>
                      <w:rFonts w:ascii="Times New Roman" w:hAnsi="Times New Roman"/>
                      <w:b/>
                      <w:bCs/>
                      <w:color w:val="FFFFFF"/>
                      <w:sz w:val="20"/>
                      <w:szCs w:val="20"/>
                    </w:rPr>
                    <w:t xml:space="preserve"> район занимает 20 место по доле населения, занимающейся спортом, среди районов Самарской области в 2016 году</w:t>
                  </w:r>
                </w:p>
              </w:txbxContent>
            </v:textbox>
          </v:rect>
        </w:pict>
      </w:r>
      <w:r w:rsidR="00FA0047" w:rsidRPr="00B06469">
        <w:rPr>
          <w:rFonts w:ascii="Times New Roman" w:hAnsi="Times New Roman" w:cs="Times New Roman"/>
          <w:noProof/>
          <w:sz w:val="24"/>
          <w:szCs w:val="24"/>
          <w:lang w:eastAsia="ru-RU"/>
        </w:rPr>
        <w:drawing>
          <wp:inline distT="0" distB="0" distL="0" distR="0" wp14:anchorId="2B697F09" wp14:editId="093B3418">
            <wp:extent cx="4944110" cy="4004945"/>
            <wp:effectExtent l="0" t="0" r="0" b="0"/>
            <wp:docPr id="21" name="Диаграмма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A0047" w:rsidRPr="00B06469" w:rsidRDefault="00FA0047"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1.4.16 – Доля населения муниципальных районов Самарской области, регулярно занимающегося спортом (% от норматива, 2016 г.)</w:t>
      </w:r>
    </w:p>
    <w:p w:rsidR="00FA0047" w:rsidRPr="00B06469" w:rsidRDefault="00FA0047" w:rsidP="001F0139">
      <w:pPr>
        <w:spacing w:after="0" w:line="360" w:lineRule="auto"/>
        <w:ind w:firstLine="709"/>
        <w:jc w:val="both"/>
        <w:rPr>
          <w:rFonts w:ascii="Times New Roman" w:hAnsi="Times New Roman" w:cs="Times New Roman"/>
          <w:color w:val="242424"/>
          <w:sz w:val="24"/>
          <w:szCs w:val="24"/>
        </w:rPr>
      </w:pPr>
      <w:r w:rsidRPr="00B06469">
        <w:rPr>
          <w:rFonts w:ascii="Times New Roman" w:hAnsi="Times New Roman" w:cs="Times New Roman"/>
          <w:color w:val="242424"/>
          <w:sz w:val="24"/>
          <w:szCs w:val="24"/>
        </w:rPr>
        <w:t xml:space="preserve">Доля обучающихся, систематически занимающихся физической культурой и спортом, в общей </w:t>
      </w:r>
      <w:proofErr w:type="gramStart"/>
      <w:r w:rsidRPr="00B06469">
        <w:rPr>
          <w:rFonts w:ascii="Times New Roman" w:hAnsi="Times New Roman" w:cs="Times New Roman"/>
          <w:color w:val="242424"/>
          <w:sz w:val="24"/>
          <w:szCs w:val="24"/>
        </w:rPr>
        <w:t>численности</w:t>
      </w:r>
      <w:proofErr w:type="gramEnd"/>
      <w:r w:rsidRPr="00B06469">
        <w:rPr>
          <w:rFonts w:ascii="Times New Roman" w:hAnsi="Times New Roman" w:cs="Times New Roman"/>
          <w:color w:val="242424"/>
          <w:sz w:val="24"/>
          <w:szCs w:val="24"/>
        </w:rPr>
        <w:t xml:space="preserve"> обучающихся в 2016 году (42,18%) уменьшилась по сравнению с тем же показателем за 2013-2015 годы. </w:t>
      </w:r>
    </w:p>
    <w:p w:rsidR="00FA0047" w:rsidRPr="00B06469" w:rsidRDefault="00FA0047" w:rsidP="001F0139">
      <w:pPr>
        <w:spacing w:after="0" w:line="360" w:lineRule="auto"/>
        <w:ind w:firstLine="709"/>
        <w:jc w:val="center"/>
        <w:rPr>
          <w:rFonts w:ascii="Times New Roman" w:hAnsi="Times New Roman" w:cs="Times New Roman"/>
          <w:b/>
          <w:sz w:val="24"/>
          <w:szCs w:val="24"/>
        </w:rPr>
      </w:pPr>
    </w:p>
    <w:p w:rsidR="00FA0047" w:rsidRPr="00B06469" w:rsidRDefault="00FA0047" w:rsidP="001F0139">
      <w:pPr>
        <w:spacing w:after="0" w:line="360" w:lineRule="auto"/>
        <w:contextualSpacing/>
        <w:outlineLvl w:val="2"/>
        <w:rPr>
          <w:rFonts w:ascii="Times New Roman" w:hAnsi="Times New Roman" w:cs="Times New Roman"/>
          <w:b/>
          <w:color w:val="365F91"/>
          <w:sz w:val="24"/>
          <w:szCs w:val="24"/>
        </w:rPr>
      </w:pPr>
      <w:bookmarkStart w:id="20" w:name="_Toc520894834"/>
      <w:r w:rsidRPr="00B06469">
        <w:rPr>
          <w:rFonts w:ascii="Times New Roman" w:hAnsi="Times New Roman" w:cs="Times New Roman"/>
          <w:b/>
          <w:color w:val="365F91"/>
          <w:sz w:val="24"/>
          <w:szCs w:val="24"/>
        </w:rPr>
        <w:t>Культура</w:t>
      </w:r>
      <w:bookmarkEnd w:id="20"/>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Книжный фонд муниципальных общедоступных библиотек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составляет 141 355 экземпляров, число библиотек – 13, число читателей – 5 724 человек.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муниципальном районе на 2016 год число существует 1 учреждение культурно-досугового типа. Число структурных подразделений (филиалов) учреждений культурно-досугового типа –14 (рис.1.4.17).</w:t>
      </w:r>
    </w:p>
    <w:p w:rsidR="00FA0047" w:rsidRPr="00B06469" w:rsidRDefault="00B06469" w:rsidP="001F0139">
      <w:pPr>
        <w:spacing w:after="0" w:line="360" w:lineRule="auto"/>
        <w:ind w:firstLine="567"/>
        <w:jc w:val="both"/>
        <w:rPr>
          <w:rFonts w:ascii="Times New Roman" w:hAnsi="Times New Roman" w:cs="Times New Roman"/>
          <w:sz w:val="24"/>
          <w:szCs w:val="24"/>
        </w:rPr>
      </w:pPr>
      <w:r w:rsidRPr="00B06469">
        <w:rPr>
          <w:rFonts w:ascii="Times New Roman" w:hAnsi="Times New Roman" w:cs="Times New Roman"/>
          <w:noProof/>
          <w:sz w:val="24"/>
          <w:szCs w:val="24"/>
        </w:rPr>
        <w:pict>
          <v:rect id="_x0000_s1045" style="position:absolute;left:0;text-align:left;margin-left:29.85pt;margin-top:2pt;width:407.75pt;height:36.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" fillcolor="#365f91" strokecolor="#365f91">
            <v:textbox style="mso-next-textbox:#_x0000_s1045">
              <w:txbxContent>
                <w:p w:rsidR="00C32237" w:rsidRDefault="00C32237" w:rsidP="00FA0047">
                  <w:pPr>
                    <w:spacing w:after="0" w:line="240" w:lineRule="auto"/>
                    <w:jc w:val="center"/>
                    <w:rPr>
                      <w:rFonts w:ascii="Times New Roman" w:hAnsi="Times New Roman"/>
                      <w:b/>
                      <w:bCs/>
                      <w:color w:val="FFFFFF"/>
                      <w:sz w:val="20"/>
                      <w:szCs w:val="20"/>
                    </w:rPr>
                  </w:pPr>
                  <w:r w:rsidRPr="008B6C71">
                    <w:rPr>
                      <w:rFonts w:ascii="Times New Roman" w:hAnsi="Times New Roman"/>
                      <w:b/>
                      <w:bCs/>
                      <w:color w:val="FFFFFF"/>
                      <w:sz w:val="20"/>
                      <w:szCs w:val="20"/>
                    </w:rPr>
                    <w:t xml:space="preserve">Обеспеченность населения </w:t>
                  </w:r>
                  <w:proofErr w:type="spellStart"/>
                  <w:r w:rsidRPr="008B6C71">
                    <w:rPr>
                      <w:rFonts w:ascii="Times New Roman" w:hAnsi="Times New Roman"/>
                      <w:b/>
                      <w:bCs/>
                      <w:color w:val="FFFFFF"/>
                      <w:sz w:val="20"/>
                      <w:szCs w:val="20"/>
                    </w:rPr>
                    <w:t>Камышлинского</w:t>
                  </w:r>
                  <w:proofErr w:type="spellEnd"/>
                  <w:r w:rsidRPr="008B6C71">
                    <w:rPr>
                      <w:rFonts w:ascii="Times New Roman" w:hAnsi="Times New Roman"/>
                      <w:b/>
                      <w:bCs/>
                      <w:color w:val="FFFFFF"/>
                      <w:sz w:val="20"/>
                      <w:szCs w:val="20"/>
                    </w:rPr>
                    <w:t xml:space="preserve"> района учреждениями </w:t>
                  </w:r>
                </w:p>
                <w:p w:rsidR="00C32237" w:rsidRPr="008F0D53" w:rsidRDefault="00C32237" w:rsidP="00FA0047">
                  <w:pPr>
                    <w:spacing w:after="0" w:line="240" w:lineRule="auto"/>
                    <w:jc w:val="center"/>
                    <w:rPr>
                      <w:color w:val="FFFFFF"/>
                      <w:sz w:val="20"/>
                      <w:szCs w:val="20"/>
                    </w:rPr>
                  </w:pPr>
                  <w:r w:rsidRPr="008B6C71">
                    <w:rPr>
                      <w:rFonts w:ascii="Times New Roman" w:hAnsi="Times New Roman"/>
                      <w:b/>
                      <w:bCs/>
                      <w:color w:val="FFFFFF"/>
                      <w:sz w:val="20"/>
                      <w:szCs w:val="20"/>
                    </w:rPr>
                    <w:t>культурно-досугового тип</w:t>
                  </w:r>
                  <w:r>
                    <w:rPr>
                      <w:rFonts w:ascii="Times New Roman" w:hAnsi="Times New Roman"/>
                      <w:b/>
                      <w:bCs/>
                      <w:color w:val="FFFFFF"/>
                      <w:sz w:val="20"/>
                      <w:szCs w:val="20"/>
                    </w:rPr>
                    <w:t>а</w:t>
                  </w:r>
                  <w:r w:rsidRPr="008B6C71">
                    <w:rPr>
                      <w:rFonts w:ascii="Times New Roman" w:hAnsi="Times New Roman"/>
                      <w:b/>
                      <w:bCs/>
                      <w:color w:val="FFFFFF"/>
                      <w:sz w:val="20"/>
                      <w:szCs w:val="20"/>
                    </w:rPr>
                    <w:t xml:space="preserve"> </w:t>
                  </w:r>
                  <w:proofErr w:type="gramStart"/>
                  <w:r w:rsidRPr="008B6C71">
                    <w:rPr>
                      <w:rFonts w:ascii="Times New Roman" w:hAnsi="Times New Roman"/>
                      <w:b/>
                      <w:bCs/>
                      <w:color w:val="FFFFFF"/>
                      <w:sz w:val="20"/>
                      <w:szCs w:val="20"/>
                    </w:rPr>
                    <w:t>низкая</w:t>
                  </w:r>
                  <w:proofErr w:type="gramEnd"/>
                </w:p>
              </w:txbxContent>
            </v:textbox>
          </v:rect>
        </w:pict>
      </w:r>
    </w:p>
    <w:p w:rsidR="00FA0047" w:rsidRPr="00B06469" w:rsidRDefault="00FA0047" w:rsidP="001F0139">
      <w:pPr>
        <w:spacing w:after="0" w:line="240" w:lineRule="auto"/>
        <w:jc w:val="center"/>
        <w:rPr>
          <w:rFonts w:ascii="Times New Roman" w:hAnsi="Times New Roman" w:cs="Times New Roman"/>
          <w:sz w:val="24"/>
          <w:szCs w:val="24"/>
        </w:rPr>
      </w:pPr>
      <w:bookmarkStart w:id="21" w:name="_MON_1595449726"/>
      <w:bookmarkEnd w:id="21"/>
      <w:r w:rsidRPr="00B06469">
        <w:rPr>
          <w:rFonts w:ascii="Times New Roman" w:hAnsi="Times New Roman" w:cs="Times New Roman"/>
          <w:noProof/>
          <w:sz w:val="24"/>
          <w:szCs w:val="24"/>
          <w:lang w:eastAsia="ru-RU"/>
        </w:rPr>
        <w:drawing>
          <wp:inline distT="0" distB="0" distL="0" distR="0" wp14:anchorId="3F4A3C8F" wp14:editId="1E020A80">
            <wp:extent cx="5181600" cy="3257550"/>
            <wp:effectExtent l="0" t="0" r="0" b="0"/>
            <wp:docPr id="1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jc w:val="center"/>
        <w:rPr>
          <w:rFonts w:ascii="Times New Roman" w:hAnsi="Times New Roman" w:cs="Times New Roman"/>
          <w:b/>
          <w:sz w:val="24"/>
          <w:szCs w:val="24"/>
        </w:rPr>
      </w:pPr>
      <w:r w:rsidRPr="00B06469">
        <w:rPr>
          <w:rFonts w:ascii="Times New Roman" w:eastAsia="Times New Roman" w:hAnsi="Times New Roman" w:cs="Times New Roman"/>
          <w:b/>
          <w:sz w:val="24"/>
          <w:szCs w:val="24"/>
        </w:rPr>
        <w:t xml:space="preserve">Рисунок 1.4.17 – Число учреждений культурно-досугового типа и общедоступных библиотек по муниципальным районам Самарской области (ед., </w:t>
      </w:r>
      <w:proofErr w:type="gramStart"/>
      <w:r w:rsidRPr="00B06469">
        <w:rPr>
          <w:rFonts w:ascii="Times New Roman" w:eastAsia="Times New Roman" w:hAnsi="Times New Roman" w:cs="Times New Roman"/>
          <w:b/>
          <w:sz w:val="24"/>
          <w:szCs w:val="24"/>
        </w:rPr>
        <w:t>на конец</w:t>
      </w:r>
      <w:proofErr w:type="gramEnd"/>
      <w:r w:rsidRPr="00B06469">
        <w:rPr>
          <w:rFonts w:ascii="Times New Roman" w:eastAsia="Times New Roman" w:hAnsi="Times New Roman" w:cs="Times New Roman"/>
          <w:b/>
          <w:sz w:val="24"/>
          <w:szCs w:val="24"/>
        </w:rPr>
        <w:t xml:space="preserve"> 2016 года)</w:t>
      </w:r>
    </w:p>
    <w:p w:rsidR="00FA0047" w:rsidRPr="00B06469" w:rsidRDefault="00FA0047" w:rsidP="001F0139">
      <w:pPr>
        <w:spacing w:after="0" w:line="240" w:lineRule="auto"/>
        <w:jc w:val="center"/>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Уровень фактической обеспеченности учреждениями культуры от нормативной потребности в 2016 году определен на уровне 67%.</w:t>
      </w:r>
      <w:r w:rsidRPr="00B06469">
        <w:rPr>
          <w:rFonts w:ascii="Times New Roman" w:hAnsi="Times New Roman" w:cs="Times New Roman"/>
          <w:sz w:val="24"/>
          <w:szCs w:val="24"/>
        </w:rPr>
        <w:br w:type="page"/>
      </w:r>
    </w:p>
    <w:p w:rsidR="00FA0047" w:rsidRPr="00B06469" w:rsidRDefault="00FA0047" w:rsidP="001F0139">
      <w:pPr>
        <w:suppressAutoHyphens/>
        <w:spacing w:after="0" w:line="360" w:lineRule="auto"/>
        <w:ind w:firstLine="709"/>
        <w:jc w:val="both"/>
        <w:rPr>
          <w:rFonts w:ascii="Times New Roman" w:hAnsi="Times New Roman" w:cs="Times New Roman"/>
          <w:bCs/>
          <w:kern w:val="1"/>
          <w:sz w:val="24"/>
          <w:szCs w:val="24"/>
          <w:lang w:eastAsia="hi-IN" w:bidi="hi-IN"/>
        </w:rPr>
      </w:pPr>
      <w:r w:rsidRPr="00B06469">
        <w:rPr>
          <w:rFonts w:ascii="Times New Roman" w:hAnsi="Times New Roman" w:cs="Times New Roman"/>
          <w:kern w:val="1"/>
          <w:sz w:val="24"/>
          <w:szCs w:val="24"/>
          <w:lang w:eastAsia="hi-IN" w:bidi="hi-IN"/>
        </w:rPr>
        <w:lastRenderedPageBreak/>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в 2016 году составила 41,2%, что соответствует уровню 2015 года.</w:t>
      </w:r>
      <w:r w:rsidRPr="00B06469">
        <w:rPr>
          <w:rFonts w:ascii="Times New Roman" w:hAnsi="Times New Roman" w:cs="Times New Roman"/>
          <w:bCs/>
          <w:kern w:val="1"/>
          <w:sz w:val="24"/>
          <w:szCs w:val="24"/>
          <w:lang w:eastAsia="hi-IN" w:bidi="hi-IN"/>
        </w:rPr>
        <w:t xml:space="preserve"> Проведение капитального ремонта требуется в 7 зданиях из 17.</w:t>
      </w:r>
    </w:p>
    <w:p w:rsidR="00FA0047" w:rsidRPr="00B06469" w:rsidRDefault="00FA0047" w:rsidP="001F0139">
      <w:pPr>
        <w:suppressAutoHyphens/>
        <w:spacing w:after="0" w:line="360" w:lineRule="auto"/>
        <w:ind w:firstLine="709"/>
        <w:jc w:val="both"/>
        <w:rPr>
          <w:rFonts w:ascii="Times New Roman" w:hAnsi="Times New Roman" w:cs="Times New Roman"/>
          <w:bCs/>
          <w:kern w:val="1"/>
          <w:sz w:val="24"/>
          <w:szCs w:val="24"/>
          <w:lang w:eastAsia="hi-IN" w:bidi="hi-IN"/>
        </w:rPr>
      </w:pPr>
      <w:r w:rsidRPr="00B06469">
        <w:rPr>
          <w:rFonts w:ascii="Times New Roman" w:hAnsi="Times New Roman" w:cs="Times New Roman"/>
          <w:bCs/>
          <w:kern w:val="1"/>
          <w:sz w:val="24"/>
          <w:szCs w:val="24"/>
          <w:lang w:eastAsia="hi-IN" w:bidi="hi-IN"/>
        </w:rPr>
        <w:t xml:space="preserve">На 2017 год предполагается частичный ремонт здания СДК села Русский </w:t>
      </w:r>
      <w:proofErr w:type="spellStart"/>
      <w:r w:rsidRPr="00B06469">
        <w:rPr>
          <w:rFonts w:ascii="Times New Roman" w:hAnsi="Times New Roman" w:cs="Times New Roman"/>
          <w:bCs/>
          <w:kern w:val="1"/>
          <w:sz w:val="24"/>
          <w:szCs w:val="24"/>
          <w:lang w:eastAsia="hi-IN" w:bidi="hi-IN"/>
        </w:rPr>
        <w:t>Байтуган</w:t>
      </w:r>
      <w:proofErr w:type="spellEnd"/>
      <w:r w:rsidRPr="00B06469">
        <w:rPr>
          <w:rFonts w:ascii="Times New Roman" w:hAnsi="Times New Roman" w:cs="Times New Roman"/>
          <w:bCs/>
          <w:kern w:val="1"/>
          <w:sz w:val="24"/>
          <w:szCs w:val="24"/>
          <w:lang w:eastAsia="hi-IN" w:bidi="hi-IN"/>
        </w:rPr>
        <w:t xml:space="preserve"> в рамках реализации целевой программы «Развитие и укрепление материально-технической базы учреждений культуры, осуществляющих свою деятельность в сфере культуры на территории муниципального района </w:t>
      </w:r>
      <w:proofErr w:type="spellStart"/>
      <w:r w:rsidRPr="00B06469">
        <w:rPr>
          <w:rFonts w:ascii="Times New Roman" w:hAnsi="Times New Roman" w:cs="Times New Roman"/>
          <w:bCs/>
          <w:kern w:val="1"/>
          <w:sz w:val="24"/>
          <w:szCs w:val="24"/>
          <w:lang w:eastAsia="hi-IN" w:bidi="hi-IN"/>
        </w:rPr>
        <w:t>Камышлинский</w:t>
      </w:r>
      <w:proofErr w:type="spellEnd"/>
      <w:r w:rsidRPr="00B06469">
        <w:rPr>
          <w:rFonts w:ascii="Times New Roman" w:hAnsi="Times New Roman" w:cs="Times New Roman"/>
          <w:bCs/>
          <w:kern w:val="1"/>
          <w:sz w:val="24"/>
          <w:szCs w:val="24"/>
          <w:lang w:eastAsia="hi-IN" w:bidi="hi-IN"/>
        </w:rPr>
        <w:t xml:space="preserve"> Самарской области на 2011-2018гг».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На территории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реализуется муниципальная целевая программа «Развитие и укрепление материально-технической базы учреждений культуры, осуществляющих свою деятельность в сфере культуры на территории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Самарской области на 2011-2018гг». В 2013 году в рамках мероприятий указанной целевой программы установлена автоматическая пожарная сигнализация и система оповещения людей о пожаре во всех учреждениях культуры. В районе отремонтированы и оснащены Дома культуры и клубы сел Камышла, Никиткино, Новое и Старое </w:t>
      </w:r>
      <w:proofErr w:type="spellStart"/>
      <w:r w:rsidRPr="00B06469">
        <w:rPr>
          <w:rFonts w:ascii="Times New Roman" w:hAnsi="Times New Roman" w:cs="Times New Roman"/>
          <w:sz w:val="24"/>
          <w:szCs w:val="24"/>
        </w:rPr>
        <w:t>Усманово</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Балыкла</w:t>
      </w:r>
      <w:proofErr w:type="spellEnd"/>
      <w:r w:rsidRPr="00B06469">
        <w:rPr>
          <w:rFonts w:ascii="Times New Roman" w:hAnsi="Times New Roman" w:cs="Times New Roman"/>
          <w:sz w:val="24"/>
          <w:szCs w:val="24"/>
        </w:rPr>
        <w:t xml:space="preserve">, Старое Ермаково. Оснащены одеждой сцены и новым современным светотехническим и звуковым оборудованием </w:t>
      </w:r>
      <w:proofErr w:type="spellStart"/>
      <w:r w:rsidRPr="00B06469">
        <w:rPr>
          <w:rFonts w:ascii="Times New Roman" w:hAnsi="Times New Roman" w:cs="Times New Roman"/>
          <w:sz w:val="24"/>
          <w:szCs w:val="24"/>
        </w:rPr>
        <w:t>Никиткинский</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Староусмановский</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Новоусмановский</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Староермаковский</w:t>
      </w:r>
      <w:proofErr w:type="spellEnd"/>
      <w:r w:rsidRPr="00B06469">
        <w:rPr>
          <w:rFonts w:ascii="Times New Roman" w:hAnsi="Times New Roman" w:cs="Times New Roman"/>
          <w:sz w:val="24"/>
          <w:szCs w:val="24"/>
        </w:rPr>
        <w:t xml:space="preserve"> сельские Дома культуры.</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 сравнению с 2012 годом, количество участников культурно-массовых мероприятий, проводимых муниципальными учреждениями района, на сегодня достигает 101%, доля детей, привлекаемых к участию в творческих мероприятиях, в общем числе детей 120%.</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Более 350 человек занимаются в 15 творческих коллективах и объединениях. Хореографические коллективы: «Серпантин», «Созвездие» из села Камышла, «Нежность» села Новое </w:t>
      </w:r>
      <w:proofErr w:type="spellStart"/>
      <w:r w:rsidRPr="00B06469">
        <w:rPr>
          <w:rFonts w:ascii="Times New Roman" w:hAnsi="Times New Roman" w:cs="Times New Roman"/>
          <w:sz w:val="24"/>
          <w:szCs w:val="24"/>
        </w:rPr>
        <w:t>Усманово</w:t>
      </w:r>
      <w:proofErr w:type="spellEnd"/>
      <w:r w:rsidRPr="00B06469">
        <w:rPr>
          <w:rFonts w:ascii="Times New Roman" w:hAnsi="Times New Roman" w:cs="Times New Roman"/>
          <w:sz w:val="24"/>
          <w:szCs w:val="24"/>
        </w:rPr>
        <w:t>; вокальные коллективы: «</w:t>
      </w:r>
      <w:proofErr w:type="spellStart"/>
      <w:r w:rsidRPr="00B06469">
        <w:rPr>
          <w:rFonts w:ascii="Times New Roman" w:hAnsi="Times New Roman" w:cs="Times New Roman"/>
          <w:sz w:val="24"/>
          <w:szCs w:val="24"/>
        </w:rPr>
        <w:t>Журавушка</w:t>
      </w:r>
      <w:proofErr w:type="spellEnd"/>
      <w:r w:rsidRPr="00B06469">
        <w:rPr>
          <w:rFonts w:ascii="Times New Roman" w:hAnsi="Times New Roman" w:cs="Times New Roman"/>
          <w:sz w:val="24"/>
          <w:szCs w:val="24"/>
        </w:rPr>
        <w:t xml:space="preserve">» села Степановка, «Сударушки» села Камышла, «Россиянка» села Русский </w:t>
      </w:r>
      <w:proofErr w:type="spellStart"/>
      <w:r w:rsidRPr="00B06469">
        <w:rPr>
          <w:rFonts w:ascii="Times New Roman" w:hAnsi="Times New Roman" w:cs="Times New Roman"/>
          <w:sz w:val="24"/>
          <w:szCs w:val="24"/>
        </w:rPr>
        <w:t>Байтуган</w:t>
      </w:r>
      <w:proofErr w:type="spellEnd"/>
      <w:r w:rsidRPr="00B06469">
        <w:rPr>
          <w:rFonts w:ascii="Times New Roman" w:hAnsi="Times New Roman" w:cs="Times New Roman"/>
          <w:sz w:val="24"/>
          <w:szCs w:val="24"/>
        </w:rPr>
        <w:t xml:space="preserve"> и многие другие.</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Ежегодно работники культуры и творческие коллективы района выступают на Губернском фестивале самодеятельного народного творчества «Рожденные в сердце России», поражая искренностью и чистотой мелодий, талантом, творческим мастерством, высоким профессионализмом и превосходными вокальными данными.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По всему </w:t>
      </w:r>
      <w:proofErr w:type="spellStart"/>
      <w:r w:rsidRPr="00B06469">
        <w:rPr>
          <w:rFonts w:ascii="Times New Roman" w:hAnsi="Times New Roman" w:cs="Times New Roman"/>
          <w:sz w:val="24"/>
          <w:szCs w:val="24"/>
        </w:rPr>
        <w:t>Камышлинскому</w:t>
      </w:r>
      <w:proofErr w:type="spellEnd"/>
      <w:r w:rsidRPr="00B06469">
        <w:rPr>
          <w:rFonts w:ascii="Times New Roman" w:hAnsi="Times New Roman" w:cs="Times New Roman"/>
          <w:sz w:val="24"/>
          <w:szCs w:val="24"/>
        </w:rPr>
        <w:t xml:space="preserve"> району структурное подразделение «Созвездие», или Дом творчества детей </w:t>
      </w:r>
      <w:proofErr w:type="spellStart"/>
      <w:r w:rsidRPr="00B06469">
        <w:rPr>
          <w:rFonts w:ascii="Times New Roman" w:hAnsi="Times New Roman" w:cs="Times New Roman"/>
          <w:sz w:val="24"/>
          <w:szCs w:val="24"/>
        </w:rPr>
        <w:t>Камышлинской</w:t>
      </w:r>
      <w:proofErr w:type="spellEnd"/>
      <w:r w:rsidRPr="00B06469">
        <w:rPr>
          <w:rFonts w:ascii="Times New Roman" w:hAnsi="Times New Roman" w:cs="Times New Roman"/>
          <w:sz w:val="24"/>
          <w:szCs w:val="24"/>
        </w:rPr>
        <w:t xml:space="preserve"> школы, насчитывает 650 воспитанников и 35 педагогов дополнительного образования. Только за 2016-2017 учебный год обучающиеся данного подразделения удостоены дипломов самых различных уровней </w:t>
      </w:r>
      <w:proofErr w:type="gramStart"/>
      <w:r w:rsidRPr="00B06469">
        <w:rPr>
          <w:rFonts w:ascii="Times New Roman" w:hAnsi="Times New Roman" w:cs="Times New Roman"/>
          <w:sz w:val="24"/>
          <w:szCs w:val="24"/>
        </w:rPr>
        <w:t>от</w:t>
      </w:r>
      <w:proofErr w:type="gramEnd"/>
      <w:r w:rsidRPr="00B06469">
        <w:rPr>
          <w:rFonts w:ascii="Times New Roman" w:hAnsi="Times New Roman" w:cs="Times New Roman"/>
          <w:sz w:val="24"/>
          <w:szCs w:val="24"/>
        </w:rPr>
        <w:t xml:space="preserve"> муниципального до всероссийского. Шесть творческих работ педагогов участвовали на межрегиональных научно-практических конференциях.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В целях развития социальной сферы и инфраструктуры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в последующие годы планируется провести ремонтные работы здания Дома культуры села Новое Ермаково, которое включено в областную программу и находится в листе ожидания для финансирования в 2018–2020 годах. Требуют больших финансовых вложений клубы сел Русский и Татарский </w:t>
      </w:r>
      <w:proofErr w:type="spellStart"/>
      <w:r w:rsidRPr="00B06469">
        <w:rPr>
          <w:rFonts w:ascii="Times New Roman" w:hAnsi="Times New Roman" w:cs="Times New Roman"/>
          <w:sz w:val="24"/>
          <w:szCs w:val="24"/>
        </w:rPr>
        <w:t>Байтуган</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Стапановка</w:t>
      </w:r>
      <w:proofErr w:type="spellEnd"/>
      <w:r w:rsidRPr="00B06469">
        <w:rPr>
          <w:rFonts w:ascii="Times New Roman" w:hAnsi="Times New Roman" w:cs="Times New Roman"/>
          <w:sz w:val="24"/>
          <w:szCs w:val="24"/>
        </w:rPr>
        <w:t xml:space="preserve"> и поселка Чулпан.</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2016 году в селе Татарский </w:t>
      </w:r>
      <w:proofErr w:type="spellStart"/>
      <w:r w:rsidRPr="00B06469">
        <w:rPr>
          <w:rFonts w:ascii="Times New Roman" w:hAnsi="Times New Roman" w:cs="Times New Roman"/>
          <w:sz w:val="24"/>
          <w:szCs w:val="24"/>
        </w:rPr>
        <w:t>Байтуган</w:t>
      </w:r>
      <w:proofErr w:type="spellEnd"/>
      <w:r w:rsidRPr="00B06469">
        <w:rPr>
          <w:rFonts w:ascii="Times New Roman" w:hAnsi="Times New Roman" w:cs="Times New Roman"/>
          <w:sz w:val="24"/>
          <w:szCs w:val="24"/>
        </w:rPr>
        <w:t xml:space="preserve"> был открыт музейный комплекс автора татарского букваря «</w:t>
      </w:r>
      <w:proofErr w:type="spellStart"/>
      <w:r w:rsidRPr="00B06469">
        <w:rPr>
          <w:rFonts w:ascii="Times New Roman" w:hAnsi="Times New Roman" w:cs="Times New Roman"/>
          <w:sz w:val="24"/>
          <w:szCs w:val="24"/>
        </w:rPr>
        <w:t>Алифба</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Салея</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Вагизова</w:t>
      </w:r>
      <w:proofErr w:type="spellEnd"/>
      <w:r w:rsidRPr="00B06469">
        <w:rPr>
          <w:rFonts w:ascii="Times New Roman" w:hAnsi="Times New Roman" w:cs="Times New Roman"/>
          <w:sz w:val="24"/>
          <w:szCs w:val="24"/>
        </w:rPr>
        <w:t xml:space="preserve">, которое стало возможным благодаря инициативе граждан, организационной и финансовой поддержке районной и поселенческой администраций, а также Президента республики Татарстан Рустама </w:t>
      </w:r>
      <w:proofErr w:type="spellStart"/>
      <w:r w:rsidRPr="00B06469">
        <w:rPr>
          <w:rFonts w:ascii="Times New Roman" w:hAnsi="Times New Roman" w:cs="Times New Roman"/>
          <w:sz w:val="24"/>
          <w:szCs w:val="24"/>
        </w:rPr>
        <w:t>Минниханова</w:t>
      </w:r>
      <w:proofErr w:type="spellEnd"/>
      <w:r w:rsidRPr="00B06469">
        <w:rPr>
          <w:rFonts w:ascii="Times New Roman" w:hAnsi="Times New Roman" w:cs="Times New Roman"/>
          <w:sz w:val="24"/>
          <w:szCs w:val="24"/>
        </w:rPr>
        <w:t xml:space="preserve"> и Всемирного конгресса татар.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Главной культурной достопримечательностью райцентра является татарский народный театр, который уже более 90 лет радует земляков своим творчеством. Непременным участником национальных праздников являются ансамбли «Корнай» и «Ак </w:t>
      </w:r>
      <w:proofErr w:type="spellStart"/>
      <w:r w:rsidRPr="00B06469">
        <w:rPr>
          <w:rFonts w:ascii="Times New Roman" w:hAnsi="Times New Roman" w:cs="Times New Roman"/>
          <w:sz w:val="24"/>
          <w:szCs w:val="24"/>
        </w:rPr>
        <w:t>каен</w:t>
      </w:r>
      <w:proofErr w:type="spellEnd"/>
      <w:r w:rsidRPr="00B06469">
        <w:rPr>
          <w:rFonts w:ascii="Times New Roman" w:hAnsi="Times New Roman" w:cs="Times New Roman"/>
          <w:sz w:val="24"/>
          <w:szCs w:val="24"/>
        </w:rPr>
        <w:t xml:space="preserve">».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качестве нового объекта культурного наследия можно рассмотреть усадьбу в селе Неклюдово дворянина Степана Неклюдова (родственника писателя Сергея Аксакова), получившего эти земли за заслуги в русско-турецкой войне. Неклюдово и быт его помещиков описаны в книге Аксакова «Детские годы </w:t>
      </w:r>
      <w:proofErr w:type="gramStart"/>
      <w:r w:rsidRPr="00B06469">
        <w:rPr>
          <w:rFonts w:ascii="Times New Roman" w:hAnsi="Times New Roman" w:cs="Times New Roman"/>
          <w:sz w:val="24"/>
          <w:szCs w:val="24"/>
        </w:rPr>
        <w:t>Багрова-внука</w:t>
      </w:r>
      <w:proofErr w:type="gramEnd"/>
      <w:r w:rsidRPr="00B06469">
        <w:rPr>
          <w:rFonts w:ascii="Times New Roman" w:hAnsi="Times New Roman" w:cs="Times New Roman"/>
          <w:sz w:val="24"/>
          <w:szCs w:val="24"/>
        </w:rPr>
        <w:t xml:space="preserve">». После революции от усадьбы остался практически один остов. Ее восстанавливают волонтеры. </w:t>
      </w:r>
    </w:p>
    <w:p w:rsidR="00FA0047" w:rsidRPr="00B06469" w:rsidRDefault="00FA0047" w:rsidP="001F0139">
      <w:pPr>
        <w:suppressAutoHyphens/>
        <w:spacing w:after="0" w:line="360" w:lineRule="auto"/>
        <w:ind w:firstLine="709"/>
        <w:jc w:val="both"/>
        <w:rPr>
          <w:rFonts w:ascii="Times New Roman" w:hAnsi="Times New Roman" w:cs="Times New Roman"/>
          <w:bCs/>
          <w:kern w:val="1"/>
          <w:sz w:val="24"/>
          <w:szCs w:val="24"/>
          <w:lang w:eastAsia="hi-IN" w:bidi="hi-IN"/>
        </w:rPr>
      </w:pPr>
      <w:r w:rsidRPr="00B06469">
        <w:rPr>
          <w:rFonts w:ascii="Times New Roman" w:hAnsi="Times New Roman" w:cs="Times New Roman"/>
          <w:kern w:val="1"/>
          <w:sz w:val="24"/>
          <w:szCs w:val="24"/>
          <w:lang w:eastAsia="hi-IN" w:bidi="hi-IN"/>
        </w:rPr>
        <w:t>Район представлен малым числом организаций местной прессы («</w:t>
      </w:r>
      <w:proofErr w:type="spellStart"/>
      <w:r w:rsidRPr="00B06469">
        <w:rPr>
          <w:rFonts w:ascii="Times New Roman" w:hAnsi="Times New Roman" w:cs="Times New Roman"/>
          <w:kern w:val="1"/>
          <w:sz w:val="24"/>
          <w:szCs w:val="24"/>
          <w:lang w:eastAsia="hi-IN" w:bidi="hi-IN"/>
        </w:rPr>
        <w:t>Камышлинские</w:t>
      </w:r>
      <w:proofErr w:type="spellEnd"/>
      <w:r w:rsidRPr="00B06469">
        <w:rPr>
          <w:rFonts w:ascii="Times New Roman" w:hAnsi="Times New Roman" w:cs="Times New Roman"/>
          <w:kern w:val="1"/>
          <w:sz w:val="24"/>
          <w:szCs w:val="24"/>
          <w:lang w:eastAsia="hi-IN" w:bidi="hi-IN"/>
        </w:rPr>
        <w:t xml:space="preserve"> известия») и СМИ (телеканал «НУР», вещание 3 часа в неделю).</w:t>
      </w:r>
    </w:p>
    <w:p w:rsidR="00FA0047" w:rsidRPr="00B06469" w:rsidRDefault="00FA0047" w:rsidP="001F0139">
      <w:pPr>
        <w:spacing w:after="0" w:line="360" w:lineRule="auto"/>
        <w:ind w:firstLine="709"/>
        <w:contextualSpacing/>
        <w:jc w:val="both"/>
        <w:rPr>
          <w:rFonts w:ascii="Times New Roman" w:hAnsi="Times New Roman" w:cs="Times New Roman"/>
          <w:b/>
          <w:color w:val="0070C0"/>
          <w:sz w:val="24"/>
          <w:szCs w:val="24"/>
        </w:rPr>
      </w:pPr>
    </w:p>
    <w:p w:rsidR="00FA0047" w:rsidRPr="00B06469" w:rsidRDefault="00FA0047" w:rsidP="001F0139">
      <w:pPr>
        <w:spacing w:after="0" w:line="360" w:lineRule="auto"/>
        <w:contextualSpacing/>
        <w:jc w:val="both"/>
        <w:outlineLvl w:val="2"/>
        <w:rPr>
          <w:rFonts w:ascii="Times New Roman" w:hAnsi="Times New Roman" w:cs="Times New Roman"/>
          <w:b/>
          <w:color w:val="365F91"/>
          <w:sz w:val="24"/>
          <w:szCs w:val="24"/>
        </w:rPr>
      </w:pPr>
      <w:bookmarkStart w:id="22" w:name="_Toc520894835"/>
      <w:r w:rsidRPr="00B06469">
        <w:rPr>
          <w:rFonts w:ascii="Times New Roman" w:hAnsi="Times New Roman" w:cs="Times New Roman"/>
          <w:b/>
          <w:color w:val="365F91"/>
          <w:sz w:val="24"/>
          <w:szCs w:val="24"/>
        </w:rPr>
        <w:t>Молодежная политика. Некоммерческий сектор и гражданские инициативы</w:t>
      </w:r>
      <w:bookmarkEnd w:id="22"/>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Перспективы социально-экономического развития муниципального района во многом зависят от потенциала молодежи, от её включенности в происходящие изменения и от степени её интегрированности в социальную структуру общества. Молодое поколение выступает источником трудового, творческого и предпринимательского потенциала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муниципального района, «двигателем» современных инновационных идей и нововведений, и в связи с этим администрация района уделяет особое внимание реализации соответствующей молодежной политики.</w:t>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4F598E17" wp14:editId="39ACEE09">
            <wp:extent cx="4974590" cy="2194560"/>
            <wp:effectExtent l="0" t="0" r="0" b="0"/>
            <wp:docPr id="555" name="Объект 5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A0047" w:rsidRPr="00B06469" w:rsidRDefault="00FA0047" w:rsidP="001F0139">
      <w:pPr>
        <w:spacing w:after="0" w:line="240" w:lineRule="auto"/>
        <w:jc w:val="center"/>
        <w:rPr>
          <w:rFonts w:ascii="Times New Roman" w:hAnsi="Times New Roman" w:cs="Times New Roman"/>
          <w:b/>
          <w:sz w:val="24"/>
          <w:szCs w:val="24"/>
        </w:rPr>
      </w:pPr>
      <w:r w:rsidRPr="00B06469">
        <w:rPr>
          <w:rFonts w:ascii="Times New Roman" w:eastAsia="Times New Roman" w:hAnsi="Times New Roman" w:cs="Times New Roman"/>
          <w:b/>
          <w:sz w:val="24"/>
          <w:szCs w:val="24"/>
        </w:rPr>
        <w:t xml:space="preserve">Рисунок 1.4.18 – Доля населения </w:t>
      </w:r>
      <w:proofErr w:type="spellStart"/>
      <w:r w:rsidRPr="00B06469">
        <w:rPr>
          <w:rFonts w:ascii="Times New Roman" w:eastAsia="Times New Roman" w:hAnsi="Times New Roman" w:cs="Times New Roman"/>
          <w:b/>
          <w:sz w:val="24"/>
          <w:szCs w:val="24"/>
        </w:rPr>
        <w:t>Камышлинского</w:t>
      </w:r>
      <w:proofErr w:type="spellEnd"/>
      <w:r w:rsidRPr="00B06469">
        <w:rPr>
          <w:rFonts w:ascii="Times New Roman" w:eastAsia="Times New Roman" w:hAnsi="Times New Roman" w:cs="Times New Roman"/>
          <w:b/>
          <w:sz w:val="24"/>
          <w:szCs w:val="24"/>
        </w:rPr>
        <w:t xml:space="preserve"> района Самарской области по возрастным категориям от общей численности,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Численность молодых людей (в возрасте от 14 до 29 лет), проживающих на территории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на 1 января 2017 года, составляет более 2 тыс. человек. Удельный вес молодежи в общей численности населения района составляет 19%, но совершенно очевидно, что молодёжь является реальным, социально значимым стратегическим ресурсом развития района (рис.1.4.18).</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Главная ключевая проблема – отток людей из-за отсутствия работы, доступного жилья, качества жизни, досуга и культурно-развлекательной инфраструктуры. Молодежь и среднее поколение не видит перспектив на будущее.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Основной задачей реализации молодёжной политики является создание условий для развития и реализации способностей и потенциала молодого человека не только в своих собственных интересах, но и в интересах общества и государства.</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Ключевыми направлениями деятельности администрации района является обеспечение сбалансированного решения молодёжных проблем в сфере трудоустройства, социально-правовой, социально-психологической помощи, организации досуга, гражданско-патриотического воспитания и развития деятельности детских и молодёжных объединений. Основной целью является создание возможностей для успешной социализации, самореализации, проявления и развития инновационного потенциала молодых людей, вне зависимости от их социального статуса и уровня дохода их семей.</w:t>
      </w:r>
    </w:p>
    <w:p w:rsidR="00FA0047" w:rsidRPr="00B06469" w:rsidRDefault="00FA0047" w:rsidP="001F0139">
      <w:pPr>
        <w:spacing w:after="0" w:line="360" w:lineRule="auto"/>
        <w:ind w:firstLine="709"/>
        <w:jc w:val="both"/>
        <w:rPr>
          <w:rFonts w:ascii="Times New Roman" w:hAnsi="Times New Roman" w:cs="Times New Roman"/>
          <w:sz w:val="24"/>
          <w:szCs w:val="24"/>
        </w:rPr>
      </w:pPr>
      <w:proofErr w:type="gramStart"/>
      <w:r w:rsidRPr="00B06469">
        <w:rPr>
          <w:rFonts w:ascii="Times New Roman" w:hAnsi="Times New Roman" w:cs="Times New Roman"/>
          <w:sz w:val="24"/>
          <w:szCs w:val="24"/>
        </w:rPr>
        <w:t>Для достижения данной цели предусматривается решение таких задач, как: максимальное вовлечение молодёжи в разработку и реализацию инновационных идей, в активную общественную жизнь; создание условий для патриотического и духовно-нравственного воспитания, интеллектуального, творческого и физического развития молодёжи, реализации её научно-технического и творческого потенциала; поддержка деятельности молодёжных и детских общественных объединений; поддержка молодых семей и повышение материального благополучия молодых родителей;</w:t>
      </w:r>
      <w:proofErr w:type="gramEnd"/>
      <w:r w:rsidRPr="00B06469">
        <w:rPr>
          <w:rFonts w:ascii="Times New Roman" w:hAnsi="Times New Roman" w:cs="Times New Roman"/>
          <w:sz w:val="24"/>
          <w:szCs w:val="24"/>
        </w:rPr>
        <w:t xml:space="preserve"> формирование у молодого поколения здорового образа жизни, профилактика безнадзорности, подростковой преступности, наркомании и алкоголизма; поддержка и реабилитация молодёжи, находящейся в трудной жизненной ситуации.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Решением Собрания представителей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Самарской области от 12.11.2009 года создан Молодежный Совет при Собрании представителей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Самарской области. Его цели: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объединение и привлечение молодёжи к активному участию в жизнедеятельности района, обеспечение эффективного сотрудничества представителей молодёжи с органами власти по реализации молодёжной политики;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изучение проблем молодежи в муниципальном районе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в целях своевременного реагирования на них органов местного самоуправления;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содействие деятельности Собрания представителей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в области регулирования прав и законных интересов молодежи, внесение рекомендаций по решению проблем молодежи в муниципальном районе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Цели создания группы Молодежного Совета </w:t>
      </w:r>
      <w:proofErr w:type="spellStart"/>
      <w:r w:rsidRPr="00B06469">
        <w:rPr>
          <w:rFonts w:ascii="Times New Roman" w:hAnsi="Times New Roman" w:cs="Times New Roman"/>
          <w:sz w:val="24"/>
          <w:szCs w:val="24"/>
        </w:rPr>
        <w:t>Вконтакте</w:t>
      </w:r>
      <w:proofErr w:type="spellEnd"/>
      <w:r w:rsidRPr="00B06469">
        <w:rPr>
          <w:rFonts w:ascii="Times New Roman" w:hAnsi="Times New Roman" w:cs="Times New Roman"/>
          <w:sz w:val="24"/>
          <w:szCs w:val="24"/>
        </w:rPr>
        <w:t xml:space="preserve"> (https://vk.com/ms_kamishlinskii):</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информировать о событиях, новостях, мероприятиях, проводимых для молодежи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собрать и объединить между собой активную часть молодежи общей целью развития молодежной политики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ориентировать молодежь на позитивные модели построения своей жизни;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организовать объединения молодежи по общим интересам и полезным увлечениям;</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активно, продуктивно участвовать в общественной жизни района;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реализовывать интересные, перспективные и реально полезные молодежные программы;</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принимать на рассмотрение все осмысленные предложения по улучшению жизни на «Земле </w:t>
      </w:r>
      <w:proofErr w:type="spellStart"/>
      <w:r w:rsidRPr="00B06469">
        <w:rPr>
          <w:rFonts w:ascii="Times New Roman" w:hAnsi="Times New Roman" w:cs="Times New Roman"/>
          <w:sz w:val="24"/>
          <w:szCs w:val="24"/>
        </w:rPr>
        <w:t>Камышлинской</w:t>
      </w:r>
      <w:proofErr w:type="spellEnd"/>
      <w:r w:rsidRPr="00B06469">
        <w:rPr>
          <w:rFonts w:ascii="Times New Roman" w:hAnsi="Times New Roman" w:cs="Times New Roman"/>
          <w:sz w:val="24"/>
          <w:szCs w:val="24"/>
        </w:rPr>
        <w:t>»;</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способствовать личной и профессиональной реализации каждого молодого жителя района с активной жизненной позицией;</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налаживать контакты для сотрудничества и взаимопомощи с молодежными структурами всех районов Самарской области для информационного и прочих видов сотрудничества вы можете связаться с руководителями группы или непосредственно с Председателем Молодежного совета.</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Администрация района ориентирована на развитие молодёжного самоуправления и самоорганизации, вовлечение представителей нового поколения в проекты, которые помогут им найти свое место в жизни. В частности, на поддержание молодых людей, обладающих проектным мышлением, ориентированным на долгосрочные инвестиции действует муниципальная программа «Молодежь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направленная на духовно-нравственное и патриотическое развитие </w:t>
      </w:r>
      <w:r w:rsidRPr="00B06469">
        <w:rPr>
          <w:rFonts w:ascii="Times New Roman" w:hAnsi="Times New Roman" w:cs="Times New Roman"/>
          <w:sz w:val="24"/>
          <w:szCs w:val="24"/>
        </w:rPr>
        <w:lastRenderedPageBreak/>
        <w:t xml:space="preserve">молодого поколения. В районе за последние годы создано несколько молодежных военно-патриотических клубов, и берет обороты волонтерское движение. Молодежь района в 2017 году активно принимала участие в акции «Где родился, там и пригодился». Учитель истории </w:t>
      </w:r>
      <w:proofErr w:type="spellStart"/>
      <w:r w:rsidRPr="00B06469">
        <w:rPr>
          <w:rFonts w:ascii="Times New Roman" w:hAnsi="Times New Roman" w:cs="Times New Roman"/>
          <w:sz w:val="24"/>
          <w:szCs w:val="24"/>
        </w:rPr>
        <w:t>Байтуганской</w:t>
      </w:r>
      <w:proofErr w:type="spellEnd"/>
      <w:r w:rsidRPr="00B06469">
        <w:rPr>
          <w:rFonts w:ascii="Times New Roman" w:hAnsi="Times New Roman" w:cs="Times New Roman"/>
          <w:sz w:val="24"/>
          <w:szCs w:val="24"/>
        </w:rPr>
        <w:t xml:space="preserve"> школы </w:t>
      </w:r>
      <w:proofErr w:type="spellStart"/>
      <w:r w:rsidRPr="00B06469">
        <w:rPr>
          <w:rFonts w:ascii="Times New Roman" w:hAnsi="Times New Roman" w:cs="Times New Roman"/>
          <w:sz w:val="24"/>
          <w:szCs w:val="24"/>
        </w:rPr>
        <w:t>Ильфат</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Бадретдинов</w:t>
      </w:r>
      <w:proofErr w:type="spellEnd"/>
      <w:r w:rsidRPr="00B06469">
        <w:rPr>
          <w:rFonts w:ascii="Times New Roman" w:hAnsi="Times New Roman" w:cs="Times New Roman"/>
          <w:sz w:val="24"/>
          <w:szCs w:val="24"/>
        </w:rPr>
        <w:t xml:space="preserve"> стал финалистом акции.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 на 2017 год работают 6 Профсоюзных организаций и 5 – Общественных советов; 3 – социально ориентированных некоммерческих организации; 15 – объектов религиозных организаций, из которых: 13 – Регионального духовного управления мусульман Самарской области, 2 – Самарской и </w:t>
      </w:r>
      <w:proofErr w:type="spellStart"/>
      <w:r w:rsidRPr="00B06469">
        <w:rPr>
          <w:rFonts w:ascii="Times New Roman" w:hAnsi="Times New Roman" w:cs="Times New Roman"/>
          <w:sz w:val="24"/>
          <w:szCs w:val="24"/>
        </w:rPr>
        <w:t>Сызранской</w:t>
      </w:r>
      <w:proofErr w:type="spellEnd"/>
      <w:r w:rsidRPr="00B06469">
        <w:rPr>
          <w:rFonts w:ascii="Times New Roman" w:hAnsi="Times New Roman" w:cs="Times New Roman"/>
          <w:sz w:val="24"/>
          <w:szCs w:val="24"/>
        </w:rPr>
        <w:t xml:space="preserve"> епархии Русской Православной Церкви.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 2017 году на территории района реализуется приоритетный федеральный проект «Формирование комфортной </w:t>
      </w:r>
      <w:proofErr w:type="spellStart"/>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ской</w:t>
      </w:r>
      <w:proofErr w:type="spellEnd"/>
      <w:r w:rsidRPr="00B06469">
        <w:rPr>
          <w:rFonts w:ascii="Times New Roman" w:hAnsi="Times New Roman" w:cs="Times New Roman"/>
          <w:sz w:val="24"/>
          <w:szCs w:val="24"/>
        </w:rPr>
        <w:t xml:space="preserve"> среды». Начиная с 2018 года, в течение 5 лет,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район будет принимать участие в реализации данного проекта, который предусматривает два направления: благоустройство дворовых территорий и благоустройство муниципальных территорий общего пользования и мест массового отдыха населения. В муниципальную программу, подготовленную управлением строительства, архитектуры и ЖКХ совместно с администрациями сельских поселений с учетом мнения жителей района, вошли все многоквартирные дома райцентра и ДРП-3. Кроме того, планируется благоустроить общественные пространства в трех сельских поселениях (программа предусматривает финансирование населенных пунктов, где проживает население более 1000 человек). Это территории административных центров Камышла, Новое </w:t>
      </w:r>
      <w:proofErr w:type="spellStart"/>
      <w:r w:rsidRPr="00B06469">
        <w:rPr>
          <w:rFonts w:ascii="Times New Roman" w:hAnsi="Times New Roman" w:cs="Times New Roman"/>
          <w:sz w:val="24"/>
          <w:szCs w:val="24"/>
        </w:rPr>
        <w:t>Усманово</w:t>
      </w:r>
      <w:proofErr w:type="spellEnd"/>
      <w:r w:rsidRPr="00B06469">
        <w:rPr>
          <w:rFonts w:ascii="Times New Roman" w:hAnsi="Times New Roman" w:cs="Times New Roman"/>
          <w:sz w:val="24"/>
          <w:szCs w:val="24"/>
        </w:rPr>
        <w:t xml:space="preserve"> и Старое Ермаково (площади вокруг памятников, учреждений культуры и т.д.). Приоритетными являются территории, определяющие «лицо» и внешний вид села. Данная программа подразумевает собой благоустройство именно центральной части села, где ежедневно проходит наибольший поток людей.</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Дополнительно мотивировать сельчан к совместному выполнению работ по решению вопросов местного значения призван областной проект поддержки местных инициатив граждан, </w:t>
      </w:r>
      <w:proofErr w:type="gramStart"/>
      <w:r w:rsidRPr="00B06469">
        <w:rPr>
          <w:rFonts w:ascii="Times New Roman" w:hAnsi="Times New Roman" w:cs="Times New Roman"/>
          <w:sz w:val="24"/>
          <w:szCs w:val="24"/>
        </w:rPr>
        <w:t>благодаря</w:t>
      </w:r>
      <w:proofErr w:type="gramEnd"/>
      <w:r w:rsidRPr="00B06469">
        <w:rPr>
          <w:rFonts w:ascii="Times New Roman" w:hAnsi="Times New Roman" w:cs="Times New Roman"/>
          <w:sz w:val="24"/>
          <w:szCs w:val="24"/>
        </w:rPr>
        <w:t xml:space="preserve"> которой все сельские поселения района смогут улучшить уровень благоустройства. Участие в нем — отличная возможность для населения решать именно те проблемы, которые являются наиболее важными для их территорий.</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Проект поддержки местных инициатив осуществляется за счет областного бюджета через предоставление субсидии на реализацию конкретного проекта муниципалитета на условиях </w:t>
      </w:r>
      <w:proofErr w:type="spellStart"/>
      <w:r w:rsidRPr="00B06469">
        <w:rPr>
          <w:rFonts w:ascii="Times New Roman" w:hAnsi="Times New Roman" w:cs="Times New Roman"/>
          <w:sz w:val="24"/>
          <w:szCs w:val="24"/>
        </w:rPr>
        <w:t>софинансирования</w:t>
      </w:r>
      <w:proofErr w:type="spellEnd"/>
      <w:r w:rsidRPr="00B06469">
        <w:rPr>
          <w:rFonts w:ascii="Times New Roman" w:hAnsi="Times New Roman" w:cs="Times New Roman"/>
          <w:sz w:val="24"/>
          <w:szCs w:val="24"/>
        </w:rPr>
        <w:t xml:space="preserve"> из местного бюджета, средств населения и организаций. На сегодня все шесть сельских поселений района подали заявки на участие в конкурсном отборе программы по поддержке и реализации местных инициатив. Это проекты, инициированные гражданами, по самым различным направлениям.</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Государственная программа Самарской области «Поддержка инициатив населения муниципальных образований» на 2017-2025 годы разработана правительством Самарской </w:t>
      </w:r>
      <w:r w:rsidRPr="00B06469">
        <w:rPr>
          <w:rFonts w:ascii="Times New Roman" w:hAnsi="Times New Roman" w:cs="Times New Roman"/>
          <w:sz w:val="24"/>
          <w:szCs w:val="24"/>
        </w:rPr>
        <w:lastRenderedPageBreak/>
        <w:t>области, ее цель — вовлечение жителей муниципальных образований в развитие их территорий, увеличение средств муниципалитетов, расходуемых на решение проблем, которые волнуют граждан. Поддержка общественных проектов из регионального бюджета будет осуществляться на конкурсной основе. Минимальная доля самофинансирования за счет сре</w:t>
      </w:r>
      <w:proofErr w:type="gramStart"/>
      <w:r w:rsidRPr="00B06469">
        <w:rPr>
          <w:rFonts w:ascii="Times New Roman" w:hAnsi="Times New Roman" w:cs="Times New Roman"/>
          <w:sz w:val="24"/>
          <w:szCs w:val="24"/>
        </w:rPr>
        <w:t>дств гр</w:t>
      </w:r>
      <w:proofErr w:type="gramEnd"/>
      <w:r w:rsidRPr="00B06469">
        <w:rPr>
          <w:rFonts w:ascii="Times New Roman" w:hAnsi="Times New Roman" w:cs="Times New Roman"/>
          <w:sz w:val="24"/>
          <w:szCs w:val="24"/>
        </w:rPr>
        <w:t xml:space="preserve">аждан и организаций – 7%. Также обязательно </w:t>
      </w:r>
      <w:proofErr w:type="spellStart"/>
      <w:r w:rsidRPr="00B06469">
        <w:rPr>
          <w:rFonts w:ascii="Times New Roman" w:hAnsi="Times New Roman" w:cs="Times New Roman"/>
          <w:sz w:val="24"/>
          <w:szCs w:val="24"/>
        </w:rPr>
        <w:t>софинансирование</w:t>
      </w:r>
      <w:proofErr w:type="spellEnd"/>
      <w:r w:rsidRPr="00B06469">
        <w:rPr>
          <w:rFonts w:ascii="Times New Roman" w:hAnsi="Times New Roman" w:cs="Times New Roman"/>
          <w:sz w:val="24"/>
          <w:szCs w:val="24"/>
        </w:rPr>
        <w:t xml:space="preserve"> за счет средств местного бюджета. Оно, кстати, станет одним из критериев отбора. Инициировать проекты могут общественные советы, органы самоуправления, непосредственно сами граждане.</w:t>
      </w:r>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360" w:lineRule="auto"/>
        <w:contextualSpacing/>
        <w:jc w:val="both"/>
        <w:outlineLvl w:val="2"/>
        <w:rPr>
          <w:rFonts w:ascii="Times New Roman" w:hAnsi="Times New Roman" w:cs="Times New Roman"/>
          <w:b/>
          <w:color w:val="365F91"/>
          <w:sz w:val="24"/>
          <w:szCs w:val="24"/>
        </w:rPr>
      </w:pPr>
      <w:bookmarkStart w:id="23" w:name="_Toc520894836"/>
      <w:r w:rsidRPr="00B06469">
        <w:rPr>
          <w:rFonts w:ascii="Times New Roman" w:hAnsi="Times New Roman" w:cs="Times New Roman"/>
          <w:b/>
          <w:color w:val="365F91"/>
          <w:sz w:val="24"/>
          <w:szCs w:val="24"/>
        </w:rPr>
        <w:t>Общественная безопасность</w:t>
      </w:r>
      <w:bookmarkEnd w:id="23"/>
    </w:p>
    <w:p w:rsidR="00FA0047" w:rsidRPr="00B06469" w:rsidRDefault="00FA0047" w:rsidP="001F0139">
      <w:pPr>
        <w:spacing w:after="0" w:line="360" w:lineRule="auto"/>
        <w:ind w:firstLine="709"/>
        <w:contextualSpacing/>
        <w:jc w:val="both"/>
        <w:rPr>
          <w:rFonts w:ascii="Times New Roman" w:hAnsi="Times New Roman" w:cs="Times New Roman"/>
          <w:b/>
          <w:color w:val="0070C0"/>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2016 году по </w:t>
      </w:r>
      <w:proofErr w:type="spellStart"/>
      <w:r w:rsidRPr="00B06469">
        <w:rPr>
          <w:rFonts w:ascii="Times New Roman" w:hAnsi="Times New Roman" w:cs="Times New Roman"/>
          <w:sz w:val="24"/>
          <w:szCs w:val="24"/>
        </w:rPr>
        <w:t>Камышлинскому</w:t>
      </w:r>
      <w:proofErr w:type="spellEnd"/>
      <w:r w:rsidRPr="00B06469">
        <w:rPr>
          <w:rFonts w:ascii="Times New Roman" w:hAnsi="Times New Roman" w:cs="Times New Roman"/>
          <w:sz w:val="24"/>
          <w:szCs w:val="24"/>
        </w:rPr>
        <w:t xml:space="preserve"> району зарегистрировано 129 преступлений (26 место, начиная с наибольшего значения); в пересчете на 100 тыс. населения – 1186 (12 место), что близко к среднему значению по Самарской области (рис. 1.4.19). Темп снижения количества зарегистрированных преступлений по сравнению с 2015 годом составляет 24%.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За последние 10 лет статистика правонарушений имеет устойчивую тенденцию к снижению количества зарегистрированных преступлений (рис.1.4.20). </w:t>
      </w:r>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3A349567" wp14:editId="0E546ADC">
            <wp:extent cx="4949825" cy="4431665"/>
            <wp:effectExtent l="0" t="0" r="0" b="0"/>
            <wp:docPr id="629" name="Объект 6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lastRenderedPageBreak/>
        <w:t>Рисунок 1.4.19 – Число зарегистрированных правонарушений в муниципальных районах Самарской области на 100 тыс. населения в 2016 году</w:t>
      </w:r>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240" w:lineRule="auto"/>
        <w:contextualSpacing/>
        <w:jc w:val="center"/>
        <w:rPr>
          <w:rFonts w:ascii="Times New Roman" w:hAnsi="Times New Roman" w:cs="Times New Roman"/>
          <w:b/>
          <w:color w:val="0070C0"/>
          <w:sz w:val="24"/>
          <w:szCs w:val="24"/>
        </w:rPr>
      </w:pPr>
      <w:r w:rsidRPr="00B06469">
        <w:rPr>
          <w:rFonts w:ascii="Times New Roman" w:hAnsi="Times New Roman" w:cs="Times New Roman"/>
          <w:noProof/>
          <w:sz w:val="24"/>
          <w:szCs w:val="24"/>
          <w:lang w:eastAsia="ru-RU"/>
        </w:rPr>
        <w:drawing>
          <wp:inline distT="0" distB="0" distL="0" distR="0" wp14:anchorId="5794369D" wp14:editId="6C0003D1">
            <wp:extent cx="4596130" cy="2767330"/>
            <wp:effectExtent l="0" t="0" r="0" b="0"/>
            <wp:docPr id="2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1.4.20 – Число зарегистрированных правонарушений в муниципальных районах Самарской области на 100 тыс. населения в 2016 году</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последние годы количество зарегистрированных дорожно-транспортных происшествий имеет тенденцию к снижению, показатель раскрываемости имеет устойчивую тенденцию к росту и в 2016 году составил 94,2%. </w:t>
      </w:r>
    </w:p>
    <w:p w:rsidR="00FA0047" w:rsidRPr="00B06469" w:rsidRDefault="00FA0047"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E74438" w:rsidRPr="00B06469" w:rsidRDefault="00E74438" w:rsidP="001F0139">
      <w:pPr>
        <w:pStyle w:val="a3"/>
        <w:spacing w:after="0" w:line="360" w:lineRule="auto"/>
        <w:ind w:left="0" w:firstLine="709"/>
        <w:jc w:val="both"/>
        <w:rPr>
          <w:rFonts w:ascii="Times New Roman" w:hAnsi="Times New Roman" w:cs="Times New Roman"/>
          <w:sz w:val="24"/>
          <w:szCs w:val="24"/>
        </w:rPr>
      </w:pPr>
      <w:r w:rsidRPr="00B06469">
        <w:rPr>
          <w:rFonts w:ascii="Times New Roman" w:hAnsi="Times New Roman" w:cs="Times New Roman"/>
          <w:b/>
          <w:color w:val="365F91" w:themeColor="accent1" w:themeShade="BF"/>
          <w:sz w:val="24"/>
          <w:szCs w:val="24"/>
        </w:rPr>
        <w:t xml:space="preserve">6.2. Стратегические цели, задачи и </w:t>
      </w:r>
      <w:r w:rsidR="00077D58" w:rsidRPr="00B06469">
        <w:rPr>
          <w:rFonts w:ascii="Times New Roman" w:hAnsi="Times New Roman" w:cs="Times New Roman"/>
          <w:b/>
          <w:color w:val="365F91" w:themeColor="accent1" w:themeShade="BF"/>
          <w:sz w:val="24"/>
          <w:szCs w:val="24"/>
        </w:rPr>
        <w:t>ожидаемые результаты</w:t>
      </w:r>
      <w:r w:rsidRPr="00B06469">
        <w:rPr>
          <w:rFonts w:ascii="Times New Roman" w:hAnsi="Times New Roman" w:cs="Times New Roman"/>
          <w:b/>
          <w:color w:val="365F91" w:themeColor="accent1" w:themeShade="BF"/>
          <w:sz w:val="24"/>
          <w:szCs w:val="24"/>
        </w:rPr>
        <w:t xml:space="preserve"> комплекс</w:t>
      </w:r>
      <w:r w:rsidR="002760F1" w:rsidRPr="00B06469">
        <w:rPr>
          <w:rFonts w:ascii="Times New Roman" w:hAnsi="Times New Roman" w:cs="Times New Roman"/>
          <w:b/>
          <w:color w:val="365F91" w:themeColor="accent1" w:themeShade="BF"/>
          <w:sz w:val="24"/>
          <w:szCs w:val="24"/>
        </w:rPr>
        <w:t xml:space="preserve"> </w:t>
      </w:r>
      <w:r w:rsidRPr="00B06469">
        <w:rPr>
          <w:rFonts w:ascii="Times New Roman" w:hAnsi="Times New Roman" w:cs="Times New Roman"/>
          <w:b/>
          <w:color w:val="365F91" w:themeColor="accent1" w:themeShade="BF"/>
          <w:sz w:val="24"/>
          <w:szCs w:val="24"/>
        </w:rPr>
        <w:t xml:space="preserve">направления «Формирование, совершенствование и накопление человеческого капитала». </w:t>
      </w:r>
    </w:p>
    <w:p w:rsidR="00E74438" w:rsidRPr="00B06469" w:rsidRDefault="00E7443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 xml:space="preserve">6.2.1.–Достижение современного, качественного образования в </w:t>
      </w:r>
      <w:proofErr w:type="spellStart"/>
      <w:r w:rsidRPr="00B06469">
        <w:rPr>
          <w:rFonts w:ascii="Times New Roman" w:hAnsi="Times New Roman" w:cs="Times New Roman"/>
          <w:b/>
          <w:color w:val="365F91" w:themeColor="accent1" w:themeShade="BF"/>
          <w:sz w:val="24"/>
          <w:szCs w:val="24"/>
        </w:rPr>
        <w:t>Камышлинском</w:t>
      </w:r>
      <w:proofErr w:type="spellEnd"/>
      <w:r w:rsidRPr="00B06469">
        <w:rPr>
          <w:rFonts w:ascii="Times New Roman" w:hAnsi="Times New Roman" w:cs="Times New Roman"/>
          <w:b/>
          <w:color w:val="365F91" w:themeColor="accent1" w:themeShade="BF"/>
          <w:sz w:val="24"/>
          <w:szCs w:val="24"/>
        </w:rPr>
        <w:t xml:space="preserve"> районе</w:t>
      </w:r>
    </w:p>
    <w:p w:rsidR="009A24B4" w:rsidRPr="00B06469" w:rsidRDefault="009A24B4" w:rsidP="001F0139">
      <w:pPr>
        <w:pStyle w:val="a3"/>
        <w:spacing w:after="0" w:line="360" w:lineRule="auto"/>
        <w:ind w:left="0"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Цель Достижение современного, качественного образования 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w:t>
      </w:r>
    </w:p>
    <w:p w:rsidR="00077D58" w:rsidRPr="00B06469" w:rsidRDefault="009A24B4" w:rsidP="001F0139">
      <w:pPr>
        <w:pStyle w:val="a3"/>
        <w:spacing w:after="0" w:line="360" w:lineRule="auto"/>
        <w:ind w:left="0" w:firstLine="709"/>
        <w:jc w:val="both"/>
        <w:rPr>
          <w:rFonts w:ascii="Times New Roman" w:hAnsi="Times New Roman" w:cs="Times New Roman"/>
          <w:b/>
          <w:sz w:val="24"/>
          <w:szCs w:val="24"/>
        </w:rPr>
      </w:pPr>
      <w:r w:rsidRPr="00B06469">
        <w:rPr>
          <w:rFonts w:ascii="Times New Roman" w:hAnsi="Times New Roman" w:cs="Times New Roman"/>
          <w:b/>
          <w:sz w:val="24"/>
          <w:szCs w:val="24"/>
        </w:rPr>
        <w:t>Задачи</w:t>
      </w:r>
    </w:p>
    <w:p w:rsidR="009A24B4" w:rsidRPr="00B06469" w:rsidRDefault="009A24B4" w:rsidP="001F0139">
      <w:pPr>
        <w:pStyle w:val="a3"/>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Программа строительства детских садов с учетом потребности в дошкольном образовании;</w:t>
      </w:r>
    </w:p>
    <w:p w:rsidR="009A24B4" w:rsidRPr="00B06469" w:rsidRDefault="009A24B4" w:rsidP="001F0139">
      <w:pPr>
        <w:pStyle w:val="a3"/>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Создание дополнительных мест в дошкольных учреждениях после проводимого капитального ремонта</w:t>
      </w:r>
    </w:p>
    <w:p w:rsidR="009A24B4" w:rsidRPr="00B06469" w:rsidRDefault="009A24B4" w:rsidP="001F0139">
      <w:pPr>
        <w:pStyle w:val="a3"/>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 xml:space="preserve">Разработка и реализация программы по обеспечению преемственности дошкольных образовательных учреждений и школы в условиях реализации ФГОС </w:t>
      </w:r>
      <w:proofErr w:type="gramStart"/>
      <w:r w:rsidRPr="00B06469">
        <w:rPr>
          <w:rFonts w:ascii="Times New Roman" w:hAnsi="Times New Roman" w:cs="Times New Roman"/>
          <w:sz w:val="24"/>
          <w:szCs w:val="24"/>
        </w:rPr>
        <w:t>ДО</w:t>
      </w:r>
      <w:proofErr w:type="gramEnd"/>
      <w:r w:rsidRPr="00B06469">
        <w:rPr>
          <w:rFonts w:ascii="Times New Roman" w:hAnsi="Times New Roman" w:cs="Times New Roman"/>
          <w:sz w:val="24"/>
          <w:szCs w:val="24"/>
        </w:rPr>
        <w:t xml:space="preserve"> и ФГОС НОО.</w:t>
      </w:r>
    </w:p>
    <w:p w:rsidR="009A24B4" w:rsidRPr="00B06469" w:rsidRDefault="009A24B4" w:rsidP="001F0139">
      <w:pPr>
        <w:pStyle w:val="a3"/>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Разработка Программы по работе с одаренными детьми.</w:t>
      </w:r>
    </w:p>
    <w:p w:rsidR="009A24B4" w:rsidRPr="00B06469" w:rsidRDefault="009A24B4" w:rsidP="001F0139">
      <w:pPr>
        <w:pStyle w:val="a3"/>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Психолого-медико-педагогическое сопровождение детей с особыми образовательными потребностями в условиях ДОУ (инклюзивное образование).</w:t>
      </w:r>
    </w:p>
    <w:p w:rsidR="009A24B4" w:rsidRPr="00B06469" w:rsidRDefault="009A24B4" w:rsidP="001F0139">
      <w:pPr>
        <w:pStyle w:val="a3"/>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lastRenderedPageBreak/>
        <w:t>Преобразование и обогащение развивающей предметно-пространственной среды ДОУ в соответствии с требованиями ФГОС дошкольного образования.</w:t>
      </w:r>
    </w:p>
    <w:p w:rsidR="009A24B4" w:rsidRPr="00B06469" w:rsidRDefault="009A24B4" w:rsidP="001F0139">
      <w:pPr>
        <w:pStyle w:val="a3"/>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 xml:space="preserve">Внедрение </w:t>
      </w:r>
      <w:proofErr w:type="spellStart"/>
      <w:r w:rsidRPr="00B06469">
        <w:rPr>
          <w:rFonts w:ascii="Times New Roman" w:hAnsi="Times New Roman" w:cs="Times New Roman"/>
          <w:sz w:val="24"/>
          <w:szCs w:val="24"/>
        </w:rPr>
        <w:t>учебно</w:t>
      </w:r>
      <w:proofErr w:type="spellEnd"/>
      <w:r w:rsidRPr="00B06469">
        <w:rPr>
          <w:rFonts w:ascii="Times New Roman" w:hAnsi="Times New Roman" w:cs="Times New Roman"/>
          <w:sz w:val="24"/>
          <w:szCs w:val="24"/>
        </w:rPr>
        <w:t xml:space="preserve"> </w:t>
      </w:r>
      <w:proofErr w:type="gramStart"/>
      <w:r w:rsidRPr="00B06469">
        <w:rPr>
          <w:rFonts w:ascii="Times New Roman" w:hAnsi="Times New Roman" w:cs="Times New Roman"/>
          <w:sz w:val="24"/>
          <w:szCs w:val="24"/>
        </w:rPr>
        <w:t>-м</w:t>
      </w:r>
      <w:proofErr w:type="gramEnd"/>
      <w:r w:rsidRPr="00B06469">
        <w:rPr>
          <w:rFonts w:ascii="Times New Roman" w:hAnsi="Times New Roman" w:cs="Times New Roman"/>
          <w:sz w:val="24"/>
          <w:szCs w:val="24"/>
        </w:rPr>
        <w:t>етодических комплектов по обучению татарскому языку;</w:t>
      </w:r>
    </w:p>
    <w:p w:rsidR="009A24B4" w:rsidRPr="00B06469" w:rsidRDefault="009A24B4" w:rsidP="001F0139">
      <w:pPr>
        <w:pStyle w:val="a3"/>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Открытие групп с погружением в языковую среду: татарскую, английскую;</w:t>
      </w:r>
    </w:p>
    <w:p w:rsidR="009A24B4" w:rsidRPr="00B06469" w:rsidRDefault="009A24B4" w:rsidP="001F0139">
      <w:pPr>
        <w:pStyle w:val="a3"/>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Открытие международного детского сада на базе международной школы;</w:t>
      </w:r>
    </w:p>
    <w:p w:rsidR="009A24B4" w:rsidRPr="00B06469" w:rsidRDefault="009A24B4" w:rsidP="001F0139">
      <w:pPr>
        <w:pStyle w:val="a3"/>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Открытие групп для неорганизованных детей раннего возраста с целью адаптации детей к детскому саду;</w:t>
      </w:r>
    </w:p>
    <w:p w:rsidR="009A24B4" w:rsidRPr="00B06469" w:rsidRDefault="009A24B4" w:rsidP="001F0139">
      <w:pPr>
        <w:pStyle w:val="a3"/>
        <w:spacing w:after="0" w:line="360" w:lineRule="auto"/>
        <w:ind w:left="0" w:firstLine="709"/>
        <w:jc w:val="both"/>
        <w:rPr>
          <w:rFonts w:ascii="Times New Roman" w:hAnsi="Times New Roman" w:cs="Times New Roman"/>
          <w:sz w:val="24"/>
          <w:szCs w:val="24"/>
        </w:rPr>
      </w:pPr>
    </w:p>
    <w:p w:rsidR="009A24B4" w:rsidRPr="00B06469" w:rsidRDefault="009A24B4" w:rsidP="001F0139">
      <w:pPr>
        <w:pStyle w:val="a3"/>
        <w:spacing w:after="0" w:line="360" w:lineRule="auto"/>
        <w:ind w:left="0" w:firstLine="709"/>
        <w:jc w:val="both"/>
        <w:rPr>
          <w:rFonts w:ascii="Times New Roman" w:hAnsi="Times New Roman" w:cs="Times New Roman"/>
          <w:b/>
          <w:sz w:val="24"/>
          <w:szCs w:val="24"/>
        </w:rPr>
      </w:pPr>
      <w:r w:rsidRPr="00B06469">
        <w:rPr>
          <w:rFonts w:ascii="Times New Roman" w:hAnsi="Times New Roman" w:cs="Times New Roman"/>
          <w:b/>
          <w:sz w:val="24"/>
          <w:szCs w:val="24"/>
        </w:rPr>
        <w:t>Мероприятия</w:t>
      </w:r>
    </w:p>
    <w:p w:rsidR="009A24B4" w:rsidRPr="00B06469" w:rsidRDefault="009A24B4" w:rsidP="001F0139">
      <w:pPr>
        <w:pStyle w:val="a3"/>
        <w:numPr>
          <w:ilvl w:val="0"/>
          <w:numId w:val="32"/>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организация комплекса исследований в области дошкольного детства;</w:t>
      </w:r>
    </w:p>
    <w:p w:rsidR="009A24B4" w:rsidRPr="00B06469" w:rsidRDefault="009A24B4" w:rsidP="001F0139">
      <w:pPr>
        <w:pStyle w:val="a3"/>
        <w:numPr>
          <w:ilvl w:val="0"/>
          <w:numId w:val="32"/>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 xml:space="preserve">создание </w:t>
      </w:r>
      <w:proofErr w:type="spellStart"/>
      <w:r w:rsidRPr="00B06469">
        <w:rPr>
          <w:rFonts w:ascii="Times New Roman" w:hAnsi="Times New Roman" w:cs="Times New Roman"/>
          <w:sz w:val="24"/>
          <w:szCs w:val="24"/>
        </w:rPr>
        <w:t>грантовых</w:t>
      </w:r>
      <w:proofErr w:type="spellEnd"/>
      <w:r w:rsidRPr="00B06469">
        <w:rPr>
          <w:rFonts w:ascii="Times New Roman" w:hAnsi="Times New Roman" w:cs="Times New Roman"/>
          <w:sz w:val="24"/>
          <w:szCs w:val="24"/>
        </w:rPr>
        <w:t xml:space="preserve"> программ поддержки инноваций в сфере дошкольного образования;</w:t>
      </w:r>
    </w:p>
    <w:p w:rsidR="009A24B4" w:rsidRPr="00B06469" w:rsidRDefault="009A24B4" w:rsidP="001F0139">
      <w:pPr>
        <w:pStyle w:val="a3"/>
        <w:numPr>
          <w:ilvl w:val="0"/>
          <w:numId w:val="32"/>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стимулирование негосударственного сектора дошкольного образования, развитие государственно-частного и социального партнерства;</w:t>
      </w:r>
    </w:p>
    <w:p w:rsidR="009A24B4" w:rsidRPr="00B06469" w:rsidRDefault="009A24B4" w:rsidP="001F0139">
      <w:pPr>
        <w:pStyle w:val="a3"/>
        <w:numPr>
          <w:ilvl w:val="0"/>
          <w:numId w:val="32"/>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укрепление связи организаций дошкольного образования со школами, в том числе в форме комплексов: включение детских садов в состав комплексов со школами, создание инфраструктуры дошкольного образования многоцелевого назначения;</w:t>
      </w:r>
    </w:p>
    <w:p w:rsidR="009A24B4" w:rsidRPr="00B06469" w:rsidRDefault="009A24B4" w:rsidP="001F0139">
      <w:pPr>
        <w:pStyle w:val="a3"/>
        <w:numPr>
          <w:ilvl w:val="0"/>
          <w:numId w:val="32"/>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реализация проекта "Раннее развитие", который включает:</w:t>
      </w:r>
    </w:p>
    <w:p w:rsidR="009A24B4" w:rsidRPr="00B06469" w:rsidRDefault="009A24B4" w:rsidP="001F0139">
      <w:pPr>
        <w:pStyle w:val="a3"/>
        <w:numPr>
          <w:ilvl w:val="0"/>
          <w:numId w:val="32"/>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создание системы оценки индивидуального развития дошкольников;</w:t>
      </w:r>
    </w:p>
    <w:p w:rsidR="009A24B4" w:rsidRPr="00B06469" w:rsidRDefault="009A24B4" w:rsidP="001F0139">
      <w:pPr>
        <w:pStyle w:val="a3"/>
        <w:numPr>
          <w:ilvl w:val="0"/>
          <w:numId w:val="32"/>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создание клубов раннего развития на базе дошкольных организаций, гибкие формы поддержки семей и дошкольного образования, особая поддержка детей в трудной ситуации, включая детей с ограниченными возможностями здоровья;</w:t>
      </w:r>
    </w:p>
    <w:p w:rsidR="009A24B4" w:rsidRPr="00B06469" w:rsidRDefault="009A24B4" w:rsidP="001F0139">
      <w:pPr>
        <w:pStyle w:val="a3"/>
        <w:numPr>
          <w:ilvl w:val="0"/>
          <w:numId w:val="32"/>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создание доступной системы сопровождения детей с трудностями в развитии.</w:t>
      </w:r>
    </w:p>
    <w:p w:rsidR="00077D58" w:rsidRPr="00B06469" w:rsidRDefault="00077D58" w:rsidP="001F0139">
      <w:pPr>
        <w:pStyle w:val="a3"/>
        <w:spacing w:after="0" w:line="360" w:lineRule="auto"/>
        <w:ind w:left="0" w:firstLine="709"/>
        <w:jc w:val="both"/>
        <w:rPr>
          <w:rFonts w:ascii="Times New Roman" w:hAnsi="Times New Roman" w:cs="Times New Roman"/>
          <w:b/>
          <w:sz w:val="24"/>
          <w:szCs w:val="24"/>
        </w:rPr>
      </w:pPr>
      <w:r w:rsidRPr="00B06469">
        <w:rPr>
          <w:rFonts w:ascii="Times New Roman" w:hAnsi="Times New Roman" w:cs="Times New Roman"/>
          <w:b/>
          <w:sz w:val="24"/>
          <w:szCs w:val="24"/>
        </w:rPr>
        <w:t xml:space="preserve">Программы и проекты </w:t>
      </w:r>
    </w:p>
    <w:p w:rsidR="00077D58" w:rsidRPr="00B06469" w:rsidRDefault="00077D58" w:rsidP="001F0139">
      <w:pPr>
        <w:pStyle w:val="a3"/>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 xml:space="preserve">Разработка и реализация муниципальной программы </w:t>
      </w:r>
      <w:r w:rsidRPr="00B06469">
        <w:rPr>
          <w:rFonts w:ascii="Times New Roman" w:hAnsi="Times New Roman" w:cs="Times New Roman"/>
          <w:sz w:val="24"/>
          <w:szCs w:val="24"/>
        </w:rPr>
        <w:t>«Развитие материально-технической базы и кадрового потенциала образования, здравоохранения, культуры и спорта в районе»</w:t>
      </w:r>
    </w:p>
    <w:p w:rsidR="00077D58" w:rsidRPr="00B06469" w:rsidRDefault="00077D58" w:rsidP="001F0139">
      <w:pPr>
        <w:spacing w:after="0" w:line="360" w:lineRule="auto"/>
        <w:rPr>
          <w:rFonts w:ascii="Times New Roman" w:hAnsi="Times New Roman" w:cs="Times New Roman"/>
          <w:sz w:val="24"/>
          <w:szCs w:val="24"/>
        </w:rPr>
      </w:pPr>
      <w:r w:rsidRPr="00B06469">
        <w:rPr>
          <w:rFonts w:ascii="Times New Roman" w:hAnsi="Times New Roman" w:cs="Times New Roman"/>
          <w:bCs/>
          <w:sz w:val="24"/>
          <w:szCs w:val="24"/>
          <w:u w:val="single"/>
        </w:rPr>
        <w:t xml:space="preserve">Проект </w:t>
      </w:r>
      <w:r w:rsidRPr="00B06469">
        <w:rPr>
          <w:rFonts w:ascii="Times New Roman" w:hAnsi="Times New Roman" w:cs="Times New Roman"/>
          <w:sz w:val="24"/>
          <w:szCs w:val="24"/>
        </w:rPr>
        <w:t xml:space="preserve">«Расширение спектра услуг образовательного центра с использованием цифрового дистанционного обучения» (2019-2021 </w:t>
      </w:r>
      <w:proofErr w:type="spellStart"/>
      <w:proofErr w:type="gramStart"/>
      <w:r w:rsidRPr="00B06469">
        <w:rPr>
          <w:rFonts w:ascii="Times New Roman" w:hAnsi="Times New Roman" w:cs="Times New Roman"/>
          <w:sz w:val="24"/>
          <w:szCs w:val="24"/>
        </w:rPr>
        <w:t>гг</w:t>
      </w:r>
      <w:proofErr w:type="spellEnd"/>
      <w:proofErr w:type="gramEnd"/>
      <w:r w:rsidRPr="00B06469">
        <w:rPr>
          <w:rFonts w:ascii="Times New Roman" w:hAnsi="Times New Roman" w:cs="Times New Roman"/>
          <w:sz w:val="24"/>
          <w:szCs w:val="24"/>
        </w:rPr>
        <w:t>)</w:t>
      </w:r>
    </w:p>
    <w:p w:rsidR="00077D58" w:rsidRPr="00B06469" w:rsidRDefault="00077D5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077D58" w:rsidRPr="00B06469" w:rsidRDefault="00077D5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E74438" w:rsidRPr="00B06469" w:rsidRDefault="00E7443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 xml:space="preserve">6.2.2. Обеспечение </w:t>
      </w:r>
      <w:proofErr w:type="spellStart"/>
      <w:r w:rsidRPr="00B06469">
        <w:rPr>
          <w:rFonts w:ascii="Times New Roman" w:hAnsi="Times New Roman" w:cs="Times New Roman"/>
          <w:b/>
          <w:color w:val="365F91" w:themeColor="accent1" w:themeShade="BF"/>
          <w:sz w:val="24"/>
          <w:szCs w:val="24"/>
        </w:rPr>
        <w:t>социализациии</w:t>
      </w:r>
      <w:proofErr w:type="spellEnd"/>
      <w:r w:rsidRPr="00B06469">
        <w:rPr>
          <w:rFonts w:ascii="Times New Roman" w:hAnsi="Times New Roman" w:cs="Times New Roman"/>
          <w:b/>
          <w:color w:val="365F91" w:themeColor="accent1" w:themeShade="BF"/>
          <w:sz w:val="24"/>
          <w:szCs w:val="24"/>
        </w:rPr>
        <w:t xml:space="preserve"> высоких </w:t>
      </w:r>
      <w:proofErr w:type="gramStart"/>
      <w:r w:rsidRPr="00B06469">
        <w:rPr>
          <w:rFonts w:ascii="Times New Roman" w:hAnsi="Times New Roman" w:cs="Times New Roman"/>
          <w:b/>
          <w:color w:val="365F91" w:themeColor="accent1" w:themeShade="BF"/>
          <w:sz w:val="24"/>
          <w:szCs w:val="24"/>
        </w:rPr>
        <w:t>образовательные</w:t>
      </w:r>
      <w:proofErr w:type="gramEnd"/>
      <w:r w:rsidRPr="00B06469">
        <w:rPr>
          <w:rFonts w:ascii="Times New Roman" w:hAnsi="Times New Roman" w:cs="Times New Roman"/>
          <w:b/>
          <w:color w:val="365F91" w:themeColor="accent1" w:themeShade="BF"/>
          <w:sz w:val="24"/>
          <w:szCs w:val="24"/>
        </w:rPr>
        <w:t xml:space="preserve"> достижений каждого школьника с учетом индивидуальных особенностей, развитие навыков в сфере цифровых технологий.</w:t>
      </w:r>
    </w:p>
    <w:p w:rsidR="009A24B4" w:rsidRPr="00B06469" w:rsidRDefault="009A24B4"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9A24B4" w:rsidRPr="00B06469" w:rsidRDefault="009A24B4"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sz w:val="24"/>
          <w:szCs w:val="24"/>
        </w:rPr>
        <w:t xml:space="preserve">Цель Обеспечение </w:t>
      </w:r>
      <w:proofErr w:type="spellStart"/>
      <w:r w:rsidRPr="00B06469">
        <w:rPr>
          <w:rFonts w:ascii="Times New Roman" w:hAnsi="Times New Roman" w:cs="Times New Roman"/>
          <w:sz w:val="24"/>
          <w:szCs w:val="24"/>
        </w:rPr>
        <w:t>социализациии</w:t>
      </w:r>
      <w:proofErr w:type="spellEnd"/>
      <w:r w:rsidRPr="00B06469">
        <w:rPr>
          <w:rFonts w:ascii="Times New Roman" w:hAnsi="Times New Roman" w:cs="Times New Roman"/>
          <w:sz w:val="24"/>
          <w:szCs w:val="24"/>
        </w:rPr>
        <w:t xml:space="preserve"> высоких </w:t>
      </w:r>
      <w:proofErr w:type="gramStart"/>
      <w:r w:rsidRPr="00B06469">
        <w:rPr>
          <w:rFonts w:ascii="Times New Roman" w:hAnsi="Times New Roman" w:cs="Times New Roman"/>
          <w:sz w:val="24"/>
          <w:szCs w:val="24"/>
        </w:rPr>
        <w:t>образовательные</w:t>
      </w:r>
      <w:proofErr w:type="gramEnd"/>
      <w:r w:rsidRPr="00B06469">
        <w:rPr>
          <w:rFonts w:ascii="Times New Roman" w:hAnsi="Times New Roman" w:cs="Times New Roman"/>
          <w:sz w:val="24"/>
          <w:szCs w:val="24"/>
        </w:rPr>
        <w:t xml:space="preserve"> достижений каждого школьника с учетом индивидуальных особенностей, развитие навыков в сфере цифровых технологий</w:t>
      </w:r>
      <w:r w:rsidRPr="00B06469">
        <w:rPr>
          <w:rFonts w:ascii="Times New Roman" w:hAnsi="Times New Roman" w:cs="Times New Roman"/>
          <w:b/>
          <w:color w:val="365F91" w:themeColor="accent1" w:themeShade="BF"/>
          <w:sz w:val="24"/>
          <w:szCs w:val="24"/>
        </w:rPr>
        <w:t>.</w:t>
      </w:r>
    </w:p>
    <w:p w:rsidR="009A24B4" w:rsidRPr="00B06469" w:rsidRDefault="009A24B4"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9A24B4" w:rsidRPr="00B06469" w:rsidRDefault="009A24B4" w:rsidP="001F0139">
      <w:pPr>
        <w:pStyle w:val="a3"/>
        <w:spacing w:after="0" w:line="360" w:lineRule="auto"/>
        <w:ind w:left="0"/>
        <w:rPr>
          <w:rFonts w:ascii="Times New Roman" w:hAnsi="Times New Roman" w:cs="Times New Roman"/>
          <w:bCs/>
          <w:sz w:val="24"/>
          <w:szCs w:val="24"/>
          <w:u w:val="single"/>
        </w:rPr>
      </w:pPr>
      <w:r w:rsidRPr="00B06469">
        <w:rPr>
          <w:rFonts w:ascii="Times New Roman" w:hAnsi="Times New Roman" w:cs="Times New Roman"/>
          <w:bCs/>
          <w:sz w:val="24"/>
          <w:szCs w:val="24"/>
          <w:u w:val="single"/>
        </w:rPr>
        <w:lastRenderedPageBreak/>
        <w:t>Задачи:</w:t>
      </w:r>
    </w:p>
    <w:p w:rsidR="009A24B4" w:rsidRPr="00B06469" w:rsidRDefault="009A24B4" w:rsidP="001F0139">
      <w:pPr>
        <w:pStyle w:val="a3"/>
        <w:spacing w:after="0" w:line="360" w:lineRule="auto"/>
        <w:ind w:left="0"/>
        <w:rPr>
          <w:rFonts w:ascii="Times New Roman" w:hAnsi="Times New Roman" w:cs="Times New Roman"/>
          <w:bCs/>
          <w:sz w:val="24"/>
          <w:szCs w:val="24"/>
        </w:rPr>
      </w:pPr>
      <w:r w:rsidRPr="00B06469">
        <w:rPr>
          <w:rFonts w:ascii="Times New Roman" w:hAnsi="Times New Roman" w:cs="Times New Roman"/>
          <w:bCs/>
          <w:sz w:val="24"/>
          <w:szCs w:val="24"/>
        </w:rPr>
        <w:t>Создать среду, интегрирующую современные управленческие, технологические и педагогические решения.</w:t>
      </w:r>
    </w:p>
    <w:p w:rsidR="009A24B4" w:rsidRPr="00B06469" w:rsidRDefault="009A24B4" w:rsidP="001F0139">
      <w:pPr>
        <w:pStyle w:val="a3"/>
        <w:spacing w:after="0" w:line="360" w:lineRule="auto"/>
        <w:ind w:left="0"/>
        <w:rPr>
          <w:rFonts w:ascii="Times New Roman" w:hAnsi="Times New Roman" w:cs="Times New Roman"/>
          <w:bCs/>
          <w:sz w:val="24"/>
          <w:szCs w:val="24"/>
        </w:rPr>
      </w:pPr>
      <w:r w:rsidRPr="00B06469">
        <w:rPr>
          <w:rFonts w:ascii="Times New Roman" w:hAnsi="Times New Roman" w:cs="Times New Roman"/>
          <w:bCs/>
          <w:sz w:val="24"/>
          <w:szCs w:val="24"/>
        </w:rPr>
        <w:t>Обеспечить инклюзивное образование для детей с ограниченными возможностями здоровья.</w:t>
      </w:r>
    </w:p>
    <w:p w:rsidR="009A24B4" w:rsidRPr="00B06469" w:rsidRDefault="009A24B4" w:rsidP="001F0139">
      <w:pPr>
        <w:pStyle w:val="a3"/>
        <w:spacing w:after="0" w:line="360" w:lineRule="auto"/>
        <w:ind w:left="0"/>
        <w:rPr>
          <w:rFonts w:ascii="Times New Roman" w:hAnsi="Times New Roman" w:cs="Times New Roman"/>
          <w:bCs/>
          <w:sz w:val="24"/>
          <w:szCs w:val="24"/>
        </w:rPr>
      </w:pPr>
      <w:r w:rsidRPr="00B06469">
        <w:rPr>
          <w:rFonts w:ascii="Times New Roman" w:hAnsi="Times New Roman" w:cs="Times New Roman"/>
          <w:bCs/>
          <w:sz w:val="24"/>
          <w:szCs w:val="24"/>
        </w:rPr>
        <w:t>Расширить возможности семей, местного сообщества, бизнеса для участия в образовательном процессе, оценке качества образования и управлении школами.</w:t>
      </w:r>
    </w:p>
    <w:p w:rsidR="009A24B4" w:rsidRPr="00B06469" w:rsidRDefault="009A24B4" w:rsidP="001F0139">
      <w:pPr>
        <w:pStyle w:val="a3"/>
        <w:spacing w:after="0" w:line="360" w:lineRule="auto"/>
        <w:ind w:left="0"/>
        <w:rPr>
          <w:rFonts w:ascii="Times New Roman" w:hAnsi="Times New Roman" w:cs="Times New Roman"/>
          <w:bCs/>
          <w:sz w:val="24"/>
          <w:szCs w:val="24"/>
        </w:rPr>
      </w:pPr>
      <w:r w:rsidRPr="00B06469">
        <w:rPr>
          <w:rFonts w:ascii="Times New Roman" w:hAnsi="Times New Roman" w:cs="Times New Roman"/>
          <w:bCs/>
          <w:sz w:val="24"/>
          <w:szCs w:val="24"/>
        </w:rPr>
        <w:t xml:space="preserve">Обеспечить высокий уровень индивидуализации образования и академической </w:t>
      </w:r>
      <w:proofErr w:type="gramStart"/>
      <w:r w:rsidRPr="00B06469">
        <w:rPr>
          <w:rFonts w:ascii="Times New Roman" w:hAnsi="Times New Roman" w:cs="Times New Roman"/>
          <w:bCs/>
          <w:sz w:val="24"/>
          <w:szCs w:val="24"/>
        </w:rPr>
        <w:t>мобильности</w:t>
      </w:r>
      <w:proofErr w:type="gramEnd"/>
      <w:r w:rsidRPr="00B06469">
        <w:rPr>
          <w:rFonts w:ascii="Times New Roman" w:hAnsi="Times New Roman" w:cs="Times New Roman"/>
          <w:bCs/>
          <w:sz w:val="24"/>
          <w:szCs w:val="24"/>
        </w:rPr>
        <w:t xml:space="preserve"> обучающихся за счет развития современных форм обучения, включая профильное обучение, за счет интеграции общего и дополнительного образования.</w:t>
      </w:r>
    </w:p>
    <w:p w:rsidR="00077D58" w:rsidRPr="00B06469" w:rsidRDefault="00077D58" w:rsidP="001F0139">
      <w:pPr>
        <w:pStyle w:val="a3"/>
        <w:spacing w:after="0" w:line="360" w:lineRule="auto"/>
        <w:ind w:left="0"/>
        <w:rPr>
          <w:rFonts w:ascii="Times New Roman" w:hAnsi="Times New Roman" w:cs="Times New Roman"/>
          <w:bCs/>
          <w:sz w:val="24"/>
          <w:szCs w:val="24"/>
        </w:rPr>
      </w:pPr>
    </w:p>
    <w:p w:rsidR="009A24B4" w:rsidRPr="00B06469" w:rsidRDefault="009A24B4" w:rsidP="001F0139">
      <w:pPr>
        <w:pStyle w:val="a3"/>
        <w:spacing w:after="0" w:line="360" w:lineRule="auto"/>
        <w:ind w:left="0"/>
        <w:rPr>
          <w:rFonts w:ascii="Times New Roman" w:hAnsi="Times New Roman" w:cs="Times New Roman"/>
          <w:bCs/>
          <w:sz w:val="24"/>
          <w:szCs w:val="24"/>
        </w:rPr>
      </w:pPr>
      <w:r w:rsidRPr="00B06469">
        <w:rPr>
          <w:rFonts w:ascii="Times New Roman" w:hAnsi="Times New Roman" w:cs="Times New Roman"/>
          <w:bCs/>
          <w:sz w:val="24"/>
          <w:szCs w:val="24"/>
        </w:rPr>
        <w:t>Мероприятия</w:t>
      </w:r>
      <w:bookmarkStart w:id="24" w:name="bookmark28"/>
      <w:r w:rsidRPr="00B06469">
        <w:rPr>
          <w:rFonts w:ascii="Times New Roman" w:hAnsi="Times New Roman" w:cs="Times New Roman"/>
          <w:bCs/>
          <w:sz w:val="24"/>
          <w:szCs w:val="24"/>
        </w:rPr>
        <w:t>:</w:t>
      </w:r>
      <w:bookmarkEnd w:id="24"/>
    </w:p>
    <w:p w:rsidR="009A24B4" w:rsidRPr="00B06469" w:rsidRDefault="009A24B4" w:rsidP="001F0139">
      <w:pPr>
        <w:pStyle w:val="a3"/>
        <w:numPr>
          <w:ilvl w:val="0"/>
          <w:numId w:val="34"/>
        </w:numPr>
        <w:spacing w:after="0" w:line="360" w:lineRule="auto"/>
        <w:ind w:left="0"/>
        <w:jc w:val="both"/>
        <w:rPr>
          <w:rFonts w:ascii="Times New Roman" w:hAnsi="Times New Roman" w:cs="Times New Roman"/>
          <w:bCs/>
          <w:sz w:val="24"/>
          <w:szCs w:val="24"/>
        </w:rPr>
      </w:pPr>
      <w:r w:rsidRPr="00B06469">
        <w:rPr>
          <w:rFonts w:ascii="Times New Roman" w:hAnsi="Times New Roman" w:cs="Times New Roman"/>
          <w:bCs/>
          <w:sz w:val="24"/>
          <w:szCs w:val="24"/>
        </w:rPr>
        <w:t>программа строительства и реконструкции новых школьных зданий;</w:t>
      </w:r>
    </w:p>
    <w:p w:rsidR="009A24B4" w:rsidRPr="00B06469" w:rsidRDefault="009A24B4" w:rsidP="001F0139">
      <w:pPr>
        <w:pStyle w:val="a3"/>
        <w:numPr>
          <w:ilvl w:val="0"/>
          <w:numId w:val="34"/>
        </w:numPr>
        <w:spacing w:after="0" w:line="360" w:lineRule="auto"/>
        <w:ind w:left="0"/>
        <w:jc w:val="both"/>
        <w:rPr>
          <w:rFonts w:ascii="Times New Roman" w:hAnsi="Times New Roman" w:cs="Times New Roman"/>
          <w:bCs/>
          <w:sz w:val="24"/>
          <w:szCs w:val="24"/>
        </w:rPr>
      </w:pPr>
      <w:proofErr w:type="spellStart"/>
      <w:r w:rsidRPr="00B06469">
        <w:rPr>
          <w:rFonts w:ascii="Times New Roman" w:hAnsi="Times New Roman" w:cs="Times New Roman"/>
          <w:bCs/>
          <w:sz w:val="24"/>
          <w:szCs w:val="24"/>
        </w:rPr>
        <w:t>грантовые</w:t>
      </w:r>
      <w:proofErr w:type="spellEnd"/>
      <w:r w:rsidRPr="00B06469">
        <w:rPr>
          <w:rFonts w:ascii="Times New Roman" w:hAnsi="Times New Roman" w:cs="Times New Roman"/>
          <w:bCs/>
          <w:sz w:val="24"/>
          <w:szCs w:val="24"/>
        </w:rPr>
        <w:t xml:space="preserve"> программы поддержки инноваций;</w:t>
      </w:r>
    </w:p>
    <w:p w:rsidR="009A24B4" w:rsidRPr="00B06469" w:rsidRDefault="009A24B4" w:rsidP="001F0139">
      <w:pPr>
        <w:pStyle w:val="a3"/>
        <w:numPr>
          <w:ilvl w:val="0"/>
          <w:numId w:val="34"/>
        </w:numPr>
        <w:spacing w:after="0" w:line="360" w:lineRule="auto"/>
        <w:ind w:left="0"/>
        <w:jc w:val="both"/>
        <w:rPr>
          <w:rFonts w:ascii="Times New Roman" w:hAnsi="Times New Roman" w:cs="Times New Roman"/>
          <w:bCs/>
          <w:sz w:val="24"/>
          <w:szCs w:val="24"/>
        </w:rPr>
      </w:pPr>
      <w:r w:rsidRPr="00B06469">
        <w:rPr>
          <w:rFonts w:ascii="Times New Roman" w:hAnsi="Times New Roman" w:cs="Times New Roman"/>
          <w:bCs/>
          <w:sz w:val="24"/>
          <w:szCs w:val="24"/>
        </w:rPr>
        <w:t>районная программа достижения лидерства в образовании в сфере математики и информационных технологий;</w:t>
      </w:r>
    </w:p>
    <w:p w:rsidR="009A24B4" w:rsidRPr="00B06469" w:rsidRDefault="009A24B4" w:rsidP="001F0139">
      <w:pPr>
        <w:pStyle w:val="a3"/>
        <w:numPr>
          <w:ilvl w:val="0"/>
          <w:numId w:val="34"/>
        </w:numPr>
        <w:spacing w:after="0" w:line="360" w:lineRule="auto"/>
        <w:ind w:left="0"/>
        <w:jc w:val="both"/>
        <w:rPr>
          <w:rFonts w:ascii="Times New Roman" w:hAnsi="Times New Roman" w:cs="Times New Roman"/>
          <w:bCs/>
          <w:sz w:val="24"/>
          <w:szCs w:val="24"/>
        </w:rPr>
      </w:pPr>
      <w:r w:rsidRPr="00B06469">
        <w:rPr>
          <w:rFonts w:ascii="Times New Roman" w:hAnsi="Times New Roman" w:cs="Times New Roman"/>
          <w:bCs/>
          <w:sz w:val="24"/>
          <w:szCs w:val="24"/>
        </w:rPr>
        <w:t>нормативное стимулирование повышения самостоятельности образовательных организаций;</w:t>
      </w:r>
    </w:p>
    <w:p w:rsidR="009A24B4" w:rsidRPr="00B06469" w:rsidRDefault="009A24B4" w:rsidP="001F0139">
      <w:pPr>
        <w:pStyle w:val="a3"/>
        <w:numPr>
          <w:ilvl w:val="0"/>
          <w:numId w:val="34"/>
        </w:numPr>
        <w:spacing w:after="0" w:line="360" w:lineRule="auto"/>
        <w:ind w:left="0"/>
        <w:jc w:val="both"/>
        <w:rPr>
          <w:rFonts w:ascii="Times New Roman" w:hAnsi="Times New Roman" w:cs="Times New Roman"/>
          <w:bCs/>
          <w:sz w:val="24"/>
          <w:szCs w:val="24"/>
        </w:rPr>
      </w:pPr>
      <w:r w:rsidRPr="00B06469">
        <w:rPr>
          <w:rFonts w:ascii="Times New Roman" w:hAnsi="Times New Roman" w:cs="Times New Roman"/>
          <w:bCs/>
          <w:sz w:val="24"/>
          <w:szCs w:val="24"/>
        </w:rPr>
        <w:t>нормативное стимулирование расширения участия родителей в образовательном процессе и развитии образования;</w:t>
      </w:r>
    </w:p>
    <w:p w:rsidR="009A24B4" w:rsidRPr="00B06469" w:rsidRDefault="009A24B4" w:rsidP="001F0139">
      <w:pPr>
        <w:pStyle w:val="a3"/>
        <w:numPr>
          <w:ilvl w:val="0"/>
          <w:numId w:val="34"/>
        </w:numPr>
        <w:spacing w:after="0" w:line="360" w:lineRule="auto"/>
        <w:ind w:left="0"/>
        <w:jc w:val="both"/>
        <w:rPr>
          <w:rFonts w:ascii="Times New Roman" w:hAnsi="Times New Roman" w:cs="Times New Roman"/>
          <w:bCs/>
          <w:sz w:val="24"/>
          <w:szCs w:val="24"/>
        </w:rPr>
      </w:pPr>
      <w:r w:rsidRPr="00B06469">
        <w:rPr>
          <w:rFonts w:ascii="Times New Roman" w:hAnsi="Times New Roman" w:cs="Times New Roman"/>
          <w:bCs/>
          <w:sz w:val="24"/>
          <w:szCs w:val="24"/>
        </w:rPr>
        <w:t>программа выявления, развития и сопровождения талантливых детей и молодежи;</w:t>
      </w:r>
    </w:p>
    <w:p w:rsidR="009A24B4" w:rsidRPr="00B06469" w:rsidRDefault="009A24B4" w:rsidP="001F0139">
      <w:pPr>
        <w:pStyle w:val="a3"/>
        <w:numPr>
          <w:ilvl w:val="0"/>
          <w:numId w:val="34"/>
        </w:numPr>
        <w:spacing w:after="0" w:line="360" w:lineRule="auto"/>
        <w:ind w:left="0"/>
        <w:jc w:val="both"/>
        <w:rPr>
          <w:rFonts w:ascii="Times New Roman" w:hAnsi="Times New Roman" w:cs="Times New Roman"/>
          <w:bCs/>
          <w:sz w:val="24"/>
          <w:szCs w:val="24"/>
        </w:rPr>
      </w:pPr>
      <w:r w:rsidRPr="00B06469">
        <w:rPr>
          <w:rFonts w:ascii="Times New Roman" w:hAnsi="Times New Roman" w:cs="Times New Roman"/>
          <w:bCs/>
          <w:sz w:val="24"/>
          <w:szCs w:val="24"/>
        </w:rPr>
        <w:t>поддержка культуры двуязычия и поликультурного образования на уровне начального общего, основного общего и среднего общего образования.</w:t>
      </w:r>
    </w:p>
    <w:p w:rsidR="00A65CD4" w:rsidRPr="00B06469" w:rsidRDefault="00A65CD4" w:rsidP="001F0139">
      <w:pPr>
        <w:pStyle w:val="a8"/>
        <w:numPr>
          <w:ilvl w:val="0"/>
          <w:numId w:val="34"/>
        </w:numPr>
        <w:ind w:left="0"/>
        <w:rPr>
          <w:sz w:val="24"/>
          <w:szCs w:val="24"/>
        </w:rPr>
      </w:pPr>
      <w:r w:rsidRPr="00B06469">
        <w:rPr>
          <w:sz w:val="24"/>
          <w:szCs w:val="24"/>
        </w:rPr>
        <w:t xml:space="preserve">строительство образовательного комплекса основного и профессионального образования в селе Камышла муниципального района </w:t>
      </w:r>
      <w:proofErr w:type="spellStart"/>
      <w:r w:rsidRPr="00B06469">
        <w:rPr>
          <w:sz w:val="24"/>
          <w:szCs w:val="24"/>
        </w:rPr>
        <w:t>Камышлинский</w:t>
      </w:r>
      <w:proofErr w:type="spellEnd"/>
      <w:r w:rsidRPr="00B06469">
        <w:rPr>
          <w:sz w:val="24"/>
          <w:szCs w:val="24"/>
        </w:rPr>
        <w:t>;</w:t>
      </w:r>
    </w:p>
    <w:p w:rsidR="009A24B4" w:rsidRPr="00B06469" w:rsidRDefault="009A24B4"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Проекты</w:t>
      </w:r>
    </w:p>
    <w:p w:rsidR="00077D58" w:rsidRPr="00B06469" w:rsidRDefault="00077D58" w:rsidP="001F0139">
      <w:pPr>
        <w:spacing w:after="0" w:line="360" w:lineRule="auto"/>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«Создание детской школы искусств» (2019-2022 </w:t>
      </w:r>
      <w:proofErr w:type="spellStart"/>
      <w:proofErr w:type="gramStart"/>
      <w:r w:rsidRPr="00B06469">
        <w:rPr>
          <w:rFonts w:ascii="Times New Roman" w:hAnsi="Times New Roman" w:cs="Times New Roman"/>
          <w:sz w:val="24"/>
          <w:szCs w:val="24"/>
        </w:rPr>
        <w:t>гг</w:t>
      </w:r>
      <w:proofErr w:type="spellEnd"/>
      <w:proofErr w:type="gramEnd"/>
      <w:r w:rsidRPr="00B06469">
        <w:rPr>
          <w:rFonts w:ascii="Times New Roman" w:hAnsi="Times New Roman" w:cs="Times New Roman"/>
          <w:sz w:val="24"/>
          <w:szCs w:val="24"/>
        </w:rPr>
        <w:t>)</w:t>
      </w:r>
    </w:p>
    <w:p w:rsidR="00077D58" w:rsidRPr="00B06469" w:rsidRDefault="00077D5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337AC4" w:rsidRPr="00B06469" w:rsidRDefault="00E7443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6.2.</w:t>
      </w:r>
      <w:r w:rsidR="00337AC4" w:rsidRPr="00B06469">
        <w:rPr>
          <w:rFonts w:ascii="Times New Roman" w:hAnsi="Times New Roman" w:cs="Times New Roman"/>
          <w:b/>
          <w:color w:val="365F91" w:themeColor="accent1" w:themeShade="BF"/>
          <w:sz w:val="24"/>
          <w:szCs w:val="24"/>
        </w:rPr>
        <w:t xml:space="preserve"> 3 Развитие кадрового потенциала и инфраструктуры</w:t>
      </w:r>
      <w:r w:rsidR="002760F1" w:rsidRPr="00B06469">
        <w:rPr>
          <w:rFonts w:ascii="Times New Roman" w:hAnsi="Times New Roman" w:cs="Times New Roman"/>
          <w:b/>
          <w:color w:val="365F91" w:themeColor="accent1" w:themeShade="BF"/>
          <w:sz w:val="24"/>
          <w:szCs w:val="24"/>
        </w:rPr>
        <w:t xml:space="preserve"> </w:t>
      </w:r>
      <w:r w:rsidR="00337AC4" w:rsidRPr="00B06469">
        <w:rPr>
          <w:rFonts w:ascii="Times New Roman" w:hAnsi="Times New Roman" w:cs="Times New Roman"/>
          <w:b/>
          <w:color w:val="365F91" w:themeColor="accent1" w:themeShade="BF"/>
          <w:sz w:val="24"/>
          <w:szCs w:val="24"/>
        </w:rPr>
        <w:t>системы образования, здравоохранения культуры и спорта в районе</w:t>
      </w:r>
    </w:p>
    <w:p w:rsidR="009A24B4" w:rsidRPr="00B06469" w:rsidRDefault="009A24B4"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6C73B0" w:rsidRPr="00B06469" w:rsidRDefault="006C73B0"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Мероприятия</w:t>
      </w:r>
    </w:p>
    <w:p w:rsidR="006C73B0" w:rsidRPr="00B06469" w:rsidRDefault="006C73B0" w:rsidP="001F0139">
      <w:pPr>
        <w:spacing w:after="0" w:line="360" w:lineRule="auto"/>
        <w:rPr>
          <w:rFonts w:ascii="Times New Roman" w:hAnsi="Times New Roman" w:cs="Times New Roman"/>
          <w:bCs/>
          <w:sz w:val="24"/>
          <w:szCs w:val="24"/>
        </w:rPr>
      </w:pPr>
      <w:r w:rsidRPr="00B06469">
        <w:rPr>
          <w:rFonts w:ascii="Times New Roman" w:hAnsi="Times New Roman" w:cs="Times New Roman"/>
          <w:bCs/>
          <w:sz w:val="24"/>
          <w:szCs w:val="24"/>
        </w:rPr>
        <w:t>строительство объектов сферы образования, соответствующих современным стандартам;</w:t>
      </w:r>
    </w:p>
    <w:p w:rsidR="006C73B0" w:rsidRPr="00B06469" w:rsidRDefault="006C73B0" w:rsidP="001F0139">
      <w:pPr>
        <w:spacing w:after="0" w:line="360" w:lineRule="auto"/>
        <w:rPr>
          <w:rFonts w:ascii="Times New Roman" w:hAnsi="Times New Roman" w:cs="Times New Roman"/>
          <w:bCs/>
          <w:sz w:val="24"/>
          <w:szCs w:val="24"/>
        </w:rPr>
      </w:pPr>
      <w:r w:rsidRPr="00B06469">
        <w:rPr>
          <w:rFonts w:ascii="Times New Roman" w:hAnsi="Times New Roman" w:cs="Times New Roman"/>
          <w:bCs/>
          <w:sz w:val="24"/>
          <w:szCs w:val="24"/>
        </w:rPr>
        <w:t>создание единого образовательного пространства, ориентированного на индивидуализацию профессионального образования;</w:t>
      </w:r>
    </w:p>
    <w:p w:rsidR="006C73B0" w:rsidRPr="00B06469" w:rsidRDefault="006C73B0" w:rsidP="001F0139">
      <w:pPr>
        <w:spacing w:after="0" w:line="360" w:lineRule="auto"/>
        <w:rPr>
          <w:rFonts w:ascii="Times New Roman" w:hAnsi="Times New Roman" w:cs="Times New Roman"/>
          <w:bCs/>
          <w:sz w:val="24"/>
          <w:szCs w:val="24"/>
        </w:rPr>
      </w:pPr>
      <w:r w:rsidRPr="00B06469">
        <w:rPr>
          <w:rFonts w:ascii="Times New Roman" w:hAnsi="Times New Roman" w:cs="Times New Roman"/>
          <w:bCs/>
          <w:sz w:val="24"/>
          <w:szCs w:val="24"/>
        </w:rPr>
        <w:lastRenderedPageBreak/>
        <w:t xml:space="preserve">создание условий для самообразования и всестороннего развития </w:t>
      </w:r>
      <w:proofErr w:type="spellStart"/>
      <w:r w:rsidRPr="00B06469">
        <w:rPr>
          <w:rFonts w:ascii="Times New Roman" w:hAnsi="Times New Roman" w:cs="Times New Roman"/>
          <w:bCs/>
          <w:sz w:val="24"/>
          <w:szCs w:val="24"/>
        </w:rPr>
        <w:t>личности</w:t>
      </w:r>
      <w:proofErr w:type="gramStart"/>
      <w:r w:rsidRPr="00B06469">
        <w:rPr>
          <w:rFonts w:ascii="Times New Roman" w:hAnsi="Times New Roman" w:cs="Times New Roman"/>
          <w:bCs/>
          <w:sz w:val="24"/>
          <w:szCs w:val="24"/>
        </w:rPr>
        <w:t>.с</w:t>
      </w:r>
      <w:proofErr w:type="gramEnd"/>
      <w:r w:rsidRPr="00B06469">
        <w:rPr>
          <w:rFonts w:ascii="Times New Roman" w:hAnsi="Times New Roman" w:cs="Times New Roman"/>
          <w:bCs/>
          <w:sz w:val="24"/>
          <w:szCs w:val="24"/>
        </w:rPr>
        <w:t>троительство</w:t>
      </w:r>
      <w:proofErr w:type="spellEnd"/>
      <w:r w:rsidRPr="00B06469">
        <w:rPr>
          <w:rFonts w:ascii="Times New Roman" w:hAnsi="Times New Roman" w:cs="Times New Roman"/>
          <w:bCs/>
          <w:sz w:val="24"/>
          <w:szCs w:val="24"/>
        </w:rPr>
        <w:t xml:space="preserve"> центра компетенций по рабочим профессиям с современными учебно-тренировочными полигонами.</w:t>
      </w:r>
    </w:p>
    <w:p w:rsidR="006C73B0" w:rsidRPr="00B06469" w:rsidRDefault="006C73B0" w:rsidP="001F0139">
      <w:pPr>
        <w:spacing w:after="0" w:line="360" w:lineRule="auto"/>
        <w:rPr>
          <w:rFonts w:ascii="Times New Roman" w:hAnsi="Times New Roman" w:cs="Times New Roman"/>
          <w:b/>
          <w:bCs/>
          <w:sz w:val="24"/>
          <w:szCs w:val="24"/>
        </w:rPr>
      </w:pPr>
      <w:r w:rsidRPr="00B06469">
        <w:rPr>
          <w:rFonts w:ascii="Times New Roman" w:hAnsi="Times New Roman" w:cs="Times New Roman"/>
          <w:b/>
          <w:bCs/>
          <w:sz w:val="24"/>
          <w:szCs w:val="24"/>
        </w:rPr>
        <w:t xml:space="preserve">Проекты и программы </w:t>
      </w:r>
    </w:p>
    <w:p w:rsidR="00077D58" w:rsidRPr="00B06469" w:rsidRDefault="00077D58" w:rsidP="001F0139">
      <w:pPr>
        <w:pStyle w:val="a3"/>
        <w:numPr>
          <w:ilvl w:val="0"/>
          <w:numId w:val="27"/>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 xml:space="preserve">Разработка и реализация муниципальной программы </w:t>
      </w:r>
      <w:r w:rsidRPr="00B06469">
        <w:rPr>
          <w:rFonts w:ascii="Times New Roman" w:hAnsi="Times New Roman" w:cs="Times New Roman"/>
          <w:sz w:val="24"/>
          <w:szCs w:val="24"/>
        </w:rPr>
        <w:t>«Развитие материально-технической базы и кадрового потенциала образования, здравоохранения, культуры и спорта в районе»</w:t>
      </w:r>
    </w:p>
    <w:p w:rsidR="00077D58" w:rsidRPr="00B06469" w:rsidRDefault="00077D5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E74438" w:rsidRPr="00B06469" w:rsidRDefault="00E7443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6.2.4.Сохранение здоровья и продление долголетия</w:t>
      </w:r>
    </w:p>
    <w:p w:rsidR="00A478B9" w:rsidRPr="00B06469" w:rsidRDefault="00A478B9" w:rsidP="001F0139">
      <w:pPr>
        <w:pStyle w:val="a3"/>
        <w:spacing w:after="0" w:line="360" w:lineRule="auto"/>
        <w:ind w:left="0" w:firstLine="709"/>
        <w:jc w:val="both"/>
        <w:rPr>
          <w:rFonts w:ascii="Times New Roman" w:hAnsi="Times New Roman" w:cs="Times New Roman"/>
          <w:b/>
          <w:sz w:val="24"/>
          <w:szCs w:val="24"/>
        </w:rPr>
      </w:pPr>
      <w:r w:rsidRPr="00B06469">
        <w:rPr>
          <w:rFonts w:ascii="Times New Roman" w:hAnsi="Times New Roman" w:cs="Times New Roman"/>
          <w:b/>
          <w:sz w:val="24"/>
          <w:szCs w:val="24"/>
        </w:rPr>
        <w:t>Задачи</w:t>
      </w:r>
    </w:p>
    <w:p w:rsidR="00A478B9" w:rsidRPr="00B06469" w:rsidRDefault="00A478B9" w:rsidP="001F0139">
      <w:pPr>
        <w:pStyle w:val="a3"/>
        <w:numPr>
          <w:ilvl w:val="0"/>
          <w:numId w:val="37"/>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Повысить мотивацию работодателей к сохранению здоровья работников, созданию условий труда, направленных на предупреждение развития профессиональных и профессионально обусловленных заболеваний.</w:t>
      </w:r>
    </w:p>
    <w:p w:rsidR="00A478B9" w:rsidRPr="00B06469" w:rsidRDefault="00A478B9" w:rsidP="001F0139">
      <w:pPr>
        <w:pStyle w:val="a3"/>
        <w:numPr>
          <w:ilvl w:val="0"/>
          <w:numId w:val="37"/>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Сформировать модель ведения здорового образа жизни, создание условий для сохранения здоровья людей.</w:t>
      </w:r>
    </w:p>
    <w:p w:rsidR="00A478B9" w:rsidRPr="00B06469" w:rsidRDefault="00A478B9" w:rsidP="001F0139">
      <w:pPr>
        <w:pStyle w:val="a3"/>
        <w:numPr>
          <w:ilvl w:val="0"/>
          <w:numId w:val="37"/>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 xml:space="preserve">Просвещение и информирование населения, в том числе детей и молодежи, о правилах здорового образа жизни, о последствиях употребления табака и злоупотребления алкоголем, включая разработку, осуществление и развитие информационных коммуникативных компаний и </w:t>
      </w:r>
      <w:proofErr w:type="spellStart"/>
      <w:r w:rsidRPr="00B06469">
        <w:rPr>
          <w:rFonts w:ascii="Times New Roman" w:hAnsi="Times New Roman" w:cs="Times New Roman"/>
          <w:sz w:val="24"/>
          <w:szCs w:val="24"/>
        </w:rPr>
        <w:t>медиапроектов</w:t>
      </w:r>
      <w:proofErr w:type="spellEnd"/>
      <w:r w:rsidRPr="00B06469">
        <w:rPr>
          <w:rFonts w:ascii="Times New Roman" w:hAnsi="Times New Roman" w:cs="Times New Roman"/>
          <w:sz w:val="24"/>
          <w:szCs w:val="24"/>
        </w:rPr>
        <w:t>;</w:t>
      </w:r>
    </w:p>
    <w:p w:rsidR="00A478B9" w:rsidRPr="00B06469" w:rsidRDefault="00A478B9" w:rsidP="001F0139">
      <w:pPr>
        <w:pStyle w:val="a3"/>
        <w:numPr>
          <w:ilvl w:val="0"/>
          <w:numId w:val="37"/>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Обеспечение здорового безопасного питания населения всех возрастных групп, предусматривающего оптимизацию режима и характера питания, а также образование и обучение различных групп населения по вопросам здорового питания, в том числе с участием организаций, занимающихся данными вопросами;</w:t>
      </w:r>
    </w:p>
    <w:p w:rsidR="00A478B9" w:rsidRPr="00B06469" w:rsidRDefault="00A478B9" w:rsidP="001F0139">
      <w:pPr>
        <w:pStyle w:val="a3"/>
        <w:numPr>
          <w:ilvl w:val="0"/>
          <w:numId w:val="37"/>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Разработка мер по повышению двигательной активности, которая представляет собой важнейшее условие поддержания здоровья граждан, включая:</w:t>
      </w:r>
    </w:p>
    <w:p w:rsidR="006C73B0" w:rsidRPr="00B06469" w:rsidRDefault="00A478B9" w:rsidP="001F0139">
      <w:pPr>
        <w:pStyle w:val="a3"/>
        <w:spacing w:after="0" w:line="360" w:lineRule="auto"/>
        <w:ind w:left="0" w:firstLine="709"/>
        <w:jc w:val="both"/>
        <w:rPr>
          <w:rFonts w:ascii="Times New Roman" w:hAnsi="Times New Roman" w:cs="Times New Roman"/>
          <w:b/>
          <w:sz w:val="24"/>
          <w:szCs w:val="24"/>
        </w:rPr>
      </w:pPr>
      <w:r w:rsidRPr="00B06469">
        <w:rPr>
          <w:rFonts w:ascii="Times New Roman" w:hAnsi="Times New Roman" w:cs="Times New Roman"/>
          <w:b/>
          <w:sz w:val="24"/>
          <w:szCs w:val="24"/>
        </w:rPr>
        <w:t>Мероприятия</w:t>
      </w:r>
    </w:p>
    <w:p w:rsidR="00A478B9" w:rsidRPr="00B06469" w:rsidRDefault="00A478B9" w:rsidP="001F0139">
      <w:pPr>
        <w:pStyle w:val="a3"/>
        <w:numPr>
          <w:ilvl w:val="0"/>
          <w:numId w:val="37"/>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 xml:space="preserve">проведение массовых направленных </w:t>
      </w:r>
      <w:proofErr w:type="spellStart"/>
      <w:r w:rsidRPr="00B06469">
        <w:rPr>
          <w:rFonts w:ascii="Times New Roman" w:hAnsi="Times New Roman" w:cs="Times New Roman"/>
          <w:sz w:val="24"/>
          <w:szCs w:val="24"/>
        </w:rPr>
        <w:t>скринингов</w:t>
      </w:r>
      <w:proofErr w:type="spellEnd"/>
      <w:r w:rsidRPr="00B06469">
        <w:rPr>
          <w:rFonts w:ascii="Times New Roman" w:hAnsi="Times New Roman" w:cs="Times New Roman"/>
          <w:sz w:val="24"/>
          <w:szCs w:val="24"/>
        </w:rPr>
        <w:t xml:space="preserve"> (обследований) здоровья;</w:t>
      </w:r>
    </w:p>
    <w:p w:rsidR="00A478B9" w:rsidRPr="00B06469" w:rsidRDefault="00A478B9" w:rsidP="001F0139">
      <w:pPr>
        <w:pStyle w:val="a3"/>
        <w:numPr>
          <w:ilvl w:val="0"/>
          <w:numId w:val="37"/>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 xml:space="preserve">диспансерном </w:t>
      </w:r>
      <w:proofErr w:type="gramStart"/>
      <w:r w:rsidRPr="00B06469">
        <w:rPr>
          <w:rFonts w:ascii="Times New Roman" w:hAnsi="Times New Roman" w:cs="Times New Roman"/>
          <w:sz w:val="24"/>
          <w:szCs w:val="24"/>
        </w:rPr>
        <w:t>наблюдении</w:t>
      </w:r>
      <w:proofErr w:type="gramEnd"/>
      <w:r w:rsidRPr="00B06469">
        <w:rPr>
          <w:rFonts w:ascii="Times New Roman" w:hAnsi="Times New Roman" w:cs="Times New Roman"/>
          <w:sz w:val="24"/>
          <w:szCs w:val="24"/>
        </w:rPr>
        <w:t xml:space="preserve"> лиц, страдающих хроническими заболеваниями или имеющих серьезный интегративный риск развития острых заболеваний,</w:t>
      </w:r>
    </w:p>
    <w:p w:rsidR="00A478B9" w:rsidRPr="00B06469" w:rsidRDefault="00A478B9" w:rsidP="001F0139">
      <w:pPr>
        <w:pStyle w:val="a3"/>
        <w:numPr>
          <w:ilvl w:val="0"/>
          <w:numId w:val="37"/>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максимально ранней коррекции факторов риска и повышении приверженности населения к лечению болезней на стадиях их максимальной излечимости,</w:t>
      </w:r>
    </w:p>
    <w:p w:rsidR="00A478B9" w:rsidRPr="00B06469" w:rsidRDefault="00A478B9" w:rsidP="001F0139">
      <w:pPr>
        <w:pStyle w:val="a3"/>
        <w:numPr>
          <w:ilvl w:val="0"/>
          <w:numId w:val="37"/>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массовой иммунопрофилактике в рамках Национального Календаря прививок,</w:t>
      </w:r>
    </w:p>
    <w:p w:rsidR="00A478B9" w:rsidRPr="00B06469" w:rsidRDefault="00A478B9" w:rsidP="001F0139">
      <w:pPr>
        <w:pStyle w:val="a3"/>
        <w:numPr>
          <w:ilvl w:val="0"/>
          <w:numId w:val="37"/>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координированной, четкой и быстрой работе служб неотложной, скорой и экстренной специализированной медицинской помощи - в случае возникновения острой патологии,</w:t>
      </w:r>
    </w:p>
    <w:p w:rsidR="00A478B9" w:rsidRPr="00B06469" w:rsidRDefault="00A478B9" w:rsidP="001F0139">
      <w:pPr>
        <w:pStyle w:val="a3"/>
        <w:numPr>
          <w:ilvl w:val="0"/>
          <w:numId w:val="37"/>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развитой специализированной медицинской помощи с увеличением доли высокотехнологичной медицинской помощи,</w:t>
      </w:r>
    </w:p>
    <w:p w:rsidR="00A478B9" w:rsidRPr="00B06469" w:rsidRDefault="00A478B9" w:rsidP="001F0139">
      <w:pPr>
        <w:pStyle w:val="a3"/>
        <w:numPr>
          <w:ilvl w:val="0"/>
          <w:numId w:val="37"/>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междисциплинарной медицинской реабилитации</w:t>
      </w:r>
    </w:p>
    <w:p w:rsidR="006C73B0" w:rsidRPr="00B06469" w:rsidRDefault="006C73B0"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E74438" w:rsidRPr="00B06469" w:rsidRDefault="00E7443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lastRenderedPageBreak/>
        <w:t>6.2.</w:t>
      </w:r>
      <w:r w:rsidR="00A478B9" w:rsidRPr="00B06469">
        <w:rPr>
          <w:rFonts w:ascii="Times New Roman" w:hAnsi="Times New Roman" w:cs="Times New Roman"/>
          <w:b/>
          <w:color w:val="365F91" w:themeColor="accent1" w:themeShade="BF"/>
          <w:sz w:val="24"/>
          <w:szCs w:val="24"/>
        </w:rPr>
        <w:t>5</w:t>
      </w:r>
      <w:r w:rsidRPr="00B06469">
        <w:rPr>
          <w:rFonts w:ascii="Times New Roman" w:hAnsi="Times New Roman" w:cs="Times New Roman"/>
          <w:b/>
          <w:color w:val="365F91" w:themeColor="accent1" w:themeShade="BF"/>
          <w:sz w:val="24"/>
          <w:szCs w:val="24"/>
        </w:rPr>
        <w:t>.Качество и разнообразие культурной жизни</w:t>
      </w:r>
      <w:r w:rsidR="00337AC4" w:rsidRPr="00B06469">
        <w:rPr>
          <w:rFonts w:ascii="Times New Roman" w:hAnsi="Times New Roman" w:cs="Times New Roman"/>
          <w:b/>
          <w:color w:val="365F91" w:themeColor="accent1" w:themeShade="BF"/>
          <w:sz w:val="24"/>
          <w:szCs w:val="24"/>
        </w:rPr>
        <w:t>, сохранение, развитие семейных, духовно-нравственных ценностей и здорового образа жизни</w:t>
      </w:r>
    </w:p>
    <w:p w:rsidR="00077D58" w:rsidRPr="00B06469" w:rsidRDefault="00A478B9" w:rsidP="001F0139">
      <w:pPr>
        <w:pStyle w:val="a3"/>
        <w:spacing w:after="0" w:line="360" w:lineRule="auto"/>
        <w:ind w:left="0" w:firstLine="709"/>
        <w:jc w:val="both"/>
        <w:rPr>
          <w:rFonts w:ascii="Times New Roman" w:hAnsi="Times New Roman" w:cs="Times New Roman"/>
          <w:b/>
          <w:sz w:val="24"/>
          <w:szCs w:val="24"/>
        </w:rPr>
      </w:pPr>
      <w:r w:rsidRPr="00B06469">
        <w:rPr>
          <w:rFonts w:ascii="Times New Roman" w:hAnsi="Times New Roman" w:cs="Times New Roman"/>
          <w:b/>
          <w:sz w:val="24"/>
          <w:szCs w:val="24"/>
        </w:rPr>
        <w:t>Мероприятия</w:t>
      </w:r>
    </w:p>
    <w:p w:rsidR="00A478B9" w:rsidRPr="00B06469" w:rsidRDefault="00A478B9" w:rsidP="001F0139">
      <w:pPr>
        <w:pStyle w:val="a3"/>
        <w:numPr>
          <w:ilvl w:val="0"/>
          <w:numId w:val="40"/>
        </w:numPr>
        <w:spacing w:after="0" w:line="360" w:lineRule="auto"/>
        <w:ind w:left="0"/>
        <w:rPr>
          <w:rFonts w:ascii="Times New Roman" w:hAnsi="Times New Roman" w:cs="Times New Roman"/>
          <w:bCs/>
          <w:sz w:val="24"/>
          <w:szCs w:val="24"/>
        </w:rPr>
      </w:pPr>
      <w:r w:rsidRPr="00B06469">
        <w:rPr>
          <w:rFonts w:ascii="Times New Roman" w:hAnsi="Times New Roman" w:cs="Times New Roman"/>
          <w:bCs/>
          <w:sz w:val="24"/>
          <w:szCs w:val="24"/>
        </w:rPr>
        <w:t>реконструкция зданий культурных учреждений, находящихся в неудовлетворительном состоянии и не отвечающих современным требованиям к условиям осуществления культурной деятельности;</w:t>
      </w:r>
    </w:p>
    <w:p w:rsidR="00A478B9" w:rsidRPr="00B06469" w:rsidRDefault="00A478B9" w:rsidP="001F0139">
      <w:pPr>
        <w:pStyle w:val="a3"/>
        <w:numPr>
          <w:ilvl w:val="0"/>
          <w:numId w:val="40"/>
        </w:numPr>
        <w:spacing w:after="0" w:line="360" w:lineRule="auto"/>
        <w:ind w:left="0"/>
        <w:rPr>
          <w:rFonts w:ascii="Times New Roman" w:hAnsi="Times New Roman" w:cs="Times New Roman"/>
          <w:bCs/>
          <w:sz w:val="24"/>
          <w:szCs w:val="24"/>
        </w:rPr>
      </w:pPr>
      <w:r w:rsidRPr="00B06469">
        <w:rPr>
          <w:rFonts w:ascii="Times New Roman" w:hAnsi="Times New Roman" w:cs="Times New Roman"/>
          <w:bCs/>
          <w:sz w:val="24"/>
          <w:szCs w:val="24"/>
        </w:rPr>
        <w:t>популяризация и предоставление новых видов услуг в области культуры с использованием современных информационно-коммуникационных технологий;</w:t>
      </w:r>
    </w:p>
    <w:p w:rsidR="00A478B9" w:rsidRPr="00B06469" w:rsidRDefault="00A478B9" w:rsidP="001F0139">
      <w:pPr>
        <w:pStyle w:val="a3"/>
        <w:numPr>
          <w:ilvl w:val="0"/>
          <w:numId w:val="40"/>
        </w:numPr>
        <w:spacing w:after="0" w:line="360" w:lineRule="auto"/>
        <w:ind w:left="0"/>
        <w:rPr>
          <w:rFonts w:ascii="Times New Roman" w:hAnsi="Times New Roman" w:cs="Times New Roman"/>
          <w:bCs/>
          <w:sz w:val="24"/>
          <w:szCs w:val="24"/>
        </w:rPr>
      </w:pPr>
      <w:r w:rsidRPr="00B06469">
        <w:rPr>
          <w:rFonts w:ascii="Times New Roman" w:hAnsi="Times New Roman" w:cs="Times New Roman"/>
          <w:bCs/>
          <w:sz w:val="24"/>
          <w:szCs w:val="24"/>
        </w:rPr>
        <w:t>обеспечение правовых и экономических условий для кооперации и интеграции образовательных организаций общего и дополнительного образования, учреждений культуры;</w:t>
      </w:r>
    </w:p>
    <w:p w:rsidR="00A478B9" w:rsidRPr="00B06469" w:rsidRDefault="00A478B9" w:rsidP="001F0139">
      <w:pPr>
        <w:pStyle w:val="a3"/>
        <w:numPr>
          <w:ilvl w:val="0"/>
          <w:numId w:val="40"/>
        </w:numPr>
        <w:spacing w:after="0" w:line="360" w:lineRule="auto"/>
        <w:ind w:left="0"/>
        <w:rPr>
          <w:rFonts w:ascii="Times New Roman" w:hAnsi="Times New Roman" w:cs="Times New Roman"/>
          <w:bCs/>
          <w:sz w:val="24"/>
          <w:szCs w:val="24"/>
        </w:rPr>
      </w:pPr>
      <w:r w:rsidRPr="00B06469">
        <w:rPr>
          <w:rFonts w:ascii="Times New Roman" w:hAnsi="Times New Roman" w:cs="Times New Roman"/>
          <w:bCs/>
          <w:sz w:val="24"/>
          <w:szCs w:val="24"/>
        </w:rPr>
        <w:t xml:space="preserve">использование образовательных, педагогических, научно-методических и материальных ресурсов для развития и реализации творческого </w:t>
      </w:r>
      <w:proofErr w:type="gramStart"/>
      <w:r w:rsidRPr="00B06469">
        <w:rPr>
          <w:rFonts w:ascii="Times New Roman" w:hAnsi="Times New Roman" w:cs="Times New Roman"/>
          <w:bCs/>
          <w:sz w:val="24"/>
          <w:szCs w:val="24"/>
        </w:rPr>
        <w:t>потенциала</w:t>
      </w:r>
      <w:proofErr w:type="gramEnd"/>
      <w:r w:rsidRPr="00B06469">
        <w:rPr>
          <w:rFonts w:ascii="Times New Roman" w:hAnsi="Times New Roman" w:cs="Times New Roman"/>
          <w:bCs/>
          <w:sz w:val="24"/>
          <w:szCs w:val="24"/>
        </w:rPr>
        <w:t xml:space="preserve"> обучающихся в различных видах художественно-эстетической деятельности;</w:t>
      </w:r>
    </w:p>
    <w:p w:rsidR="00077D58" w:rsidRPr="00B06469" w:rsidRDefault="00077D58" w:rsidP="001F0139">
      <w:pPr>
        <w:pStyle w:val="a3"/>
        <w:spacing w:after="0" w:line="360" w:lineRule="auto"/>
        <w:ind w:left="0" w:firstLine="709"/>
        <w:jc w:val="both"/>
        <w:rPr>
          <w:rFonts w:ascii="Times New Roman" w:hAnsi="Times New Roman" w:cs="Times New Roman"/>
          <w:sz w:val="24"/>
          <w:szCs w:val="24"/>
        </w:rPr>
      </w:pPr>
      <w:r w:rsidRPr="00B06469">
        <w:rPr>
          <w:rFonts w:ascii="Times New Roman" w:hAnsi="Times New Roman" w:cs="Times New Roman"/>
          <w:sz w:val="24"/>
          <w:szCs w:val="24"/>
        </w:rPr>
        <w:t>Проекты и программы</w:t>
      </w:r>
    </w:p>
    <w:p w:rsidR="00077D58" w:rsidRPr="00B06469" w:rsidRDefault="00077D58" w:rsidP="001F0139">
      <w:pPr>
        <w:pStyle w:val="a3"/>
        <w:spacing w:after="0" w:line="360" w:lineRule="auto"/>
        <w:ind w:left="0" w:firstLine="709"/>
        <w:rPr>
          <w:rFonts w:ascii="Times New Roman" w:hAnsi="Times New Roman" w:cs="Times New Roman"/>
          <w:sz w:val="24"/>
          <w:szCs w:val="24"/>
        </w:rPr>
      </w:pPr>
      <w:r w:rsidRPr="00B06469">
        <w:rPr>
          <w:rFonts w:ascii="Times New Roman" w:hAnsi="Times New Roman" w:cs="Times New Roman"/>
          <w:bCs/>
          <w:sz w:val="24"/>
          <w:szCs w:val="24"/>
        </w:rPr>
        <w:t>1</w:t>
      </w:r>
      <w:r w:rsidRPr="00B06469">
        <w:rPr>
          <w:rFonts w:ascii="Times New Roman" w:hAnsi="Times New Roman" w:cs="Times New Roman"/>
          <w:sz w:val="24"/>
          <w:szCs w:val="24"/>
        </w:rPr>
        <w:t>.</w:t>
      </w:r>
      <w:r w:rsidRPr="00B06469">
        <w:rPr>
          <w:rFonts w:ascii="Times New Roman" w:hAnsi="Times New Roman" w:cs="Times New Roman"/>
          <w:bCs/>
          <w:sz w:val="24"/>
          <w:szCs w:val="24"/>
          <w:u w:val="single"/>
        </w:rPr>
        <w:t xml:space="preserve">Проект </w:t>
      </w:r>
      <w:r w:rsidRPr="00B06469">
        <w:rPr>
          <w:rFonts w:ascii="Times New Roman" w:hAnsi="Times New Roman" w:cs="Times New Roman"/>
          <w:sz w:val="24"/>
          <w:szCs w:val="24"/>
        </w:rPr>
        <w:t xml:space="preserve">«Создание </w:t>
      </w:r>
      <w:proofErr w:type="gramStart"/>
      <w:r w:rsidRPr="00B06469">
        <w:rPr>
          <w:rFonts w:ascii="Times New Roman" w:hAnsi="Times New Roman" w:cs="Times New Roman"/>
          <w:sz w:val="24"/>
          <w:szCs w:val="24"/>
        </w:rPr>
        <w:t>конно-спортивного</w:t>
      </w:r>
      <w:proofErr w:type="gramEnd"/>
      <w:r w:rsidRPr="00B06469">
        <w:rPr>
          <w:rFonts w:ascii="Times New Roman" w:hAnsi="Times New Roman" w:cs="Times New Roman"/>
          <w:sz w:val="24"/>
          <w:szCs w:val="24"/>
        </w:rPr>
        <w:t xml:space="preserve"> клуба»</w:t>
      </w:r>
    </w:p>
    <w:p w:rsidR="00077D58" w:rsidRPr="00B06469" w:rsidRDefault="00077D58" w:rsidP="001F0139">
      <w:pPr>
        <w:pStyle w:val="a3"/>
        <w:spacing w:after="0" w:line="360" w:lineRule="auto"/>
        <w:ind w:left="0" w:firstLine="709"/>
        <w:rPr>
          <w:rFonts w:ascii="Times New Roman" w:hAnsi="Times New Roman" w:cs="Times New Roman"/>
          <w:sz w:val="24"/>
          <w:szCs w:val="24"/>
        </w:rPr>
      </w:pPr>
      <w:r w:rsidRPr="00B06469">
        <w:rPr>
          <w:rFonts w:ascii="Times New Roman" w:hAnsi="Times New Roman" w:cs="Times New Roman"/>
          <w:bCs/>
          <w:sz w:val="24"/>
          <w:szCs w:val="24"/>
          <w:u w:val="single"/>
        </w:rPr>
        <w:t>2.Проект</w:t>
      </w:r>
      <w:r w:rsidRPr="00B06469">
        <w:rPr>
          <w:rFonts w:ascii="Times New Roman" w:hAnsi="Times New Roman" w:cs="Times New Roman"/>
          <w:bCs/>
          <w:sz w:val="24"/>
          <w:szCs w:val="24"/>
        </w:rPr>
        <w:t xml:space="preserve"> </w:t>
      </w:r>
      <w:r w:rsidRPr="00B06469">
        <w:rPr>
          <w:rFonts w:ascii="Times New Roman" w:hAnsi="Times New Roman" w:cs="Times New Roman"/>
          <w:sz w:val="24"/>
          <w:szCs w:val="24"/>
        </w:rPr>
        <w:t xml:space="preserve">«Туристические маршруты «Духовное наследие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w:t>
      </w:r>
    </w:p>
    <w:p w:rsidR="00077D58" w:rsidRPr="00B06469" w:rsidRDefault="00077D5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E74438" w:rsidRPr="00B06469" w:rsidRDefault="00E7443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6.2.</w:t>
      </w:r>
      <w:r w:rsidR="008D1B35" w:rsidRPr="00B06469">
        <w:rPr>
          <w:rFonts w:ascii="Times New Roman" w:hAnsi="Times New Roman" w:cs="Times New Roman"/>
          <w:b/>
          <w:color w:val="365F91" w:themeColor="accent1" w:themeShade="BF"/>
          <w:sz w:val="24"/>
          <w:szCs w:val="24"/>
        </w:rPr>
        <w:t>6</w:t>
      </w:r>
      <w:r w:rsidRPr="00B06469">
        <w:rPr>
          <w:rFonts w:ascii="Times New Roman" w:hAnsi="Times New Roman" w:cs="Times New Roman"/>
          <w:b/>
          <w:color w:val="365F91" w:themeColor="accent1" w:themeShade="BF"/>
          <w:sz w:val="24"/>
          <w:szCs w:val="24"/>
        </w:rPr>
        <w:t>. Вовлечение населения в спортивные мероприятия</w:t>
      </w:r>
    </w:p>
    <w:p w:rsidR="00A478B9" w:rsidRPr="00B06469" w:rsidRDefault="00A478B9" w:rsidP="001F0139">
      <w:pPr>
        <w:pStyle w:val="a3"/>
        <w:spacing w:after="0" w:line="360" w:lineRule="auto"/>
        <w:ind w:left="0" w:firstLine="709"/>
        <w:rPr>
          <w:rFonts w:ascii="Times New Roman" w:hAnsi="Times New Roman" w:cs="Times New Roman"/>
          <w:bCs/>
          <w:sz w:val="24"/>
          <w:szCs w:val="24"/>
        </w:rPr>
      </w:pPr>
      <w:r w:rsidRPr="00B06469">
        <w:rPr>
          <w:rFonts w:ascii="Times New Roman" w:hAnsi="Times New Roman" w:cs="Times New Roman"/>
          <w:bCs/>
          <w:sz w:val="24"/>
          <w:szCs w:val="24"/>
        </w:rPr>
        <w:t>Строительство спортивно-оздоровительного центра с бассейном в</w:t>
      </w:r>
      <w:r w:rsidR="002760F1" w:rsidRPr="00B06469">
        <w:rPr>
          <w:rFonts w:ascii="Times New Roman" w:hAnsi="Times New Roman" w:cs="Times New Roman"/>
          <w:bCs/>
          <w:sz w:val="24"/>
          <w:szCs w:val="24"/>
        </w:rPr>
        <w:t xml:space="preserve"> </w:t>
      </w:r>
      <w:r w:rsidRPr="00B06469">
        <w:rPr>
          <w:rFonts w:ascii="Times New Roman" w:hAnsi="Times New Roman" w:cs="Times New Roman"/>
          <w:bCs/>
          <w:sz w:val="24"/>
          <w:szCs w:val="24"/>
        </w:rPr>
        <w:t xml:space="preserve">селе Новое </w:t>
      </w:r>
      <w:proofErr w:type="spellStart"/>
      <w:r w:rsidRPr="00B06469">
        <w:rPr>
          <w:rFonts w:ascii="Times New Roman" w:hAnsi="Times New Roman" w:cs="Times New Roman"/>
          <w:bCs/>
          <w:sz w:val="24"/>
          <w:szCs w:val="24"/>
        </w:rPr>
        <w:t>Усманово</w:t>
      </w:r>
      <w:proofErr w:type="spellEnd"/>
      <w:r w:rsidRPr="00B06469">
        <w:rPr>
          <w:rFonts w:ascii="Times New Roman" w:hAnsi="Times New Roman" w:cs="Times New Roman"/>
          <w:bCs/>
          <w:sz w:val="24"/>
          <w:szCs w:val="24"/>
        </w:rPr>
        <w:t>.</w:t>
      </w:r>
    </w:p>
    <w:p w:rsidR="00A478B9" w:rsidRPr="00B06469" w:rsidRDefault="00A478B9" w:rsidP="001F0139">
      <w:pPr>
        <w:pStyle w:val="a3"/>
        <w:spacing w:after="0" w:line="360" w:lineRule="auto"/>
        <w:ind w:left="0" w:firstLine="709"/>
        <w:rPr>
          <w:rFonts w:ascii="Times New Roman" w:hAnsi="Times New Roman" w:cs="Times New Roman"/>
          <w:bCs/>
          <w:sz w:val="24"/>
          <w:szCs w:val="24"/>
        </w:rPr>
      </w:pPr>
      <w:r w:rsidRPr="00B06469">
        <w:rPr>
          <w:rFonts w:ascii="Times New Roman" w:hAnsi="Times New Roman" w:cs="Times New Roman"/>
          <w:bCs/>
          <w:sz w:val="24"/>
          <w:szCs w:val="24"/>
        </w:rPr>
        <w:t>Строительство бассейна и стадиона-площадки в селе Старое Ермаково.</w:t>
      </w:r>
    </w:p>
    <w:p w:rsidR="00A478B9" w:rsidRPr="00B06469" w:rsidRDefault="00A478B9" w:rsidP="001F0139">
      <w:pPr>
        <w:pStyle w:val="a3"/>
        <w:spacing w:after="0" w:line="360" w:lineRule="auto"/>
        <w:ind w:left="0" w:firstLine="709"/>
        <w:rPr>
          <w:rFonts w:ascii="Times New Roman" w:hAnsi="Times New Roman" w:cs="Times New Roman"/>
          <w:bCs/>
          <w:sz w:val="24"/>
          <w:szCs w:val="24"/>
        </w:rPr>
      </w:pPr>
      <w:r w:rsidRPr="00B06469">
        <w:rPr>
          <w:rFonts w:ascii="Times New Roman" w:hAnsi="Times New Roman" w:cs="Times New Roman"/>
          <w:bCs/>
          <w:sz w:val="24"/>
          <w:szCs w:val="24"/>
        </w:rPr>
        <w:t xml:space="preserve">Строительство физкультурно-оздоровительных комплексов при общеобразовательных учреждениях (начального общего, основного общего, среднего (полного) общего образования) в селах Старое </w:t>
      </w:r>
      <w:proofErr w:type="spellStart"/>
      <w:r w:rsidRPr="00B06469">
        <w:rPr>
          <w:rFonts w:ascii="Times New Roman" w:hAnsi="Times New Roman" w:cs="Times New Roman"/>
          <w:bCs/>
          <w:sz w:val="24"/>
          <w:szCs w:val="24"/>
        </w:rPr>
        <w:t>Усманово</w:t>
      </w:r>
      <w:proofErr w:type="spellEnd"/>
      <w:r w:rsidRPr="00B06469">
        <w:rPr>
          <w:rFonts w:ascii="Times New Roman" w:hAnsi="Times New Roman" w:cs="Times New Roman"/>
          <w:bCs/>
          <w:sz w:val="24"/>
          <w:szCs w:val="24"/>
        </w:rPr>
        <w:t>, Никиткино и оселке Чулпан.</w:t>
      </w:r>
    </w:p>
    <w:p w:rsidR="00A478B9" w:rsidRPr="00B06469" w:rsidRDefault="00A478B9" w:rsidP="001F0139">
      <w:pPr>
        <w:pStyle w:val="a3"/>
        <w:spacing w:after="0" w:line="360" w:lineRule="auto"/>
        <w:ind w:left="0" w:firstLine="709"/>
        <w:rPr>
          <w:rFonts w:ascii="Times New Roman" w:hAnsi="Times New Roman" w:cs="Times New Roman"/>
          <w:bCs/>
          <w:sz w:val="24"/>
          <w:szCs w:val="24"/>
        </w:rPr>
      </w:pPr>
      <w:r w:rsidRPr="00B06469">
        <w:rPr>
          <w:rFonts w:ascii="Times New Roman" w:hAnsi="Times New Roman" w:cs="Times New Roman"/>
          <w:bCs/>
          <w:sz w:val="24"/>
          <w:szCs w:val="24"/>
        </w:rPr>
        <w:t>Строительство физкультурно-оздоровительного комплекса со спортивным залом в селе Камышла.</w:t>
      </w:r>
    </w:p>
    <w:p w:rsidR="00A478B9" w:rsidRPr="00B06469" w:rsidRDefault="00A478B9" w:rsidP="001F0139">
      <w:pPr>
        <w:pStyle w:val="a3"/>
        <w:spacing w:after="0" w:line="360" w:lineRule="auto"/>
        <w:ind w:left="0" w:firstLine="709"/>
        <w:rPr>
          <w:rFonts w:ascii="Times New Roman" w:hAnsi="Times New Roman" w:cs="Times New Roman"/>
          <w:bCs/>
          <w:sz w:val="24"/>
          <w:szCs w:val="24"/>
        </w:rPr>
      </w:pPr>
      <w:r w:rsidRPr="00B06469">
        <w:rPr>
          <w:rFonts w:ascii="Times New Roman" w:hAnsi="Times New Roman" w:cs="Times New Roman"/>
          <w:bCs/>
          <w:sz w:val="24"/>
          <w:szCs w:val="24"/>
        </w:rPr>
        <w:t xml:space="preserve">Строительство плоскостных спортивных сооружений в селах Старая </w:t>
      </w:r>
      <w:proofErr w:type="spellStart"/>
      <w:r w:rsidRPr="00B06469">
        <w:rPr>
          <w:rFonts w:ascii="Times New Roman" w:hAnsi="Times New Roman" w:cs="Times New Roman"/>
          <w:bCs/>
          <w:sz w:val="24"/>
          <w:szCs w:val="24"/>
        </w:rPr>
        <w:t>Балыкла</w:t>
      </w:r>
      <w:proofErr w:type="spellEnd"/>
      <w:r w:rsidRPr="00B06469">
        <w:rPr>
          <w:rFonts w:ascii="Times New Roman" w:hAnsi="Times New Roman" w:cs="Times New Roman"/>
          <w:bCs/>
          <w:sz w:val="24"/>
          <w:szCs w:val="24"/>
        </w:rPr>
        <w:t xml:space="preserve">, Старое </w:t>
      </w:r>
      <w:proofErr w:type="spellStart"/>
      <w:r w:rsidRPr="00B06469">
        <w:rPr>
          <w:rFonts w:ascii="Times New Roman" w:hAnsi="Times New Roman" w:cs="Times New Roman"/>
          <w:bCs/>
          <w:sz w:val="24"/>
          <w:szCs w:val="24"/>
        </w:rPr>
        <w:t>Усманово</w:t>
      </w:r>
      <w:proofErr w:type="spellEnd"/>
      <w:r w:rsidRPr="00B06469">
        <w:rPr>
          <w:rFonts w:ascii="Times New Roman" w:hAnsi="Times New Roman" w:cs="Times New Roman"/>
          <w:bCs/>
          <w:sz w:val="24"/>
          <w:szCs w:val="24"/>
        </w:rPr>
        <w:t xml:space="preserve">, Новое </w:t>
      </w:r>
      <w:proofErr w:type="spellStart"/>
      <w:r w:rsidRPr="00B06469">
        <w:rPr>
          <w:rFonts w:ascii="Times New Roman" w:hAnsi="Times New Roman" w:cs="Times New Roman"/>
          <w:bCs/>
          <w:sz w:val="24"/>
          <w:szCs w:val="24"/>
        </w:rPr>
        <w:t>Усманово</w:t>
      </w:r>
      <w:proofErr w:type="spellEnd"/>
      <w:r w:rsidRPr="00B06469">
        <w:rPr>
          <w:rFonts w:ascii="Times New Roman" w:hAnsi="Times New Roman" w:cs="Times New Roman"/>
          <w:bCs/>
          <w:sz w:val="24"/>
          <w:szCs w:val="24"/>
        </w:rPr>
        <w:t>, Камышла.</w:t>
      </w:r>
    </w:p>
    <w:p w:rsidR="00077D58" w:rsidRPr="00B06469" w:rsidRDefault="00077D58" w:rsidP="001F0139">
      <w:pPr>
        <w:pStyle w:val="a3"/>
        <w:spacing w:after="0" w:line="360" w:lineRule="auto"/>
        <w:ind w:left="0" w:firstLine="709"/>
        <w:jc w:val="both"/>
        <w:rPr>
          <w:rFonts w:ascii="Times New Roman" w:hAnsi="Times New Roman" w:cs="Times New Roman"/>
          <w:sz w:val="24"/>
          <w:szCs w:val="24"/>
        </w:rPr>
      </w:pPr>
      <w:r w:rsidRPr="00B06469">
        <w:rPr>
          <w:rFonts w:ascii="Times New Roman" w:hAnsi="Times New Roman" w:cs="Times New Roman"/>
          <w:sz w:val="24"/>
          <w:szCs w:val="24"/>
        </w:rPr>
        <w:t>Проекты и программы</w:t>
      </w:r>
    </w:p>
    <w:p w:rsidR="00077D58" w:rsidRPr="00B06469" w:rsidRDefault="00077D58" w:rsidP="001F0139">
      <w:pPr>
        <w:pStyle w:val="a3"/>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«Строительство конезавода для активизации конного спорта в районе» (2021-2025 </w:t>
      </w:r>
      <w:proofErr w:type="spellStart"/>
      <w:proofErr w:type="gramStart"/>
      <w:r w:rsidRPr="00B06469">
        <w:rPr>
          <w:rFonts w:ascii="Times New Roman" w:hAnsi="Times New Roman" w:cs="Times New Roman"/>
          <w:sz w:val="24"/>
          <w:szCs w:val="24"/>
        </w:rPr>
        <w:t>гг</w:t>
      </w:r>
      <w:proofErr w:type="spellEnd"/>
      <w:proofErr w:type="gramEnd"/>
      <w:r w:rsidRPr="00B06469">
        <w:rPr>
          <w:rFonts w:ascii="Times New Roman" w:hAnsi="Times New Roman" w:cs="Times New Roman"/>
          <w:sz w:val="24"/>
          <w:szCs w:val="24"/>
        </w:rPr>
        <w:t>)</w:t>
      </w:r>
    </w:p>
    <w:p w:rsidR="00077D58" w:rsidRPr="00B06469" w:rsidRDefault="00077D5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337AC4" w:rsidRPr="00B06469" w:rsidRDefault="00337AC4"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6.2.</w:t>
      </w:r>
      <w:r w:rsidR="008D1B35" w:rsidRPr="00B06469">
        <w:rPr>
          <w:rFonts w:ascii="Times New Roman" w:hAnsi="Times New Roman" w:cs="Times New Roman"/>
          <w:b/>
          <w:color w:val="365F91" w:themeColor="accent1" w:themeShade="BF"/>
          <w:sz w:val="24"/>
          <w:szCs w:val="24"/>
        </w:rPr>
        <w:t>7</w:t>
      </w:r>
      <w:r w:rsidRPr="00B06469">
        <w:rPr>
          <w:rFonts w:ascii="Times New Roman" w:hAnsi="Times New Roman" w:cs="Times New Roman"/>
          <w:b/>
          <w:color w:val="365F91" w:themeColor="accent1" w:themeShade="BF"/>
          <w:sz w:val="24"/>
          <w:szCs w:val="24"/>
        </w:rPr>
        <w:t>. Создание и развитие информационно-коммуникационной среды района</w:t>
      </w:r>
    </w:p>
    <w:p w:rsidR="00077D58" w:rsidRPr="00B06469" w:rsidRDefault="00077D58" w:rsidP="001F0139">
      <w:pPr>
        <w:pStyle w:val="a3"/>
        <w:spacing w:after="0" w:line="360" w:lineRule="auto"/>
        <w:ind w:left="0" w:firstLine="709"/>
        <w:jc w:val="both"/>
        <w:rPr>
          <w:rFonts w:ascii="Times New Roman" w:hAnsi="Times New Roman" w:cs="Times New Roman"/>
          <w:sz w:val="24"/>
          <w:szCs w:val="24"/>
        </w:rPr>
      </w:pPr>
      <w:r w:rsidRPr="00B06469">
        <w:rPr>
          <w:rFonts w:ascii="Times New Roman" w:hAnsi="Times New Roman" w:cs="Times New Roman"/>
          <w:sz w:val="24"/>
          <w:szCs w:val="24"/>
        </w:rPr>
        <w:t>Проект</w:t>
      </w:r>
      <w:r w:rsidR="008D1B35" w:rsidRPr="00B06469">
        <w:rPr>
          <w:rFonts w:ascii="Times New Roman" w:hAnsi="Times New Roman" w:cs="Times New Roman"/>
          <w:sz w:val="24"/>
          <w:szCs w:val="24"/>
        </w:rPr>
        <w:t>ы</w:t>
      </w:r>
      <w:r w:rsidRPr="00B06469">
        <w:rPr>
          <w:rFonts w:ascii="Times New Roman" w:hAnsi="Times New Roman" w:cs="Times New Roman"/>
          <w:sz w:val="24"/>
          <w:szCs w:val="24"/>
        </w:rPr>
        <w:t xml:space="preserve"> и программы</w:t>
      </w:r>
    </w:p>
    <w:p w:rsidR="00077D58" w:rsidRPr="00B06469" w:rsidRDefault="00077D58" w:rsidP="001F0139">
      <w:pPr>
        <w:pStyle w:val="a3"/>
        <w:numPr>
          <w:ilvl w:val="0"/>
          <w:numId w:val="24"/>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bCs/>
          <w:sz w:val="24"/>
          <w:szCs w:val="24"/>
          <w:u w:val="single"/>
        </w:rPr>
        <w:lastRenderedPageBreak/>
        <w:t xml:space="preserve">Проект </w:t>
      </w:r>
      <w:r w:rsidRPr="00B06469">
        <w:rPr>
          <w:rFonts w:ascii="Times New Roman" w:hAnsi="Times New Roman" w:cs="Times New Roman"/>
          <w:sz w:val="24"/>
          <w:szCs w:val="24"/>
        </w:rPr>
        <w:t xml:space="preserve">на основе государственно-частного партнерства «Обеспечение всех населенных пунктов района качественной мобильной связью и Интернет» </w:t>
      </w:r>
    </w:p>
    <w:p w:rsidR="00077D58" w:rsidRPr="00B06469" w:rsidRDefault="00077D58" w:rsidP="001F0139">
      <w:pPr>
        <w:pStyle w:val="a3"/>
        <w:numPr>
          <w:ilvl w:val="0"/>
          <w:numId w:val="24"/>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«Развитие местного радио- и телевещания»</w:t>
      </w:r>
    </w:p>
    <w:p w:rsidR="00077D58" w:rsidRPr="00B06469" w:rsidRDefault="00077D58" w:rsidP="001F0139">
      <w:pPr>
        <w:pStyle w:val="a3"/>
        <w:numPr>
          <w:ilvl w:val="0"/>
          <w:numId w:val="24"/>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«Создание культурно-образовательного портала района»</w:t>
      </w:r>
    </w:p>
    <w:p w:rsidR="00077D58" w:rsidRPr="00B06469" w:rsidRDefault="00077D5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302E87" w:rsidRPr="00B06469" w:rsidRDefault="00302E87"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Ожидаемые результаты</w:t>
      </w:r>
    </w:p>
    <w:tbl>
      <w:tblPr>
        <w:tblStyle w:val="a9"/>
        <w:tblW w:w="0" w:type="auto"/>
        <w:jc w:val="center"/>
        <w:tblLook w:val="04A0" w:firstRow="1" w:lastRow="0" w:firstColumn="1" w:lastColumn="0" w:noHBand="0" w:noVBand="1"/>
      </w:tblPr>
      <w:tblGrid>
        <w:gridCol w:w="2509"/>
        <w:gridCol w:w="675"/>
        <w:gridCol w:w="1630"/>
        <w:gridCol w:w="865"/>
        <w:gridCol w:w="865"/>
        <w:gridCol w:w="865"/>
      </w:tblGrid>
      <w:tr w:rsidR="00302E87" w:rsidRPr="00B06469" w:rsidTr="00A722E5">
        <w:trPr>
          <w:jc w:val="center"/>
        </w:trPr>
        <w:tc>
          <w:tcPr>
            <w:tcW w:w="2509" w:type="dxa"/>
            <w:shd w:val="clear" w:color="auto" w:fill="C00000"/>
          </w:tcPr>
          <w:p w:rsidR="00302E87" w:rsidRPr="00B06469" w:rsidRDefault="00302E87" w:rsidP="001F0139">
            <w:pPr>
              <w:jc w:val="center"/>
              <w:rPr>
                <w:rFonts w:ascii="Times New Roman" w:hAnsi="Times New Roman" w:cs="Times New Roman"/>
                <w:b/>
                <w:sz w:val="24"/>
                <w:szCs w:val="24"/>
              </w:rPr>
            </w:pPr>
            <w:r w:rsidRPr="00B06469">
              <w:rPr>
                <w:rFonts w:ascii="Times New Roman" w:hAnsi="Times New Roman" w:cs="Times New Roman"/>
                <w:b/>
                <w:sz w:val="24"/>
                <w:szCs w:val="24"/>
              </w:rPr>
              <w:t>Целевой показатель</w:t>
            </w:r>
          </w:p>
        </w:tc>
        <w:tc>
          <w:tcPr>
            <w:tcW w:w="675" w:type="dxa"/>
            <w:shd w:val="clear" w:color="auto" w:fill="C00000"/>
          </w:tcPr>
          <w:p w:rsidR="00302E87" w:rsidRPr="00B06469" w:rsidRDefault="00302E87" w:rsidP="001F0139">
            <w:pPr>
              <w:jc w:val="center"/>
              <w:rPr>
                <w:rFonts w:ascii="Times New Roman" w:hAnsi="Times New Roman" w:cs="Times New Roman"/>
                <w:b/>
                <w:sz w:val="24"/>
                <w:szCs w:val="24"/>
              </w:rPr>
            </w:pPr>
            <w:r w:rsidRPr="00B06469">
              <w:rPr>
                <w:rFonts w:ascii="Times New Roman" w:hAnsi="Times New Roman" w:cs="Times New Roman"/>
                <w:b/>
                <w:sz w:val="24"/>
                <w:szCs w:val="24"/>
              </w:rPr>
              <w:t>Ед. изм.</w:t>
            </w:r>
          </w:p>
        </w:tc>
        <w:tc>
          <w:tcPr>
            <w:tcW w:w="1630" w:type="dxa"/>
            <w:shd w:val="clear" w:color="auto" w:fill="C00000"/>
            <w:vAlign w:val="center"/>
          </w:tcPr>
          <w:p w:rsidR="00302E87" w:rsidRPr="00B06469" w:rsidRDefault="00302E87" w:rsidP="001F0139">
            <w:pPr>
              <w:jc w:val="center"/>
              <w:rPr>
                <w:rFonts w:ascii="Times New Roman" w:hAnsi="Times New Roman" w:cs="Times New Roman"/>
                <w:b/>
                <w:sz w:val="24"/>
                <w:szCs w:val="24"/>
              </w:rPr>
            </w:pPr>
            <w:r w:rsidRPr="00B06469">
              <w:rPr>
                <w:rFonts w:ascii="Times New Roman" w:hAnsi="Times New Roman" w:cs="Times New Roman"/>
                <w:b/>
                <w:sz w:val="24"/>
                <w:szCs w:val="24"/>
              </w:rPr>
              <w:t>Сценарий</w:t>
            </w:r>
          </w:p>
        </w:tc>
        <w:tc>
          <w:tcPr>
            <w:tcW w:w="865" w:type="dxa"/>
            <w:shd w:val="clear" w:color="auto" w:fill="C00000"/>
          </w:tcPr>
          <w:p w:rsidR="00302E87" w:rsidRPr="00B06469" w:rsidRDefault="00302E87" w:rsidP="001F0139">
            <w:pPr>
              <w:rPr>
                <w:rFonts w:ascii="Times New Roman" w:hAnsi="Times New Roman" w:cs="Times New Roman"/>
                <w:b/>
                <w:sz w:val="24"/>
                <w:szCs w:val="24"/>
              </w:rPr>
            </w:pPr>
            <w:r w:rsidRPr="00B06469">
              <w:rPr>
                <w:rFonts w:ascii="Times New Roman" w:hAnsi="Times New Roman" w:cs="Times New Roman"/>
                <w:b/>
                <w:sz w:val="24"/>
                <w:szCs w:val="24"/>
              </w:rPr>
              <w:t>2020г.</w:t>
            </w:r>
          </w:p>
        </w:tc>
        <w:tc>
          <w:tcPr>
            <w:tcW w:w="865" w:type="dxa"/>
            <w:shd w:val="clear" w:color="auto" w:fill="C00000"/>
          </w:tcPr>
          <w:p w:rsidR="00302E87" w:rsidRPr="00B06469" w:rsidRDefault="00302E87" w:rsidP="001F0139">
            <w:pPr>
              <w:rPr>
                <w:rFonts w:ascii="Times New Roman" w:hAnsi="Times New Roman" w:cs="Times New Roman"/>
                <w:b/>
                <w:sz w:val="24"/>
                <w:szCs w:val="24"/>
              </w:rPr>
            </w:pPr>
            <w:r w:rsidRPr="00B06469">
              <w:rPr>
                <w:rFonts w:ascii="Times New Roman" w:hAnsi="Times New Roman" w:cs="Times New Roman"/>
                <w:b/>
                <w:sz w:val="24"/>
                <w:szCs w:val="24"/>
              </w:rPr>
              <w:t>2025г.</w:t>
            </w:r>
          </w:p>
        </w:tc>
        <w:tc>
          <w:tcPr>
            <w:tcW w:w="865" w:type="dxa"/>
            <w:shd w:val="clear" w:color="auto" w:fill="C00000"/>
          </w:tcPr>
          <w:p w:rsidR="00302E87" w:rsidRPr="00B06469" w:rsidRDefault="00302E87" w:rsidP="001F0139">
            <w:pPr>
              <w:rPr>
                <w:rFonts w:ascii="Times New Roman" w:hAnsi="Times New Roman" w:cs="Times New Roman"/>
                <w:b/>
                <w:sz w:val="24"/>
                <w:szCs w:val="24"/>
              </w:rPr>
            </w:pPr>
            <w:r w:rsidRPr="00B06469">
              <w:rPr>
                <w:rFonts w:ascii="Times New Roman" w:hAnsi="Times New Roman" w:cs="Times New Roman"/>
                <w:b/>
                <w:sz w:val="24"/>
                <w:szCs w:val="24"/>
              </w:rPr>
              <w:t>2030г.</w:t>
            </w:r>
          </w:p>
        </w:tc>
      </w:tr>
      <w:tr w:rsidR="00302E87" w:rsidRPr="00B06469" w:rsidTr="00A722E5">
        <w:trPr>
          <w:trHeight w:val="439"/>
          <w:jc w:val="center"/>
        </w:trPr>
        <w:tc>
          <w:tcPr>
            <w:tcW w:w="2509" w:type="dxa"/>
            <w:vMerge w:val="restart"/>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доля выпускников общеобразовательных организаций, сдавших единый государственный экзамен</w:t>
            </w:r>
          </w:p>
        </w:tc>
        <w:tc>
          <w:tcPr>
            <w:tcW w:w="675" w:type="dxa"/>
            <w:vMerge w:val="restart"/>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68%</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79%</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90%</w:t>
            </w:r>
          </w:p>
        </w:tc>
      </w:tr>
      <w:tr w:rsidR="00302E87" w:rsidRPr="00B06469" w:rsidTr="00A722E5">
        <w:trPr>
          <w:jc w:val="center"/>
        </w:trPr>
        <w:tc>
          <w:tcPr>
            <w:tcW w:w="2509" w:type="dxa"/>
            <w:vMerge/>
          </w:tcPr>
          <w:p w:rsidR="00302E87" w:rsidRPr="00B06469" w:rsidRDefault="00302E87" w:rsidP="001F0139">
            <w:pPr>
              <w:jc w:val="both"/>
              <w:rPr>
                <w:rFonts w:ascii="Times New Roman" w:hAnsi="Times New Roman" w:cs="Times New Roman"/>
                <w:sz w:val="24"/>
                <w:szCs w:val="24"/>
              </w:rPr>
            </w:pPr>
          </w:p>
        </w:tc>
        <w:tc>
          <w:tcPr>
            <w:tcW w:w="675" w:type="dxa"/>
            <w:vMerge/>
            <w:vAlign w:val="center"/>
          </w:tcPr>
          <w:p w:rsidR="00302E87" w:rsidRPr="00B06469" w:rsidRDefault="00302E87" w:rsidP="001F0139">
            <w:pPr>
              <w:jc w:val="both"/>
              <w:rPr>
                <w:rFonts w:ascii="Times New Roman" w:hAnsi="Times New Roman" w:cs="Times New Roman"/>
                <w:sz w:val="24"/>
                <w:szCs w:val="24"/>
              </w:rPr>
            </w:pPr>
          </w:p>
        </w:tc>
        <w:tc>
          <w:tcPr>
            <w:tcW w:w="1630"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70%</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80%</w:t>
            </w:r>
          </w:p>
        </w:tc>
        <w:tc>
          <w:tcPr>
            <w:tcW w:w="865" w:type="dxa"/>
            <w:vAlign w:val="center"/>
          </w:tcPr>
          <w:p w:rsidR="00302E87" w:rsidRPr="00B06469" w:rsidRDefault="00302E87" w:rsidP="001F0139">
            <w:pPr>
              <w:pStyle w:val="Default"/>
              <w:spacing w:line="360" w:lineRule="auto"/>
              <w:ind w:firstLine="709"/>
              <w:jc w:val="both"/>
              <w:rPr>
                <w:color w:val="auto"/>
              </w:rPr>
            </w:pPr>
            <w:r w:rsidRPr="00B06469">
              <w:rPr>
                <w:color w:val="auto"/>
              </w:rPr>
              <w:t xml:space="preserve">998%. </w:t>
            </w:r>
          </w:p>
          <w:p w:rsidR="00302E87" w:rsidRPr="00B06469" w:rsidRDefault="00302E87" w:rsidP="001F0139">
            <w:pPr>
              <w:jc w:val="both"/>
              <w:rPr>
                <w:rFonts w:ascii="Times New Roman" w:hAnsi="Times New Roman" w:cs="Times New Roman"/>
                <w:sz w:val="24"/>
                <w:szCs w:val="24"/>
              </w:rPr>
            </w:pPr>
          </w:p>
        </w:tc>
      </w:tr>
      <w:tr w:rsidR="00302E87" w:rsidRPr="00B06469" w:rsidTr="00A722E5">
        <w:trPr>
          <w:trHeight w:val="1767"/>
          <w:jc w:val="center"/>
        </w:trPr>
        <w:tc>
          <w:tcPr>
            <w:tcW w:w="2509" w:type="dxa"/>
            <w:vMerge w:val="restart"/>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удельный вес численности выпускников профессиональных образовательных учреждений, трудоустроившихся в течение одного года после окончания обучения по полученной специальности (профес</w:t>
            </w:r>
            <w:r w:rsidRPr="00B06469">
              <w:rPr>
                <w:rFonts w:ascii="Times New Roman" w:hAnsi="Times New Roman" w:cs="Times New Roman"/>
                <w:sz w:val="24"/>
                <w:szCs w:val="24"/>
              </w:rPr>
              <w:softHyphen/>
              <w:t>сии), в общей их численности</w:t>
            </w:r>
            <w:proofErr w:type="gramStart"/>
            <w:r w:rsidRPr="00B06469">
              <w:rPr>
                <w:rFonts w:ascii="Times New Roman" w:hAnsi="Times New Roman" w:cs="Times New Roman"/>
                <w:sz w:val="24"/>
                <w:szCs w:val="24"/>
              </w:rPr>
              <w:t xml:space="preserve"> -.</w:t>
            </w:r>
            <w:proofErr w:type="gramEnd"/>
          </w:p>
          <w:p w:rsidR="00302E87" w:rsidRPr="00B06469" w:rsidRDefault="00302E87" w:rsidP="001F0139">
            <w:pPr>
              <w:jc w:val="both"/>
              <w:rPr>
                <w:rFonts w:ascii="Times New Roman" w:hAnsi="Times New Roman" w:cs="Times New Roman"/>
                <w:sz w:val="24"/>
                <w:szCs w:val="24"/>
              </w:rPr>
            </w:pPr>
          </w:p>
        </w:tc>
        <w:tc>
          <w:tcPr>
            <w:tcW w:w="675" w:type="dxa"/>
            <w:vMerge w:val="restart"/>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48%</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57%</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68%</w:t>
            </w:r>
          </w:p>
        </w:tc>
      </w:tr>
      <w:tr w:rsidR="00302E87" w:rsidRPr="00B06469" w:rsidTr="00A722E5">
        <w:trPr>
          <w:jc w:val="center"/>
        </w:trPr>
        <w:tc>
          <w:tcPr>
            <w:tcW w:w="2509" w:type="dxa"/>
            <w:vMerge/>
          </w:tcPr>
          <w:p w:rsidR="00302E87" w:rsidRPr="00B06469" w:rsidRDefault="00302E87" w:rsidP="001F0139">
            <w:pPr>
              <w:jc w:val="both"/>
              <w:rPr>
                <w:rFonts w:ascii="Times New Roman" w:hAnsi="Times New Roman" w:cs="Times New Roman"/>
                <w:sz w:val="24"/>
                <w:szCs w:val="24"/>
              </w:rPr>
            </w:pPr>
          </w:p>
        </w:tc>
        <w:tc>
          <w:tcPr>
            <w:tcW w:w="675" w:type="dxa"/>
            <w:vMerge/>
          </w:tcPr>
          <w:p w:rsidR="00302E87" w:rsidRPr="00B06469" w:rsidRDefault="00302E87" w:rsidP="001F0139">
            <w:pPr>
              <w:jc w:val="both"/>
              <w:rPr>
                <w:rFonts w:ascii="Times New Roman" w:hAnsi="Times New Roman" w:cs="Times New Roman"/>
                <w:sz w:val="24"/>
                <w:szCs w:val="24"/>
              </w:rPr>
            </w:pPr>
          </w:p>
        </w:tc>
        <w:tc>
          <w:tcPr>
            <w:tcW w:w="1630"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50%</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60%</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70%</w:t>
            </w:r>
          </w:p>
        </w:tc>
      </w:tr>
      <w:tr w:rsidR="00302E87" w:rsidRPr="00B06469" w:rsidTr="00A722E5">
        <w:trPr>
          <w:trHeight w:val="1010"/>
          <w:jc w:val="center"/>
        </w:trPr>
        <w:tc>
          <w:tcPr>
            <w:tcW w:w="2509" w:type="dxa"/>
            <w:vMerge w:val="restart"/>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доля обучающихся, занимающихся в первую смену, в общей </w:t>
            </w:r>
            <w:proofErr w:type="gramStart"/>
            <w:r w:rsidRPr="00B06469">
              <w:rPr>
                <w:rFonts w:ascii="Times New Roman" w:hAnsi="Times New Roman" w:cs="Times New Roman"/>
                <w:sz w:val="24"/>
                <w:szCs w:val="24"/>
              </w:rPr>
              <w:t>численности</w:t>
            </w:r>
            <w:proofErr w:type="gramEnd"/>
            <w:r w:rsidRPr="00B06469">
              <w:rPr>
                <w:rFonts w:ascii="Times New Roman" w:hAnsi="Times New Roman" w:cs="Times New Roman"/>
                <w:sz w:val="24"/>
                <w:szCs w:val="24"/>
              </w:rPr>
              <w:t xml:space="preserve"> обучающихся в учреждениях, реализующих основные общеобразовательные программы общего образования - </w:t>
            </w:r>
          </w:p>
        </w:tc>
        <w:tc>
          <w:tcPr>
            <w:tcW w:w="675" w:type="dxa"/>
            <w:vMerge w:val="restart"/>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73%</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83%</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90%</w:t>
            </w:r>
          </w:p>
        </w:tc>
      </w:tr>
      <w:tr w:rsidR="00302E87" w:rsidRPr="00B06469" w:rsidTr="00A722E5">
        <w:trPr>
          <w:jc w:val="center"/>
        </w:trPr>
        <w:tc>
          <w:tcPr>
            <w:tcW w:w="2509" w:type="dxa"/>
            <w:vMerge/>
          </w:tcPr>
          <w:p w:rsidR="00302E87" w:rsidRPr="00B06469" w:rsidRDefault="00302E87" w:rsidP="001F0139">
            <w:pPr>
              <w:jc w:val="both"/>
              <w:rPr>
                <w:rFonts w:ascii="Times New Roman" w:hAnsi="Times New Roman" w:cs="Times New Roman"/>
                <w:sz w:val="24"/>
                <w:szCs w:val="24"/>
              </w:rPr>
            </w:pPr>
          </w:p>
        </w:tc>
        <w:tc>
          <w:tcPr>
            <w:tcW w:w="675" w:type="dxa"/>
            <w:vMerge/>
            <w:vAlign w:val="center"/>
          </w:tcPr>
          <w:p w:rsidR="00302E87" w:rsidRPr="00B06469" w:rsidRDefault="00302E87" w:rsidP="001F0139">
            <w:pPr>
              <w:jc w:val="both"/>
              <w:rPr>
                <w:rFonts w:ascii="Times New Roman" w:hAnsi="Times New Roman" w:cs="Times New Roman"/>
                <w:sz w:val="24"/>
                <w:szCs w:val="24"/>
              </w:rPr>
            </w:pPr>
          </w:p>
        </w:tc>
        <w:tc>
          <w:tcPr>
            <w:tcW w:w="1630"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85%</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96%</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100%.</w:t>
            </w:r>
          </w:p>
          <w:p w:rsidR="00302E87" w:rsidRPr="00B06469" w:rsidRDefault="00302E87" w:rsidP="001F0139">
            <w:pPr>
              <w:jc w:val="both"/>
              <w:rPr>
                <w:rFonts w:ascii="Times New Roman" w:hAnsi="Times New Roman" w:cs="Times New Roman"/>
                <w:sz w:val="24"/>
                <w:szCs w:val="24"/>
              </w:rPr>
            </w:pPr>
          </w:p>
        </w:tc>
      </w:tr>
    </w:tbl>
    <w:p w:rsidR="00302E87" w:rsidRPr="00B06469" w:rsidRDefault="00302E87"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tbl>
      <w:tblPr>
        <w:tblStyle w:val="a9"/>
        <w:tblW w:w="0" w:type="auto"/>
        <w:jc w:val="center"/>
        <w:tblLook w:val="04A0" w:firstRow="1" w:lastRow="0" w:firstColumn="1" w:lastColumn="0" w:noHBand="0" w:noVBand="1"/>
      </w:tblPr>
      <w:tblGrid>
        <w:gridCol w:w="2509"/>
        <w:gridCol w:w="675"/>
        <w:gridCol w:w="1630"/>
        <w:gridCol w:w="865"/>
        <w:gridCol w:w="865"/>
        <w:gridCol w:w="865"/>
      </w:tblGrid>
      <w:tr w:rsidR="00302E87" w:rsidRPr="00B06469" w:rsidTr="00A722E5">
        <w:trPr>
          <w:jc w:val="center"/>
        </w:trPr>
        <w:tc>
          <w:tcPr>
            <w:tcW w:w="2509" w:type="dxa"/>
            <w:shd w:val="clear" w:color="auto" w:fill="C00000"/>
          </w:tcPr>
          <w:p w:rsidR="00302E87" w:rsidRPr="00B06469" w:rsidRDefault="00302E87" w:rsidP="001F0139">
            <w:pPr>
              <w:jc w:val="center"/>
              <w:rPr>
                <w:rFonts w:ascii="Times New Roman" w:hAnsi="Times New Roman" w:cs="Times New Roman"/>
                <w:b/>
                <w:sz w:val="24"/>
                <w:szCs w:val="24"/>
              </w:rPr>
            </w:pPr>
            <w:r w:rsidRPr="00B06469">
              <w:rPr>
                <w:rFonts w:ascii="Times New Roman" w:hAnsi="Times New Roman" w:cs="Times New Roman"/>
                <w:b/>
                <w:sz w:val="24"/>
                <w:szCs w:val="24"/>
              </w:rPr>
              <w:t>Целевой показатель</w:t>
            </w:r>
          </w:p>
        </w:tc>
        <w:tc>
          <w:tcPr>
            <w:tcW w:w="675" w:type="dxa"/>
            <w:shd w:val="clear" w:color="auto" w:fill="C00000"/>
          </w:tcPr>
          <w:p w:rsidR="00302E87" w:rsidRPr="00B06469" w:rsidRDefault="00302E87" w:rsidP="001F0139">
            <w:pPr>
              <w:jc w:val="center"/>
              <w:rPr>
                <w:rFonts w:ascii="Times New Roman" w:hAnsi="Times New Roman" w:cs="Times New Roman"/>
                <w:b/>
                <w:sz w:val="24"/>
                <w:szCs w:val="24"/>
              </w:rPr>
            </w:pPr>
            <w:r w:rsidRPr="00B06469">
              <w:rPr>
                <w:rFonts w:ascii="Times New Roman" w:hAnsi="Times New Roman" w:cs="Times New Roman"/>
                <w:b/>
                <w:sz w:val="24"/>
                <w:szCs w:val="24"/>
              </w:rPr>
              <w:t>Ед. изм.</w:t>
            </w:r>
          </w:p>
        </w:tc>
        <w:tc>
          <w:tcPr>
            <w:tcW w:w="1630" w:type="dxa"/>
            <w:shd w:val="clear" w:color="auto" w:fill="C00000"/>
            <w:vAlign w:val="center"/>
          </w:tcPr>
          <w:p w:rsidR="00302E87" w:rsidRPr="00B06469" w:rsidRDefault="00302E87" w:rsidP="001F0139">
            <w:pPr>
              <w:jc w:val="center"/>
              <w:rPr>
                <w:rFonts w:ascii="Times New Roman" w:hAnsi="Times New Roman" w:cs="Times New Roman"/>
                <w:b/>
                <w:sz w:val="24"/>
                <w:szCs w:val="24"/>
              </w:rPr>
            </w:pPr>
            <w:r w:rsidRPr="00B06469">
              <w:rPr>
                <w:rFonts w:ascii="Times New Roman" w:hAnsi="Times New Roman" w:cs="Times New Roman"/>
                <w:b/>
                <w:sz w:val="24"/>
                <w:szCs w:val="24"/>
              </w:rPr>
              <w:t>Сценарий</w:t>
            </w:r>
          </w:p>
        </w:tc>
        <w:tc>
          <w:tcPr>
            <w:tcW w:w="865" w:type="dxa"/>
            <w:shd w:val="clear" w:color="auto" w:fill="C00000"/>
          </w:tcPr>
          <w:p w:rsidR="00302E87" w:rsidRPr="00B06469" w:rsidRDefault="00302E87" w:rsidP="001F0139">
            <w:pPr>
              <w:rPr>
                <w:rFonts w:ascii="Times New Roman" w:hAnsi="Times New Roman" w:cs="Times New Roman"/>
                <w:b/>
                <w:sz w:val="24"/>
                <w:szCs w:val="24"/>
              </w:rPr>
            </w:pPr>
            <w:r w:rsidRPr="00B06469">
              <w:rPr>
                <w:rFonts w:ascii="Times New Roman" w:hAnsi="Times New Roman" w:cs="Times New Roman"/>
                <w:b/>
                <w:sz w:val="24"/>
                <w:szCs w:val="24"/>
              </w:rPr>
              <w:t>2020г.</w:t>
            </w:r>
          </w:p>
        </w:tc>
        <w:tc>
          <w:tcPr>
            <w:tcW w:w="865" w:type="dxa"/>
            <w:shd w:val="clear" w:color="auto" w:fill="C00000"/>
          </w:tcPr>
          <w:p w:rsidR="00302E87" w:rsidRPr="00B06469" w:rsidRDefault="00302E87" w:rsidP="001F0139">
            <w:pPr>
              <w:rPr>
                <w:rFonts w:ascii="Times New Roman" w:hAnsi="Times New Roman" w:cs="Times New Roman"/>
                <w:b/>
                <w:sz w:val="24"/>
                <w:szCs w:val="24"/>
              </w:rPr>
            </w:pPr>
            <w:r w:rsidRPr="00B06469">
              <w:rPr>
                <w:rFonts w:ascii="Times New Roman" w:hAnsi="Times New Roman" w:cs="Times New Roman"/>
                <w:b/>
                <w:sz w:val="24"/>
                <w:szCs w:val="24"/>
              </w:rPr>
              <w:t>2025г.</w:t>
            </w:r>
          </w:p>
        </w:tc>
        <w:tc>
          <w:tcPr>
            <w:tcW w:w="865" w:type="dxa"/>
            <w:shd w:val="clear" w:color="auto" w:fill="C00000"/>
          </w:tcPr>
          <w:p w:rsidR="00302E87" w:rsidRPr="00B06469" w:rsidRDefault="00302E87" w:rsidP="001F0139">
            <w:pPr>
              <w:rPr>
                <w:rFonts w:ascii="Times New Roman" w:hAnsi="Times New Roman" w:cs="Times New Roman"/>
                <w:b/>
                <w:sz w:val="24"/>
                <w:szCs w:val="24"/>
              </w:rPr>
            </w:pPr>
            <w:r w:rsidRPr="00B06469">
              <w:rPr>
                <w:rFonts w:ascii="Times New Roman" w:hAnsi="Times New Roman" w:cs="Times New Roman"/>
                <w:b/>
                <w:sz w:val="24"/>
                <w:szCs w:val="24"/>
              </w:rPr>
              <w:t>2030г.</w:t>
            </w:r>
          </w:p>
        </w:tc>
      </w:tr>
      <w:tr w:rsidR="00302E87" w:rsidRPr="00B06469" w:rsidTr="00A722E5">
        <w:trPr>
          <w:trHeight w:val="439"/>
          <w:jc w:val="center"/>
        </w:trPr>
        <w:tc>
          <w:tcPr>
            <w:tcW w:w="2509" w:type="dxa"/>
            <w:vMerge w:val="restart"/>
          </w:tcPr>
          <w:p w:rsidR="00302E87" w:rsidRPr="00B06469" w:rsidRDefault="00302E87" w:rsidP="001F0139">
            <w:pPr>
              <w:rPr>
                <w:rFonts w:ascii="Times New Roman" w:hAnsi="Times New Roman" w:cs="Times New Roman"/>
                <w:sz w:val="24"/>
                <w:szCs w:val="24"/>
              </w:rPr>
            </w:pPr>
            <w:r w:rsidRPr="00B06469">
              <w:rPr>
                <w:rFonts w:ascii="Times New Roman" w:hAnsi="Times New Roman" w:cs="Times New Roman"/>
                <w:sz w:val="24"/>
                <w:szCs w:val="24"/>
              </w:rPr>
              <w:t>Численность врачей на 10 000 человек населения, лет.</w:t>
            </w:r>
          </w:p>
        </w:tc>
        <w:tc>
          <w:tcPr>
            <w:tcW w:w="675" w:type="dxa"/>
            <w:vMerge w:val="restart"/>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29%</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31%</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33,5%</w:t>
            </w:r>
          </w:p>
        </w:tc>
      </w:tr>
      <w:tr w:rsidR="00302E87" w:rsidRPr="00B06469" w:rsidTr="00A722E5">
        <w:trPr>
          <w:jc w:val="center"/>
        </w:trPr>
        <w:tc>
          <w:tcPr>
            <w:tcW w:w="2509" w:type="dxa"/>
            <w:vMerge/>
          </w:tcPr>
          <w:p w:rsidR="00302E87" w:rsidRPr="00B06469" w:rsidRDefault="00302E87" w:rsidP="001F0139">
            <w:pPr>
              <w:rPr>
                <w:rFonts w:ascii="Times New Roman" w:hAnsi="Times New Roman" w:cs="Times New Roman"/>
                <w:sz w:val="24"/>
                <w:szCs w:val="24"/>
              </w:rPr>
            </w:pPr>
          </w:p>
        </w:tc>
        <w:tc>
          <w:tcPr>
            <w:tcW w:w="675" w:type="dxa"/>
            <w:vMerge/>
            <w:vAlign w:val="center"/>
          </w:tcPr>
          <w:p w:rsidR="00302E87" w:rsidRPr="00B06469" w:rsidRDefault="00302E87" w:rsidP="001F0139">
            <w:pPr>
              <w:jc w:val="center"/>
              <w:rPr>
                <w:rFonts w:ascii="Times New Roman" w:hAnsi="Times New Roman" w:cs="Times New Roman"/>
                <w:sz w:val="24"/>
                <w:szCs w:val="24"/>
              </w:rPr>
            </w:pPr>
          </w:p>
        </w:tc>
        <w:tc>
          <w:tcPr>
            <w:tcW w:w="1630"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30%</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33%</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35,6%</w:t>
            </w:r>
          </w:p>
        </w:tc>
      </w:tr>
      <w:tr w:rsidR="00302E87" w:rsidRPr="00B06469" w:rsidTr="00A722E5">
        <w:trPr>
          <w:trHeight w:val="451"/>
          <w:jc w:val="center"/>
        </w:trPr>
        <w:tc>
          <w:tcPr>
            <w:tcW w:w="2509" w:type="dxa"/>
            <w:vMerge w:val="restart"/>
          </w:tcPr>
          <w:p w:rsidR="00302E87" w:rsidRPr="00B06469" w:rsidRDefault="00302E87" w:rsidP="001F0139">
            <w:pPr>
              <w:rPr>
                <w:rFonts w:ascii="Times New Roman" w:hAnsi="Times New Roman" w:cs="Times New Roman"/>
                <w:sz w:val="24"/>
                <w:szCs w:val="24"/>
              </w:rPr>
            </w:pPr>
            <w:r w:rsidRPr="00B06469">
              <w:rPr>
                <w:rFonts w:ascii="Times New Roman" w:hAnsi="Times New Roman" w:cs="Times New Roman"/>
                <w:sz w:val="24"/>
                <w:szCs w:val="24"/>
              </w:rPr>
              <w:t>Число больничных коек круглосуточных стационаров на 10 000 человек</w:t>
            </w:r>
          </w:p>
        </w:tc>
        <w:tc>
          <w:tcPr>
            <w:tcW w:w="675" w:type="dxa"/>
            <w:vMerge w:val="restart"/>
          </w:tcPr>
          <w:p w:rsidR="00302E87" w:rsidRPr="00B06469" w:rsidRDefault="00302E87" w:rsidP="001F0139">
            <w:pPr>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!6%</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17%</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19%</w:t>
            </w:r>
          </w:p>
        </w:tc>
      </w:tr>
      <w:tr w:rsidR="00302E87" w:rsidRPr="00B06469" w:rsidTr="00A722E5">
        <w:trPr>
          <w:jc w:val="center"/>
        </w:trPr>
        <w:tc>
          <w:tcPr>
            <w:tcW w:w="2509" w:type="dxa"/>
            <w:vMerge/>
          </w:tcPr>
          <w:p w:rsidR="00302E87" w:rsidRPr="00B06469" w:rsidRDefault="00302E87" w:rsidP="001F0139">
            <w:pPr>
              <w:rPr>
                <w:rFonts w:ascii="Times New Roman" w:hAnsi="Times New Roman" w:cs="Times New Roman"/>
                <w:sz w:val="24"/>
                <w:szCs w:val="24"/>
              </w:rPr>
            </w:pPr>
          </w:p>
        </w:tc>
        <w:tc>
          <w:tcPr>
            <w:tcW w:w="675" w:type="dxa"/>
            <w:vMerge/>
          </w:tcPr>
          <w:p w:rsidR="00302E87" w:rsidRPr="00B06469" w:rsidRDefault="00302E87" w:rsidP="001F0139">
            <w:pPr>
              <w:jc w:val="center"/>
              <w:rPr>
                <w:rFonts w:ascii="Times New Roman" w:hAnsi="Times New Roman" w:cs="Times New Roman"/>
                <w:sz w:val="24"/>
                <w:szCs w:val="24"/>
              </w:rPr>
            </w:pPr>
          </w:p>
        </w:tc>
        <w:tc>
          <w:tcPr>
            <w:tcW w:w="1630"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17%</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20%</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21,7%</w:t>
            </w:r>
          </w:p>
        </w:tc>
      </w:tr>
      <w:tr w:rsidR="00302E87" w:rsidRPr="00B06469" w:rsidTr="00A722E5">
        <w:trPr>
          <w:jc w:val="center"/>
        </w:trPr>
        <w:tc>
          <w:tcPr>
            <w:tcW w:w="2509" w:type="dxa"/>
            <w:vMerge w:val="restart"/>
          </w:tcPr>
          <w:p w:rsidR="00302E87" w:rsidRPr="00B06469" w:rsidRDefault="00302E87" w:rsidP="001F0139">
            <w:pPr>
              <w:pStyle w:val="Default"/>
            </w:pPr>
            <w:r w:rsidRPr="00B06469">
              <w:t xml:space="preserve">Удовлетворенность населения </w:t>
            </w:r>
            <w:r w:rsidRPr="00B06469">
              <w:lastRenderedPageBreak/>
              <w:t>медицинской помощью</w:t>
            </w:r>
          </w:p>
        </w:tc>
        <w:tc>
          <w:tcPr>
            <w:tcW w:w="675" w:type="dxa"/>
            <w:vMerge w:val="restart"/>
          </w:tcPr>
          <w:p w:rsidR="00302E87" w:rsidRPr="00B06469" w:rsidRDefault="00302E87" w:rsidP="001F0139">
            <w:pPr>
              <w:rPr>
                <w:rFonts w:ascii="Times New Roman" w:hAnsi="Times New Roman" w:cs="Times New Roman"/>
                <w:sz w:val="24"/>
                <w:szCs w:val="24"/>
              </w:rPr>
            </w:pPr>
            <w:r w:rsidRPr="00B06469">
              <w:rPr>
                <w:rFonts w:ascii="Times New Roman" w:hAnsi="Times New Roman" w:cs="Times New Roman"/>
                <w:sz w:val="24"/>
                <w:szCs w:val="24"/>
              </w:rPr>
              <w:lastRenderedPageBreak/>
              <w:t>%</w:t>
            </w:r>
          </w:p>
        </w:tc>
        <w:tc>
          <w:tcPr>
            <w:tcW w:w="1630"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73%</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83%</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90%</w:t>
            </w:r>
          </w:p>
        </w:tc>
      </w:tr>
      <w:tr w:rsidR="00302E87" w:rsidRPr="00B06469" w:rsidTr="00A722E5">
        <w:trPr>
          <w:jc w:val="center"/>
        </w:trPr>
        <w:tc>
          <w:tcPr>
            <w:tcW w:w="2509" w:type="dxa"/>
            <w:vMerge/>
          </w:tcPr>
          <w:p w:rsidR="00302E87" w:rsidRPr="00B06469" w:rsidRDefault="00302E87" w:rsidP="001F0139">
            <w:pPr>
              <w:pStyle w:val="Default"/>
            </w:pPr>
          </w:p>
        </w:tc>
        <w:tc>
          <w:tcPr>
            <w:tcW w:w="675" w:type="dxa"/>
            <w:vMerge/>
            <w:vAlign w:val="center"/>
          </w:tcPr>
          <w:p w:rsidR="00302E87" w:rsidRPr="00B06469" w:rsidRDefault="00302E87" w:rsidP="001F0139">
            <w:pPr>
              <w:jc w:val="center"/>
              <w:rPr>
                <w:rFonts w:ascii="Times New Roman" w:hAnsi="Times New Roman" w:cs="Times New Roman"/>
                <w:sz w:val="24"/>
                <w:szCs w:val="24"/>
              </w:rPr>
            </w:pPr>
          </w:p>
        </w:tc>
        <w:tc>
          <w:tcPr>
            <w:tcW w:w="1630"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75%</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85%</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95%</w:t>
            </w:r>
          </w:p>
        </w:tc>
      </w:tr>
      <w:tr w:rsidR="00302E87" w:rsidRPr="00B06469" w:rsidTr="00A722E5">
        <w:trPr>
          <w:trHeight w:val="413"/>
          <w:jc w:val="center"/>
        </w:trPr>
        <w:tc>
          <w:tcPr>
            <w:tcW w:w="2509" w:type="dxa"/>
            <w:vMerge w:val="restart"/>
          </w:tcPr>
          <w:p w:rsidR="00302E87" w:rsidRPr="00B06469" w:rsidRDefault="00302E87" w:rsidP="001F0139">
            <w:pPr>
              <w:rPr>
                <w:rFonts w:ascii="Times New Roman" w:hAnsi="Times New Roman" w:cs="Times New Roman"/>
                <w:sz w:val="24"/>
                <w:szCs w:val="24"/>
              </w:rPr>
            </w:pPr>
            <w:r w:rsidRPr="00B06469">
              <w:rPr>
                <w:rFonts w:ascii="Times New Roman" w:hAnsi="Times New Roman" w:cs="Times New Roman"/>
                <w:sz w:val="24"/>
                <w:szCs w:val="24"/>
              </w:rPr>
              <w:lastRenderedPageBreak/>
              <w:t>Ожидаемая продолжительность жизни</w:t>
            </w:r>
          </w:p>
        </w:tc>
        <w:tc>
          <w:tcPr>
            <w:tcW w:w="675" w:type="dxa"/>
            <w:vMerge w:val="restart"/>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лет</w:t>
            </w:r>
          </w:p>
        </w:tc>
        <w:tc>
          <w:tcPr>
            <w:tcW w:w="1630"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76</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77</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79</w:t>
            </w:r>
          </w:p>
        </w:tc>
      </w:tr>
      <w:tr w:rsidR="00302E87" w:rsidRPr="00B06469" w:rsidTr="00A722E5">
        <w:trPr>
          <w:trHeight w:val="412"/>
          <w:jc w:val="center"/>
        </w:trPr>
        <w:tc>
          <w:tcPr>
            <w:tcW w:w="2509" w:type="dxa"/>
            <w:vMerge/>
          </w:tcPr>
          <w:p w:rsidR="00302E87" w:rsidRPr="00B06469" w:rsidRDefault="00302E87" w:rsidP="001F0139">
            <w:pPr>
              <w:rPr>
                <w:rFonts w:ascii="Times New Roman" w:hAnsi="Times New Roman" w:cs="Times New Roman"/>
                <w:sz w:val="24"/>
                <w:szCs w:val="24"/>
              </w:rPr>
            </w:pPr>
          </w:p>
        </w:tc>
        <w:tc>
          <w:tcPr>
            <w:tcW w:w="675" w:type="dxa"/>
            <w:vMerge/>
            <w:vAlign w:val="center"/>
          </w:tcPr>
          <w:p w:rsidR="00302E87" w:rsidRPr="00B06469" w:rsidRDefault="00302E87" w:rsidP="001F0139">
            <w:pPr>
              <w:jc w:val="center"/>
              <w:rPr>
                <w:rFonts w:ascii="Times New Roman" w:hAnsi="Times New Roman" w:cs="Times New Roman"/>
                <w:sz w:val="24"/>
                <w:szCs w:val="24"/>
              </w:rPr>
            </w:pPr>
          </w:p>
        </w:tc>
        <w:tc>
          <w:tcPr>
            <w:tcW w:w="1630"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77</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78</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80</w:t>
            </w:r>
          </w:p>
        </w:tc>
      </w:tr>
    </w:tbl>
    <w:p w:rsidR="008D1B35" w:rsidRPr="00B06469" w:rsidRDefault="008D1B35"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8D1B35" w:rsidRPr="00B06469" w:rsidRDefault="008D1B35"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2760F1" w:rsidRPr="00B06469" w:rsidRDefault="002760F1">
      <w:pPr>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br w:type="page"/>
      </w:r>
    </w:p>
    <w:p w:rsidR="00E74438" w:rsidRPr="00B06469" w:rsidRDefault="00E74438" w:rsidP="001F0139">
      <w:pPr>
        <w:pStyle w:val="a3"/>
        <w:widowControl w:val="0"/>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lastRenderedPageBreak/>
        <w:t>7. Создание комфортного пространства района</w:t>
      </w:r>
      <w:r w:rsidR="002760F1" w:rsidRPr="00B06469">
        <w:rPr>
          <w:rFonts w:ascii="Times New Roman" w:hAnsi="Times New Roman" w:cs="Times New Roman"/>
          <w:b/>
          <w:color w:val="365F91" w:themeColor="accent1" w:themeShade="BF"/>
          <w:sz w:val="24"/>
          <w:szCs w:val="24"/>
        </w:rPr>
        <w:t xml:space="preserve"> </w:t>
      </w:r>
      <w:r w:rsidRPr="00B06469">
        <w:rPr>
          <w:rFonts w:ascii="Times New Roman" w:hAnsi="Times New Roman" w:cs="Times New Roman"/>
          <w:b/>
          <w:color w:val="365F91" w:themeColor="accent1" w:themeShade="BF"/>
          <w:sz w:val="24"/>
          <w:szCs w:val="24"/>
        </w:rPr>
        <w:t>для гармоничного развития человеческого капитала</w:t>
      </w:r>
    </w:p>
    <w:p w:rsidR="00E74438" w:rsidRPr="00B06469" w:rsidRDefault="00E7443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7.1. Стратегическая диагностика</w:t>
      </w:r>
    </w:p>
    <w:p w:rsidR="00FA0047" w:rsidRPr="00B06469" w:rsidRDefault="00FA0047" w:rsidP="001F0139">
      <w:pPr>
        <w:shd w:val="clear" w:color="auto" w:fill="FFFFFF"/>
        <w:spacing w:after="0" w:line="360" w:lineRule="auto"/>
        <w:contextualSpacing/>
        <w:jc w:val="both"/>
        <w:rPr>
          <w:rFonts w:ascii="Times New Roman" w:eastAsia="Times New Roman" w:hAnsi="Times New Roman" w:cs="Times New Roman"/>
          <w:sz w:val="24"/>
          <w:szCs w:val="24"/>
        </w:rPr>
      </w:pPr>
    </w:p>
    <w:p w:rsidR="00FA0047" w:rsidRPr="00B06469" w:rsidRDefault="00FA0047" w:rsidP="001F0139">
      <w:pPr>
        <w:spacing w:after="0" w:line="360" w:lineRule="auto"/>
        <w:contextualSpacing/>
        <w:outlineLvl w:val="2"/>
        <w:rPr>
          <w:rFonts w:ascii="Times New Roman" w:hAnsi="Times New Roman" w:cs="Times New Roman"/>
          <w:b/>
          <w:color w:val="365F91"/>
          <w:sz w:val="24"/>
          <w:szCs w:val="24"/>
        </w:rPr>
      </w:pPr>
      <w:bookmarkStart w:id="25" w:name="_Toc520894847"/>
      <w:r w:rsidRPr="00B06469">
        <w:rPr>
          <w:rFonts w:ascii="Times New Roman" w:hAnsi="Times New Roman" w:cs="Times New Roman"/>
          <w:b/>
          <w:color w:val="365F91"/>
          <w:sz w:val="24"/>
          <w:szCs w:val="24"/>
        </w:rPr>
        <w:t>Жилье, градостроительство и комфортная среда</w:t>
      </w:r>
      <w:bookmarkEnd w:id="25"/>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Формирование комфортной среды проживания является приоритетной задачей развития муниципальных образований, важнейшим условием для закрепления в сельской местности молодежи, роста обеспеченности трудовыми ресурсами экономики муниципального района.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Зона комфорта определяется как оптимальное для человека соотношение и сочетание всех факторов среды, как природной, так и физической и социально-экономической. Среда же определяется как фон для конкретной деятельности.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Анализ развития </w:t>
      </w:r>
      <w:proofErr w:type="spellStart"/>
      <w:r w:rsidRPr="00B06469">
        <w:rPr>
          <w:rFonts w:ascii="Times New Roman" w:hAnsi="Times New Roman" w:cs="Times New Roman"/>
          <w:sz w:val="24"/>
          <w:szCs w:val="24"/>
        </w:rPr>
        <w:t>жилищно</w:t>
      </w:r>
      <w:proofErr w:type="spellEnd"/>
      <w:r w:rsidRPr="00B06469">
        <w:rPr>
          <w:rFonts w:ascii="Times New Roman" w:hAnsi="Times New Roman" w:cs="Times New Roman"/>
          <w:sz w:val="24"/>
          <w:szCs w:val="24"/>
        </w:rPr>
        <w:t xml:space="preserve">–коммунального хозяйства и среды проживания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позволил выявить, как достоинства, так и недостатки в состоянии изучаемой проблемы. Одним из положительных моментов развития ЖКХ района является устойчивый рост обеспеченности жильем и общей площади вводимого в эксплуатацию жилья.</w:t>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579F6083" wp14:editId="18465789">
            <wp:extent cx="5437632" cy="2865120"/>
            <wp:effectExtent l="0" t="0" r="0" b="0"/>
            <wp:docPr id="47"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A0047" w:rsidRPr="00B06469" w:rsidRDefault="00FA0047"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1.6.1 </w:t>
      </w:r>
      <w:r w:rsidRPr="00B06469">
        <w:rPr>
          <w:rFonts w:ascii="Times New Roman" w:hAnsi="Times New Roman" w:cs="Times New Roman"/>
          <w:b/>
          <w:sz w:val="24"/>
          <w:szCs w:val="24"/>
        </w:rPr>
        <w:t xml:space="preserve">– Жилой фонд </w:t>
      </w:r>
      <w:proofErr w:type="spellStart"/>
      <w:r w:rsidRPr="00B06469">
        <w:rPr>
          <w:rFonts w:ascii="Times New Roman" w:hAnsi="Times New Roman" w:cs="Times New Roman"/>
          <w:b/>
          <w:sz w:val="24"/>
          <w:szCs w:val="24"/>
        </w:rPr>
        <w:t>Камышлинского</w:t>
      </w:r>
      <w:proofErr w:type="spellEnd"/>
      <w:r w:rsidRPr="00B06469">
        <w:rPr>
          <w:rFonts w:ascii="Times New Roman" w:hAnsi="Times New Roman" w:cs="Times New Roman"/>
          <w:b/>
          <w:sz w:val="24"/>
          <w:szCs w:val="24"/>
        </w:rPr>
        <w:t xml:space="preserve"> района в 2012-2016 гг.</w:t>
      </w:r>
    </w:p>
    <w:p w:rsidR="00FA0047" w:rsidRPr="00B06469" w:rsidRDefault="00FA0047" w:rsidP="001F0139">
      <w:pPr>
        <w:widowControl w:val="0"/>
        <w:spacing w:after="0" w:line="240" w:lineRule="auto"/>
        <w:jc w:val="center"/>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Общая площадь жилищного фонда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в 2016 г. составила 276,5 тыс. м</w:t>
      </w:r>
      <w:proofErr w:type="gramStart"/>
      <w:r w:rsidRPr="00B06469">
        <w:rPr>
          <w:rFonts w:ascii="Times New Roman" w:hAnsi="Times New Roman" w:cs="Times New Roman"/>
          <w:sz w:val="24"/>
          <w:szCs w:val="24"/>
          <w:vertAlign w:val="superscript"/>
        </w:rPr>
        <w:t>2</w:t>
      </w:r>
      <w:proofErr w:type="gramEnd"/>
      <w:r w:rsidRPr="00B06469">
        <w:rPr>
          <w:rFonts w:ascii="Times New Roman" w:hAnsi="Times New Roman" w:cs="Times New Roman"/>
          <w:sz w:val="24"/>
          <w:szCs w:val="24"/>
        </w:rPr>
        <w:t xml:space="preserve"> , по сравнению с 2012 годом она увеличилась на 15%. Жилой фонд увеличивается в среднем ежегодно на 4%, что выше, чем по Самарской области (1,7% в год). Доля многоквартирных домов района, в которых собственники помещений выбрали и реализуют один из способов управления многоквартирными домами, в общем числе многоквартирных домов составляет 100%.</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силу того, что с 2014 года район включился в</w:t>
      </w:r>
      <w:r w:rsidRPr="00B06469">
        <w:rPr>
          <w:rFonts w:ascii="Times New Roman" w:hAnsi="Times New Roman" w:cs="Times New Roman"/>
          <w:b/>
          <w:sz w:val="24"/>
          <w:szCs w:val="24"/>
        </w:rPr>
        <w:t xml:space="preserve"> </w:t>
      </w:r>
      <w:r w:rsidRPr="00B06469">
        <w:rPr>
          <w:rFonts w:ascii="Times New Roman" w:hAnsi="Times New Roman" w:cs="Times New Roman"/>
          <w:sz w:val="24"/>
          <w:szCs w:val="24"/>
        </w:rPr>
        <w:t>областную программу «</w:t>
      </w:r>
      <w:r w:rsidRPr="00B06469">
        <w:rPr>
          <w:rFonts w:ascii="Times New Roman" w:eastAsia="Arial" w:hAnsi="Times New Roman" w:cs="Times New Roman"/>
          <w:sz w:val="24"/>
          <w:szCs w:val="24"/>
        </w:rPr>
        <w:t>Устойчивое развитие сельских территорий Самарской области</w:t>
      </w:r>
      <w:r w:rsidRPr="00B06469">
        <w:rPr>
          <w:rFonts w:ascii="Times New Roman" w:hAnsi="Times New Roman" w:cs="Times New Roman"/>
          <w:sz w:val="24"/>
          <w:szCs w:val="24"/>
        </w:rPr>
        <w:t xml:space="preserve"> на 2013-2017 гг. и на период до 2020 </w:t>
      </w:r>
      <w:r w:rsidRPr="00B06469">
        <w:rPr>
          <w:rFonts w:ascii="Times New Roman" w:hAnsi="Times New Roman" w:cs="Times New Roman"/>
          <w:sz w:val="24"/>
          <w:szCs w:val="24"/>
        </w:rPr>
        <w:lastRenderedPageBreak/>
        <w:t>года», заметно выросло количество индивидуальных застройщиков. В 2016 году 8 жителей района построили и ввели в эксплуатацию свои дома общей площадью 787 м</w:t>
      </w:r>
      <w:proofErr w:type="gramStart"/>
      <w:r w:rsidRPr="00B06469">
        <w:rPr>
          <w:rFonts w:ascii="Times New Roman" w:hAnsi="Times New Roman" w:cs="Times New Roman"/>
          <w:sz w:val="24"/>
          <w:szCs w:val="24"/>
          <w:vertAlign w:val="superscript"/>
        </w:rPr>
        <w:t>2</w:t>
      </w:r>
      <w:proofErr w:type="gramEnd"/>
      <w:r w:rsidRPr="00B06469">
        <w:rPr>
          <w:rFonts w:ascii="Times New Roman" w:hAnsi="Times New Roman" w:cs="Times New Roman"/>
          <w:sz w:val="24"/>
          <w:szCs w:val="24"/>
        </w:rPr>
        <w:t>.</w:t>
      </w:r>
      <w:r w:rsidRPr="00B06469">
        <w:rPr>
          <w:rFonts w:ascii="Times New Roman" w:hAnsi="Times New Roman" w:cs="Times New Roman"/>
          <w:kern w:val="2"/>
          <w:sz w:val="24"/>
          <w:szCs w:val="24"/>
        </w:rPr>
        <w:t xml:space="preserve">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color w:val="000000"/>
          <w:sz w:val="24"/>
          <w:szCs w:val="24"/>
        </w:rPr>
        <w:t xml:space="preserve"> В 2016 году для жилищного строительства, индивидуального жилищного строительства предоставлено 8 земельных участков общей площади 0,8 га. </w:t>
      </w:r>
      <w:r w:rsidRPr="00B06469">
        <w:rPr>
          <w:rFonts w:ascii="Times New Roman" w:hAnsi="Times New Roman" w:cs="Times New Roman"/>
          <w:sz w:val="24"/>
          <w:szCs w:val="24"/>
        </w:rPr>
        <w:t xml:space="preserve">Ввод в действие общей площади жилых помещений </w:t>
      </w:r>
      <w:r w:rsidRPr="00B06469">
        <w:rPr>
          <w:rFonts w:ascii="Times New Roman" w:hAnsi="Times New Roman" w:cs="Times New Roman"/>
          <w:sz w:val="24"/>
          <w:szCs w:val="24"/>
        </w:rPr>
        <w:br/>
        <w:t>в расчете на 1000 жителей, в 2016 году составил 232,1 м</w:t>
      </w:r>
      <w:proofErr w:type="gramStart"/>
      <w:r w:rsidRPr="00B06469">
        <w:rPr>
          <w:rFonts w:ascii="Times New Roman" w:hAnsi="Times New Roman" w:cs="Times New Roman"/>
          <w:sz w:val="24"/>
          <w:szCs w:val="24"/>
          <w:vertAlign w:val="superscript"/>
        </w:rPr>
        <w:t>2</w:t>
      </w:r>
      <w:proofErr w:type="gramEnd"/>
      <w:r w:rsidRPr="00B06469">
        <w:rPr>
          <w:rFonts w:ascii="Times New Roman" w:hAnsi="Times New Roman" w:cs="Times New Roman"/>
          <w:sz w:val="24"/>
          <w:szCs w:val="24"/>
        </w:rPr>
        <w:t xml:space="preserve"> , что в 2 раза меньше среднего значения по Самарской области (528,2 м</w:t>
      </w:r>
      <w:r w:rsidRPr="00B06469">
        <w:rPr>
          <w:rFonts w:ascii="Times New Roman" w:hAnsi="Times New Roman" w:cs="Times New Roman"/>
          <w:sz w:val="24"/>
          <w:szCs w:val="24"/>
          <w:vertAlign w:val="superscript"/>
        </w:rPr>
        <w:t>2</w:t>
      </w:r>
      <w:r w:rsidRPr="00B06469">
        <w:rPr>
          <w:rFonts w:ascii="Times New Roman" w:hAnsi="Times New Roman" w:cs="Times New Roman"/>
          <w:sz w:val="24"/>
          <w:szCs w:val="24"/>
        </w:rPr>
        <w:t xml:space="preserve">). По данному показателю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район находится на 20 месте среди сельских муниципальных образований Самарской области (рис. 1.6.2). </w:t>
      </w:r>
    </w:p>
    <w:p w:rsidR="00FA0047" w:rsidRPr="00B06469" w:rsidRDefault="00FA0047" w:rsidP="001F0139">
      <w:pPr>
        <w:spacing w:after="0" w:line="240" w:lineRule="auto"/>
        <w:jc w:val="center"/>
        <w:rPr>
          <w:rFonts w:ascii="Times New Roman" w:hAnsi="Times New Roman" w:cs="Times New Roman"/>
          <w:color w:val="000000"/>
          <w:sz w:val="24"/>
          <w:szCs w:val="24"/>
        </w:rPr>
      </w:pPr>
      <w:r w:rsidRPr="00B06469">
        <w:rPr>
          <w:rFonts w:ascii="Times New Roman" w:hAnsi="Times New Roman" w:cs="Times New Roman"/>
          <w:noProof/>
          <w:color w:val="000000"/>
          <w:sz w:val="24"/>
          <w:szCs w:val="24"/>
          <w:lang w:eastAsia="ru-RU"/>
        </w:rPr>
        <w:drawing>
          <wp:inline distT="0" distB="0" distL="0" distR="0" wp14:anchorId="5D98E35B" wp14:editId="4D5709ED">
            <wp:extent cx="4395470" cy="3877310"/>
            <wp:effectExtent l="19050" t="0" r="5080" b="0"/>
            <wp:docPr id="48" name="Диаграмма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6"/>
                    <pic:cNvPicPr>
                      <a:picLocks noChangeArrowheads="1"/>
                    </pic:cNvPicPr>
                  </pic:nvPicPr>
                  <pic:blipFill>
                    <a:blip r:embed="rId39" cstate="print"/>
                    <a:srcRect/>
                    <a:stretch>
                      <a:fillRect/>
                    </a:stretch>
                  </pic:blipFill>
                  <pic:spPr bwMode="auto">
                    <a:xfrm>
                      <a:off x="0" y="0"/>
                      <a:ext cx="4395470" cy="3877310"/>
                    </a:xfrm>
                    <a:prstGeom prst="rect">
                      <a:avLst/>
                    </a:prstGeom>
                    <a:noFill/>
                    <a:ln w="9525">
                      <a:noFill/>
                      <a:miter lim="800000"/>
                      <a:headEnd/>
                      <a:tailEnd/>
                    </a:ln>
                  </pic:spPr>
                </pic:pic>
              </a:graphicData>
            </a:graphic>
          </wp:inline>
        </w:drawing>
      </w:r>
    </w:p>
    <w:p w:rsidR="00FA0047" w:rsidRPr="00B06469" w:rsidRDefault="00FA0047"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1.6.2</w:t>
      </w:r>
      <w:r w:rsidRPr="00B06469">
        <w:rPr>
          <w:rFonts w:ascii="Times New Roman" w:hAnsi="Times New Roman" w:cs="Times New Roman"/>
          <w:b/>
          <w:sz w:val="24"/>
          <w:szCs w:val="24"/>
        </w:rPr>
        <w:t xml:space="preserve"> – Ввод в действие общей площади жилых помещений </w:t>
      </w:r>
    </w:p>
    <w:p w:rsidR="00FA0047" w:rsidRPr="00B06469" w:rsidRDefault="00FA0047"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в расчете на 1000 жителей муниципальных районов</w:t>
      </w:r>
    </w:p>
    <w:p w:rsidR="00FA0047" w:rsidRPr="00B06469" w:rsidRDefault="00FA0047" w:rsidP="001F0139">
      <w:pPr>
        <w:widowControl w:val="0"/>
        <w:spacing w:after="0" w:line="240" w:lineRule="auto"/>
        <w:jc w:val="center"/>
        <w:rPr>
          <w:rFonts w:ascii="Times New Roman" w:hAnsi="Times New Roman" w:cs="Times New Roman"/>
          <w:b/>
          <w:sz w:val="24"/>
          <w:szCs w:val="24"/>
          <w:vertAlign w:val="superscript"/>
        </w:rPr>
      </w:pPr>
      <w:r w:rsidRPr="00B06469">
        <w:rPr>
          <w:rFonts w:ascii="Times New Roman" w:hAnsi="Times New Roman" w:cs="Times New Roman"/>
          <w:b/>
          <w:sz w:val="24"/>
          <w:szCs w:val="24"/>
        </w:rPr>
        <w:t>Самарской области за 2016 г., м</w:t>
      </w:r>
      <w:proofErr w:type="gramStart"/>
      <w:r w:rsidRPr="00B06469">
        <w:rPr>
          <w:rFonts w:ascii="Times New Roman" w:hAnsi="Times New Roman" w:cs="Times New Roman"/>
          <w:b/>
          <w:sz w:val="24"/>
          <w:szCs w:val="24"/>
          <w:vertAlign w:val="superscript"/>
        </w:rPr>
        <w:t>2</w:t>
      </w:r>
      <w:proofErr w:type="gramEnd"/>
    </w:p>
    <w:p w:rsidR="00FA0047" w:rsidRPr="00B06469" w:rsidRDefault="00FA0047" w:rsidP="001F0139">
      <w:pPr>
        <w:widowControl w:val="0"/>
        <w:spacing w:after="0" w:line="240" w:lineRule="auto"/>
        <w:jc w:val="center"/>
        <w:rPr>
          <w:rFonts w:ascii="Times New Roman" w:hAnsi="Times New Roman" w:cs="Times New Roman"/>
          <w:b/>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За период 2012-2016 гг. в районе было введено в эксплуатацию около 15995 м² жилья. В 2016 году введено в эксплуатацию 2525 м² индивидуального жилья, в том числе индивидуальными застройщиками 2393 м². Доля семей и </w:t>
      </w:r>
      <w:proofErr w:type="gramStart"/>
      <w:r w:rsidRPr="00B06469">
        <w:rPr>
          <w:rFonts w:ascii="Times New Roman" w:hAnsi="Times New Roman" w:cs="Times New Roman"/>
          <w:sz w:val="24"/>
          <w:szCs w:val="24"/>
        </w:rPr>
        <w:t>граждан, состоящих на учете по улучшению жилищных условий в общем числе семей и граждан на конец года увеличилась</w:t>
      </w:r>
      <w:proofErr w:type="gramEnd"/>
      <w:r w:rsidRPr="00B06469">
        <w:rPr>
          <w:rFonts w:ascii="Times New Roman" w:hAnsi="Times New Roman" w:cs="Times New Roman"/>
          <w:sz w:val="24"/>
          <w:szCs w:val="24"/>
        </w:rPr>
        <w:t xml:space="preserve"> с 2,7% в 2012г. до 3,1% в 2016 г.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Общая площадь ветхих и аварийных жилых помещений уменьшилась с 4,9 тыс. м</w:t>
      </w:r>
      <w:proofErr w:type="gramStart"/>
      <w:r w:rsidRPr="00B06469">
        <w:rPr>
          <w:rFonts w:ascii="Times New Roman" w:hAnsi="Times New Roman" w:cs="Times New Roman"/>
          <w:sz w:val="24"/>
          <w:szCs w:val="24"/>
          <w:vertAlign w:val="superscript"/>
        </w:rPr>
        <w:t>2</w:t>
      </w:r>
      <w:proofErr w:type="gramEnd"/>
      <w:r w:rsidRPr="00B06469">
        <w:rPr>
          <w:rFonts w:ascii="Times New Roman" w:hAnsi="Times New Roman" w:cs="Times New Roman"/>
          <w:sz w:val="24"/>
          <w:szCs w:val="24"/>
        </w:rPr>
        <w:t xml:space="preserve"> в 2012 г. до 3 тыс. м</w:t>
      </w:r>
      <w:r w:rsidRPr="00B06469">
        <w:rPr>
          <w:rFonts w:ascii="Times New Roman" w:hAnsi="Times New Roman" w:cs="Times New Roman"/>
          <w:sz w:val="24"/>
          <w:szCs w:val="24"/>
          <w:vertAlign w:val="superscript"/>
        </w:rPr>
        <w:t xml:space="preserve">2 </w:t>
      </w:r>
      <w:r w:rsidRPr="00B06469">
        <w:rPr>
          <w:rFonts w:ascii="Times New Roman" w:hAnsi="Times New Roman" w:cs="Times New Roman"/>
          <w:sz w:val="24"/>
          <w:szCs w:val="24"/>
        </w:rPr>
        <w:t xml:space="preserve">в 2016 г.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Уровень обеспеченности жильем в 2016 г. составил 25,5 м</w:t>
      </w:r>
      <w:proofErr w:type="gramStart"/>
      <w:r w:rsidRPr="00B06469">
        <w:rPr>
          <w:rFonts w:ascii="Times New Roman" w:hAnsi="Times New Roman" w:cs="Times New Roman"/>
          <w:sz w:val="24"/>
          <w:szCs w:val="24"/>
          <w:vertAlign w:val="superscript"/>
        </w:rPr>
        <w:t>2</w:t>
      </w:r>
      <w:proofErr w:type="gramEnd"/>
      <w:r w:rsidRPr="00B06469">
        <w:rPr>
          <w:rFonts w:ascii="Times New Roman" w:hAnsi="Times New Roman" w:cs="Times New Roman"/>
          <w:sz w:val="24"/>
          <w:szCs w:val="24"/>
        </w:rPr>
        <w:t xml:space="preserve"> на одного жителя (Самарская область 25,0 м</w:t>
      </w:r>
      <w:r w:rsidRPr="00B06469">
        <w:rPr>
          <w:rFonts w:ascii="Times New Roman" w:hAnsi="Times New Roman" w:cs="Times New Roman"/>
          <w:sz w:val="24"/>
          <w:szCs w:val="24"/>
          <w:vertAlign w:val="superscript"/>
        </w:rPr>
        <w:t>2</w:t>
      </w:r>
      <w:r w:rsidRPr="00B06469">
        <w:rPr>
          <w:rFonts w:ascii="Times New Roman" w:hAnsi="Times New Roman" w:cs="Times New Roman"/>
          <w:sz w:val="24"/>
          <w:szCs w:val="24"/>
        </w:rPr>
        <w:t>), что выше среднероссийского значения (23,4 м</w:t>
      </w:r>
      <w:r w:rsidRPr="00B06469">
        <w:rPr>
          <w:rFonts w:ascii="Times New Roman" w:hAnsi="Times New Roman" w:cs="Times New Roman"/>
          <w:sz w:val="24"/>
          <w:szCs w:val="24"/>
          <w:vertAlign w:val="superscript"/>
        </w:rPr>
        <w:t>2</w:t>
      </w:r>
      <w:r w:rsidRPr="00B06469">
        <w:rPr>
          <w:rFonts w:ascii="Times New Roman" w:hAnsi="Times New Roman" w:cs="Times New Roman"/>
          <w:sz w:val="24"/>
          <w:szCs w:val="24"/>
        </w:rPr>
        <w:t>) и среднего по Приволжскому федеральному округу (23,6 м</w:t>
      </w:r>
      <w:r w:rsidRPr="00B06469">
        <w:rPr>
          <w:rFonts w:ascii="Times New Roman" w:hAnsi="Times New Roman" w:cs="Times New Roman"/>
          <w:sz w:val="24"/>
          <w:szCs w:val="24"/>
          <w:vertAlign w:val="superscript"/>
        </w:rPr>
        <w:t>2</w:t>
      </w:r>
      <w:r w:rsidRPr="00B06469">
        <w:rPr>
          <w:rFonts w:ascii="Times New Roman" w:hAnsi="Times New Roman" w:cs="Times New Roman"/>
          <w:sz w:val="24"/>
          <w:szCs w:val="24"/>
        </w:rPr>
        <w:t xml:space="preserve">). По этому показателю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район занимает 16 место среди муниципальных районов Самарской области по итогам </w:t>
      </w:r>
      <w:r w:rsidRPr="00B06469">
        <w:rPr>
          <w:rFonts w:ascii="Times New Roman" w:hAnsi="Times New Roman" w:cs="Times New Roman"/>
          <w:sz w:val="24"/>
          <w:szCs w:val="24"/>
        </w:rPr>
        <w:lastRenderedPageBreak/>
        <w:t>2016 года. В период до 2019 года общую площадь жилых помещений, приходящихся в среднем на одного жителя планируется увеличить до 26,4 м</w:t>
      </w:r>
      <w:proofErr w:type="gramStart"/>
      <w:r w:rsidRPr="00B06469">
        <w:rPr>
          <w:rFonts w:ascii="Times New Roman" w:hAnsi="Times New Roman" w:cs="Times New Roman"/>
          <w:sz w:val="24"/>
          <w:szCs w:val="24"/>
          <w:vertAlign w:val="superscript"/>
        </w:rPr>
        <w:t>2</w:t>
      </w:r>
      <w:proofErr w:type="gramEnd"/>
      <w:r w:rsidRPr="00B06469">
        <w:rPr>
          <w:rFonts w:ascii="Times New Roman" w:hAnsi="Times New Roman" w:cs="Times New Roman"/>
          <w:sz w:val="24"/>
          <w:szCs w:val="24"/>
          <w:vertAlign w:val="superscript"/>
        </w:rPr>
        <w:t xml:space="preserve"> </w:t>
      </w:r>
      <w:r w:rsidRPr="00B06469">
        <w:rPr>
          <w:rFonts w:ascii="Times New Roman" w:hAnsi="Times New Roman" w:cs="Times New Roman"/>
          <w:sz w:val="24"/>
          <w:szCs w:val="24"/>
        </w:rPr>
        <w:t>за счет ввода нового жилья и реконструкции существующего жилья.</w:t>
      </w:r>
    </w:p>
    <w:p w:rsidR="00FA0047" w:rsidRPr="00B06469" w:rsidRDefault="00FA0047" w:rsidP="001F0139">
      <w:pPr>
        <w:spacing w:after="0" w:line="360" w:lineRule="auto"/>
        <w:ind w:firstLine="709"/>
        <w:jc w:val="both"/>
        <w:rPr>
          <w:rFonts w:ascii="Times New Roman" w:hAnsi="Times New Roman" w:cs="Times New Roman"/>
          <w:color w:val="000000"/>
          <w:sz w:val="24"/>
          <w:szCs w:val="24"/>
        </w:rPr>
      </w:pPr>
      <w:r w:rsidRPr="00B06469">
        <w:rPr>
          <w:rFonts w:ascii="Times New Roman" w:hAnsi="Times New Roman" w:cs="Times New Roman"/>
          <w:sz w:val="24"/>
          <w:szCs w:val="24"/>
        </w:rPr>
        <w:t xml:space="preserve">В 2017 г. началась реализация федерального проекта </w:t>
      </w:r>
      <w:r w:rsidRPr="00B06469">
        <w:rPr>
          <w:rFonts w:ascii="Times New Roman" w:hAnsi="Times New Roman" w:cs="Times New Roman"/>
          <w:color w:val="000000"/>
          <w:sz w:val="24"/>
          <w:szCs w:val="24"/>
        </w:rPr>
        <w:t xml:space="preserve">«Формирование комфортной </w:t>
      </w:r>
      <w:proofErr w:type="spellStart"/>
      <w:r w:rsidR="001F0139" w:rsidRPr="00B06469">
        <w:rPr>
          <w:rFonts w:ascii="Times New Roman" w:hAnsi="Times New Roman" w:cs="Times New Roman"/>
          <w:color w:val="000000"/>
          <w:sz w:val="24"/>
          <w:szCs w:val="24"/>
        </w:rPr>
        <w:t>район</w:t>
      </w:r>
      <w:r w:rsidRPr="00B06469">
        <w:rPr>
          <w:rFonts w:ascii="Times New Roman" w:hAnsi="Times New Roman" w:cs="Times New Roman"/>
          <w:color w:val="000000"/>
          <w:sz w:val="24"/>
          <w:szCs w:val="24"/>
        </w:rPr>
        <w:t>ской</w:t>
      </w:r>
      <w:proofErr w:type="spellEnd"/>
      <w:r w:rsidRPr="00B06469">
        <w:rPr>
          <w:rFonts w:ascii="Times New Roman" w:hAnsi="Times New Roman" w:cs="Times New Roman"/>
          <w:color w:val="000000"/>
          <w:sz w:val="24"/>
          <w:szCs w:val="24"/>
        </w:rPr>
        <w:t xml:space="preserve"> среды». С 2018 г. </w:t>
      </w:r>
      <w:proofErr w:type="spellStart"/>
      <w:r w:rsidRPr="00B06469">
        <w:rPr>
          <w:rFonts w:ascii="Times New Roman" w:hAnsi="Times New Roman" w:cs="Times New Roman"/>
          <w:color w:val="000000"/>
          <w:sz w:val="24"/>
          <w:szCs w:val="24"/>
        </w:rPr>
        <w:t>Камышлинский</w:t>
      </w:r>
      <w:proofErr w:type="spellEnd"/>
      <w:r w:rsidRPr="00B06469">
        <w:rPr>
          <w:rFonts w:ascii="Times New Roman" w:hAnsi="Times New Roman" w:cs="Times New Roman"/>
          <w:color w:val="000000"/>
          <w:sz w:val="24"/>
          <w:szCs w:val="24"/>
        </w:rPr>
        <w:t xml:space="preserve"> район будет принимать участие в реализации данного проекта, который предусматривает два направления: </w:t>
      </w:r>
    </w:p>
    <w:p w:rsidR="00FA0047" w:rsidRPr="00B06469" w:rsidRDefault="00FA0047" w:rsidP="001F0139">
      <w:pPr>
        <w:numPr>
          <w:ilvl w:val="0"/>
          <w:numId w:val="42"/>
        </w:numPr>
        <w:spacing w:after="0" w:line="360" w:lineRule="auto"/>
        <w:ind w:left="0" w:firstLine="709"/>
        <w:jc w:val="both"/>
        <w:rPr>
          <w:rFonts w:ascii="Times New Roman" w:hAnsi="Times New Roman" w:cs="Times New Roman"/>
          <w:color w:val="000000"/>
          <w:sz w:val="24"/>
          <w:szCs w:val="24"/>
        </w:rPr>
      </w:pPr>
      <w:r w:rsidRPr="00B06469">
        <w:rPr>
          <w:rFonts w:ascii="Times New Roman" w:hAnsi="Times New Roman" w:cs="Times New Roman"/>
          <w:color w:val="000000"/>
          <w:sz w:val="24"/>
          <w:szCs w:val="24"/>
        </w:rPr>
        <w:t>благоустройство дворовых территорий;</w:t>
      </w:r>
    </w:p>
    <w:p w:rsidR="00FA0047" w:rsidRPr="00B06469" w:rsidRDefault="00FA0047" w:rsidP="001F0139">
      <w:pPr>
        <w:numPr>
          <w:ilvl w:val="0"/>
          <w:numId w:val="42"/>
        </w:numPr>
        <w:spacing w:after="0" w:line="360" w:lineRule="auto"/>
        <w:ind w:left="0" w:firstLine="709"/>
        <w:jc w:val="both"/>
        <w:rPr>
          <w:rFonts w:ascii="Times New Roman" w:hAnsi="Times New Roman" w:cs="Times New Roman"/>
          <w:color w:val="000000"/>
          <w:sz w:val="24"/>
          <w:szCs w:val="24"/>
        </w:rPr>
      </w:pPr>
      <w:r w:rsidRPr="00B06469">
        <w:rPr>
          <w:rFonts w:ascii="Times New Roman" w:hAnsi="Times New Roman" w:cs="Times New Roman"/>
          <w:color w:val="000000"/>
          <w:sz w:val="24"/>
          <w:szCs w:val="24"/>
        </w:rPr>
        <w:t>благоустройство муниципальных территорий общего пользования и мест массового отдыха населения.</w:t>
      </w:r>
    </w:p>
    <w:p w:rsidR="00FA0047" w:rsidRPr="00B06469" w:rsidRDefault="00FA0047" w:rsidP="001F0139">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sz w:val="24"/>
          <w:szCs w:val="24"/>
        </w:rPr>
        <w:t xml:space="preserve">В муниципальную программу, подготовленную управлением строительства, архитектуры и ЖКХ совместно с администрациями сельских поселений с учетом мнения жителей района, вошли все многоквартирные дома райцентра и ДРП-3. Кроме того, планируется благоустроить общественные пространства в трех сельских поселениях (программа предусматривает финансирование населенных пунктов, где проживает население более 1000 человек). Это территории административных центров Камышла, Новое </w:t>
      </w:r>
      <w:proofErr w:type="spellStart"/>
      <w:r w:rsidRPr="00B06469">
        <w:rPr>
          <w:rFonts w:ascii="Times New Roman" w:eastAsia="Times New Roman" w:hAnsi="Times New Roman" w:cs="Times New Roman"/>
          <w:sz w:val="24"/>
          <w:szCs w:val="24"/>
        </w:rPr>
        <w:t>Усманово</w:t>
      </w:r>
      <w:proofErr w:type="spellEnd"/>
      <w:r w:rsidRPr="00B06469">
        <w:rPr>
          <w:rFonts w:ascii="Times New Roman" w:eastAsia="Times New Roman" w:hAnsi="Times New Roman" w:cs="Times New Roman"/>
          <w:sz w:val="24"/>
          <w:szCs w:val="24"/>
        </w:rPr>
        <w:t xml:space="preserve"> и Старое Ермаково (площади вокруг памятников, учреждений культуры и т.д.). Приоритетными являются территории, определяющие «лицо» и внешний вид села. Данная программа</w:t>
      </w:r>
      <w:r w:rsidRPr="00B06469">
        <w:rPr>
          <w:rFonts w:ascii="Times New Roman" w:eastAsia="Times New Roman" w:hAnsi="Times New Roman" w:cs="Times New Roman"/>
          <w:color w:val="000000"/>
          <w:sz w:val="24"/>
          <w:szCs w:val="24"/>
          <w:lang w:eastAsia="ru-RU"/>
        </w:rPr>
        <w:t xml:space="preserve"> подразумевает собой благоустройство именно центральной части села, где ежедневно проходит наибольший поток людей.</w:t>
      </w:r>
    </w:p>
    <w:p w:rsidR="00FA0047" w:rsidRPr="00B06469" w:rsidRDefault="00FA0047" w:rsidP="001F0139">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p>
    <w:p w:rsidR="00FA0047" w:rsidRPr="00B06469" w:rsidRDefault="00FA0047" w:rsidP="001F0139">
      <w:pPr>
        <w:spacing w:after="0" w:line="360" w:lineRule="auto"/>
        <w:contextualSpacing/>
        <w:outlineLvl w:val="2"/>
        <w:rPr>
          <w:rFonts w:ascii="Times New Roman" w:hAnsi="Times New Roman" w:cs="Times New Roman"/>
          <w:b/>
          <w:color w:val="365F91"/>
          <w:sz w:val="24"/>
          <w:szCs w:val="24"/>
        </w:rPr>
      </w:pPr>
      <w:bookmarkStart w:id="26" w:name="_Toc520894848"/>
      <w:r w:rsidRPr="00B06469">
        <w:rPr>
          <w:rFonts w:ascii="Times New Roman" w:hAnsi="Times New Roman" w:cs="Times New Roman"/>
          <w:b/>
          <w:color w:val="365F91"/>
          <w:sz w:val="24"/>
          <w:szCs w:val="24"/>
        </w:rPr>
        <w:t>Жилищно-коммунальное хозяйство</w:t>
      </w:r>
      <w:bookmarkEnd w:id="26"/>
    </w:p>
    <w:p w:rsidR="00FA0047" w:rsidRPr="00B06469" w:rsidRDefault="00FA0047" w:rsidP="001F0139">
      <w:pPr>
        <w:spacing w:after="0" w:line="360" w:lineRule="auto"/>
        <w:ind w:firstLine="709"/>
        <w:contextualSpacing/>
        <w:rPr>
          <w:rFonts w:ascii="Times New Roman" w:hAnsi="Times New Roman" w:cs="Times New Roman"/>
          <w:b/>
          <w:color w:val="0070C0"/>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Жилищно-коммунальные услуги 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 оказывают четыре предприятия. В сфере теплоснабжения – муниципальное унитарное предприятие «</w:t>
      </w:r>
      <w:proofErr w:type="spellStart"/>
      <w:r w:rsidRPr="00B06469">
        <w:rPr>
          <w:rFonts w:ascii="Times New Roman" w:hAnsi="Times New Roman" w:cs="Times New Roman"/>
          <w:sz w:val="24"/>
          <w:szCs w:val="24"/>
        </w:rPr>
        <w:t>КомХоз</w:t>
      </w:r>
      <w:proofErr w:type="spellEnd"/>
      <w:r w:rsidRPr="00B06469">
        <w:rPr>
          <w:rFonts w:ascii="Times New Roman" w:hAnsi="Times New Roman" w:cs="Times New Roman"/>
          <w:sz w:val="24"/>
          <w:szCs w:val="24"/>
        </w:rPr>
        <w:t>», которому переданы в оперативное управление муниципальные объекты теплоснабжения (котельные и тепловые сети). В сфере водоснабжения населения и юридических лиц – ООО «Родник», МУП ЖКХ «Исток». Управлением и содержанием многоквартирных жилых домов, расположенных в селе Камышла, занимается управляющая компания ООО «</w:t>
      </w:r>
      <w:proofErr w:type="spellStart"/>
      <w:r w:rsidRPr="00B06469">
        <w:rPr>
          <w:rFonts w:ascii="Times New Roman" w:hAnsi="Times New Roman" w:cs="Times New Roman"/>
          <w:sz w:val="24"/>
          <w:szCs w:val="24"/>
        </w:rPr>
        <w:t>Жилпром</w:t>
      </w:r>
      <w:proofErr w:type="spellEnd"/>
      <w:r w:rsidRPr="00B06469">
        <w:rPr>
          <w:rFonts w:ascii="Times New Roman" w:hAnsi="Times New Roman" w:cs="Times New Roman"/>
          <w:sz w:val="24"/>
          <w:szCs w:val="24"/>
        </w:rPr>
        <w:t>».</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pacing w:val="-20"/>
          <w:sz w:val="24"/>
          <w:szCs w:val="24"/>
        </w:rPr>
        <w:t>Данные по уровню благоустройства жилого фонда представлены на рис. 1.6.3.</w:t>
      </w:r>
    </w:p>
    <w:p w:rsidR="00FA0047" w:rsidRPr="00B06469" w:rsidRDefault="00FA0047" w:rsidP="001F0139">
      <w:pPr>
        <w:spacing w:after="0" w:line="240" w:lineRule="auto"/>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1F24AA35" wp14:editId="5CA27650">
            <wp:extent cx="5953506" cy="3240151"/>
            <wp:effectExtent l="0" t="0" r="0" b="0"/>
            <wp:docPr id="49"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A0047" w:rsidRPr="00B06469" w:rsidRDefault="00FA0047"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1.6.3</w:t>
      </w:r>
      <w:r w:rsidRPr="00B06469">
        <w:rPr>
          <w:rFonts w:ascii="Times New Roman" w:hAnsi="Times New Roman" w:cs="Times New Roman"/>
          <w:b/>
          <w:sz w:val="24"/>
          <w:szCs w:val="24"/>
        </w:rPr>
        <w:t xml:space="preserve"> – Уровень благоустройства жилого фонда </w:t>
      </w:r>
    </w:p>
    <w:p w:rsidR="00FA0047" w:rsidRPr="00B06469" w:rsidRDefault="00FA0047" w:rsidP="001F0139">
      <w:pPr>
        <w:widowControl w:val="0"/>
        <w:spacing w:after="0" w:line="240" w:lineRule="auto"/>
        <w:jc w:val="center"/>
        <w:rPr>
          <w:rFonts w:ascii="Times New Roman" w:hAnsi="Times New Roman" w:cs="Times New Roman"/>
          <w:b/>
          <w:sz w:val="24"/>
          <w:szCs w:val="24"/>
        </w:rPr>
      </w:pPr>
      <w:proofErr w:type="spellStart"/>
      <w:r w:rsidRPr="00B06469">
        <w:rPr>
          <w:rFonts w:ascii="Times New Roman" w:hAnsi="Times New Roman" w:cs="Times New Roman"/>
          <w:b/>
          <w:sz w:val="24"/>
          <w:szCs w:val="24"/>
        </w:rPr>
        <w:t>Камышлинского</w:t>
      </w:r>
      <w:proofErr w:type="spellEnd"/>
      <w:r w:rsidRPr="00B06469">
        <w:rPr>
          <w:rFonts w:ascii="Times New Roman" w:hAnsi="Times New Roman" w:cs="Times New Roman"/>
          <w:b/>
          <w:sz w:val="24"/>
          <w:szCs w:val="24"/>
        </w:rPr>
        <w:t xml:space="preserve"> района в 2012-2016 гг.</w:t>
      </w:r>
    </w:p>
    <w:p w:rsidR="00FA0047" w:rsidRPr="00B06469" w:rsidRDefault="00FA0047" w:rsidP="001F0139">
      <w:pPr>
        <w:widowControl w:val="0"/>
        <w:spacing w:after="0" w:line="240" w:lineRule="auto"/>
        <w:jc w:val="center"/>
        <w:rPr>
          <w:rFonts w:ascii="Times New Roman" w:hAnsi="Times New Roman" w:cs="Times New Roman"/>
          <w:b/>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2016 г. обеспеченность водопроводом составила 48,1%. Хотя по сравнению с 2012 г. уровень обеспеченности водопроводом увеличился в 1,7 раза, это значение гораздо ниже, чем в целом по Самарской области (89%). Мощность водопроводов на хозяйственно-питьевые цели района оставалась постоянной с 2012 г. и составила 876 тыс</w:t>
      </w:r>
      <w:proofErr w:type="gramStart"/>
      <w:r w:rsidRPr="00B06469">
        <w:rPr>
          <w:rFonts w:ascii="Times New Roman" w:hAnsi="Times New Roman" w:cs="Times New Roman"/>
          <w:sz w:val="24"/>
          <w:szCs w:val="24"/>
        </w:rPr>
        <w:t>.м</w:t>
      </w:r>
      <w:proofErr w:type="gramEnd"/>
      <w:r w:rsidRPr="00B06469">
        <w:rPr>
          <w:rFonts w:ascii="Times New Roman" w:hAnsi="Times New Roman" w:cs="Times New Roman"/>
          <w:sz w:val="24"/>
          <w:szCs w:val="24"/>
          <w:vertAlign w:val="superscript"/>
        </w:rPr>
        <w:t>3</w:t>
      </w:r>
      <w:r w:rsidRPr="00B06469">
        <w:rPr>
          <w:rFonts w:ascii="Times New Roman" w:hAnsi="Times New Roman" w:cs="Times New Roman"/>
          <w:sz w:val="24"/>
          <w:szCs w:val="24"/>
        </w:rPr>
        <w:t xml:space="preserve"> в год. Отпущено воды всем потребителям 227,8 тыс</w:t>
      </w:r>
      <w:proofErr w:type="gramStart"/>
      <w:r w:rsidRPr="00B06469">
        <w:rPr>
          <w:rFonts w:ascii="Times New Roman" w:hAnsi="Times New Roman" w:cs="Times New Roman"/>
          <w:sz w:val="24"/>
          <w:szCs w:val="24"/>
        </w:rPr>
        <w:t>.м</w:t>
      </w:r>
      <w:proofErr w:type="gramEnd"/>
      <w:r w:rsidRPr="00B06469">
        <w:rPr>
          <w:rFonts w:ascii="Times New Roman" w:hAnsi="Times New Roman" w:cs="Times New Roman"/>
          <w:sz w:val="24"/>
          <w:szCs w:val="24"/>
          <w:vertAlign w:val="superscript"/>
        </w:rPr>
        <w:t>3</w:t>
      </w:r>
      <w:r w:rsidRPr="00B06469">
        <w:rPr>
          <w:rFonts w:ascii="Times New Roman" w:hAnsi="Times New Roman" w:cs="Times New Roman"/>
          <w:sz w:val="24"/>
          <w:szCs w:val="24"/>
        </w:rPr>
        <w:t xml:space="preserve"> в год (в 2012 г. – 313,1 тыс.м</w:t>
      </w:r>
      <w:r w:rsidRPr="00B06469">
        <w:rPr>
          <w:rFonts w:ascii="Times New Roman" w:hAnsi="Times New Roman" w:cs="Times New Roman"/>
          <w:sz w:val="24"/>
          <w:szCs w:val="24"/>
          <w:vertAlign w:val="superscript"/>
        </w:rPr>
        <w:t>3</w:t>
      </w:r>
      <w:r w:rsidRPr="00B06469">
        <w:rPr>
          <w:rFonts w:ascii="Times New Roman" w:hAnsi="Times New Roman" w:cs="Times New Roman"/>
          <w:sz w:val="24"/>
          <w:szCs w:val="24"/>
        </w:rPr>
        <w:t xml:space="preserve"> в год) . Среднесуточное потребление воды в расчете на 1 жителя составляет 57,3 литров в сутки. Протяженность водопроводных сетей составляет 124,2 км (в 2012 г. – 118,7 км) при их высоком физическом износе 85%.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За счет строительства водоводов и водопроводных сетей, водозаборов, облагораживания природных родников большинство населения района пользуется чистой родниковой водой. В целом по району дефицита по запасам подземных вод нет. Недостатки в водоснабжении в тех или иных населенных пунктах связаны с низким техническим обеспечением водопроводных систем и с сезонным летним использованием питьевой водопроводной воды для полива садов и </w:t>
      </w:r>
      <w:proofErr w:type="spellStart"/>
      <w:r w:rsidRPr="00B06469">
        <w:rPr>
          <w:rFonts w:ascii="Times New Roman" w:hAnsi="Times New Roman" w:cs="Times New Roman"/>
          <w:sz w:val="24"/>
          <w:szCs w:val="24"/>
        </w:rPr>
        <w:t>о</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ов</w:t>
      </w:r>
      <w:proofErr w:type="spellEnd"/>
      <w:r w:rsidRPr="00B06469">
        <w:rPr>
          <w:rFonts w:ascii="Times New Roman" w:hAnsi="Times New Roman" w:cs="Times New Roman"/>
          <w:sz w:val="24"/>
          <w:szCs w:val="24"/>
        </w:rPr>
        <w:t xml:space="preserve">. Существующая сеть водопровода в основном построена в 50-е годы и частично обновлена в 1991-1995 гг. В 2010-2015 годах в селах Камышла и Новое </w:t>
      </w:r>
      <w:proofErr w:type="spellStart"/>
      <w:r w:rsidRPr="00B06469">
        <w:rPr>
          <w:rFonts w:ascii="Times New Roman" w:hAnsi="Times New Roman" w:cs="Times New Roman"/>
          <w:sz w:val="24"/>
          <w:szCs w:val="24"/>
        </w:rPr>
        <w:t>Усманово</w:t>
      </w:r>
      <w:proofErr w:type="spellEnd"/>
      <w:r w:rsidRPr="00B06469">
        <w:rPr>
          <w:rFonts w:ascii="Times New Roman" w:hAnsi="Times New Roman" w:cs="Times New Roman"/>
          <w:sz w:val="24"/>
          <w:szCs w:val="24"/>
        </w:rPr>
        <w:t xml:space="preserve"> проведена реконструкция водопроводных сетей общей протяженностью около 11,34 км. В связи с высокой степенью изношенности системы водоснабжения района утечка питьевой воды составляет более 13% от ее добычи. Необходима модернизация существующей системы водоснабжения. В 2003 году начато строительство новых очистных сооружений, финансирование которых в основном осуществляется за счет средств областного и местного бюджетов. На сегодняшний день освоено лишь 5% сметной стоимости строительства.</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Уровень обеспеченности системой водоотведения (канализацией) 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 имеет положительную динамику (в 2012 г. – 28%, в 2016 г. – 36,8%), но отстает от </w:t>
      </w:r>
      <w:proofErr w:type="spellStart"/>
      <w:r w:rsidRPr="00B06469">
        <w:rPr>
          <w:rFonts w:ascii="Times New Roman" w:hAnsi="Times New Roman" w:cs="Times New Roman"/>
          <w:sz w:val="24"/>
          <w:szCs w:val="24"/>
        </w:rPr>
        <w:t>среднеобластного</w:t>
      </w:r>
      <w:proofErr w:type="spellEnd"/>
      <w:r w:rsidRPr="00B06469">
        <w:rPr>
          <w:rFonts w:ascii="Times New Roman" w:hAnsi="Times New Roman" w:cs="Times New Roman"/>
          <w:sz w:val="24"/>
          <w:szCs w:val="24"/>
        </w:rPr>
        <w:t xml:space="preserve"> уровня (87%). Степень износа систем водоотведения составляет 92%.</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район имеет высокий уровень газификация жилого фонда сетевым газом (98,3% в 2016 г. при среднем значении по РФ – 67% по Самарской области – 75%).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настоящее время в районе работает 62 котельные мощностью 15,9 Гкал/час, которые обслуживают жилые объекты и объекты социальной сферы. Общая протяженность тепловых сетей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составляет 6,1 км.</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Общая протяженность линий электропередач на территории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составляет 470,6 км (в 2012 г. – 438 км). Потребление электроэнергии увеличилось за период 2012 – 2016 гг. с 28,7 до 42,4 млн. </w:t>
      </w:r>
      <w:proofErr w:type="spellStart"/>
      <w:r w:rsidRPr="00B06469">
        <w:rPr>
          <w:rFonts w:ascii="Times New Roman" w:hAnsi="Times New Roman" w:cs="Times New Roman"/>
          <w:sz w:val="24"/>
          <w:szCs w:val="24"/>
        </w:rPr>
        <w:t>кВт·</w:t>
      </w:r>
      <w:proofErr w:type="gramStart"/>
      <w:r w:rsidRPr="00B06469">
        <w:rPr>
          <w:rFonts w:ascii="Times New Roman" w:hAnsi="Times New Roman" w:cs="Times New Roman"/>
          <w:sz w:val="24"/>
          <w:szCs w:val="24"/>
        </w:rPr>
        <w:t>ч</w:t>
      </w:r>
      <w:proofErr w:type="spellEnd"/>
      <w:proofErr w:type="gramEnd"/>
      <w:r w:rsidRPr="00B06469">
        <w:rPr>
          <w:rFonts w:ascii="Times New Roman" w:hAnsi="Times New Roman" w:cs="Times New Roman"/>
          <w:sz w:val="24"/>
          <w:szCs w:val="24"/>
        </w:rPr>
        <w:t>.</w:t>
      </w:r>
    </w:p>
    <w:p w:rsidR="00FA0047" w:rsidRPr="00B06469" w:rsidRDefault="00FA0047" w:rsidP="001F0139">
      <w:pPr>
        <w:tabs>
          <w:tab w:val="left" w:pos="1440"/>
        </w:tabs>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По сравнению с предыдущим годом удельная величина потребления электрической энергии в многоквартирных домах незначительно выросла вследствие введения нового многоквартирного дома. В последующие годы уровень показателя не должен увеличиться, </w:t>
      </w:r>
      <w:proofErr w:type="gramStart"/>
      <w:r w:rsidRPr="00B06469">
        <w:rPr>
          <w:rFonts w:ascii="Times New Roman" w:hAnsi="Times New Roman" w:cs="Times New Roman"/>
          <w:sz w:val="24"/>
          <w:szCs w:val="24"/>
        </w:rPr>
        <w:t>возможно</w:t>
      </w:r>
      <w:proofErr w:type="gramEnd"/>
      <w:r w:rsidRPr="00B06469">
        <w:rPr>
          <w:rFonts w:ascii="Times New Roman" w:hAnsi="Times New Roman" w:cs="Times New Roman"/>
          <w:sz w:val="24"/>
          <w:szCs w:val="24"/>
        </w:rPr>
        <w:t xml:space="preserve"> незначительное снижение потребления.</w:t>
      </w:r>
    </w:p>
    <w:p w:rsidR="00FA0047" w:rsidRPr="00B06469" w:rsidRDefault="00FA0047" w:rsidP="001F0139">
      <w:pPr>
        <w:tabs>
          <w:tab w:val="left" w:pos="1440"/>
        </w:tabs>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Расход тепловой энергии в МКД в 2016 году, приходящийся на 1 </w:t>
      </w:r>
      <w:proofErr w:type="spellStart"/>
      <w:r w:rsidRPr="00B06469">
        <w:rPr>
          <w:rFonts w:ascii="Times New Roman" w:hAnsi="Times New Roman" w:cs="Times New Roman"/>
          <w:sz w:val="24"/>
          <w:szCs w:val="24"/>
        </w:rPr>
        <w:t>кв.м</w:t>
      </w:r>
      <w:proofErr w:type="spellEnd"/>
      <w:r w:rsidRPr="00B06469">
        <w:rPr>
          <w:rFonts w:ascii="Times New Roman" w:hAnsi="Times New Roman" w:cs="Times New Roman"/>
          <w:sz w:val="24"/>
          <w:szCs w:val="24"/>
        </w:rPr>
        <w:t>., стабилен и составил 0,3 Гкал на 1 </w:t>
      </w:r>
      <w:proofErr w:type="spellStart"/>
      <w:r w:rsidRPr="00B06469">
        <w:rPr>
          <w:rFonts w:ascii="Times New Roman" w:hAnsi="Times New Roman" w:cs="Times New Roman"/>
          <w:sz w:val="24"/>
          <w:szCs w:val="24"/>
        </w:rPr>
        <w:t>кв.м</w:t>
      </w:r>
      <w:proofErr w:type="spellEnd"/>
      <w:r w:rsidRPr="00B06469">
        <w:rPr>
          <w:rFonts w:ascii="Times New Roman" w:hAnsi="Times New Roman" w:cs="Times New Roman"/>
          <w:sz w:val="24"/>
          <w:szCs w:val="24"/>
        </w:rPr>
        <w:t>. Динамика значения в последующие годы значительно не изменится.</w:t>
      </w:r>
    </w:p>
    <w:p w:rsidR="00FA0047" w:rsidRPr="00B06469" w:rsidRDefault="00FA0047" w:rsidP="001F0139">
      <w:pPr>
        <w:tabs>
          <w:tab w:val="left" w:pos="1440"/>
        </w:tabs>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Величина электрической энергии, потребленной муниципальными бюджетными учреждениями составила 60,5 </w:t>
      </w:r>
      <w:proofErr w:type="spellStart"/>
      <w:r w:rsidRPr="00B06469">
        <w:rPr>
          <w:rFonts w:ascii="Times New Roman" w:hAnsi="Times New Roman" w:cs="Times New Roman"/>
          <w:sz w:val="24"/>
          <w:szCs w:val="24"/>
        </w:rPr>
        <w:t>кВт·</w:t>
      </w:r>
      <w:proofErr w:type="gramStart"/>
      <w:r w:rsidRPr="00B06469">
        <w:rPr>
          <w:rFonts w:ascii="Times New Roman" w:hAnsi="Times New Roman" w:cs="Times New Roman"/>
          <w:sz w:val="24"/>
          <w:szCs w:val="24"/>
        </w:rPr>
        <w:t>ч</w:t>
      </w:r>
      <w:proofErr w:type="spellEnd"/>
      <w:proofErr w:type="gramEnd"/>
      <w:r w:rsidRPr="00B06469">
        <w:rPr>
          <w:rFonts w:ascii="Times New Roman" w:hAnsi="Times New Roman" w:cs="Times New Roman"/>
          <w:sz w:val="24"/>
          <w:szCs w:val="24"/>
        </w:rPr>
        <w:t xml:space="preserve"> на 1 человека населения, что выше уровня предыдущих лет. Данное увеличение вызвано отоплением ряда объектов электрическими приборами. В прогнозируемом периоде предполагается снижение потребления электрической энергии муниципальными бюджетными учреждениями вследствие продолжения практики применения в муниципальных организациях энергосберегающих технологий (реализация Программы энергосбережения и повышения энергетической эффективности в муниципальном районе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t>Величина потребления холодной воды в муниципальных организациях составила 0,7 куб. м. на 1 человека населения в связи с установкой в учебных заведениях приборов учёта. В последующие годы значительных изменений данного показателя не предвидится.</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t>По показателям благоустройства территории не произошло изменений в 2012 – 2016 гг.: доля освещаемых частей улиц составляет 81,5%, площадь зеленых насаждений общего пользования – 17825 м</w:t>
      </w:r>
      <w:proofErr w:type="gramStart"/>
      <w:r w:rsidRPr="00B06469">
        <w:rPr>
          <w:rFonts w:ascii="Times New Roman" w:eastAsia="Times New Roman" w:hAnsi="Times New Roman" w:cs="Times New Roman"/>
          <w:color w:val="00000A"/>
          <w:kern w:val="2"/>
          <w:sz w:val="24"/>
          <w:szCs w:val="24"/>
          <w:vertAlign w:val="superscript"/>
          <w:lang w:eastAsia="hi-IN" w:bidi="hi-IN"/>
        </w:rPr>
        <w:t>2</w:t>
      </w:r>
      <w:proofErr w:type="gramEnd"/>
      <w:r w:rsidRPr="00B06469">
        <w:rPr>
          <w:rFonts w:ascii="Times New Roman" w:eastAsia="Times New Roman" w:hAnsi="Times New Roman" w:cs="Times New Roman"/>
          <w:color w:val="00000A"/>
          <w:kern w:val="2"/>
          <w:sz w:val="24"/>
          <w:szCs w:val="24"/>
          <w:lang w:eastAsia="hi-IN" w:bidi="hi-IN"/>
        </w:rPr>
        <w:t>, или 1,6 м</w:t>
      </w:r>
      <w:r w:rsidRPr="00B06469">
        <w:rPr>
          <w:rFonts w:ascii="Times New Roman" w:eastAsia="Times New Roman" w:hAnsi="Times New Roman" w:cs="Times New Roman"/>
          <w:color w:val="00000A"/>
          <w:kern w:val="2"/>
          <w:sz w:val="24"/>
          <w:szCs w:val="24"/>
          <w:vertAlign w:val="superscript"/>
          <w:lang w:eastAsia="hi-IN" w:bidi="hi-IN"/>
        </w:rPr>
        <w:t>2</w:t>
      </w:r>
      <w:r w:rsidRPr="00B06469">
        <w:rPr>
          <w:rFonts w:ascii="Times New Roman" w:eastAsia="Times New Roman" w:hAnsi="Times New Roman" w:cs="Times New Roman"/>
          <w:color w:val="00000A"/>
          <w:kern w:val="2"/>
          <w:sz w:val="24"/>
          <w:szCs w:val="24"/>
          <w:lang w:eastAsia="hi-IN" w:bidi="hi-IN"/>
        </w:rPr>
        <w:t xml:space="preserve"> в расчете на одного жителя.</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t xml:space="preserve">В 2012 году за счет субсидий из областного бюджета и </w:t>
      </w:r>
      <w:proofErr w:type="spellStart"/>
      <w:r w:rsidRPr="00B06469">
        <w:rPr>
          <w:rFonts w:ascii="Times New Roman" w:eastAsia="Times New Roman" w:hAnsi="Times New Roman" w:cs="Times New Roman"/>
          <w:color w:val="00000A"/>
          <w:kern w:val="2"/>
          <w:sz w:val="24"/>
          <w:szCs w:val="24"/>
          <w:lang w:eastAsia="hi-IN" w:bidi="hi-IN"/>
        </w:rPr>
        <w:t>софинасирования</w:t>
      </w:r>
      <w:proofErr w:type="spellEnd"/>
      <w:r w:rsidRPr="00B06469">
        <w:rPr>
          <w:rFonts w:ascii="Times New Roman" w:eastAsia="Times New Roman" w:hAnsi="Times New Roman" w:cs="Times New Roman"/>
          <w:color w:val="00000A"/>
          <w:kern w:val="2"/>
          <w:sz w:val="24"/>
          <w:szCs w:val="24"/>
          <w:lang w:eastAsia="hi-IN" w:bidi="hi-IN"/>
        </w:rPr>
        <w:t xml:space="preserve"> из местного бюджета в размере 4,8 млн. рублей были отремонтированы теплотрассы, заменены котлы в котельной №3, установлено оборудование в котельных и насосных станциях, осуществлено обустройство водозаборов.</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lastRenderedPageBreak/>
        <w:t xml:space="preserve">В 2013 году проведено техническое перевооружение котельной №1 в селе Камышла на сумму 8,7 млн. рублей. Заменены и утеплены современными материалами более 2 км тепловых сетей. Осуществлено проектирование и строительство газопровода низкого давления в селе Камышла протяженностью 200 метров на сумму 352 тыс. рублей и газопровода высокого давления в селе Новое </w:t>
      </w:r>
      <w:proofErr w:type="spellStart"/>
      <w:r w:rsidRPr="00B06469">
        <w:rPr>
          <w:rFonts w:ascii="Times New Roman" w:eastAsia="Times New Roman" w:hAnsi="Times New Roman" w:cs="Times New Roman"/>
          <w:color w:val="00000A"/>
          <w:kern w:val="2"/>
          <w:sz w:val="24"/>
          <w:szCs w:val="24"/>
          <w:lang w:eastAsia="hi-IN" w:bidi="hi-IN"/>
        </w:rPr>
        <w:t>Усманово</w:t>
      </w:r>
      <w:proofErr w:type="spellEnd"/>
      <w:r w:rsidRPr="00B06469">
        <w:rPr>
          <w:rFonts w:ascii="Times New Roman" w:eastAsia="Times New Roman" w:hAnsi="Times New Roman" w:cs="Times New Roman"/>
          <w:color w:val="00000A"/>
          <w:kern w:val="2"/>
          <w:sz w:val="24"/>
          <w:szCs w:val="24"/>
          <w:lang w:eastAsia="hi-IN" w:bidi="hi-IN"/>
        </w:rPr>
        <w:t xml:space="preserve"> протяженностью 200 метров на сумму 488 тыс. рублей.</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proofErr w:type="gramStart"/>
      <w:r w:rsidRPr="00B06469">
        <w:rPr>
          <w:rFonts w:ascii="Times New Roman" w:eastAsia="Times New Roman" w:hAnsi="Times New Roman" w:cs="Times New Roman"/>
          <w:color w:val="00000A"/>
          <w:kern w:val="2"/>
          <w:sz w:val="24"/>
          <w:szCs w:val="24"/>
          <w:lang w:eastAsia="hi-IN" w:bidi="hi-IN"/>
        </w:rPr>
        <w:t>В 2015 году МУП ЖКХ «Исток» (с привлечением инвестиционных средств ООО «</w:t>
      </w:r>
      <w:proofErr w:type="spellStart"/>
      <w:r w:rsidRPr="00B06469">
        <w:rPr>
          <w:rFonts w:ascii="Times New Roman" w:eastAsia="Times New Roman" w:hAnsi="Times New Roman" w:cs="Times New Roman"/>
          <w:color w:val="00000A"/>
          <w:kern w:val="2"/>
          <w:sz w:val="24"/>
          <w:szCs w:val="24"/>
          <w:lang w:eastAsia="hi-IN" w:bidi="hi-IN"/>
        </w:rPr>
        <w:t>БайТекс</w:t>
      </w:r>
      <w:proofErr w:type="spellEnd"/>
      <w:r w:rsidRPr="00B06469">
        <w:rPr>
          <w:rFonts w:ascii="Times New Roman" w:eastAsia="Times New Roman" w:hAnsi="Times New Roman" w:cs="Times New Roman"/>
          <w:color w:val="00000A"/>
          <w:kern w:val="2"/>
          <w:sz w:val="24"/>
          <w:szCs w:val="24"/>
          <w:lang w:eastAsia="hi-IN" w:bidi="hi-IN"/>
        </w:rPr>
        <w:t xml:space="preserve">» (600 тыс. рублей) и средств бюджета поселения (750 тыс. рублей) отремонтировало 1322 метра водопроводных сетей села Новое </w:t>
      </w:r>
      <w:proofErr w:type="spellStart"/>
      <w:r w:rsidRPr="00B06469">
        <w:rPr>
          <w:rFonts w:ascii="Times New Roman" w:eastAsia="Times New Roman" w:hAnsi="Times New Roman" w:cs="Times New Roman"/>
          <w:color w:val="00000A"/>
          <w:kern w:val="2"/>
          <w:sz w:val="24"/>
          <w:szCs w:val="24"/>
          <w:lang w:eastAsia="hi-IN" w:bidi="hi-IN"/>
        </w:rPr>
        <w:t>Усманово</w:t>
      </w:r>
      <w:proofErr w:type="spellEnd"/>
      <w:r w:rsidRPr="00B06469">
        <w:rPr>
          <w:rFonts w:ascii="Times New Roman" w:eastAsia="Times New Roman" w:hAnsi="Times New Roman" w:cs="Times New Roman"/>
          <w:color w:val="00000A"/>
          <w:kern w:val="2"/>
          <w:sz w:val="24"/>
          <w:szCs w:val="24"/>
          <w:lang w:eastAsia="hi-IN" w:bidi="hi-IN"/>
        </w:rPr>
        <w:t>.</w:t>
      </w:r>
      <w:proofErr w:type="gramEnd"/>
      <w:r w:rsidRPr="00B06469">
        <w:rPr>
          <w:rFonts w:ascii="Times New Roman" w:eastAsia="Times New Roman" w:hAnsi="Times New Roman" w:cs="Times New Roman"/>
          <w:color w:val="00000A"/>
          <w:kern w:val="2"/>
          <w:sz w:val="24"/>
          <w:szCs w:val="24"/>
          <w:lang w:eastAsia="hi-IN" w:bidi="hi-IN"/>
        </w:rPr>
        <w:t xml:space="preserve"> МУП «</w:t>
      </w:r>
      <w:proofErr w:type="spellStart"/>
      <w:r w:rsidRPr="00B06469">
        <w:rPr>
          <w:rFonts w:ascii="Times New Roman" w:eastAsia="Times New Roman" w:hAnsi="Times New Roman" w:cs="Times New Roman"/>
          <w:color w:val="00000A"/>
          <w:kern w:val="2"/>
          <w:sz w:val="24"/>
          <w:szCs w:val="24"/>
          <w:lang w:eastAsia="hi-IN" w:bidi="hi-IN"/>
        </w:rPr>
        <w:t>Комхоз</w:t>
      </w:r>
      <w:proofErr w:type="spellEnd"/>
      <w:r w:rsidRPr="00B06469">
        <w:rPr>
          <w:rFonts w:ascii="Times New Roman" w:eastAsia="Times New Roman" w:hAnsi="Times New Roman" w:cs="Times New Roman"/>
          <w:color w:val="00000A"/>
          <w:kern w:val="2"/>
          <w:sz w:val="24"/>
          <w:szCs w:val="24"/>
          <w:lang w:eastAsia="hi-IN" w:bidi="hi-IN"/>
        </w:rPr>
        <w:t>» выполнил работы на сумму 940 тыс. рублей. ООО «Родник» произвел текущий ремонт водопроводных сетей, капитальные ремонты очистных (на общую сумму 920 тыс. рублей).</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t>В 2016 году работниками МУП ЖКХ «Исток» (с привлечением инвестиционных средств ООО «</w:t>
      </w:r>
      <w:proofErr w:type="spellStart"/>
      <w:r w:rsidRPr="00B06469">
        <w:rPr>
          <w:rFonts w:ascii="Times New Roman" w:eastAsia="Times New Roman" w:hAnsi="Times New Roman" w:cs="Times New Roman"/>
          <w:color w:val="00000A"/>
          <w:kern w:val="2"/>
          <w:sz w:val="24"/>
          <w:szCs w:val="24"/>
          <w:lang w:eastAsia="hi-IN" w:bidi="hi-IN"/>
        </w:rPr>
        <w:t>БайТекс</w:t>
      </w:r>
      <w:proofErr w:type="spellEnd"/>
      <w:r w:rsidRPr="00B06469">
        <w:rPr>
          <w:rFonts w:ascii="Times New Roman" w:eastAsia="Times New Roman" w:hAnsi="Times New Roman" w:cs="Times New Roman"/>
          <w:color w:val="00000A"/>
          <w:kern w:val="2"/>
          <w:sz w:val="24"/>
          <w:szCs w:val="24"/>
          <w:lang w:eastAsia="hi-IN" w:bidi="hi-IN"/>
        </w:rPr>
        <w:t xml:space="preserve">») отремонтированы 196 м водопроводных сетей. ООО «Родник» произвел замену водопроводных сетей общей протяжённостью 1074 м. (в </w:t>
      </w:r>
      <w:proofErr w:type="spellStart"/>
      <w:r w:rsidRPr="00B06469">
        <w:rPr>
          <w:rFonts w:ascii="Times New Roman" w:eastAsia="Times New Roman" w:hAnsi="Times New Roman" w:cs="Times New Roman"/>
          <w:color w:val="00000A"/>
          <w:kern w:val="2"/>
          <w:sz w:val="24"/>
          <w:szCs w:val="24"/>
          <w:lang w:eastAsia="hi-IN" w:bidi="hi-IN"/>
        </w:rPr>
        <w:t>т.ч</w:t>
      </w:r>
      <w:proofErr w:type="spellEnd"/>
      <w:r w:rsidRPr="00B06469">
        <w:rPr>
          <w:rFonts w:ascii="Times New Roman" w:eastAsia="Times New Roman" w:hAnsi="Times New Roman" w:cs="Times New Roman"/>
          <w:color w:val="00000A"/>
          <w:kern w:val="2"/>
          <w:sz w:val="24"/>
          <w:szCs w:val="24"/>
          <w:lang w:eastAsia="hi-IN" w:bidi="hi-IN"/>
        </w:rPr>
        <w:t xml:space="preserve">. 780 м в селе Камышла; 210 м в селе Старая </w:t>
      </w:r>
      <w:proofErr w:type="spellStart"/>
      <w:r w:rsidRPr="00B06469">
        <w:rPr>
          <w:rFonts w:ascii="Times New Roman" w:eastAsia="Times New Roman" w:hAnsi="Times New Roman" w:cs="Times New Roman"/>
          <w:color w:val="00000A"/>
          <w:kern w:val="2"/>
          <w:sz w:val="24"/>
          <w:szCs w:val="24"/>
          <w:lang w:eastAsia="hi-IN" w:bidi="hi-IN"/>
        </w:rPr>
        <w:t>Балыкла</w:t>
      </w:r>
      <w:proofErr w:type="spellEnd"/>
      <w:r w:rsidRPr="00B06469">
        <w:rPr>
          <w:rFonts w:ascii="Times New Roman" w:eastAsia="Times New Roman" w:hAnsi="Times New Roman" w:cs="Times New Roman"/>
          <w:color w:val="00000A"/>
          <w:kern w:val="2"/>
          <w:sz w:val="24"/>
          <w:szCs w:val="24"/>
          <w:lang w:eastAsia="hi-IN" w:bidi="hi-IN"/>
        </w:rPr>
        <w:t xml:space="preserve">; 84 м в селе Старое </w:t>
      </w:r>
      <w:proofErr w:type="spellStart"/>
      <w:r w:rsidRPr="00B06469">
        <w:rPr>
          <w:rFonts w:ascii="Times New Roman" w:eastAsia="Times New Roman" w:hAnsi="Times New Roman" w:cs="Times New Roman"/>
          <w:color w:val="00000A"/>
          <w:kern w:val="2"/>
          <w:sz w:val="24"/>
          <w:szCs w:val="24"/>
          <w:lang w:eastAsia="hi-IN" w:bidi="hi-IN"/>
        </w:rPr>
        <w:t>Усманово</w:t>
      </w:r>
      <w:proofErr w:type="spellEnd"/>
      <w:r w:rsidRPr="00B06469">
        <w:rPr>
          <w:rFonts w:ascii="Times New Roman" w:eastAsia="Times New Roman" w:hAnsi="Times New Roman" w:cs="Times New Roman"/>
          <w:color w:val="00000A"/>
          <w:kern w:val="2"/>
          <w:sz w:val="24"/>
          <w:szCs w:val="24"/>
          <w:lang w:eastAsia="hi-IN" w:bidi="hi-IN"/>
        </w:rPr>
        <w:t>). Данные мероприятия позволили снизить потери воды в сетях. Силами МУП «</w:t>
      </w:r>
      <w:proofErr w:type="spellStart"/>
      <w:r w:rsidRPr="00B06469">
        <w:rPr>
          <w:rFonts w:ascii="Times New Roman" w:eastAsia="Times New Roman" w:hAnsi="Times New Roman" w:cs="Times New Roman"/>
          <w:color w:val="00000A"/>
          <w:kern w:val="2"/>
          <w:sz w:val="24"/>
          <w:szCs w:val="24"/>
          <w:lang w:eastAsia="hi-IN" w:bidi="hi-IN"/>
        </w:rPr>
        <w:t>КомХоз</w:t>
      </w:r>
      <w:proofErr w:type="spellEnd"/>
      <w:r w:rsidRPr="00B06469">
        <w:rPr>
          <w:rFonts w:ascii="Times New Roman" w:eastAsia="Times New Roman" w:hAnsi="Times New Roman" w:cs="Times New Roman"/>
          <w:color w:val="00000A"/>
          <w:kern w:val="2"/>
          <w:sz w:val="24"/>
          <w:szCs w:val="24"/>
          <w:lang w:eastAsia="hi-IN" w:bidi="hi-IN"/>
        </w:rPr>
        <w:t>» была произведена замена подземной теплотрассы, питающей школу села Старое Ермаково.</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t>В 2017 г. с целью предотвращения чрезвычайной ситуации, по ходатайству администрации района, из резервного фонда Правительства Самарской области были выделены субсидии и проведены работы по реконструкции водопроводной сети в селе Старое Ермаково. Сегодня проблема водоснабжения в этом селе решена.</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t>В перспективе для улучшения качества жизни населения с использованием федеральных и региональных сре</w:t>
      </w:r>
      <w:proofErr w:type="gramStart"/>
      <w:r w:rsidRPr="00B06469">
        <w:rPr>
          <w:rFonts w:ascii="Times New Roman" w:eastAsia="Times New Roman" w:hAnsi="Times New Roman" w:cs="Times New Roman"/>
          <w:color w:val="00000A"/>
          <w:kern w:val="2"/>
          <w:sz w:val="24"/>
          <w:szCs w:val="24"/>
          <w:lang w:eastAsia="hi-IN" w:bidi="hi-IN"/>
        </w:rPr>
        <w:t>дств пл</w:t>
      </w:r>
      <w:proofErr w:type="gramEnd"/>
      <w:r w:rsidRPr="00B06469">
        <w:rPr>
          <w:rFonts w:ascii="Times New Roman" w:eastAsia="Times New Roman" w:hAnsi="Times New Roman" w:cs="Times New Roman"/>
          <w:color w:val="00000A"/>
          <w:kern w:val="2"/>
          <w:sz w:val="24"/>
          <w:szCs w:val="24"/>
          <w:lang w:eastAsia="hi-IN" w:bidi="hi-IN"/>
        </w:rPr>
        <w:t>анируется решить вопрос по строительству водозабора и водопроводных сетей в селе Камышла. На сегодняшний день изготовлена проектно-сметная документация, которая прошла экспертизу. Она предусматривает строительство водозабора №2 и водопроводных сетей на общую сумму 97 143 580 рублей. Прое</w:t>
      </w:r>
      <w:proofErr w:type="gramStart"/>
      <w:r w:rsidRPr="00B06469">
        <w:rPr>
          <w:rFonts w:ascii="Times New Roman" w:eastAsia="Times New Roman" w:hAnsi="Times New Roman" w:cs="Times New Roman"/>
          <w:color w:val="00000A"/>
          <w:kern w:val="2"/>
          <w:sz w:val="24"/>
          <w:szCs w:val="24"/>
          <w:lang w:eastAsia="hi-IN" w:bidi="hi-IN"/>
        </w:rPr>
        <w:t>кт вкл</w:t>
      </w:r>
      <w:proofErr w:type="gramEnd"/>
      <w:r w:rsidRPr="00B06469">
        <w:rPr>
          <w:rFonts w:ascii="Times New Roman" w:eastAsia="Times New Roman" w:hAnsi="Times New Roman" w:cs="Times New Roman"/>
          <w:color w:val="00000A"/>
          <w:kern w:val="2"/>
          <w:sz w:val="24"/>
          <w:szCs w:val="24"/>
          <w:lang w:eastAsia="hi-IN" w:bidi="hi-IN"/>
        </w:rPr>
        <w:t>ючен в план мероприятий по Программе «Устойчивое развитие сельских территорий на 2014 – 2017 и на период до 2020 года».</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t>Однако, несмотря на принимаемые меры, приходится признать тот факт, что отрасль ЖКХ, по-прежнему требует больших финансовых вливаний. Для ее поддержки в текущем году были направлены 5 млн. 554 тыс. рублей. Эти средства были необходимы для реконструкции объектов водоснабжения в селе Ермаково.</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p>
    <w:p w:rsidR="00FA0047" w:rsidRPr="00B06469" w:rsidRDefault="00FA0047" w:rsidP="001F0139">
      <w:pPr>
        <w:spacing w:after="0" w:line="360" w:lineRule="auto"/>
        <w:contextualSpacing/>
        <w:jc w:val="both"/>
        <w:outlineLvl w:val="2"/>
        <w:rPr>
          <w:rFonts w:ascii="Times New Roman" w:hAnsi="Times New Roman" w:cs="Times New Roman"/>
          <w:b/>
          <w:color w:val="365F91"/>
          <w:sz w:val="24"/>
          <w:szCs w:val="24"/>
        </w:rPr>
      </w:pPr>
      <w:bookmarkStart w:id="27" w:name="_Toc520894849"/>
      <w:r w:rsidRPr="00B06469">
        <w:rPr>
          <w:rFonts w:ascii="Times New Roman" w:hAnsi="Times New Roman" w:cs="Times New Roman"/>
          <w:b/>
          <w:color w:val="365F91"/>
          <w:sz w:val="24"/>
          <w:szCs w:val="24"/>
        </w:rPr>
        <w:t>Дорожно-транспортный комплекс</w:t>
      </w:r>
      <w:bookmarkEnd w:id="27"/>
      <w:r w:rsidRPr="00B06469">
        <w:rPr>
          <w:rFonts w:ascii="Times New Roman" w:hAnsi="Times New Roman" w:cs="Times New Roman"/>
          <w:b/>
          <w:color w:val="365F91"/>
          <w:sz w:val="24"/>
          <w:szCs w:val="24"/>
        </w:rPr>
        <w:t xml:space="preserve"> </w:t>
      </w:r>
    </w:p>
    <w:p w:rsidR="00FA0047" w:rsidRPr="00B06469" w:rsidRDefault="00FA0047" w:rsidP="001F0139">
      <w:pPr>
        <w:spacing w:after="0" w:line="360" w:lineRule="auto"/>
        <w:ind w:firstLine="709"/>
        <w:contextualSpacing/>
        <w:rPr>
          <w:rFonts w:ascii="Times New Roman" w:hAnsi="Times New Roman" w:cs="Times New Roman"/>
          <w:b/>
          <w:color w:val="0070C0"/>
          <w:sz w:val="24"/>
          <w:szCs w:val="24"/>
        </w:rPr>
      </w:pPr>
    </w:p>
    <w:p w:rsidR="00FA0047" w:rsidRPr="00B06469" w:rsidRDefault="00FA0047" w:rsidP="001F0139">
      <w:pPr>
        <w:spacing w:after="0" w:line="360" w:lineRule="auto"/>
        <w:ind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 асфальтированными дорогами с райцентром и магистральными дорогами связаны 20 из 22 населенных пунктов, кроме двух: с. </w:t>
      </w:r>
      <w:proofErr w:type="spellStart"/>
      <w:r w:rsidRPr="00B06469">
        <w:rPr>
          <w:rFonts w:ascii="Times New Roman" w:hAnsi="Times New Roman" w:cs="Times New Roman"/>
          <w:sz w:val="24"/>
          <w:szCs w:val="24"/>
        </w:rPr>
        <w:lastRenderedPageBreak/>
        <w:t>Степановские</w:t>
      </w:r>
      <w:proofErr w:type="spellEnd"/>
      <w:r w:rsidRPr="00B06469">
        <w:rPr>
          <w:rFonts w:ascii="Times New Roman" w:hAnsi="Times New Roman" w:cs="Times New Roman"/>
          <w:sz w:val="24"/>
          <w:szCs w:val="24"/>
        </w:rPr>
        <w:t xml:space="preserve"> Выселки и п. Красный Яр. В названных населенных пунктах зарегистрировано 2 человека, но фактически никто не проживает.</w:t>
      </w:r>
    </w:p>
    <w:p w:rsidR="00FA0047" w:rsidRPr="00B06469" w:rsidRDefault="00FA0047" w:rsidP="001F0139">
      <w:pPr>
        <w:spacing w:after="0" w:line="360" w:lineRule="auto"/>
        <w:ind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Все населенные пункты района соединены с районным центром дорогами с твердым покрытием, что позволило организовать пассажирское транспортное обслуживание внутри района. Сегодня автобусы курсируют по всем сельским поселениям. Число пассажиров, перевезенных автобусами за 2016 г. составило 16250 чел. По состоянию на 2017 г., удовлетворенность населения качеством автомобильных дорог составила 65,2%. Наблюдается положительная динамика и по обеспечению населения услугами транспорта — свыше 80%.</w:t>
      </w:r>
    </w:p>
    <w:p w:rsidR="00FA0047" w:rsidRPr="00B06469" w:rsidRDefault="00FA0047" w:rsidP="001F0139">
      <w:pPr>
        <w:tabs>
          <w:tab w:val="left" w:pos="709"/>
        </w:tabs>
        <w:suppressAutoHyphens/>
        <w:spacing w:after="0" w:line="360" w:lineRule="auto"/>
        <w:ind w:firstLine="709"/>
        <w:contextualSpacing/>
        <w:jc w:val="both"/>
        <w:rPr>
          <w:rFonts w:ascii="Times New Roman" w:eastAsia="Lucida Sans Unicode" w:hAnsi="Times New Roman" w:cs="Times New Roman"/>
          <w:color w:val="00000A"/>
          <w:kern w:val="2"/>
          <w:sz w:val="24"/>
          <w:szCs w:val="24"/>
          <w:lang w:eastAsia="hi-IN" w:bidi="hi-IN"/>
        </w:rPr>
      </w:pPr>
      <w:r w:rsidRPr="00B06469">
        <w:rPr>
          <w:rFonts w:ascii="Times New Roman" w:eastAsia="Lucida Sans Unicode" w:hAnsi="Times New Roman" w:cs="Times New Roman"/>
          <w:color w:val="00000A"/>
          <w:kern w:val="2"/>
          <w:sz w:val="24"/>
          <w:szCs w:val="24"/>
          <w:lang w:eastAsia="hi-IN" w:bidi="hi-IN"/>
        </w:rPr>
        <w:t xml:space="preserve">По состоянию на 01.01.2017 протяженность автомобильных дорог общего пользования местного значения составила 351,8 км, из них протяженность дорог с твердым покрытием составляет 27,0 км. </w:t>
      </w:r>
      <w:proofErr w:type="gramStart"/>
      <w:r w:rsidRPr="00B06469">
        <w:rPr>
          <w:rFonts w:ascii="Times New Roman" w:eastAsia="Lucida Sans Unicode" w:hAnsi="Times New Roman" w:cs="Times New Roman"/>
          <w:color w:val="00000A"/>
          <w:kern w:val="2"/>
          <w:sz w:val="24"/>
          <w:szCs w:val="24"/>
          <w:lang w:eastAsia="hi-IN" w:bidi="hi-IN"/>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за 2016 год снизилась на 0,6 </w:t>
      </w:r>
      <w:proofErr w:type="spellStart"/>
      <w:r w:rsidRPr="00B06469">
        <w:rPr>
          <w:rFonts w:ascii="Times New Roman" w:eastAsia="Lucida Sans Unicode" w:hAnsi="Times New Roman" w:cs="Times New Roman"/>
          <w:color w:val="00000A"/>
          <w:kern w:val="2"/>
          <w:sz w:val="24"/>
          <w:szCs w:val="24"/>
          <w:lang w:eastAsia="hi-IN" w:bidi="hi-IN"/>
        </w:rPr>
        <w:t>п.п</w:t>
      </w:r>
      <w:proofErr w:type="spellEnd"/>
      <w:r w:rsidRPr="00B06469">
        <w:rPr>
          <w:rFonts w:ascii="Times New Roman" w:eastAsia="Lucida Sans Unicode" w:hAnsi="Times New Roman" w:cs="Times New Roman"/>
          <w:color w:val="00000A"/>
          <w:kern w:val="2"/>
          <w:sz w:val="24"/>
          <w:szCs w:val="24"/>
          <w:lang w:eastAsia="hi-IN" w:bidi="hi-IN"/>
        </w:rPr>
        <w:t>. к 2015 году и составила 24,8%. Из 27 км асфальтовых дорог общего пользования местного значения нормативным требованиям не отвечают 6,7 км дорог.</w:t>
      </w:r>
      <w:proofErr w:type="gramEnd"/>
      <w:r w:rsidRPr="00B06469">
        <w:rPr>
          <w:rFonts w:ascii="Times New Roman" w:eastAsia="Lucida Sans Unicode" w:hAnsi="Times New Roman" w:cs="Times New Roman"/>
          <w:color w:val="00000A"/>
          <w:kern w:val="2"/>
          <w:sz w:val="24"/>
          <w:szCs w:val="24"/>
          <w:lang w:eastAsia="hi-IN" w:bidi="hi-IN"/>
        </w:rPr>
        <w:t xml:space="preserve"> В период 2017 – 2019 гг. доля автодорог общего пользования местного значения, не отвечающих нормативным требованиям должна снизиться до уровня 20,5%. </w:t>
      </w:r>
    </w:p>
    <w:p w:rsidR="00FA0047" w:rsidRPr="00B06469" w:rsidRDefault="00FA0047" w:rsidP="001F0139">
      <w:pPr>
        <w:spacing w:after="0" w:line="360" w:lineRule="auto"/>
        <w:ind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В 2015 г. производен капитальный ремонт автодороги местного значения с устройством твердого покрытия в сельских поселениях </w:t>
      </w:r>
      <w:proofErr w:type="spellStart"/>
      <w:r w:rsidRPr="00B06469">
        <w:rPr>
          <w:rFonts w:ascii="Times New Roman" w:hAnsi="Times New Roman" w:cs="Times New Roman"/>
          <w:sz w:val="24"/>
          <w:szCs w:val="24"/>
        </w:rPr>
        <w:t>Байтуган</w:t>
      </w:r>
      <w:proofErr w:type="spellEnd"/>
      <w:r w:rsidRPr="00B06469">
        <w:rPr>
          <w:rFonts w:ascii="Times New Roman" w:hAnsi="Times New Roman" w:cs="Times New Roman"/>
          <w:sz w:val="24"/>
          <w:szCs w:val="24"/>
        </w:rPr>
        <w:t xml:space="preserve"> протяженностью 0,9 км, </w:t>
      </w:r>
      <w:proofErr w:type="spellStart"/>
      <w:r w:rsidRPr="00B06469">
        <w:rPr>
          <w:rFonts w:ascii="Times New Roman" w:hAnsi="Times New Roman" w:cs="Times New Roman"/>
          <w:sz w:val="24"/>
          <w:szCs w:val="24"/>
        </w:rPr>
        <w:t>Балыкла</w:t>
      </w:r>
      <w:proofErr w:type="spellEnd"/>
      <w:r w:rsidRPr="00B06469">
        <w:rPr>
          <w:rFonts w:ascii="Times New Roman" w:hAnsi="Times New Roman" w:cs="Times New Roman"/>
          <w:sz w:val="24"/>
          <w:szCs w:val="24"/>
        </w:rPr>
        <w:t xml:space="preserve"> – 1,27, Ермаково – 0,43, Камышла – 5,7 </w:t>
      </w:r>
      <w:proofErr w:type="spellStart"/>
      <w:r w:rsidRPr="00B06469">
        <w:rPr>
          <w:rFonts w:ascii="Times New Roman" w:hAnsi="Times New Roman" w:cs="Times New Roman"/>
          <w:sz w:val="24"/>
          <w:szCs w:val="24"/>
        </w:rPr>
        <w:t>кв.м</w:t>
      </w:r>
      <w:proofErr w:type="spellEnd"/>
      <w:r w:rsidRPr="00B06469">
        <w:rPr>
          <w:rFonts w:ascii="Times New Roman" w:hAnsi="Times New Roman" w:cs="Times New Roman"/>
          <w:sz w:val="24"/>
          <w:szCs w:val="24"/>
        </w:rPr>
        <w:t xml:space="preserve">. В райцентре выполнены работы по устройству тротуара протяженностью 2,4 км. Помимо этого приведены в порядок дороги по улицам райцентра, сел Старое и Новое Ермаково, </w:t>
      </w:r>
      <w:proofErr w:type="spellStart"/>
      <w:r w:rsidRPr="00B06469">
        <w:rPr>
          <w:rFonts w:ascii="Times New Roman" w:hAnsi="Times New Roman" w:cs="Times New Roman"/>
          <w:sz w:val="24"/>
          <w:szCs w:val="24"/>
        </w:rPr>
        <w:t>Балыкла</w:t>
      </w:r>
      <w:proofErr w:type="spellEnd"/>
      <w:r w:rsidRPr="00B06469">
        <w:rPr>
          <w:rFonts w:ascii="Times New Roman" w:hAnsi="Times New Roman" w:cs="Times New Roman"/>
          <w:sz w:val="24"/>
          <w:szCs w:val="24"/>
        </w:rPr>
        <w:t xml:space="preserve">, Новое </w:t>
      </w:r>
      <w:proofErr w:type="spellStart"/>
      <w:r w:rsidRPr="00B06469">
        <w:rPr>
          <w:rFonts w:ascii="Times New Roman" w:hAnsi="Times New Roman" w:cs="Times New Roman"/>
          <w:sz w:val="24"/>
          <w:szCs w:val="24"/>
        </w:rPr>
        <w:t>Усманово</w:t>
      </w:r>
      <w:proofErr w:type="spellEnd"/>
      <w:r w:rsidRPr="00B06469">
        <w:rPr>
          <w:rFonts w:ascii="Times New Roman" w:hAnsi="Times New Roman" w:cs="Times New Roman"/>
          <w:sz w:val="24"/>
          <w:szCs w:val="24"/>
        </w:rPr>
        <w:t>.</w:t>
      </w:r>
    </w:p>
    <w:p w:rsidR="00FA0047" w:rsidRPr="00B06469" w:rsidRDefault="00FA0047" w:rsidP="001F0139">
      <w:pPr>
        <w:spacing w:after="0" w:line="360" w:lineRule="auto"/>
        <w:ind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Сдан в эксплуатацию один из крупных объектов, возводимых на территории района за последние годы – южный обводной мостовой переход через реку Сок. Реализация масштабного проекта позволила решить проблему безопасности движения и весеннего паводка.</w:t>
      </w:r>
    </w:p>
    <w:p w:rsidR="00FA0047" w:rsidRPr="00B06469" w:rsidRDefault="00FA0047" w:rsidP="001F0139">
      <w:pPr>
        <w:spacing w:after="0" w:line="360" w:lineRule="auto"/>
        <w:ind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Важно отметить, что модернизация и развитие сельских дорог остается главной задачей для решения в ближайшие годы. В период 2017 – 2020 годы доля автодорог общего пользования местного значения, не отвечающих нормативным требованиям, должна снизиться, при условии </w:t>
      </w:r>
      <w:proofErr w:type="spellStart"/>
      <w:r w:rsidRPr="00B06469">
        <w:rPr>
          <w:rFonts w:ascii="Times New Roman" w:hAnsi="Times New Roman" w:cs="Times New Roman"/>
          <w:sz w:val="24"/>
          <w:szCs w:val="24"/>
        </w:rPr>
        <w:t>софинансирования</w:t>
      </w:r>
      <w:proofErr w:type="spellEnd"/>
      <w:r w:rsidRPr="00B06469">
        <w:rPr>
          <w:rFonts w:ascii="Times New Roman" w:hAnsi="Times New Roman" w:cs="Times New Roman"/>
          <w:sz w:val="24"/>
          <w:szCs w:val="24"/>
        </w:rPr>
        <w:t xml:space="preserve"> из областного бюджета, до уровня 28%. Преимущество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 это готовность всех документов, необходимых для градостроительного регулирования и территориального планирования. В свою очередь, в отношении отремонтированных участков дорог необходимо осуществлять работы по содержанию дорожной сети, что предотвратит преждевременное разрушение дорожного полотна.</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Факторами, способствующими повышению качества дорог местного значения, должны стать:</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ежегодное обследование автомобильных дорог местного значения, в том числе определение приоритетных участков дорог, подлежащих ремонту;</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участие в профильных государственных программах;</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эффективное использование средств муниципального дорожного фонда;</w:t>
      </w:r>
    </w:p>
    <w:p w:rsidR="00FA0047" w:rsidRPr="00B06469" w:rsidRDefault="00FA0047" w:rsidP="001F0139">
      <w:pPr>
        <w:spacing w:after="0" w:line="360" w:lineRule="auto"/>
        <w:ind w:firstLine="709"/>
        <w:jc w:val="both"/>
        <w:rPr>
          <w:rFonts w:ascii="Times New Roman" w:hAnsi="Times New Roman" w:cs="Times New Roman"/>
          <w:b/>
          <w:color w:val="0070C0"/>
          <w:sz w:val="24"/>
          <w:szCs w:val="24"/>
        </w:rPr>
      </w:pPr>
      <w:r w:rsidRPr="00B06469">
        <w:rPr>
          <w:rFonts w:ascii="Times New Roman" w:hAnsi="Times New Roman" w:cs="Times New Roman"/>
          <w:sz w:val="24"/>
          <w:szCs w:val="24"/>
        </w:rPr>
        <w:t>эффективные контрактные взаимоотношения с подрядчиками, в том числе активное использование гарантийных механизмов.</w:t>
      </w:r>
      <w:r w:rsidRPr="00B06469">
        <w:rPr>
          <w:rFonts w:ascii="Times New Roman" w:hAnsi="Times New Roman" w:cs="Times New Roman"/>
          <w:sz w:val="24"/>
          <w:szCs w:val="24"/>
        </w:rPr>
        <w:br/>
      </w:r>
    </w:p>
    <w:p w:rsidR="00FA0047" w:rsidRPr="00B06469" w:rsidRDefault="00FA0047" w:rsidP="001F0139">
      <w:pPr>
        <w:spacing w:after="0" w:line="360" w:lineRule="auto"/>
        <w:contextualSpacing/>
        <w:jc w:val="both"/>
        <w:outlineLvl w:val="2"/>
        <w:rPr>
          <w:rFonts w:ascii="Times New Roman" w:hAnsi="Times New Roman" w:cs="Times New Roman"/>
          <w:b/>
          <w:color w:val="365F91"/>
          <w:sz w:val="24"/>
          <w:szCs w:val="24"/>
        </w:rPr>
      </w:pPr>
      <w:bookmarkStart w:id="28" w:name="_Toc520894850"/>
      <w:r w:rsidRPr="00B06469">
        <w:rPr>
          <w:rFonts w:ascii="Times New Roman" w:hAnsi="Times New Roman" w:cs="Times New Roman"/>
          <w:b/>
          <w:color w:val="365F91"/>
          <w:sz w:val="24"/>
          <w:szCs w:val="24"/>
        </w:rPr>
        <w:t>Информационно-коммуникационная инфраструктура</w:t>
      </w:r>
      <w:bookmarkEnd w:id="28"/>
      <w:r w:rsidRPr="00B06469">
        <w:rPr>
          <w:rFonts w:ascii="Times New Roman" w:hAnsi="Times New Roman" w:cs="Times New Roman"/>
          <w:b/>
          <w:color w:val="365F91"/>
          <w:sz w:val="24"/>
          <w:szCs w:val="24"/>
        </w:rPr>
        <w:t xml:space="preserve"> </w:t>
      </w:r>
    </w:p>
    <w:p w:rsidR="00FA0047" w:rsidRPr="00B06469" w:rsidRDefault="00FA0047" w:rsidP="001F0139">
      <w:pPr>
        <w:spacing w:after="0" w:line="360" w:lineRule="auto"/>
        <w:ind w:firstLine="709"/>
        <w:contextualSpacing/>
        <w:jc w:val="both"/>
        <w:rPr>
          <w:rFonts w:ascii="Times New Roman" w:hAnsi="Times New Roman" w:cs="Times New Roman"/>
          <w:b/>
          <w:color w:val="0070C0"/>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Услуги электросвязи в районе оказываются ОАО «Ростелеком», так же развивающимися операторами сотовой связи, такими как «Мегафон» и «МТС». Общая монтированная емкость телефонной сети района составляет 1432 номера, все номера принадлежат цифровым АТС. Число телефонных станций местной телефонной сети составляет 10 единиц, из них все цифровые. Телефонными аппаратами пользуются 5,7% населения. Число таксофонов составляет 23 единицы. Имеется один пункт коллективного доступа к сети Интернет. Отмечается низкое качество мобильной и Интерне</w:t>
      </w:r>
      <w:proofErr w:type="gramStart"/>
      <w:r w:rsidRPr="00B06469">
        <w:rPr>
          <w:rFonts w:ascii="Times New Roman" w:hAnsi="Times New Roman" w:cs="Times New Roman"/>
          <w:sz w:val="24"/>
          <w:szCs w:val="24"/>
        </w:rPr>
        <w:t>т-</w:t>
      </w:r>
      <w:proofErr w:type="gramEnd"/>
      <w:r w:rsidRPr="00B06469">
        <w:rPr>
          <w:rFonts w:ascii="Times New Roman" w:hAnsi="Times New Roman" w:cs="Times New Roman"/>
          <w:sz w:val="24"/>
          <w:szCs w:val="24"/>
        </w:rPr>
        <w:t xml:space="preserve"> связи. Количество почтовых ящиков на 1000 чел. составляет 3,2. Существует потребность в банкоматах. Охват населения телевизионным вещанием составляет 100%.</w:t>
      </w:r>
    </w:p>
    <w:p w:rsidR="000320B3" w:rsidRPr="00B06469" w:rsidRDefault="000320B3"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E74438" w:rsidRPr="00B06469" w:rsidRDefault="00E7443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7.2.Стратегические цели, задачи и проектно-программный комплекс</w:t>
      </w:r>
      <w:r w:rsidR="002760F1" w:rsidRPr="00B06469">
        <w:rPr>
          <w:rFonts w:ascii="Times New Roman" w:hAnsi="Times New Roman" w:cs="Times New Roman"/>
          <w:b/>
          <w:color w:val="365F91" w:themeColor="accent1" w:themeShade="BF"/>
          <w:sz w:val="24"/>
          <w:szCs w:val="24"/>
        </w:rPr>
        <w:t xml:space="preserve"> </w:t>
      </w:r>
      <w:r w:rsidRPr="00B06469">
        <w:rPr>
          <w:rFonts w:ascii="Times New Roman" w:hAnsi="Times New Roman" w:cs="Times New Roman"/>
          <w:b/>
          <w:color w:val="365F91" w:themeColor="accent1" w:themeShade="BF"/>
          <w:sz w:val="24"/>
          <w:szCs w:val="24"/>
        </w:rPr>
        <w:t>направления «Формирование, совершенствование и накопление человеческого капитала».</w:t>
      </w:r>
    </w:p>
    <w:p w:rsidR="00E74438" w:rsidRPr="00B06469" w:rsidRDefault="00E7443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7.2.1.</w:t>
      </w:r>
      <w:r w:rsidR="00337AC4" w:rsidRPr="00B06469">
        <w:rPr>
          <w:rFonts w:ascii="Times New Roman" w:hAnsi="Times New Roman" w:cs="Times New Roman"/>
          <w:b/>
          <w:color w:val="365F91" w:themeColor="accent1" w:themeShade="BF"/>
          <w:sz w:val="24"/>
          <w:szCs w:val="24"/>
        </w:rPr>
        <w:t xml:space="preserve"> Повышение комфортности жилой среды, модернизация объектов социальной инфраструктуры</w:t>
      </w:r>
    </w:p>
    <w:p w:rsidR="00607703" w:rsidRPr="00B06469" w:rsidRDefault="00607703"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607703" w:rsidRPr="00B06469" w:rsidRDefault="00607703" w:rsidP="001F0139">
      <w:pPr>
        <w:pStyle w:val="a3"/>
        <w:spacing w:after="0" w:line="360" w:lineRule="auto"/>
        <w:ind w:left="0" w:firstLine="709"/>
        <w:jc w:val="both"/>
        <w:rPr>
          <w:rFonts w:ascii="Times New Roman" w:hAnsi="Times New Roman" w:cs="Times New Roman"/>
          <w:b/>
          <w:sz w:val="24"/>
          <w:szCs w:val="24"/>
        </w:rPr>
      </w:pPr>
      <w:r w:rsidRPr="00B06469">
        <w:rPr>
          <w:rFonts w:ascii="Times New Roman" w:hAnsi="Times New Roman" w:cs="Times New Roman"/>
          <w:b/>
          <w:sz w:val="24"/>
          <w:szCs w:val="24"/>
        </w:rPr>
        <w:t>Мероприятия</w:t>
      </w:r>
    </w:p>
    <w:p w:rsidR="002760F1" w:rsidRPr="00B06469" w:rsidRDefault="00607703" w:rsidP="001F0139">
      <w:pPr>
        <w:pStyle w:val="a3"/>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t>Строительство</w:t>
      </w:r>
      <w:r w:rsidR="002760F1" w:rsidRPr="00B06469">
        <w:rPr>
          <w:rFonts w:ascii="Times New Roman" w:hAnsi="Times New Roman" w:cs="Times New Roman"/>
          <w:bCs/>
          <w:sz w:val="24"/>
          <w:szCs w:val="24"/>
        </w:rPr>
        <w:t>:</w:t>
      </w:r>
    </w:p>
    <w:p w:rsidR="00607703" w:rsidRPr="00B06469" w:rsidRDefault="00607703" w:rsidP="001F0139">
      <w:pPr>
        <w:pStyle w:val="a3"/>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t xml:space="preserve">автодороги </w:t>
      </w:r>
      <w:proofErr w:type="spellStart"/>
      <w:r w:rsidRPr="00B06469">
        <w:rPr>
          <w:rFonts w:ascii="Times New Roman" w:hAnsi="Times New Roman" w:cs="Times New Roman"/>
          <w:bCs/>
          <w:sz w:val="24"/>
          <w:szCs w:val="24"/>
        </w:rPr>
        <w:t>с</w:t>
      </w:r>
      <w:proofErr w:type="gramStart"/>
      <w:r w:rsidRPr="00B06469">
        <w:rPr>
          <w:rFonts w:ascii="Times New Roman" w:hAnsi="Times New Roman" w:cs="Times New Roman"/>
          <w:bCs/>
          <w:sz w:val="24"/>
          <w:szCs w:val="24"/>
        </w:rPr>
        <w:t>.Т</w:t>
      </w:r>
      <w:proofErr w:type="gramEnd"/>
      <w:r w:rsidRPr="00B06469">
        <w:rPr>
          <w:rFonts w:ascii="Times New Roman" w:hAnsi="Times New Roman" w:cs="Times New Roman"/>
          <w:bCs/>
          <w:sz w:val="24"/>
          <w:szCs w:val="24"/>
        </w:rPr>
        <w:t>атарский</w:t>
      </w:r>
      <w:proofErr w:type="spellEnd"/>
      <w:r w:rsidRPr="00B06469">
        <w:rPr>
          <w:rFonts w:ascii="Times New Roman" w:hAnsi="Times New Roman" w:cs="Times New Roman"/>
          <w:bCs/>
          <w:sz w:val="24"/>
          <w:szCs w:val="24"/>
        </w:rPr>
        <w:t xml:space="preserve"> </w:t>
      </w:r>
      <w:proofErr w:type="spellStart"/>
      <w:r w:rsidRPr="00B06469">
        <w:rPr>
          <w:rFonts w:ascii="Times New Roman" w:hAnsi="Times New Roman" w:cs="Times New Roman"/>
          <w:bCs/>
          <w:sz w:val="24"/>
          <w:szCs w:val="24"/>
        </w:rPr>
        <w:t>Байтуган</w:t>
      </w:r>
      <w:proofErr w:type="spellEnd"/>
      <w:r w:rsidRPr="00B06469">
        <w:rPr>
          <w:rFonts w:ascii="Times New Roman" w:hAnsi="Times New Roman" w:cs="Times New Roman"/>
          <w:bCs/>
          <w:sz w:val="24"/>
          <w:szCs w:val="24"/>
        </w:rPr>
        <w:t xml:space="preserve"> – </w:t>
      </w:r>
      <w:proofErr w:type="spellStart"/>
      <w:r w:rsidRPr="00B06469">
        <w:rPr>
          <w:rFonts w:ascii="Times New Roman" w:hAnsi="Times New Roman" w:cs="Times New Roman"/>
          <w:bCs/>
          <w:sz w:val="24"/>
          <w:szCs w:val="24"/>
        </w:rPr>
        <w:t>п.Красный</w:t>
      </w:r>
      <w:proofErr w:type="spellEnd"/>
      <w:r w:rsidRPr="00B06469">
        <w:rPr>
          <w:rFonts w:ascii="Times New Roman" w:hAnsi="Times New Roman" w:cs="Times New Roman"/>
          <w:bCs/>
          <w:sz w:val="24"/>
          <w:szCs w:val="24"/>
        </w:rPr>
        <w:t xml:space="preserve"> Яр (протяженность 10 км);</w:t>
      </w:r>
      <w:r w:rsidR="002760F1" w:rsidRPr="00B06469">
        <w:rPr>
          <w:rFonts w:ascii="Times New Roman" w:hAnsi="Times New Roman" w:cs="Times New Roman"/>
          <w:bCs/>
          <w:sz w:val="24"/>
          <w:szCs w:val="24"/>
        </w:rPr>
        <w:t xml:space="preserve"> </w:t>
      </w:r>
    </w:p>
    <w:p w:rsidR="00607703" w:rsidRPr="00B06469" w:rsidRDefault="00607703" w:rsidP="001F0139">
      <w:pPr>
        <w:pStyle w:val="a3"/>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t xml:space="preserve">автодороги с. </w:t>
      </w:r>
      <w:proofErr w:type="spellStart"/>
      <w:r w:rsidRPr="00B06469">
        <w:rPr>
          <w:rFonts w:ascii="Times New Roman" w:hAnsi="Times New Roman" w:cs="Times New Roman"/>
          <w:bCs/>
          <w:sz w:val="24"/>
          <w:szCs w:val="24"/>
        </w:rPr>
        <w:t>Степановские</w:t>
      </w:r>
      <w:proofErr w:type="spellEnd"/>
      <w:r w:rsidRPr="00B06469">
        <w:rPr>
          <w:rFonts w:ascii="Times New Roman" w:hAnsi="Times New Roman" w:cs="Times New Roman"/>
          <w:bCs/>
          <w:sz w:val="24"/>
          <w:szCs w:val="24"/>
        </w:rPr>
        <w:t xml:space="preserve"> Выселки - трасса «Степановка – Старая </w:t>
      </w:r>
      <w:proofErr w:type="spellStart"/>
      <w:r w:rsidRPr="00B06469">
        <w:rPr>
          <w:rFonts w:ascii="Times New Roman" w:hAnsi="Times New Roman" w:cs="Times New Roman"/>
          <w:bCs/>
          <w:sz w:val="24"/>
          <w:szCs w:val="24"/>
        </w:rPr>
        <w:t>Балыкла</w:t>
      </w:r>
      <w:proofErr w:type="spellEnd"/>
      <w:r w:rsidRPr="00B06469">
        <w:rPr>
          <w:rFonts w:ascii="Times New Roman" w:hAnsi="Times New Roman" w:cs="Times New Roman"/>
          <w:bCs/>
          <w:sz w:val="24"/>
          <w:szCs w:val="24"/>
        </w:rPr>
        <w:t>» (протяженность 6 км);</w:t>
      </w:r>
    </w:p>
    <w:p w:rsidR="00607703" w:rsidRPr="00B06469" w:rsidRDefault="00607703" w:rsidP="001F0139">
      <w:pPr>
        <w:pStyle w:val="a3"/>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t xml:space="preserve">автодорога </w:t>
      </w:r>
      <w:proofErr w:type="gramStart"/>
      <w:r w:rsidRPr="00B06469">
        <w:rPr>
          <w:rFonts w:ascii="Times New Roman" w:hAnsi="Times New Roman" w:cs="Times New Roman"/>
          <w:bCs/>
          <w:sz w:val="24"/>
          <w:szCs w:val="24"/>
        </w:rPr>
        <w:t>с</w:t>
      </w:r>
      <w:proofErr w:type="gramEnd"/>
      <w:r w:rsidRPr="00B06469">
        <w:rPr>
          <w:rFonts w:ascii="Times New Roman" w:hAnsi="Times New Roman" w:cs="Times New Roman"/>
          <w:bCs/>
          <w:sz w:val="24"/>
          <w:szCs w:val="24"/>
        </w:rPr>
        <w:t xml:space="preserve">. Старое </w:t>
      </w:r>
      <w:proofErr w:type="spellStart"/>
      <w:r w:rsidRPr="00B06469">
        <w:rPr>
          <w:rFonts w:ascii="Times New Roman" w:hAnsi="Times New Roman" w:cs="Times New Roman"/>
          <w:bCs/>
          <w:sz w:val="24"/>
          <w:szCs w:val="24"/>
        </w:rPr>
        <w:t>Усманово</w:t>
      </w:r>
      <w:proofErr w:type="spellEnd"/>
      <w:r w:rsidRPr="00B06469">
        <w:rPr>
          <w:rFonts w:ascii="Times New Roman" w:hAnsi="Times New Roman" w:cs="Times New Roman"/>
          <w:bCs/>
          <w:sz w:val="24"/>
          <w:szCs w:val="24"/>
        </w:rPr>
        <w:t xml:space="preserve"> – с. Никиткино (протяженность 4 км).</w:t>
      </w:r>
    </w:p>
    <w:p w:rsidR="002E2810" w:rsidRPr="00B06469" w:rsidRDefault="002E2810" w:rsidP="001F0139">
      <w:pPr>
        <w:pStyle w:val="a3"/>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t xml:space="preserve">Строительство фельдшерско-акушерских пунктов в селе </w:t>
      </w:r>
      <w:proofErr w:type="gramStart"/>
      <w:r w:rsidRPr="00B06469">
        <w:rPr>
          <w:rFonts w:ascii="Times New Roman" w:hAnsi="Times New Roman" w:cs="Times New Roman"/>
          <w:bCs/>
          <w:sz w:val="24"/>
          <w:szCs w:val="24"/>
        </w:rPr>
        <w:t>Старая</w:t>
      </w:r>
      <w:proofErr w:type="gramEnd"/>
      <w:r w:rsidRPr="00B06469">
        <w:rPr>
          <w:rFonts w:ascii="Times New Roman" w:hAnsi="Times New Roman" w:cs="Times New Roman"/>
          <w:bCs/>
          <w:sz w:val="24"/>
          <w:szCs w:val="24"/>
        </w:rPr>
        <w:t xml:space="preserve"> </w:t>
      </w:r>
      <w:proofErr w:type="spellStart"/>
      <w:r w:rsidRPr="00B06469">
        <w:rPr>
          <w:rFonts w:ascii="Times New Roman" w:hAnsi="Times New Roman" w:cs="Times New Roman"/>
          <w:bCs/>
          <w:sz w:val="24"/>
          <w:szCs w:val="24"/>
        </w:rPr>
        <w:t>Балыкла</w:t>
      </w:r>
      <w:proofErr w:type="spellEnd"/>
      <w:r w:rsidRPr="00B06469">
        <w:rPr>
          <w:rFonts w:ascii="Times New Roman" w:hAnsi="Times New Roman" w:cs="Times New Roman"/>
          <w:bCs/>
          <w:sz w:val="24"/>
          <w:szCs w:val="24"/>
        </w:rPr>
        <w:t xml:space="preserve"> и поселке Юлдуз.</w:t>
      </w:r>
    </w:p>
    <w:p w:rsidR="002E2810" w:rsidRPr="00B06469" w:rsidRDefault="002E2810" w:rsidP="001F0139">
      <w:pPr>
        <w:pStyle w:val="a3"/>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t xml:space="preserve">Строительство пунктов скорой помощи в селах Старое </w:t>
      </w:r>
      <w:proofErr w:type="spellStart"/>
      <w:r w:rsidRPr="00B06469">
        <w:rPr>
          <w:rFonts w:ascii="Times New Roman" w:hAnsi="Times New Roman" w:cs="Times New Roman"/>
          <w:bCs/>
          <w:sz w:val="24"/>
          <w:szCs w:val="24"/>
        </w:rPr>
        <w:t>Усманово</w:t>
      </w:r>
      <w:proofErr w:type="spellEnd"/>
      <w:r w:rsidRPr="00B06469">
        <w:rPr>
          <w:rFonts w:ascii="Times New Roman" w:hAnsi="Times New Roman" w:cs="Times New Roman"/>
          <w:bCs/>
          <w:sz w:val="24"/>
          <w:szCs w:val="24"/>
        </w:rPr>
        <w:t>,</w:t>
      </w:r>
      <w:r w:rsidR="002760F1" w:rsidRPr="00B06469">
        <w:rPr>
          <w:rFonts w:ascii="Times New Roman" w:hAnsi="Times New Roman" w:cs="Times New Roman"/>
          <w:bCs/>
          <w:sz w:val="24"/>
          <w:szCs w:val="24"/>
        </w:rPr>
        <w:t xml:space="preserve"> </w:t>
      </w:r>
      <w:proofErr w:type="gramStart"/>
      <w:r w:rsidRPr="00B06469">
        <w:rPr>
          <w:rFonts w:ascii="Times New Roman" w:hAnsi="Times New Roman" w:cs="Times New Roman"/>
          <w:bCs/>
          <w:sz w:val="24"/>
          <w:szCs w:val="24"/>
        </w:rPr>
        <w:t>Старая</w:t>
      </w:r>
      <w:proofErr w:type="gramEnd"/>
      <w:r w:rsidRPr="00B06469">
        <w:rPr>
          <w:rFonts w:ascii="Times New Roman" w:hAnsi="Times New Roman" w:cs="Times New Roman"/>
          <w:bCs/>
          <w:sz w:val="24"/>
          <w:szCs w:val="24"/>
        </w:rPr>
        <w:t xml:space="preserve"> </w:t>
      </w:r>
      <w:proofErr w:type="spellStart"/>
      <w:r w:rsidRPr="00B06469">
        <w:rPr>
          <w:rFonts w:ascii="Times New Roman" w:hAnsi="Times New Roman" w:cs="Times New Roman"/>
          <w:bCs/>
          <w:sz w:val="24"/>
          <w:szCs w:val="24"/>
        </w:rPr>
        <w:t>Балыкла</w:t>
      </w:r>
      <w:proofErr w:type="spellEnd"/>
      <w:r w:rsidRPr="00B06469">
        <w:rPr>
          <w:rFonts w:ascii="Times New Roman" w:hAnsi="Times New Roman" w:cs="Times New Roman"/>
          <w:bCs/>
          <w:sz w:val="24"/>
          <w:szCs w:val="24"/>
        </w:rPr>
        <w:t xml:space="preserve"> и в поселке Юлдуз.</w:t>
      </w:r>
    </w:p>
    <w:p w:rsidR="002E2810" w:rsidRPr="00B06469" w:rsidRDefault="002E2810" w:rsidP="001F0139">
      <w:pPr>
        <w:pStyle w:val="a3"/>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lastRenderedPageBreak/>
        <w:t xml:space="preserve">Реконструкция фельдшерско-акушерских пунктов в сёлах Степановка, Старая </w:t>
      </w:r>
      <w:proofErr w:type="spellStart"/>
      <w:r w:rsidRPr="00B06469">
        <w:rPr>
          <w:rFonts w:ascii="Times New Roman" w:hAnsi="Times New Roman" w:cs="Times New Roman"/>
          <w:bCs/>
          <w:sz w:val="24"/>
          <w:szCs w:val="24"/>
        </w:rPr>
        <w:t>Балыкла</w:t>
      </w:r>
      <w:proofErr w:type="spellEnd"/>
      <w:r w:rsidRPr="00B06469">
        <w:rPr>
          <w:rFonts w:ascii="Times New Roman" w:hAnsi="Times New Roman" w:cs="Times New Roman"/>
          <w:bCs/>
          <w:sz w:val="24"/>
          <w:szCs w:val="24"/>
        </w:rPr>
        <w:t xml:space="preserve">, Русский </w:t>
      </w:r>
      <w:proofErr w:type="spellStart"/>
      <w:r w:rsidRPr="00B06469">
        <w:rPr>
          <w:rFonts w:ascii="Times New Roman" w:hAnsi="Times New Roman" w:cs="Times New Roman"/>
          <w:bCs/>
          <w:sz w:val="24"/>
          <w:szCs w:val="24"/>
        </w:rPr>
        <w:t>Байтуган</w:t>
      </w:r>
      <w:proofErr w:type="spellEnd"/>
      <w:r w:rsidRPr="00B06469">
        <w:rPr>
          <w:rFonts w:ascii="Times New Roman" w:hAnsi="Times New Roman" w:cs="Times New Roman"/>
          <w:bCs/>
          <w:sz w:val="24"/>
          <w:szCs w:val="24"/>
        </w:rPr>
        <w:t xml:space="preserve">, Татарский </w:t>
      </w:r>
      <w:proofErr w:type="spellStart"/>
      <w:r w:rsidRPr="00B06469">
        <w:rPr>
          <w:rFonts w:ascii="Times New Roman" w:hAnsi="Times New Roman" w:cs="Times New Roman"/>
          <w:bCs/>
          <w:sz w:val="24"/>
          <w:szCs w:val="24"/>
        </w:rPr>
        <w:t>Байтуган</w:t>
      </w:r>
      <w:proofErr w:type="spellEnd"/>
      <w:r w:rsidRPr="00B06469">
        <w:rPr>
          <w:rFonts w:ascii="Times New Roman" w:hAnsi="Times New Roman" w:cs="Times New Roman"/>
          <w:bCs/>
          <w:sz w:val="24"/>
          <w:szCs w:val="24"/>
        </w:rPr>
        <w:t xml:space="preserve">, Старое Ермаково, Новое Ермаково, Старое </w:t>
      </w:r>
      <w:proofErr w:type="spellStart"/>
      <w:r w:rsidRPr="00B06469">
        <w:rPr>
          <w:rFonts w:ascii="Times New Roman" w:hAnsi="Times New Roman" w:cs="Times New Roman"/>
          <w:bCs/>
          <w:sz w:val="24"/>
          <w:szCs w:val="24"/>
        </w:rPr>
        <w:t>Усманово</w:t>
      </w:r>
      <w:proofErr w:type="spellEnd"/>
      <w:r w:rsidRPr="00B06469">
        <w:rPr>
          <w:rFonts w:ascii="Times New Roman" w:hAnsi="Times New Roman" w:cs="Times New Roman"/>
          <w:bCs/>
          <w:sz w:val="24"/>
          <w:szCs w:val="24"/>
        </w:rPr>
        <w:t xml:space="preserve">, Новое </w:t>
      </w:r>
      <w:proofErr w:type="spellStart"/>
      <w:r w:rsidRPr="00B06469">
        <w:rPr>
          <w:rFonts w:ascii="Times New Roman" w:hAnsi="Times New Roman" w:cs="Times New Roman"/>
          <w:bCs/>
          <w:sz w:val="24"/>
          <w:szCs w:val="24"/>
        </w:rPr>
        <w:t>Усманово</w:t>
      </w:r>
      <w:proofErr w:type="spellEnd"/>
      <w:r w:rsidRPr="00B06469">
        <w:rPr>
          <w:rFonts w:ascii="Times New Roman" w:hAnsi="Times New Roman" w:cs="Times New Roman"/>
          <w:bCs/>
          <w:sz w:val="24"/>
          <w:szCs w:val="24"/>
        </w:rPr>
        <w:t>, Неклюдово, Никиткино и поселке Чулпан.</w:t>
      </w:r>
    </w:p>
    <w:p w:rsidR="00833A0F" w:rsidRPr="00B06469" w:rsidRDefault="00833A0F" w:rsidP="001F0139">
      <w:pPr>
        <w:pStyle w:val="a3"/>
        <w:spacing w:after="0" w:line="360" w:lineRule="auto"/>
        <w:ind w:left="0" w:firstLine="709"/>
        <w:jc w:val="both"/>
        <w:rPr>
          <w:rFonts w:ascii="Times New Roman" w:hAnsi="Times New Roman" w:cs="Times New Roman"/>
          <w:bCs/>
          <w:sz w:val="24"/>
          <w:szCs w:val="24"/>
        </w:rPr>
      </w:pPr>
      <w:proofErr w:type="gramStart"/>
      <w:r w:rsidRPr="00B06469">
        <w:rPr>
          <w:rFonts w:ascii="Times New Roman" w:hAnsi="Times New Roman" w:cs="Times New Roman"/>
          <w:bCs/>
          <w:sz w:val="24"/>
          <w:szCs w:val="24"/>
        </w:rPr>
        <w:t xml:space="preserve">Реконструкция общеобразовательных учреждений (начального общего, основного общего, среднего (полного) общего образования) в комплексы «учреждение (начального общего, основного общего, среднего (полного) общего образования) – дошкольное образовательное учреждение» в сёлах Неклюдово, Никиткино и Русский </w:t>
      </w:r>
      <w:proofErr w:type="spellStart"/>
      <w:r w:rsidRPr="00B06469">
        <w:rPr>
          <w:rFonts w:ascii="Times New Roman" w:hAnsi="Times New Roman" w:cs="Times New Roman"/>
          <w:bCs/>
          <w:sz w:val="24"/>
          <w:szCs w:val="24"/>
        </w:rPr>
        <w:t>Байтуган</w:t>
      </w:r>
      <w:proofErr w:type="spellEnd"/>
      <w:r w:rsidRPr="00B06469">
        <w:rPr>
          <w:rFonts w:ascii="Times New Roman" w:hAnsi="Times New Roman" w:cs="Times New Roman"/>
          <w:bCs/>
          <w:sz w:val="24"/>
          <w:szCs w:val="24"/>
        </w:rPr>
        <w:t xml:space="preserve">. </w:t>
      </w:r>
      <w:proofErr w:type="gramEnd"/>
    </w:p>
    <w:p w:rsidR="00A65CD4" w:rsidRPr="00B06469" w:rsidRDefault="00A65CD4" w:rsidP="001F0139">
      <w:pPr>
        <w:pStyle w:val="a3"/>
        <w:spacing w:after="0" w:line="360" w:lineRule="auto"/>
        <w:ind w:left="0" w:hanging="11"/>
        <w:jc w:val="both"/>
        <w:rPr>
          <w:rFonts w:ascii="Times New Roman" w:hAnsi="Times New Roman" w:cs="Times New Roman"/>
          <w:b/>
          <w:sz w:val="24"/>
          <w:szCs w:val="24"/>
        </w:rPr>
      </w:pPr>
      <w:r w:rsidRPr="00B06469">
        <w:rPr>
          <w:rFonts w:ascii="Times New Roman" w:hAnsi="Times New Roman" w:cs="Times New Roman"/>
          <w:b/>
          <w:sz w:val="24"/>
          <w:szCs w:val="24"/>
        </w:rPr>
        <w:t>Проекты и программы</w:t>
      </w:r>
    </w:p>
    <w:p w:rsidR="00A65CD4" w:rsidRPr="00B06469" w:rsidRDefault="00A65CD4" w:rsidP="001F0139">
      <w:pPr>
        <w:pStyle w:val="a3"/>
        <w:spacing w:after="0" w:line="360" w:lineRule="auto"/>
        <w:ind w:left="0" w:firstLine="709"/>
        <w:jc w:val="both"/>
        <w:rPr>
          <w:rFonts w:ascii="Times New Roman" w:hAnsi="Times New Roman" w:cs="Times New Roman"/>
          <w:sz w:val="24"/>
          <w:szCs w:val="24"/>
        </w:rPr>
      </w:pPr>
      <w:r w:rsidRPr="00B06469">
        <w:rPr>
          <w:rFonts w:ascii="Times New Roman" w:hAnsi="Times New Roman" w:cs="Times New Roman"/>
          <w:bCs/>
          <w:sz w:val="24"/>
          <w:szCs w:val="24"/>
          <w:u w:val="single"/>
        </w:rPr>
        <w:t xml:space="preserve">Муниципальная программа </w:t>
      </w:r>
      <w:r w:rsidRPr="00B06469">
        <w:rPr>
          <w:rFonts w:ascii="Times New Roman" w:hAnsi="Times New Roman" w:cs="Times New Roman"/>
          <w:sz w:val="24"/>
          <w:szCs w:val="24"/>
        </w:rPr>
        <w:t xml:space="preserve">«Формирование комфортной </w:t>
      </w:r>
      <w:proofErr w:type="spellStart"/>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ской</w:t>
      </w:r>
      <w:proofErr w:type="spellEnd"/>
      <w:r w:rsidRPr="00B06469">
        <w:rPr>
          <w:rFonts w:ascii="Times New Roman" w:hAnsi="Times New Roman" w:cs="Times New Roman"/>
          <w:sz w:val="24"/>
          <w:szCs w:val="24"/>
        </w:rPr>
        <w:t xml:space="preserve"> среды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Самарской области» на 2018-2022 годы»</w:t>
      </w:r>
    </w:p>
    <w:p w:rsidR="00A65CD4" w:rsidRPr="00B06469" w:rsidRDefault="00A65CD4" w:rsidP="001F0139">
      <w:pPr>
        <w:pStyle w:val="a3"/>
        <w:spacing w:after="0" w:line="360" w:lineRule="auto"/>
        <w:ind w:left="0" w:firstLine="709"/>
        <w:jc w:val="both"/>
        <w:rPr>
          <w:rFonts w:ascii="Times New Roman" w:hAnsi="Times New Roman" w:cs="Times New Roman"/>
          <w:sz w:val="24"/>
          <w:szCs w:val="24"/>
        </w:rPr>
      </w:pPr>
      <w:r w:rsidRPr="00B06469">
        <w:rPr>
          <w:rFonts w:ascii="Times New Roman" w:hAnsi="Times New Roman" w:cs="Times New Roman"/>
          <w:bCs/>
          <w:sz w:val="24"/>
          <w:szCs w:val="24"/>
          <w:u w:val="single"/>
        </w:rPr>
        <w:t>Разработка и реализация муниципальной программы</w:t>
      </w:r>
      <w:r w:rsidRPr="00B06469">
        <w:rPr>
          <w:rFonts w:ascii="Times New Roman" w:hAnsi="Times New Roman" w:cs="Times New Roman"/>
          <w:sz w:val="24"/>
          <w:szCs w:val="24"/>
          <w:u w:val="single"/>
        </w:rPr>
        <w:t xml:space="preserve"> </w:t>
      </w:r>
      <w:r w:rsidRPr="00B06469">
        <w:rPr>
          <w:rFonts w:ascii="Times New Roman" w:hAnsi="Times New Roman" w:cs="Times New Roman"/>
          <w:sz w:val="24"/>
          <w:szCs w:val="24"/>
        </w:rPr>
        <w:t>«Доступное жилье до 2030 г.»</w:t>
      </w:r>
    </w:p>
    <w:p w:rsidR="00A65CD4" w:rsidRPr="00B06469" w:rsidRDefault="00A65CD4" w:rsidP="001F0139">
      <w:pPr>
        <w:pStyle w:val="a3"/>
        <w:spacing w:after="0" w:line="360" w:lineRule="auto"/>
        <w:ind w:left="0" w:firstLine="709"/>
        <w:jc w:val="both"/>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«Поддержка местных инициатив граждан по созданию комфортной среды» на основе </w:t>
      </w:r>
      <w:proofErr w:type="spellStart"/>
      <w:r w:rsidRPr="00B06469">
        <w:rPr>
          <w:rFonts w:ascii="Times New Roman" w:hAnsi="Times New Roman" w:cs="Times New Roman"/>
          <w:sz w:val="24"/>
          <w:szCs w:val="24"/>
        </w:rPr>
        <w:t>муниципально</w:t>
      </w:r>
      <w:proofErr w:type="spellEnd"/>
      <w:r w:rsidRPr="00B06469">
        <w:rPr>
          <w:rFonts w:ascii="Times New Roman" w:hAnsi="Times New Roman" w:cs="Times New Roman"/>
          <w:sz w:val="24"/>
          <w:szCs w:val="24"/>
        </w:rPr>
        <w:t xml:space="preserve">-частного партнерства </w:t>
      </w:r>
    </w:p>
    <w:p w:rsidR="00A65CD4" w:rsidRPr="00B06469" w:rsidRDefault="00A65CD4" w:rsidP="001F0139">
      <w:pPr>
        <w:pStyle w:val="a3"/>
        <w:spacing w:after="0" w:line="360" w:lineRule="auto"/>
        <w:ind w:left="0" w:firstLine="709"/>
        <w:jc w:val="both"/>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«Реконструкция школ района»</w:t>
      </w:r>
    </w:p>
    <w:p w:rsidR="00A65CD4" w:rsidRPr="00B06469" w:rsidRDefault="00A65CD4"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337AC4" w:rsidRPr="00B06469" w:rsidRDefault="00E7443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7.2.2.</w:t>
      </w:r>
      <w:r w:rsidR="00337AC4" w:rsidRPr="00B06469">
        <w:rPr>
          <w:rFonts w:ascii="Times New Roman" w:hAnsi="Times New Roman" w:cs="Times New Roman"/>
          <w:b/>
          <w:color w:val="365F91" w:themeColor="accent1" w:themeShade="BF"/>
          <w:sz w:val="24"/>
          <w:szCs w:val="24"/>
        </w:rPr>
        <w:t xml:space="preserve"> Поддержка и развитие </w:t>
      </w:r>
      <w:proofErr w:type="spellStart"/>
      <w:r w:rsidR="00337AC4" w:rsidRPr="00B06469">
        <w:rPr>
          <w:rFonts w:ascii="Times New Roman" w:hAnsi="Times New Roman" w:cs="Times New Roman"/>
          <w:b/>
          <w:color w:val="365F91" w:themeColor="accent1" w:themeShade="BF"/>
          <w:sz w:val="24"/>
          <w:szCs w:val="24"/>
        </w:rPr>
        <w:t>экосреды</w:t>
      </w:r>
      <w:proofErr w:type="spellEnd"/>
      <w:r w:rsidR="00337AC4" w:rsidRPr="00B06469">
        <w:rPr>
          <w:rFonts w:ascii="Times New Roman" w:hAnsi="Times New Roman" w:cs="Times New Roman"/>
          <w:b/>
          <w:color w:val="365F91" w:themeColor="accent1" w:themeShade="BF"/>
          <w:sz w:val="24"/>
          <w:szCs w:val="24"/>
        </w:rPr>
        <w:t xml:space="preserve"> района, повышение экологической грамотности населения</w:t>
      </w:r>
    </w:p>
    <w:p w:rsidR="000320B3" w:rsidRPr="00B06469" w:rsidRDefault="00805F04" w:rsidP="001F0139">
      <w:pPr>
        <w:pStyle w:val="a3"/>
        <w:spacing w:after="0" w:line="360" w:lineRule="auto"/>
        <w:ind w:left="0" w:firstLine="709"/>
        <w:jc w:val="both"/>
        <w:rPr>
          <w:rFonts w:ascii="Times New Roman" w:hAnsi="Times New Roman" w:cs="Times New Roman"/>
          <w:sz w:val="24"/>
          <w:szCs w:val="24"/>
        </w:rPr>
      </w:pPr>
      <w:r w:rsidRPr="00B06469">
        <w:rPr>
          <w:rFonts w:ascii="Times New Roman" w:hAnsi="Times New Roman" w:cs="Times New Roman"/>
          <w:sz w:val="24"/>
          <w:szCs w:val="24"/>
        </w:rPr>
        <w:t>Мероприятия</w:t>
      </w:r>
    </w:p>
    <w:p w:rsidR="00805F04" w:rsidRPr="00B06469" w:rsidRDefault="00805F04" w:rsidP="001F0139">
      <w:pPr>
        <w:pStyle w:val="a8"/>
        <w:ind w:firstLine="720"/>
        <w:rPr>
          <w:sz w:val="24"/>
          <w:szCs w:val="24"/>
        </w:rPr>
      </w:pPr>
      <w:r w:rsidRPr="00B06469">
        <w:rPr>
          <w:sz w:val="24"/>
          <w:szCs w:val="24"/>
        </w:rPr>
        <w:t>повышение лесистости территорий Самарской области (увеличение объемов лесных насаждений за счет лесопосадочных работ), создание различных типов защитных лесных полос, колков, куртин, урочищ, а также плантаций из быстрорастущих пород, которые будут представлять собой новые самовозобновляющиеся экологические системы;</w:t>
      </w:r>
    </w:p>
    <w:p w:rsidR="00805F04" w:rsidRPr="00B06469" w:rsidRDefault="00805F04" w:rsidP="001F0139">
      <w:pPr>
        <w:pStyle w:val="a8"/>
        <w:ind w:firstLine="720"/>
        <w:rPr>
          <w:sz w:val="24"/>
          <w:szCs w:val="24"/>
        </w:rPr>
      </w:pPr>
      <w:r w:rsidRPr="00B06469">
        <w:rPr>
          <w:sz w:val="24"/>
          <w:szCs w:val="24"/>
        </w:rPr>
        <w:t xml:space="preserve">разработка проектов по реабилитации прибрежных территорий и долин малых рек (озеленение, </w:t>
      </w:r>
      <w:proofErr w:type="spellStart"/>
      <w:r w:rsidRPr="00B06469">
        <w:rPr>
          <w:sz w:val="24"/>
          <w:szCs w:val="24"/>
        </w:rPr>
        <w:t>залесение</w:t>
      </w:r>
      <w:proofErr w:type="spellEnd"/>
      <w:r w:rsidRPr="00B06469">
        <w:rPr>
          <w:sz w:val="24"/>
          <w:szCs w:val="24"/>
        </w:rPr>
        <w:t>, рекультивация почвы, благоустройство) с учетом функционального назначения территорий;</w:t>
      </w:r>
    </w:p>
    <w:p w:rsidR="00805F04" w:rsidRPr="00B06469" w:rsidRDefault="00805F04" w:rsidP="001F0139">
      <w:pPr>
        <w:pStyle w:val="a8"/>
        <w:ind w:firstLine="720"/>
        <w:rPr>
          <w:sz w:val="24"/>
          <w:szCs w:val="24"/>
        </w:rPr>
      </w:pPr>
      <w:r w:rsidRPr="00B06469">
        <w:rPr>
          <w:sz w:val="24"/>
          <w:szCs w:val="24"/>
        </w:rPr>
        <w:t>разработка бассейновых схем охраны, реабилитации и рационального использования малых рек и прибрежных территорий;</w:t>
      </w:r>
    </w:p>
    <w:p w:rsidR="00805F04" w:rsidRPr="00B06469" w:rsidRDefault="00805F04" w:rsidP="001F0139">
      <w:pPr>
        <w:pStyle w:val="a8"/>
        <w:ind w:firstLine="720"/>
        <w:rPr>
          <w:sz w:val="24"/>
          <w:szCs w:val="24"/>
        </w:rPr>
      </w:pPr>
      <w:r w:rsidRPr="00B06469">
        <w:rPr>
          <w:sz w:val="24"/>
          <w:szCs w:val="24"/>
        </w:rPr>
        <w:t xml:space="preserve">инженерная подготовка и оборудование прибрежных территорий, включая мероприятия по организации рельефа, мелиорации, </w:t>
      </w:r>
      <w:proofErr w:type="spellStart"/>
      <w:r w:rsidRPr="00B06469">
        <w:rPr>
          <w:sz w:val="24"/>
          <w:szCs w:val="24"/>
        </w:rPr>
        <w:t>берегоукрепление</w:t>
      </w:r>
      <w:proofErr w:type="spellEnd"/>
      <w:r w:rsidRPr="00B06469">
        <w:rPr>
          <w:sz w:val="24"/>
          <w:szCs w:val="24"/>
        </w:rPr>
        <w:t>, противоэрозионные, противооползневые и оврагоукрепительные работы;</w:t>
      </w:r>
    </w:p>
    <w:p w:rsidR="00805F04" w:rsidRPr="00B06469" w:rsidRDefault="00805F04" w:rsidP="001F0139">
      <w:pPr>
        <w:pStyle w:val="a8"/>
        <w:tabs>
          <w:tab w:val="left" w:pos="1440"/>
        </w:tabs>
        <w:rPr>
          <w:sz w:val="24"/>
          <w:szCs w:val="24"/>
        </w:rPr>
      </w:pPr>
      <w:r w:rsidRPr="00B06469">
        <w:rPr>
          <w:sz w:val="24"/>
          <w:szCs w:val="24"/>
        </w:rPr>
        <w:t>мероприятия ведомственной целевой программы «Сохранение и восстановление биоразнообразия растительности и животного мира на территории Самарской области, обеспечение развития особо охраняемых природных территорий регионального значения» на 2011-2013 годы»</w:t>
      </w:r>
      <w:r w:rsidRPr="00B06469">
        <w:rPr>
          <w:color w:val="FF0000"/>
          <w:sz w:val="24"/>
          <w:szCs w:val="24"/>
        </w:rPr>
        <w:t xml:space="preserve"> </w:t>
      </w:r>
      <w:r w:rsidRPr="00B06469">
        <w:rPr>
          <w:color w:val="000000"/>
          <w:sz w:val="24"/>
          <w:szCs w:val="24"/>
        </w:rPr>
        <w:t xml:space="preserve">утвержденной приказом министерства природопользования, лесного </w:t>
      </w:r>
      <w:r w:rsidRPr="00B06469">
        <w:rPr>
          <w:sz w:val="24"/>
          <w:szCs w:val="24"/>
        </w:rPr>
        <w:t>хозяйства и охраны окружающей среды Самарской области от 10.11.2009 № 122;</w:t>
      </w:r>
    </w:p>
    <w:p w:rsidR="00805F04" w:rsidRPr="00B06469" w:rsidRDefault="00805F04" w:rsidP="001F0139">
      <w:pPr>
        <w:widowControl w:val="0"/>
        <w:shd w:val="clear" w:color="auto" w:fill="FFFFFF"/>
        <w:spacing w:after="0" w:line="360" w:lineRule="auto"/>
        <w:ind w:firstLine="709"/>
        <w:jc w:val="both"/>
        <w:rPr>
          <w:rFonts w:ascii="Times New Roman" w:eastAsia="Times New Roman" w:hAnsi="Times New Roman" w:cs="Times New Roman"/>
          <w:sz w:val="24"/>
          <w:szCs w:val="24"/>
          <w:lang w:eastAsia="ar-SA"/>
        </w:rPr>
      </w:pPr>
      <w:r w:rsidRPr="00B06469">
        <w:rPr>
          <w:rFonts w:ascii="Times New Roman" w:eastAsia="Times New Roman" w:hAnsi="Times New Roman" w:cs="Times New Roman"/>
          <w:sz w:val="24"/>
          <w:szCs w:val="24"/>
          <w:lang w:eastAsia="ar-SA"/>
        </w:rPr>
        <w:t xml:space="preserve">мероприятия Областной целевой программы «Совершенствование системы обращения с отходами производства и потребления и формирование кластера </w:t>
      </w:r>
      <w:r w:rsidRPr="00B06469">
        <w:rPr>
          <w:rFonts w:ascii="Times New Roman" w:eastAsia="Times New Roman" w:hAnsi="Times New Roman" w:cs="Times New Roman"/>
          <w:sz w:val="24"/>
          <w:szCs w:val="24"/>
          <w:lang w:eastAsia="ar-SA"/>
        </w:rPr>
        <w:lastRenderedPageBreak/>
        <w:t xml:space="preserve">использования вторичных ресурсов на территории Самарской области на 2010-2012 годы и на период до 2020 года», утверждённой постановлением Правительства Самарской области от 06.08.2009 № 372. </w:t>
      </w:r>
    </w:p>
    <w:p w:rsidR="00805F04" w:rsidRPr="00B06469" w:rsidRDefault="00805F04" w:rsidP="001F0139">
      <w:pPr>
        <w:pStyle w:val="a8"/>
        <w:rPr>
          <w:sz w:val="24"/>
          <w:szCs w:val="24"/>
        </w:rPr>
      </w:pPr>
      <w:r w:rsidRPr="00B06469">
        <w:rPr>
          <w:sz w:val="24"/>
          <w:szCs w:val="24"/>
        </w:rPr>
        <w:t>в сфере совершенствования инфраструктуры воздушного транспорта:</w:t>
      </w:r>
    </w:p>
    <w:p w:rsidR="00805F04" w:rsidRPr="00B06469" w:rsidRDefault="002760F1" w:rsidP="001F0139">
      <w:pPr>
        <w:pStyle w:val="aa"/>
        <w:spacing w:line="360" w:lineRule="auto"/>
        <w:ind w:firstLine="0"/>
        <w:rPr>
          <w:sz w:val="24"/>
        </w:rPr>
      </w:pPr>
      <w:r w:rsidRPr="00B06469">
        <w:rPr>
          <w:sz w:val="24"/>
        </w:rPr>
        <w:t xml:space="preserve">  </w:t>
      </w:r>
      <w:r w:rsidR="00805F04" w:rsidRPr="00B06469">
        <w:rPr>
          <w:sz w:val="24"/>
        </w:rPr>
        <w:t xml:space="preserve"> строительство взлетно-посадочной площадки для малой авиации и вертолетов в селе Камышла.</w:t>
      </w:r>
    </w:p>
    <w:p w:rsidR="00607703" w:rsidRPr="00B06469" w:rsidRDefault="00607703" w:rsidP="001F0139">
      <w:pPr>
        <w:pStyle w:val="ad"/>
        <w:rPr>
          <w:sz w:val="24"/>
          <w:szCs w:val="24"/>
        </w:rPr>
      </w:pPr>
      <w:r w:rsidRPr="00B06469">
        <w:rPr>
          <w:sz w:val="24"/>
          <w:szCs w:val="24"/>
        </w:rPr>
        <w:t xml:space="preserve">технической реконструкции линейной части и компрессорных станций с применением </w:t>
      </w:r>
      <w:proofErr w:type="spellStart"/>
      <w:r w:rsidRPr="00B06469">
        <w:rPr>
          <w:sz w:val="24"/>
          <w:szCs w:val="24"/>
        </w:rPr>
        <w:t>энерг</w:t>
      </w:r>
      <w:proofErr w:type="gramStart"/>
      <w:r w:rsidRPr="00B06469">
        <w:rPr>
          <w:sz w:val="24"/>
          <w:szCs w:val="24"/>
        </w:rPr>
        <w:t>о</w:t>
      </w:r>
      <w:proofErr w:type="spellEnd"/>
      <w:r w:rsidRPr="00B06469">
        <w:rPr>
          <w:sz w:val="24"/>
          <w:szCs w:val="24"/>
        </w:rPr>
        <w:t>-</w:t>
      </w:r>
      <w:proofErr w:type="gramEnd"/>
      <w:r w:rsidRPr="00B06469">
        <w:rPr>
          <w:sz w:val="24"/>
          <w:szCs w:val="24"/>
        </w:rPr>
        <w:t xml:space="preserve"> и </w:t>
      </w:r>
      <w:proofErr w:type="spellStart"/>
      <w:r w:rsidRPr="00B06469">
        <w:rPr>
          <w:sz w:val="24"/>
          <w:szCs w:val="24"/>
        </w:rPr>
        <w:t>газосберегающих</w:t>
      </w:r>
      <w:proofErr w:type="spellEnd"/>
      <w:r w:rsidRPr="00B06469">
        <w:rPr>
          <w:sz w:val="24"/>
          <w:szCs w:val="24"/>
        </w:rPr>
        <w:t xml:space="preserve"> технологий;</w:t>
      </w:r>
    </w:p>
    <w:p w:rsidR="00607703" w:rsidRPr="00B06469" w:rsidRDefault="00607703" w:rsidP="001F0139">
      <w:pPr>
        <w:pStyle w:val="ad"/>
        <w:rPr>
          <w:sz w:val="24"/>
          <w:szCs w:val="24"/>
        </w:rPr>
      </w:pPr>
      <w:r w:rsidRPr="00B06469">
        <w:rPr>
          <w:sz w:val="24"/>
          <w:szCs w:val="24"/>
        </w:rPr>
        <w:t xml:space="preserve">развития газораспределительной системы с подключением максимально возможного количества потребителей; </w:t>
      </w:r>
    </w:p>
    <w:p w:rsidR="00607703" w:rsidRPr="00B06469" w:rsidRDefault="00607703" w:rsidP="001F0139">
      <w:pPr>
        <w:pStyle w:val="ad"/>
        <w:rPr>
          <w:sz w:val="24"/>
          <w:szCs w:val="24"/>
        </w:rPr>
      </w:pPr>
      <w:r w:rsidRPr="00B06469">
        <w:rPr>
          <w:sz w:val="24"/>
          <w:szCs w:val="24"/>
        </w:rPr>
        <w:t xml:space="preserve">строительства и реконструкции газопроводов высокого, среднего и низкого давления. </w:t>
      </w:r>
    </w:p>
    <w:p w:rsidR="00607703" w:rsidRPr="00B06469" w:rsidRDefault="00607703" w:rsidP="001F0139">
      <w:pPr>
        <w:pStyle w:val="ad"/>
        <w:rPr>
          <w:sz w:val="24"/>
          <w:szCs w:val="24"/>
        </w:rPr>
      </w:pPr>
      <w:r w:rsidRPr="00B06469">
        <w:rPr>
          <w:sz w:val="24"/>
          <w:szCs w:val="24"/>
        </w:rPr>
        <w:t>Проектирование и строительство газопроводов низкого давления в селах Камышла и Старое Ермаково.</w:t>
      </w:r>
    </w:p>
    <w:p w:rsidR="0010573D" w:rsidRPr="00B06469" w:rsidRDefault="0010573D" w:rsidP="001F0139">
      <w:pPr>
        <w:pStyle w:val="ad"/>
        <w:rPr>
          <w:sz w:val="24"/>
          <w:szCs w:val="24"/>
        </w:rPr>
      </w:pPr>
      <w:r w:rsidRPr="00B06469">
        <w:rPr>
          <w:sz w:val="24"/>
          <w:szCs w:val="24"/>
        </w:rPr>
        <w:t xml:space="preserve">Строительство и реконструкция канализационных очистных сооружений и сетей канализации </w:t>
      </w:r>
      <w:proofErr w:type="spellStart"/>
      <w:r w:rsidRPr="00B06469">
        <w:rPr>
          <w:sz w:val="24"/>
          <w:szCs w:val="24"/>
        </w:rPr>
        <w:t>межпоселенческого</w:t>
      </w:r>
      <w:proofErr w:type="spellEnd"/>
      <w:r w:rsidRPr="00B06469">
        <w:rPr>
          <w:sz w:val="24"/>
          <w:szCs w:val="24"/>
        </w:rPr>
        <w:t xml:space="preserve"> значения с применением безопасных методов обеззараживания воды (ультрафиолетовое облучение, озонирование) в селах Старое Ермаково, Новое </w:t>
      </w:r>
      <w:proofErr w:type="spellStart"/>
      <w:r w:rsidRPr="00B06469">
        <w:rPr>
          <w:sz w:val="24"/>
          <w:szCs w:val="24"/>
        </w:rPr>
        <w:t>Усманово</w:t>
      </w:r>
      <w:proofErr w:type="spellEnd"/>
      <w:r w:rsidRPr="00B06469">
        <w:rPr>
          <w:sz w:val="24"/>
          <w:szCs w:val="24"/>
        </w:rPr>
        <w:t>, поселке Юлдуз.</w:t>
      </w:r>
    </w:p>
    <w:p w:rsidR="0010573D" w:rsidRPr="00B06469" w:rsidRDefault="0010573D" w:rsidP="001F0139">
      <w:pPr>
        <w:pStyle w:val="ad"/>
        <w:rPr>
          <w:sz w:val="24"/>
          <w:szCs w:val="24"/>
        </w:rPr>
      </w:pPr>
      <w:r w:rsidRPr="00B06469">
        <w:rPr>
          <w:sz w:val="24"/>
          <w:szCs w:val="24"/>
        </w:rPr>
        <w:t>Завершение строительства канализационных очистных сооружений в селе Камышла.</w:t>
      </w:r>
    </w:p>
    <w:p w:rsidR="0010573D" w:rsidRPr="00B06469" w:rsidRDefault="0010573D" w:rsidP="001F0139">
      <w:pPr>
        <w:pStyle w:val="ad"/>
        <w:rPr>
          <w:sz w:val="24"/>
          <w:szCs w:val="24"/>
        </w:rPr>
      </w:pPr>
      <w:r w:rsidRPr="00B06469">
        <w:rPr>
          <w:sz w:val="24"/>
          <w:szCs w:val="24"/>
        </w:rPr>
        <w:t>Ликвидация несанкционированных свалок с последующей рекультивацией занимаемых</w:t>
      </w:r>
      <w:r w:rsidR="002760F1" w:rsidRPr="00B06469">
        <w:rPr>
          <w:sz w:val="24"/>
          <w:szCs w:val="24"/>
        </w:rPr>
        <w:t xml:space="preserve"> </w:t>
      </w:r>
      <w:r w:rsidRPr="00B06469">
        <w:rPr>
          <w:sz w:val="24"/>
          <w:szCs w:val="24"/>
        </w:rPr>
        <w:t xml:space="preserve">ими территорий, расположенных (в том числе) в районе населенных пунктов: Старое Ермаково, </w:t>
      </w:r>
      <w:proofErr w:type="gramStart"/>
      <w:r w:rsidRPr="00B06469">
        <w:rPr>
          <w:sz w:val="24"/>
          <w:szCs w:val="24"/>
        </w:rPr>
        <w:t>Старая</w:t>
      </w:r>
      <w:proofErr w:type="gramEnd"/>
      <w:r w:rsidRPr="00B06469">
        <w:rPr>
          <w:sz w:val="24"/>
          <w:szCs w:val="24"/>
        </w:rPr>
        <w:t xml:space="preserve"> </w:t>
      </w:r>
      <w:proofErr w:type="spellStart"/>
      <w:r w:rsidRPr="00B06469">
        <w:rPr>
          <w:sz w:val="24"/>
          <w:szCs w:val="24"/>
        </w:rPr>
        <w:t>Балыкла</w:t>
      </w:r>
      <w:proofErr w:type="spellEnd"/>
      <w:r w:rsidRPr="00B06469">
        <w:rPr>
          <w:sz w:val="24"/>
          <w:szCs w:val="24"/>
        </w:rPr>
        <w:t xml:space="preserve">, Новое </w:t>
      </w:r>
      <w:proofErr w:type="spellStart"/>
      <w:r w:rsidRPr="00B06469">
        <w:rPr>
          <w:sz w:val="24"/>
          <w:szCs w:val="24"/>
        </w:rPr>
        <w:t>Усманово</w:t>
      </w:r>
      <w:proofErr w:type="spellEnd"/>
      <w:r w:rsidRPr="00B06469">
        <w:rPr>
          <w:sz w:val="24"/>
          <w:szCs w:val="24"/>
        </w:rPr>
        <w:t xml:space="preserve">, Старое </w:t>
      </w:r>
      <w:proofErr w:type="spellStart"/>
      <w:r w:rsidRPr="00B06469">
        <w:rPr>
          <w:sz w:val="24"/>
          <w:szCs w:val="24"/>
        </w:rPr>
        <w:t>Усманово</w:t>
      </w:r>
      <w:proofErr w:type="spellEnd"/>
      <w:r w:rsidRPr="00B06469">
        <w:rPr>
          <w:sz w:val="24"/>
          <w:szCs w:val="24"/>
        </w:rPr>
        <w:t xml:space="preserve">, Татарский </w:t>
      </w:r>
      <w:proofErr w:type="spellStart"/>
      <w:r w:rsidRPr="00B06469">
        <w:rPr>
          <w:sz w:val="24"/>
          <w:szCs w:val="24"/>
        </w:rPr>
        <w:t>Байтуган</w:t>
      </w:r>
      <w:proofErr w:type="spellEnd"/>
      <w:r w:rsidRPr="00B06469">
        <w:rPr>
          <w:sz w:val="24"/>
          <w:szCs w:val="24"/>
        </w:rPr>
        <w:t>, Никиткино.</w:t>
      </w:r>
    </w:p>
    <w:p w:rsidR="0010573D" w:rsidRPr="00B06469" w:rsidRDefault="0010573D" w:rsidP="001F0139">
      <w:pPr>
        <w:pStyle w:val="ad"/>
        <w:ind w:firstLine="0"/>
        <w:rPr>
          <w:sz w:val="24"/>
          <w:szCs w:val="24"/>
        </w:rPr>
      </w:pPr>
      <w:r w:rsidRPr="00B06469">
        <w:rPr>
          <w:sz w:val="24"/>
          <w:szCs w:val="24"/>
        </w:rPr>
        <w:t xml:space="preserve"> </w:t>
      </w:r>
      <w:r w:rsidRPr="00B06469">
        <w:rPr>
          <w:sz w:val="24"/>
          <w:szCs w:val="24"/>
        </w:rPr>
        <w:tab/>
        <w:t>Строительство полигона твёрдых бытовых отходов в районе села Камышла.</w:t>
      </w:r>
    </w:p>
    <w:p w:rsidR="0010573D" w:rsidRPr="00B06469" w:rsidRDefault="0010573D" w:rsidP="001F0139">
      <w:pPr>
        <w:pStyle w:val="ad"/>
        <w:ind w:firstLine="0"/>
        <w:rPr>
          <w:sz w:val="24"/>
          <w:szCs w:val="24"/>
        </w:rPr>
      </w:pPr>
      <w:r w:rsidRPr="00B06469">
        <w:rPr>
          <w:sz w:val="24"/>
          <w:szCs w:val="24"/>
        </w:rPr>
        <w:t xml:space="preserve">. </w:t>
      </w:r>
      <w:r w:rsidRPr="00B06469">
        <w:rPr>
          <w:sz w:val="24"/>
          <w:szCs w:val="24"/>
        </w:rPr>
        <w:tab/>
        <w:t xml:space="preserve">Приведение действующих скотомогильников, расположенных в районе сел Камышла, Старая </w:t>
      </w:r>
      <w:proofErr w:type="spellStart"/>
      <w:r w:rsidRPr="00B06469">
        <w:rPr>
          <w:sz w:val="24"/>
          <w:szCs w:val="24"/>
        </w:rPr>
        <w:t>Балыкла</w:t>
      </w:r>
      <w:proofErr w:type="spellEnd"/>
      <w:r w:rsidRPr="00B06469">
        <w:rPr>
          <w:sz w:val="24"/>
          <w:szCs w:val="24"/>
        </w:rPr>
        <w:t>, в соответствие с требованиями «Ветеринарно-санитарных правил сбора, утилизации и уничтожения биологических отходов», утвержденных Минсельхозпродом РФ 04.12.1995 г. №13-7-2/469.</w:t>
      </w:r>
    </w:p>
    <w:p w:rsidR="0010573D" w:rsidRPr="00B06469" w:rsidRDefault="0010573D" w:rsidP="001F0139">
      <w:pPr>
        <w:pStyle w:val="ad"/>
        <w:rPr>
          <w:sz w:val="24"/>
          <w:szCs w:val="24"/>
        </w:rPr>
      </w:pPr>
      <w:r w:rsidRPr="00B06469">
        <w:rPr>
          <w:sz w:val="24"/>
          <w:szCs w:val="24"/>
        </w:rPr>
        <w:t xml:space="preserve">Проектирование и строительство ям </w:t>
      </w:r>
      <w:proofErr w:type="spellStart"/>
      <w:r w:rsidRPr="00B06469">
        <w:rPr>
          <w:sz w:val="24"/>
          <w:szCs w:val="24"/>
        </w:rPr>
        <w:t>Беккари</w:t>
      </w:r>
      <w:proofErr w:type="spellEnd"/>
      <w:r w:rsidRPr="00B06469">
        <w:rPr>
          <w:sz w:val="24"/>
          <w:szCs w:val="24"/>
        </w:rPr>
        <w:t xml:space="preserve"> в районе сел Новое </w:t>
      </w:r>
      <w:proofErr w:type="spellStart"/>
      <w:r w:rsidRPr="00B06469">
        <w:rPr>
          <w:sz w:val="24"/>
          <w:szCs w:val="24"/>
        </w:rPr>
        <w:t>Усманово</w:t>
      </w:r>
      <w:proofErr w:type="spellEnd"/>
      <w:r w:rsidRPr="00B06469">
        <w:rPr>
          <w:sz w:val="24"/>
          <w:szCs w:val="24"/>
        </w:rPr>
        <w:t xml:space="preserve">, Русский </w:t>
      </w:r>
      <w:proofErr w:type="spellStart"/>
      <w:r w:rsidRPr="00B06469">
        <w:rPr>
          <w:sz w:val="24"/>
          <w:szCs w:val="24"/>
        </w:rPr>
        <w:t>Байтуган</w:t>
      </w:r>
      <w:proofErr w:type="spellEnd"/>
      <w:r w:rsidRPr="00B06469">
        <w:rPr>
          <w:sz w:val="24"/>
          <w:szCs w:val="24"/>
        </w:rPr>
        <w:t xml:space="preserve">, Старое </w:t>
      </w:r>
      <w:proofErr w:type="spellStart"/>
      <w:r w:rsidRPr="00B06469">
        <w:rPr>
          <w:sz w:val="24"/>
          <w:szCs w:val="24"/>
        </w:rPr>
        <w:t>Усманово</w:t>
      </w:r>
      <w:proofErr w:type="spellEnd"/>
      <w:r w:rsidRPr="00B06469">
        <w:rPr>
          <w:sz w:val="24"/>
          <w:szCs w:val="24"/>
        </w:rPr>
        <w:t>, Старое Ермаково.</w:t>
      </w:r>
    </w:p>
    <w:p w:rsidR="0010573D" w:rsidRPr="00B06469" w:rsidRDefault="0010573D" w:rsidP="001F0139">
      <w:pPr>
        <w:pStyle w:val="ad"/>
        <w:rPr>
          <w:sz w:val="24"/>
          <w:szCs w:val="24"/>
        </w:rPr>
      </w:pPr>
      <w:r w:rsidRPr="00B06469">
        <w:rPr>
          <w:sz w:val="24"/>
          <w:szCs w:val="24"/>
        </w:rPr>
        <w:t xml:space="preserve">Консервация скотомогильников в районе сел Камышла, Новое </w:t>
      </w:r>
      <w:proofErr w:type="spellStart"/>
      <w:r w:rsidRPr="00B06469">
        <w:rPr>
          <w:sz w:val="24"/>
          <w:szCs w:val="24"/>
        </w:rPr>
        <w:t>Усманово</w:t>
      </w:r>
      <w:proofErr w:type="spellEnd"/>
      <w:r w:rsidRPr="00B06469">
        <w:rPr>
          <w:sz w:val="24"/>
          <w:szCs w:val="24"/>
        </w:rPr>
        <w:t xml:space="preserve">, Никиткино, Новое Ермаково, Старое Ермаково, Русский </w:t>
      </w:r>
      <w:proofErr w:type="spellStart"/>
      <w:r w:rsidRPr="00B06469">
        <w:rPr>
          <w:sz w:val="24"/>
          <w:szCs w:val="24"/>
        </w:rPr>
        <w:t>Байтуган</w:t>
      </w:r>
      <w:proofErr w:type="spellEnd"/>
      <w:r w:rsidRPr="00B06469">
        <w:rPr>
          <w:sz w:val="24"/>
          <w:szCs w:val="24"/>
        </w:rPr>
        <w:t xml:space="preserve">, Старое </w:t>
      </w:r>
      <w:proofErr w:type="spellStart"/>
      <w:r w:rsidRPr="00B06469">
        <w:rPr>
          <w:sz w:val="24"/>
          <w:szCs w:val="24"/>
        </w:rPr>
        <w:t>Усманово</w:t>
      </w:r>
      <w:proofErr w:type="spellEnd"/>
      <w:r w:rsidRPr="00B06469">
        <w:rPr>
          <w:sz w:val="24"/>
          <w:szCs w:val="24"/>
        </w:rPr>
        <w:t>.</w:t>
      </w:r>
    </w:p>
    <w:p w:rsidR="0010573D" w:rsidRPr="00B06469" w:rsidRDefault="0010573D" w:rsidP="001F0139">
      <w:pPr>
        <w:pStyle w:val="ad"/>
        <w:rPr>
          <w:sz w:val="24"/>
          <w:szCs w:val="24"/>
        </w:rPr>
      </w:pPr>
      <w:r w:rsidRPr="00B06469">
        <w:rPr>
          <w:sz w:val="24"/>
          <w:szCs w:val="24"/>
        </w:rPr>
        <w:t xml:space="preserve">Разработка генеральной схемы очистки территории муниципального района </w:t>
      </w:r>
      <w:proofErr w:type="spellStart"/>
      <w:r w:rsidRPr="00B06469">
        <w:rPr>
          <w:sz w:val="24"/>
          <w:szCs w:val="24"/>
        </w:rPr>
        <w:t>Камышлинский</w:t>
      </w:r>
      <w:proofErr w:type="spellEnd"/>
      <w:r w:rsidRPr="00B06469">
        <w:rPr>
          <w:sz w:val="24"/>
          <w:szCs w:val="24"/>
        </w:rPr>
        <w:t xml:space="preserve"> Самарской области.</w:t>
      </w:r>
    </w:p>
    <w:p w:rsidR="0010573D" w:rsidRPr="00B06469" w:rsidRDefault="0010573D" w:rsidP="001F0139">
      <w:pPr>
        <w:pStyle w:val="ad"/>
        <w:rPr>
          <w:sz w:val="24"/>
          <w:szCs w:val="24"/>
        </w:rPr>
      </w:pPr>
      <w:r w:rsidRPr="00B06469">
        <w:rPr>
          <w:sz w:val="24"/>
          <w:szCs w:val="24"/>
        </w:rPr>
        <w:t>Проведение мероприятий по укреплению береговой линии реки Сок в районе сел</w:t>
      </w:r>
      <w:r w:rsidR="002760F1" w:rsidRPr="00B06469">
        <w:rPr>
          <w:sz w:val="24"/>
          <w:szCs w:val="24"/>
        </w:rPr>
        <w:t xml:space="preserve"> </w:t>
      </w:r>
      <w:r w:rsidRPr="00B06469">
        <w:rPr>
          <w:sz w:val="24"/>
          <w:szCs w:val="24"/>
        </w:rPr>
        <w:t xml:space="preserve">Новое </w:t>
      </w:r>
      <w:proofErr w:type="spellStart"/>
      <w:r w:rsidRPr="00B06469">
        <w:rPr>
          <w:sz w:val="24"/>
          <w:szCs w:val="24"/>
        </w:rPr>
        <w:t>Усманово</w:t>
      </w:r>
      <w:proofErr w:type="spellEnd"/>
      <w:r w:rsidRPr="00B06469">
        <w:rPr>
          <w:sz w:val="24"/>
          <w:szCs w:val="24"/>
        </w:rPr>
        <w:t xml:space="preserve">, Русский </w:t>
      </w:r>
      <w:proofErr w:type="spellStart"/>
      <w:r w:rsidRPr="00B06469">
        <w:rPr>
          <w:sz w:val="24"/>
          <w:szCs w:val="24"/>
        </w:rPr>
        <w:t>Байтуган</w:t>
      </w:r>
      <w:proofErr w:type="spellEnd"/>
      <w:r w:rsidRPr="00B06469">
        <w:rPr>
          <w:sz w:val="24"/>
          <w:szCs w:val="24"/>
        </w:rPr>
        <w:t>, Камышла, в сельском поселении Ермаково.</w:t>
      </w:r>
    </w:p>
    <w:p w:rsidR="00805F04" w:rsidRPr="00B06469" w:rsidRDefault="00805F04"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337AC4" w:rsidRPr="00B06469" w:rsidRDefault="00337AC4"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7.2.3. Развитие культурного пространства и национальных традиций</w:t>
      </w:r>
    </w:p>
    <w:p w:rsidR="000320B3" w:rsidRPr="00B06469" w:rsidRDefault="00443650"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Мероприятия</w:t>
      </w:r>
    </w:p>
    <w:p w:rsidR="00443650" w:rsidRPr="00B06469" w:rsidRDefault="00443650" w:rsidP="001F0139">
      <w:pPr>
        <w:pStyle w:val="ad"/>
        <w:rPr>
          <w:sz w:val="24"/>
          <w:szCs w:val="24"/>
        </w:rPr>
      </w:pPr>
      <w:r w:rsidRPr="00B06469">
        <w:rPr>
          <w:sz w:val="24"/>
          <w:szCs w:val="24"/>
        </w:rPr>
        <w:t xml:space="preserve">2.7.1. Строительство культурно-досуговых центров в селах Камышла, Старое Ермаково и Новое </w:t>
      </w:r>
      <w:proofErr w:type="spellStart"/>
      <w:r w:rsidRPr="00B06469">
        <w:rPr>
          <w:sz w:val="24"/>
          <w:szCs w:val="24"/>
        </w:rPr>
        <w:t>Усманово</w:t>
      </w:r>
      <w:proofErr w:type="spellEnd"/>
      <w:r w:rsidRPr="00B06469">
        <w:rPr>
          <w:sz w:val="24"/>
          <w:szCs w:val="24"/>
        </w:rPr>
        <w:t>.</w:t>
      </w:r>
    </w:p>
    <w:p w:rsidR="00443650" w:rsidRPr="00B06469" w:rsidRDefault="00443650" w:rsidP="001F0139">
      <w:pPr>
        <w:pStyle w:val="ad"/>
        <w:rPr>
          <w:sz w:val="24"/>
          <w:szCs w:val="24"/>
        </w:rPr>
      </w:pPr>
      <w:r w:rsidRPr="00B06469">
        <w:rPr>
          <w:sz w:val="24"/>
          <w:szCs w:val="24"/>
        </w:rPr>
        <w:t xml:space="preserve">2.7.2. Строительство молодежного клуба в селе Старое </w:t>
      </w:r>
      <w:proofErr w:type="spellStart"/>
      <w:r w:rsidRPr="00B06469">
        <w:rPr>
          <w:sz w:val="24"/>
          <w:szCs w:val="24"/>
        </w:rPr>
        <w:t>Усманово</w:t>
      </w:r>
      <w:proofErr w:type="spellEnd"/>
      <w:r w:rsidRPr="00B06469">
        <w:rPr>
          <w:sz w:val="24"/>
          <w:szCs w:val="24"/>
        </w:rPr>
        <w:t>.</w:t>
      </w:r>
    </w:p>
    <w:p w:rsidR="00443650" w:rsidRPr="00B06469" w:rsidRDefault="00443650" w:rsidP="001F0139">
      <w:pPr>
        <w:spacing w:after="0" w:line="360" w:lineRule="auto"/>
        <w:jc w:val="both"/>
        <w:rPr>
          <w:rFonts w:ascii="Times New Roman" w:hAnsi="Times New Roman" w:cs="Times New Roman"/>
          <w:b/>
          <w:color w:val="365F91" w:themeColor="accent1" w:themeShade="BF"/>
          <w:sz w:val="24"/>
          <w:szCs w:val="24"/>
        </w:rPr>
      </w:pPr>
    </w:p>
    <w:p w:rsidR="00443650" w:rsidRPr="00B06469" w:rsidRDefault="00443650" w:rsidP="001F0139">
      <w:pPr>
        <w:spacing w:after="0" w:line="360" w:lineRule="auto"/>
        <w:jc w:val="both"/>
        <w:rPr>
          <w:rFonts w:ascii="Times New Roman" w:hAnsi="Times New Roman" w:cs="Times New Roman"/>
          <w:b/>
          <w:color w:val="365F91" w:themeColor="accent1" w:themeShade="BF"/>
          <w:sz w:val="24"/>
          <w:szCs w:val="24"/>
        </w:rPr>
      </w:pPr>
    </w:p>
    <w:p w:rsidR="002760F1" w:rsidRPr="00B06469" w:rsidRDefault="002760F1">
      <w:pPr>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br w:type="page"/>
      </w:r>
    </w:p>
    <w:p w:rsidR="00443650" w:rsidRPr="00B06469" w:rsidRDefault="00443650" w:rsidP="001F0139">
      <w:pPr>
        <w:spacing w:after="0" w:line="360" w:lineRule="auto"/>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lastRenderedPageBreak/>
        <w:t>Ожидаемые</w:t>
      </w:r>
      <w:r w:rsidR="002760F1" w:rsidRPr="00B06469">
        <w:rPr>
          <w:rFonts w:ascii="Times New Roman" w:hAnsi="Times New Roman" w:cs="Times New Roman"/>
          <w:b/>
          <w:color w:val="365F91" w:themeColor="accent1" w:themeShade="BF"/>
          <w:sz w:val="24"/>
          <w:szCs w:val="24"/>
        </w:rPr>
        <w:t xml:space="preserve"> </w:t>
      </w:r>
      <w:r w:rsidRPr="00B06469">
        <w:rPr>
          <w:rFonts w:ascii="Times New Roman" w:hAnsi="Times New Roman" w:cs="Times New Roman"/>
          <w:b/>
          <w:color w:val="365F91" w:themeColor="accent1" w:themeShade="BF"/>
          <w:sz w:val="24"/>
          <w:szCs w:val="24"/>
        </w:rPr>
        <w:t>результаты</w:t>
      </w:r>
    </w:p>
    <w:tbl>
      <w:tblPr>
        <w:tblStyle w:val="a9"/>
        <w:tblW w:w="0" w:type="auto"/>
        <w:jc w:val="center"/>
        <w:tblLook w:val="04A0" w:firstRow="1" w:lastRow="0" w:firstColumn="1" w:lastColumn="0" w:noHBand="0" w:noVBand="1"/>
      </w:tblPr>
      <w:tblGrid>
        <w:gridCol w:w="2509"/>
        <w:gridCol w:w="675"/>
        <w:gridCol w:w="1630"/>
        <w:gridCol w:w="865"/>
        <w:gridCol w:w="865"/>
        <w:gridCol w:w="1130"/>
      </w:tblGrid>
      <w:tr w:rsidR="00443650" w:rsidRPr="00B06469" w:rsidTr="00A722E5">
        <w:trPr>
          <w:jc w:val="center"/>
        </w:trPr>
        <w:tc>
          <w:tcPr>
            <w:tcW w:w="2509" w:type="dxa"/>
            <w:shd w:val="clear" w:color="auto" w:fill="C00000"/>
          </w:tcPr>
          <w:p w:rsidR="00443650" w:rsidRPr="00B06469" w:rsidRDefault="00443650" w:rsidP="001F0139">
            <w:pPr>
              <w:jc w:val="center"/>
              <w:rPr>
                <w:rFonts w:ascii="Times New Roman" w:hAnsi="Times New Roman" w:cs="Times New Roman"/>
                <w:b/>
                <w:sz w:val="24"/>
                <w:szCs w:val="24"/>
              </w:rPr>
            </w:pPr>
          </w:p>
          <w:p w:rsidR="00443650" w:rsidRPr="00B06469" w:rsidRDefault="00443650" w:rsidP="001F0139">
            <w:pPr>
              <w:jc w:val="center"/>
              <w:rPr>
                <w:rFonts w:ascii="Times New Roman" w:hAnsi="Times New Roman" w:cs="Times New Roman"/>
                <w:b/>
                <w:sz w:val="24"/>
                <w:szCs w:val="24"/>
              </w:rPr>
            </w:pPr>
          </w:p>
          <w:p w:rsidR="00443650" w:rsidRPr="00B06469" w:rsidRDefault="00443650" w:rsidP="001F0139">
            <w:pPr>
              <w:jc w:val="center"/>
              <w:rPr>
                <w:rFonts w:ascii="Times New Roman" w:hAnsi="Times New Roman" w:cs="Times New Roman"/>
                <w:b/>
                <w:sz w:val="24"/>
                <w:szCs w:val="24"/>
              </w:rPr>
            </w:pPr>
          </w:p>
          <w:p w:rsidR="00443650" w:rsidRPr="00B06469" w:rsidRDefault="00443650" w:rsidP="001F0139">
            <w:pPr>
              <w:jc w:val="center"/>
              <w:rPr>
                <w:rFonts w:ascii="Times New Roman" w:hAnsi="Times New Roman" w:cs="Times New Roman"/>
                <w:b/>
                <w:sz w:val="24"/>
                <w:szCs w:val="24"/>
              </w:rPr>
            </w:pPr>
          </w:p>
          <w:p w:rsidR="00443650" w:rsidRPr="00B06469" w:rsidRDefault="00443650" w:rsidP="001F0139">
            <w:pPr>
              <w:jc w:val="center"/>
              <w:rPr>
                <w:rFonts w:ascii="Times New Roman" w:hAnsi="Times New Roman" w:cs="Times New Roman"/>
                <w:b/>
                <w:sz w:val="24"/>
                <w:szCs w:val="24"/>
              </w:rPr>
            </w:pPr>
          </w:p>
          <w:p w:rsidR="00443650" w:rsidRPr="00B06469" w:rsidRDefault="00443650" w:rsidP="001F0139">
            <w:pPr>
              <w:jc w:val="center"/>
              <w:rPr>
                <w:rFonts w:ascii="Times New Roman" w:hAnsi="Times New Roman" w:cs="Times New Roman"/>
                <w:b/>
                <w:sz w:val="24"/>
                <w:szCs w:val="24"/>
              </w:rPr>
            </w:pPr>
            <w:r w:rsidRPr="00B06469">
              <w:rPr>
                <w:rFonts w:ascii="Times New Roman" w:hAnsi="Times New Roman" w:cs="Times New Roman"/>
                <w:b/>
                <w:sz w:val="24"/>
                <w:szCs w:val="24"/>
              </w:rPr>
              <w:t>Целевой показатель</w:t>
            </w:r>
          </w:p>
        </w:tc>
        <w:tc>
          <w:tcPr>
            <w:tcW w:w="675" w:type="dxa"/>
            <w:shd w:val="clear" w:color="auto" w:fill="C00000"/>
          </w:tcPr>
          <w:p w:rsidR="00443650" w:rsidRPr="00B06469" w:rsidRDefault="00443650" w:rsidP="001F0139">
            <w:pPr>
              <w:jc w:val="center"/>
              <w:rPr>
                <w:rFonts w:ascii="Times New Roman" w:hAnsi="Times New Roman" w:cs="Times New Roman"/>
                <w:b/>
                <w:sz w:val="24"/>
                <w:szCs w:val="24"/>
              </w:rPr>
            </w:pPr>
            <w:r w:rsidRPr="00B06469">
              <w:rPr>
                <w:rFonts w:ascii="Times New Roman" w:hAnsi="Times New Roman" w:cs="Times New Roman"/>
                <w:b/>
                <w:sz w:val="24"/>
                <w:szCs w:val="24"/>
              </w:rPr>
              <w:t>Ед. изм.</w:t>
            </w:r>
          </w:p>
        </w:tc>
        <w:tc>
          <w:tcPr>
            <w:tcW w:w="1630" w:type="dxa"/>
            <w:shd w:val="clear" w:color="auto" w:fill="C00000"/>
            <w:vAlign w:val="center"/>
          </w:tcPr>
          <w:p w:rsidR="00443650" w:rsidRPr="00B06469" w:rsidRDefault="00443650" w:rsidP="001F0139">
            <w:pPr>
              <w:jc w:val="center"/>
              <w:rPr>
                <w:rFonts w:ascii="Times New Roman" w:hAnsi="Times New Roman" w:cs="Times New Roman"/>
                <w:b/>
                <w:sz w:val="24"/>
                <w:szCs w:val="24"/>
              </w:rPr>
            </w:pPr>
            <w:r w:rsidRPr="00B06469">
              <w:rPr>
                <w:rFonts w:ascii="Times New Roman" w:hAnsi="Times New Roman" w:cs="Times New Roman"/>
                <w:b/>
                <w:sz w:val="24"/>
                <w:szCs w:val="24"/>
              </w:rPr>
              <w:t>Сценарий</w:t>
            </w:r>
          </w:p>
        </w:tc>
        <w:tc>
          <w:tcPr>
            <w:tcW w:w="865" w:type="dxa"/>
            <w:shd w:val="clear" w:color="auto" w:fill="C00000"/>
          </w:tcPr>
          <w:p w:rsidR="00443650" w:rsidRPr="00B06469" w:rsidRDefault="00443650" w:rsidP="001F0139">
            <w:pPr>
              <w:rPr>
                <w:rFonts w:ascii="Times New Roman" w:hAnsi="Times New Roman" w:cs="Times New Roman"/>
                <w:b/>
                <w:sz w:val="24"/>
                <w:szCs w:val="24"/>
              </w:rPr>
            </w:pPr>
            <w:r w:rsidRPr="00B06469">
              <w:rPr>
                <w:rFonts w:ascii="Times New Roman" w:hAnsi="Times New Roman" w:cs="Times New Roman"/>
                <w:b/>
                <w:sz w:val="24"/>
                <w:szCs w:val="24"/>
              </w:rPr>
              <w:t>2020г.</w:t>
            </w:r>
          </w:p>
        </w:tc>
        <w:tc>
          <w:tcPr>
            <w:tcW w:w="865" w:type="dxa"/>
            <w:shd w:val="clear" w:color="auto" w:fill="C00000"/>
          </w:tcPr>
          <w:p w:rsidR="00443650" w:rsidRPr="00B06469" w:rsidRDefault="00443650" w:rsidP="001F0139">
            <w:pPr>
              <w:rPr>
                <w:rFonts w:ascii="Times New Roman" w:hAnsi="Times New Roman" w:cs="Times New Roman"/>
                <w:b/>
                <w:sz w:val="24"/>
                <w:szCs w:val="24"/>
              </w:rPr>
            </w:pPr>
            <w:r w:rsidRPr="00B06469">
              <w:rPr>
                <w:rFonts w:ascii="Times New Roman" w:hAnsi="Times New Roman" w:cs="Times New Roman"/>
                <w:b/>
                <w:sz w:val="24"/>
                <w:szCs w:val="24"/>
              </w:rPr>
              <w:t>2025г.</w:t>
            </w:r>
          </w:p>
        </w:tc>
        <w:tc>
          <w:tcPr>
            <w:tcW w:w="1130" w:type="dxa"/>
            <w:shd w:val="clear" w:color="auto" w:fill="C00000"/>
          </w:tcPr>
          <w:p w:rsidR="00443650" w:rsidRPr="00B06469" w:rsidRDefault="00443650" w:rsidP="001F0139">
            <w:pPr>
              <w:rPr>
                <w:rFonts w:ascii="Times New Roman" w:hAnsi="Times New Roman" w:cs="Times New Roman"/>
                <w:b/>
                <w:sz w:val="24"/>
                <w:szCs w:val="24"/>
              </w:rPr>
            </w:pPr>
            <w:r w:rsidRPr="00B06469">
              <w:rPr>
                <w:rFonts w:ascii="Times New Roman" w:hAnsi="Times New Roman" w:cs="Times New Roman"/>
                <w:b/>
                <w:sz w:val="24"/>
                <w:szCs w:val="24"/>
              </w:rPr>
              <w:t>2030г.</w:t>
            </w:r>
          </w:p>
        </w:tc>
      </w:tr>
      <w:tr w:rsidR="00443650" w:rsidRPr="00B06469" w:rsidTr="00A722E5">
        <w:trPr>
          <w:trHeight w:val="1767"/>
          <w:jc w:val="center"/>
        </w:trPr>
        <w:tc>
          <w:tcPr>
            <w:tcW w:w="2509" w:type="dxa"/>
            <w:vMerge w:val="restart"/>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увеличение объемов жилищного строительства с учетом социальной нормы </w:t>
            </w:r>
          </w:p>
        </w:tc>
        <w:tc>
          <w:tcPr>
            <w:tcW w:w="675" w:type="dxa"/>
            <w:vMerge w:val="restart"/>
          </w:tcPr>
          <w:p w:rsidR="00443650" w:rsidRPr="00B06469" w:rsidRDefault="00443650" w:rsidP="001F0139">
            <w:pPr>
              <w:jc w:val="both"/>
              <w:rPr>
                <w:rFonts w:ascii="Times New Roman" w:hAnsi="Times New Roman" w:cs="Times New Roman"/>
                <w:sz w:val="24"/>
                <w:szCs w:val="24"/>
              </w:rPr>
            </w:pPr>
            <w:proofErr w:type="spellStart"/>
            <w:r w:rsidRPr="00B06469">
              <w:rPr>
                <w:rFonts w:ascii="Times New Roman" w:hAnsi="Times New Roman" w:cs="Times New Roman"/>
                <w:sz w:val="24"/>
                <w:szCs w:val="24"/>
              </w:rPr>
              <w:t>кв</w:t>
            </w:r>
            <w:proofErr w:type="gramStart"/>
            <w:r w:rsidRPr="00B06469">
              <w:rPr>
                <w:rFonts w:ascii="Times New Roman" w:hAnsi="Times New Roman" w:cs="Times New Roman"/>
                <w:sz w:val="24"/>
                <w:szCs w:val="24"/>
              </w:rPr>
              <w:t>.м</w:t>
            </w:r>
            <w:proofErr w:type="spellEnd"/>
            <w:proofErr w:type="gramEnd"/>
            <w:r w:rsidRPr="00B06469">
              <w:rPr>
                <w:rFonts w:ascii="Times New Roman" w:hAnsi="Times New Roman" w:cs="Times New Roman"/>
                <w:sz w:val="24"/>
                <w:szCs w:val="24"/>
              </w:rPr>
              <w:t xml:space="preserve"> на чел</w:t>
            </w:r>
          </w:p>
        </w:tc>
        <w:tc>
          <w:tcPr>
            <w:tcW w:w="16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28</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29</w:t>
            </w:r>
          </w:p>
        </w:tc>
        <w:tc>
          <w:tcPr>
            <w:tcW w:w="11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32</w:t>
            </w:r>
          </w:p>
        </w:tc>
      </w:tr>
      <w:tr w:rsidR="00443650" w:rsidRPr="00B06469" w:rsidTr="00A722E5">
        <w:trPr>
          <w:jc w:val="center"/>
        </w:trPr>
        <w:tc>
          <w:tcPr>
            <w:tcW w:w="2509" w:type="dxa"/>
            <w:vMerge/>
          </w:tcPr>
          <w:p w:rsidR="00443650" w:rsidRPr="00B06469" w:rsidRDefault="00443650" w:rsidP="001F0139">
            <w:pPr>
              <w:jc w:val="both"/>
              <w:rPr>
                <w:rFonts w:ascii="Times New Roman" w:hAnsi="Times New Roman" w:cs="Times New Roman"/>
                <w:sz w:val="24"/>
                <w:szCs w:val="24"/>
              </w:rPr>
            </w:pPr>
          </w:p>
        </w:tc>
        <w:tc>
          <w:tcPr>
            <w:tcW w:w="675" w:type="dxa"/>
            <w:vMerge/>
          </w:tcPr>
          <w:p w:rsidR="00443650" w:rsidRPr="00B06469" w:rsidRDefault="00443650" w:rsidP="001F0139">
            <w:pPr>
              <w:jc w:val="both"/>
              <w:rPr>
                <w:rFonts w:ascii="Times New Roman" w:hAnsi="Times New Roman" w:cs="Times New Roman"/>
                <w:sz w:val="24"/>
                <w:szCs w:val="24"/>
              </w:rPr>
            </w:pPr>
          </w:p>
        </w:tc>
        <w:tc>
          <w:tcPr>
            <w:tcW w:w="16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30</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32</w:t>
            </w:r>
          </w:p>
        </w:tc>
        <w:tc>
          <w:tcPr>
            <w:tcW w:w="11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34</w:t>
            </w:r>
          </w:p>
        </w:tc>
      </w:tr>
      <w:tr w:rsidR="00443650" w:rsidRPr="00B06469" w:rsidTr="00A722E5">
        <w:trPr>
          <w:jc w:val="center"/>
        </w:trPr>
        <w:tc>
          <w:tcPr>
            <w:tcW w:w="2509" w:type="dxa"/>
            <w:vMerge w:val="restart"/>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проведение капитального ремонта к 2030 году в процентах от общей площади существующего жилищного фонда к 2030</w:t>
            </w:r>
          </w:p>
        </w:tc>
        <w:tc>
          <w:tcPr>
            <w:tcW w:w="675" w:type="dxa"/>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443650" w:rsidRPr="00B06469" w:rsidRDefault="00443650" w:rsidP="001F0139">
            <w:pPr>
              <w:jc w:val="both"/>
              <w:rPr>
                <w:rFonts w:ascii="Times New Roman" w:hAnsi="Times New Roman" w:cs="Times New Roman"/>
                <w:i/>
                <w:sz w:val="24"/>
                <w:szCs w:val="24"/>
              </w:rPr>
            </w:pPr>
            <w:r w:rsidRPr="00B06469">
              <w:rPr>
                <w:rFonts w:ascii="Times New Roman" w:hAnsi="Times New Roman" w:cs="Times New Roman"/>
                <w:i/>
                <w:sz w:val="24"/>
                <w:szCs w:val="24"/>
              </w:rPr>
              <w:t>20</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22</w:t>
            </w:r>
          </w:p>
        </w:tc>
        <w:tc>
          <w:tcPr>
            <w:tcW w:w="11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25</w:t>
            </w:r>
          </w:p>
        </w:tc>
      </w:tr>
      <w:tr w:rsidR="00443650" w:rsidRPr="00B06469" w:rsidTr="00A722E5">
        <w:trPr>
          <w:jc w:val="center"/>
        </w:trPr>
        <w:tc>
          <w:tcPr>
            <w:tcW w:w="2509" w:type="dxa"/>
            <w:vMerge/>
          </w:tcPr>
          <w:p w:rsidR="00443650" w:rsidRPr="00B06469" w:rsidRDefault="00443650" w:rsidP="001F0139">
            <w:pPr>
              <w:jc w:val="both"/>
              <w:rPr>
                <w:rFonts w:ascii="Times New Roman" w:hAnsi="Times New Roman" w:cs="Times New Roman"/>
                <w:sz w:val="24"/>
                <w:szCs w:val="24"/>
              </w:rPr>
            </w:pPr>
          </w:p>
        </w:tc>
        <w:tc>
          <w:tcPr>
            <w:tcW w:w="675" w:type="dxa"/>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22</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25</w:t>
            </w:r>
          </w:p>
        </w:tc>
        <w:tc>
          <w:tcPr>
            <w:tcW w:w="11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30</w:t>
            </w:r>
          </w:p>
        </w:tc>
      </w:tr>
      <w:tr w:rsidR="00443650" w:rsidRPr="00B06469" w:rsidTr="00A722E5">
        <w:trPr>
          <w:trHeight w:val="1433"/>
          <w:jc w:val="center"/>
        </w:trPr>
        <w:tc>
          <w:tcPr>
            <w:tcW w:w="2509" w:type="dxa"/>
            <w:vMerge w:val="restart"/>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удовлетворенность населения условиями среды проживания в населенных пунктах </w:t>
            </w:r>
          </w:p>
          <w:p w:rsidR="00443650" w:rsidRPr="00B06469" w:rsidRDefault="00443650" w:rsidP="001F0139">
            <w:pPr>
              <w:jc w:val="both"/>
              <w:rPr>
                <w:rFonts w:ascii="Times New Roman" w:hAnsi="Times New Roman" w:cs="Times New Roman"/>
                <w:sz w:val="24"/>
                <w:szCs w:val="24"/>
              </w:rPr>
            </w:pPr>
          </w:p>
        </w:tc>
        <w:tc>
          <w:tcPr>
            <w:tcW w:w="675" w:type="dxa"/>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60</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70</w:t>
            </w:r>
          </w:p>
        </w:tc>
        <w:tc>
          <w:tcPr>
            <w:tcW w:w="11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80</w:t>
            </w:r>
          </w:p>
        </w:tc>
      </w:tr>
      <w:tr w:rsidR="00443650" w:rsidRPr="00B06469" w:rsidTr="00A722E5">
        <w:trPr>
          <w:jc w:val="center"/>
        </w:trPr>
        <w:tc>
          <w:tcPr>
            <w:tcW w:w="2509" w:type="dxa"/>
            <w:vMerge/>
          </w:tcPr>
          <w:p w:rsidR="00443650" w:rsidRPr="00B06469" w:rsidRDefault="00443650" w:rsidP="001F0139">
            <w:pPr>
              <w:jc w:val="both"/>
              <w:rPr>
                <w:rFonts w:ascii="Times New Roman" w:hAnsi="Times New Roman" w:cs="Times New Roman"/>
                <w:sz w:val="24"/>
                <w:szCs w:val="24"/>
              </w:rPr>
            </w:pPr>
          </w:p>
        </w:tc>
        <w:tc>
          <w:tcPr>
            <w:tcW w:w="675" w:type="dxa"/>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71</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89</w:t>
            </w:r>
          </w:p>
        </w:tc>
        <w:tc>
          <w:tcPr>
            <w:tcW w:w="11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90</w:t>
            </w:r>
          </w:p>
        </w:tc>
      </w:tr>
    </w:tbl>
    <w:p w:rsidR="00443650" w:rsidRPr="00B06469" w:rsidRDefault="00443650" w:rsidP="001F0139">
      <w:pPr>
        <w:spacing w:after="0" w:line="360" w:lineRule="auto"/>
        <w:jc w:val="both"/>
        <w:rPr>
          <w:rFonts w:ascii="Times New Roman" w:hAnsi="Times New Roman" w:cs="Times New Roman"/>
          <w:b/>
          <w:color w:val="365F91" w:themeColor="accent1" w:themeShade="BF"/>
          <w:sz w:val="24"/>
          <w:szCs w:val="24"/>
        </w:rPr>
      </w:pPr>
    </w:p>
    <w:tbl>
      <w:tblPr>
        <w:tblStyle w:val="a9"/>
        <w:tblW w:w="0" w:type="auto"/>
        <w:jc w:val="center"/>
        <w:tblLook w:val="04A0" w:firstRow="1" w:lastRow="0" w:firstColumn="1" w:lastColumn="0" w:noHBand="0" w:noVBand="1"/>
      </w:tblPr>
      <w:tblGrid>
        <w:gridCol w:w="2509"/>
        <w:gridCol w:w="675"/>
        <w:gridCol w:w="1630"/>
        <w:gridCol w:w="865"/>
        <w:gridCol w:w="865"/>
        <w:gridCol w:w="1130"/>
      </w:tblGrid>
      <w:tr w:rsidR="00443650" w:rsidRPr="00B06469" w:rsidTr="00A722E5">
        <w:trPr>
          <w:jc w:val="center"/>
        </w:trPr>
        <w:tc>
          <w:tcPr>
            <w:tcW w:w="2509" w:type="dxa"/>
            <w:shd w:val="clear" w:color="auto" w:fill="C00000"/>
          </w:tcPr>
          <w:p w:rsidR="00443650" w:rsidRPr="00B06469" w:rsidRDefault="00443650" w:rsidP="001F0139">
            <w:pPr>
              <w:jc w:val="center"/>
              <w:rPr>
                <w:rFonts w:ascii="Times New Roman" w:hAnsi="Times New Roman" w:cs="Times New Roman"/>
                <w:b/>
                <w:sz w:val="24"/>
                <w:szCs w:val="24"/>
              </w:rPr>
            </w:pPr>
            <w:r w:rsidRPr="00B06469">
              <w:rPr>
                <w:rFonts w:ascii="Times New Roman" w:hAnsi="Times New Roman" w:cs="Times New Roman"/>
                <w:b/>
                <w:sz w:val="24"/>
                <w:szCs w:val="24"/>
              </w:rPr>
              <w:t>Целевой показатель</w:t>
            </w:r>
          </w:p>
        </w:tc>
        <w:tc>
          <w:tcPr>
            <w:tcW w:w="675" w:type="dxa"/>
            <w:shd w:val="clear" w:color="auto" w:fill="C00000"/>
          </w:tcPr>
          <w:p w:rsidR="00443650" w:rsidRPr="00B06469" w:rsidRDefault="00443650" w:rsidP="001F0139">
            <w:pPr>
              <w:jc w:val="center"/>
              <w:rPr>
                <w:rFonts w:ascii="Times New Roman" w:hAnsi="Times New Roman" w:cs="Times New Roman"/>
                <w:b/>
                <w:sz w:val="24"/>
                <w:szCs w:val="24"/>
              </w:rPr>
            </w:pPr>
            <w:r w:rsidRPr="00B06469">
              <w:rPr>
                <w:rFonts w:ascii="Times New Roman" w:hAnsi="Times New Roman" w:cs="Times New Roman"/>
                <w:b/>
                <w:sz w:val="24"/>
                <w:szCs w:val="24"/>
              </w:rPr>
              <w:t>Ед. изм.</w:t>
            </w:r>
          </w:p>
        </w:tc>
        <w:tc>
          <w:tcPr>
            <w:tcW w:w="1630" w:type="dxa"/>
            <w:shd w:val="clear" w:color="auto" w:fill="C00000"/>
            <w:vAlign w:val="center"/>
          </w:tcPr>
          <w:p w:rsidR="00443650" w:rsidRPr="00B06469" w:rsidRDefault="00443650" w:rsidP="001F0139">
            <w:pPr>
              <w:jc w:val="center"/>
              <w:rPr>
                <w:rFonts w:ascii="Times New Roman" w:hAnsi="Times New Roman" w:cs="Times New Roman"/>
                <w:b/>
                <w:sz w:val="24"/>
                <w:szCs w:val="24"/>
              </w:rPr>
            </w:pPr>
            <w:r w:rsidRPr="00B06469">
              <w:rPr>
                <w:rFonts w:ascii="Times New Roman" w:hAnsi="Times New Roman" w:cs="Times New Roman"/>
                <w:b/>
                <w:sz w:val="24"/>
                <w:szCs w:val="24"/>
              </w:rPr>
              <w:t>Сценарий</w:t>
            </w:r>
          </w:p>
        </w:tc>
        <w:tc>
          <w:tcPr>
            <w:tcW w:w="865" w:type="dxa"/>
            <w:shd w:val="clear" w:color="auto" w:fill="C00000"/>
          </w:tcPr>
          <w:p w:rsidR="00443650" w:rsidRPr="00B06469" w:rsidRDefault="00443650" w:rsidP="001F0139">
            <w:pPr>
              <w:rPr>
                <w:rFonts w:ascii="Times New Roman" w:hAnsi="Times New Roman" w:cs="Times New Roman"/>
                <w:b/>
                <w:sz w:val="24"/>
                <w:szCs w:val="24"/>
              </w:rPr>
            </w:pPr>
            <w:r w:rsidRPr="00B06469">
              <w:rPr>
                <w:rFonts w:ascii="Times New Roman" w:hAnsi="Times New Roman" w:cs="Times New Roman"/>
                <w:b/>
                <w:sz w:val="24"/>
                <w:szCs w:val="24"/>
              </w:rPr>
              <w:t>2020г.</w:t>
            </w:r>
          </w:p>
        </w:tc>
        <w:tc>
          <w:tcPr>
            <w:tcW w:w="865" w:type="dxa"/>
            <w:shd w:val="clear" w:color="auto" w:fill="C00000"/>
          </w:tcPr>
          <w:p w:rsidR="00443650" w:rsidRPr="00B06469" w:rsidRDefault="00443650" w:rsidP="001F0139">
            <w:pPr>
              <w:rPr>
                <w:rFonts w:ascii="Times New Roman" w:hAnsi="Times New Roman" w:cs="Times New Roman"/>
                <w:b/>
                <w:sz w:val="24"/>
                <w:szCs w:val="24"/>
              </w:rPr>
            </w:pPr>
            <w:r w:rsidRPr="00B06469">
              <w:rPr>
                <w:rFonts w:ascii="Times New Roman" w:hAnsi="Times New Roman" w:cs="Times New Roman"/>
                <w:b/>
                <w:sz w:val="24"/>
                <w:szCs w:val="24"/>
              </w:rPr>
              <w:t>2025г.</w:t>
            </w:r>
          </w:p>
        </w:tc>
        <w:tc>
          <w:tcPr>
            <w:tcW w:w="1130" w:type="dxa"/>
            <w:shd w:val="clear" w:color="auto" w:fill="C00000"/>
          </w:tcPr>
          <w:p w:rsidR="00443650" w:rsidRPr="00B06469" w:rsidRDefault="00443650" w:rsidP="001F0139">
            <w:pPr>
              <w:rPr>
                <w:rFonts w:ascii="Times New Roman" w:hAnsi="Times New Roman" w:cs="Times New Roman"/>
                <w:b/>
                <w:sz w:val="24"/>
                <w:szCs w:val="24"/>
              </w:rPr>
            </w:pPr>
            <w:r w:rsidRPr="00B06469">
              <w:rPr>
                <w:rFonts w:ascii="Times New Roman" w:hAnsi="Times New Roman" w:cs="Times New Roman"/>
                <w:b/>
                <w:sz w:val="24"/>
                <w:szCs w:val="24"/>
              </w:rPr>
              <w:t>2030г.</w:t>
            </w:r>
          </w:p>
        </w:tc>
      </w:tr>
      <w:tr w:rsidR="00443650" w:rsidRPr="00B06469" w:rsidTr="00A722E5">
        <w:trPr>
          <w:trHeight w:val="1767"/>
          <w:jc w:val="center"/>
        </w:trPr>
        <w:tc>
          <w:tcPr>
            <w:tcW w:w="2509" w:type="dxa"/>
            <w:vMerge w:val="restart"/>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Доля автомобильных дорог местного значения с асфальтобетонным покрытием в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е, находящихся в нормативном состоянии.</w:t>
            </w:r>
          </w:p>
        </w:tc>
        <w:tc>
          <w:tcPr>
            <w:tcW w:w="675" w:type="dxa"/>
            <w:vMerge w:val="restart"/>
          </w:tcPr>
          <w:p w:rsidR="00443650" w:rsidRPr="00B06469" w:rsidRDefault="00443650" w:rsidP="001F0139">
            <w:pPr>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tcPr>
          <w:p w:rsidR="00443650" w:rsidRPr="00B06469" w:rsidRDefault="00443650" w:rsidP="001F0139">
            <w:pPr>
              <w:rPr>
                <w:rFonts w:ascii="Times New Roman" w:hAnsi="Times New Roman" w:cs="Times New Roman"/>
                <w:sz w:val="24"/>
                <w:szCs w:val="24"/>
              </w:rPr>
            </w:pPr>
            <w:r w:rsidRPr="00B06469">
              <w:rPr>
                <w:rFonts w:ascii="Times New Roman" w:hAnsi="Times New Roman" w:cs="Times New Roman"/>
                <w:sz w:val="24"/>
                <w:szCs w:val="24"/>
              </w:rPr>
              <w:t>75</w:t>
            </w:r>
          </w:p>
        </w:tc>
        <w:tc>
          <w:tcPr>
            <w:tcW w:w="865" w:type="dxa"/>
          </w:tcPr>
          <w:p w:rsidR="00443650" w:rsidRPr="00B06469" w:rsidRDefault="00443650" w:rsidP="001F0139">
            <w:pPr>
              <w:rPr>
                <w:rFonts w:ascii="Times New Roman" w:hAnsi="Times New Roman" w:cs="Times New Roman"/>
                <w:sz w:val="24"/>
                <w:szCs w:val="24"/>
              </w:rPr>
            </w:pPr>
            <w:r w:rsidRPr="00B06469">
              <w:rPr>
                <w:rFonts w:ascii="Times New Roman" w:hAnsi="Times New Roman" w:cs="Times New Roman"/>
                <w:sz w:val="24"/>
                <w:szCs w:val="24"/>
              </w:rPr>
              <w:t>80</w:t>
            </w:r>
          </w:p>
        </w:tc>
        <w:tc>
          <w:tcPr>
            <w:tcW w:w="1130" w:type="dxa"/>
          </w:tcPr>
          <w:p w:rsidR="00443650" w:rsidRPr="00B06469" w:rsidRDefault="00443650" w:rsidP="001F0139">
            <w:pPr>
              <w:rPr>
                <w:rFonts w:ascii="Times New Roman" w:hAnsi="Times New Roman" w:cs="Times New Roman"/>
                <w:sz w:val="24"/>
                <w:szCs w:val="24"/>
              </w:rPr>
            </w:pPr>
            <w:r w:rsidRPr="00B06469">
              <w:rPr>
                <w:rFonts w:ascii="Times New Roman" w:hAnsi="Times New Roman" w:cs="Times New Roman"/>
                <w:sz w:val="24"/>
                <w:szCs w:val="24"/>
              </w:rPr>
              <w:t>90</w:t>
            </w:r>
          </w:p>
        </w:tc>
      </w:tr>
      <w:tr w:rsidR="00443650" w:rsidRPr="00B06469" w:rsidTr="00A722E5">
        <w:trPr>
          <w:jc w:val="center"/>
        </w:trPr>
        <w:tc>
          <w:tcPr>
            <w:tcW w:w="2509" w:type="dxa"/>
            <w:vMerge/>
          </w:tcPr>
          <w:p w:rsidR="00443650" w:rsidRPr="00B06469" w:rsidRDefault="00443650" w:rsidP="001F0139">
            <w:pPr>
              <w:jc w:val="both"/>
              <w:rPr>
                <w:rFonts w:ascii="Times New Roman" w:hAnsi="Times New Roman" w:cs="Times New Roman"/>
                <w:sz w:val="24"/>
                <w:szCs w:val="24"/>
              </w:rPr>
            </w:pPr>
          </w:p>
        </w:tc>
        <w:tc>
          <w:tcPr>
            <w:tcW w:w="675" w:type="dxa"/>
            <w:vMerge/>
          </w:tcPr>
          <w:p w:rsidR="00443650" w:rsidRPr="00B06469" w:rsidRDefault="00443650" w:rsidP="001F0139">
            <w:pPr>
              <w:jc w:val="both"/>
              <w:rPr>
                <w:rFonts w:ascii="Times New Roman" w:hAnsi="Times New Roman" w:cs="Times New Roman"/>
                <w:sz w:val="24"/>
                <w:szCs w:val="24"/>
              </w:rPr>
            </w:pPr>
          </w:p>
        </w:tc>
        <w:tc>
          <w:tcPr>
            <w:tcW w:w="16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tcPr>
          <w:p w:rsidR="00443650" w:rsidRPr="00B06469" w:rsidRDefault="00443650" w:rsidP="001F0139">
            <w:pPr>
              <w:rPr>
                <w:rFonts w:ascii="Times New Roman" w:hAnsi="Times New Roman" w:cs="Times New Roman"/>
                <w:sz w:val="24"/>
                <w:szCs w:val="24"/>
              </w:rPr>
            </w:pPr>
            <w:r w:rsidRPr="00B06469">
              <w:rPr>
                <w:rFonts w:ascii="Times New Roman" w:hAnsi="Times New Roman" w:cs="Times New Roman"/>
                <w:sz w:val="24"/>
                <w:szCs w:val="24"/>
              </w:rPr>
              <w:t>76</w:t>
            </w:r>
          </w:p>
        </w:tc>
        <w:tc>
          <w:tcPr>
            <w:tcW w:w="865" w:type="dxa"/>
          </w:tcPr>
          <w:p w:rsidR="00443650" w:rsidRPr="00B06469" w:rsidRDefault="00443650" w:rsidP="001F0139">
            <w:pPr>
              <w:rPr>
                <w:rFonts w:ascii="Times New Roman" w:hAnsi="Times New Roman" w:cs="Times New Roman"/>
                <w:sz w:val="24"/>
                <w:szCs w:val="24"/>
              </w:rPr>
            </w:pPr>
            <w:r w:rsidRPr="00B06469">
              <w:rPr>
                <w:rFonts w:ascii="Times New Roman" w:hAnsi="Times New Roman" w:cs="Times New Roman"/>
                <w:sz w:val="24"/>
                <w:szCs w:val="24"/>
              </w:rPr>
              <w:t xml:space="preserve">85 </w:t>
            </w:r>
          </w:p>
        </w:tc>
        <w:tc>
          <w:tcPr>
            <w:tcW w:w="1130" w:type="dxa"/>
          </w:tcPr>
          <w:p w:rsidR="00443650" w:rsidRPr="00B06469" w:rsidRDefault="00443650" w:rsidP="001F0139">
            <w:pPr>
              <w:rPr>
                <w:rFonts w:ascii="Times New Roman" w:hAnsi="Times New Roman" w:cs="Times New Roman"/>
                <w:sz w:val="24"/>
                <w:szCs w:val="24"/>
              </w:rPr>
            </w:pPr>
            <w:r w:rsidRPr="00B06469">
              <w:rPr>
                <w:rFonts w:ascii="Times New Roman" w:hAnsi="Times New Roman" w:cs="Times New Roman"/>
                <w:sz w:val="24"/>
                <w:szCs w:val="24"/>
              </w:rPr>
              <w:t xml:space="preserve">95 </w:t>
            </w:r>
          </w:p>
        </w:tc>
      </w:tr>
    </w:tbl>
    <w:p w:rsidR="00443650" w:rsidRPr="00B06469" w:rsidRDefault="00443650" w:rsidP="001F0139">
      <w:pPr>
        <w:spacing w:after="0" w:line="360" w:lineRule="auto"/>
        <w:jc w:val="both"/>
        <w:rPr>
          <w:rFonts w:ascii="Times New Roman" w:hAnsi="Times New Roman" w:cs="Times New Roman"/>
          <w:b/>
          <w:color w:val="365F91" w:themeColor="accent1" w:themeShade="BF"/>
          <w:sz w:val="24"/>
          <w:szCs w:val="24"/>
        </w:rPr>
      </w:pPr>
    </w:p>
    <w:p w:rsidR="00443650" w:rsidRPr="00B06469" w:rsidRDefault="00443650" w:rsidP="001F0139">
      <w:pPr>
        <w:spacing w:after="0" w:line="360" w:lineRule="auto"/>
        <w:jc w:val="both"/>
        <w:rPr>
          <w:rFonts w:ascii="Times New Roman" w:hAnsi="Times New Roman" w:cs="Times New Roman"/>
          <w:b/>
          <w:color w:val="365F91" w:themeColor="accent1" w:themeShade="BF"/>
          <w:sz w:val="24"/>
          <w:szCs w:val="24"/>
        </w:rPr>
      </w:pPr>
    </w:p>
    <w:p w:rsidR="00E74438" w:rsidRPr="00B06469" w:rsidRDefault="00E7443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2760F1" w:rsidRPr="00B06469" w:rsidRDefault="002760F1">
      <w:pPr>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br w:type="page"/>
      </w:r>
    </w:p>
    <w:p w:rsidR="00CB5772" w:rsidRPr="00B06469" w:rsidRDefault="00CB5772"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lastRenderedPageBreak/>
        <w:t>8. Создание инновационной экономики, в которой человеческий капитал востребован, успешно функционирует и развивается.</w:t>
      </w:r>
    </w:p>
    <w:p w:rsidR="00CB5772" w:rsidRPr="00B06469" w:rsidRDefault="00CB5772"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8.1. Стратегическая диагностика</w:t>
      </w:r>
    </w:p>
    <w:p w:rsidR="00F51B81" w:rsidRPr="00B06469" w:rsidRDefault="00F51B81" w:rsidP="001F0139">
      <w:pPr>
        <w:spacing w:after="0" w:line="360" w:lineRule="auto"/>
        <w:ind w:firstLine="709"/>
        <w:jc w:val="both"/>
        <w:rPr>
          <w:rFonts w:ascii="Times New Roman" w:hAnsi="Times New Roman" w:cs="Times New Roman"/>
          <w:sz w:val="24"/>
          <w:szCs w:val="24"/>
        </w:rPr>
      </w:pPr>
    </w:p>
    <w:p w:rsidR="00F51B81" w:rsidRPr="00B06469" w:rsidRDefault="00F51B81" w:rsidP="001F0139">
      <w:pPr>
        <w:numPr>
          <w:ilvl w:val="1"/>
          <w:numId w:val="4"/>
        </w:numPr>
        <w:spacing w:after="0" w:line="360" w:lineRule="auto"/>
        <w:ind w:left="0" w:hanging="425"/>
        <w:contextualSpacing/>
        <w:jc w:val="both"/>
        <w:outlineLvl w:val="1"/>
        <w:rPr>
          <w:rFonts w:ascii="Times New Roman" w:hAnsi="Times New Roman" w:cs="Times New Roman"/>
          <w:b/>
          <w:color w:val="365F91"/>
          <w:sz w:val="24"/>
          <w:szCs w:val="24"/>
        </w:rPr>
      </w:pPr>
      <w:bookmarkStart w:id="29" w:name="_Toc520894837"/>
      <w:r w:rsidRPr="00B06469">
        <w:rPr>
          <w:rFonts w:ascii="Times New Roman" w:hAnsi="Times New Roman" w:cs="Times New Roman"/>
          <w:b/>
          <w:color w:val="365F91"/>
          <w:sz w:val="24"/>
          <w:szCs w:val="24"/>
        </w:rPr>
        <w:t>Экономическое развитие и управление</w:t>
      </w:r>
      <w:bookmarkEnd w:id="29"/>
    </w:p>
    <w:p w:rsidR="00F51B81" w:rsidRPr="00B06469" w:rsidRDefault="00F51B81" w:rsidP="001F0139">
      <w:pPr>
        <w:spacing w:after="0" w:line="360" w:lineRule="auto"/>
        <w:contextualSpacing/>
        <w:jc w:val="both"/>
        <w:outlineLvl w:val="1"/>
        <w:rPr>
          <w:rFonts w:ascii="Times New Roman" w:hAnsi="Times New Roman" w:cs="Times New Roman"/>
          <w:b/>
          <w:color w:val="365F91"/>
          <w:sz w:val="24"/>
          <w:szCs w:val="24"/>
        </w:rPr>
      </w:pPr>
      <w:bookmarkStart w:id="30" w:name="_Toc520894838"/>
      <w:r w:rsidRPr="00B06469">
        <w:rPr>
          <w:rFonts w:ascii="Times New Roman" w:hAnsi="Times New Roman" w:cs="Times New Roman"/>
          <w:b/>
          <w:color w:val="365F91"/>
          <w:sz w:val="24"/>
          <w:szCs w:val="24"/>
        </w:rPr>
        <w:t>1.5.1 Промышленность</w:t>
      </w:r>
      <w:bookmarkEnd w:id="30"/>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сводном рейтинге социально-экономического развития муниципальных районов Самарской области в период 2013-2017 гг.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район занимает 23-26 места, демонстрируя низкие темпы экономического роста и динамику развития по сравнению с другими муниципальными районами Самарской области.</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Индекс промышленного производства снизился за рассматриваемый период с 9 места в 2013 г. до 19 места в 2017 г. (наилучший результат – 4 место – был зафиксирован в 2014 году). Район характеризуется неустойчивой динамикой промышленного производства, стабильно малым объемом отгруженной продукции (19 место за весь рассматриваемый период). Кроме того, стабильно низкие значения наблюдаются по такому показателю, как бюджетная обеспеченность за счет налоговых и неналоговых доходов на душу населения (лучший результат за рассматриваемый период – 20 место в 2015 году). По данным за 2017 год бюджетная обеспеченность населения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составила 4928 руб./чел., что является одним из самых низких значений по муниципальным районам Самарской области.</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По инвестициям в основной капитал на душу населения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район поднялся в рейтинге СЭР с 12 места в 2013 г. на 7 место в 2017 г. (рис. 1.5.1)</w:t>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5FA1CAB4" wp14:editId="5CEA4DF4">
            <wp:extent cx="5401691" cy="3529584"/>
            <wp:effectExtent l="19050" t="0" r="27559" b="0"/>
            <wp:docPr id="2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 xml:space="preserve">Источники: Рейтинг социально-экономического развития муниципальных образований Самарской области МЭРИТ </w:t>
      </w:r>
      <w:r w:rsidRPr="00B06469">
        <w:rPr>
          <w:rFonts w:ascii="Times New Roman" w:hAnsi="Times New Roman" w:cs="Times New Roman"/>
          <w:sz w:val="24"/>
          <w:szCs w:val="24"/>
          <w:lang w:eastAsia="ru-RU"/>
        </w:rPr>
        <w:t xml:space="preserve">– Режим доступа: </w:t>
      </w:r>
      <w:hyperlink r:id="rId42" w:history="1">
        <w:r w:rsidRPr="00B06469">
          <w:rPr>
            <w:rFonts w:ascii="Times New Roman" w:hAnsi="Times New Roman" w:cs="Times New Roman"/>
            <w:color w:val="0000FF"/>
            <w:sz w:val="24"/>
            <w:szCs w:val="24"/>
            <w:u w:val="single"/>
          </w:rPr>
          <w:t>http://economy.samregion.ru/</w:t>
        </w:r>
      </w:hyperlink>
      <w:r w:rsidRPr="00B06469">
        <w:rPr>
          <w:rFonts w:ascii="Times New Roman" w:hAnsi="Times New Roman" w:cs="Times New Roman"/>
          <w:sz w:val="24"/>
          <w:szCs w:val="24"/>
        </w:rPr>
        <w:t>; аналитика ФГБОУ ВО «СГЭУ»</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lastRenderedPageBreak/>
        <w:t xml:space="preserve">Рисунок 1.5.1 - Позиции </w:t>
      </w:r>
      <w:proofErr w:type="spellStart"/>
      <w:r w:rsidRPr="00B06469">
        <w:rPr>
          <w:rFonts w:ascii="Times New Roman" w:hAnsi="Times New Roman" w:cs="Times New Roman"/>
          <w:b/>
          <w:sz w:val="24"/>
          <w:szCs w:val="24"/>
        </w:rPr>
        <w:t>Камышлинского</w:t>
      </w:r>
      <w:proofErr w:type="spellEnd"/>
      <w:r w:rsidRPr="00B06469">
        <w:rPr>
          <w:rFonts w:ascii="Times New Roman" w:hAnsi="Times New Roman" w:cs="Times New Roman"/>
          <w:b/>
          <w:sz w:val="24"/>
          <w:szCs w:val="24"/>
        </w:rPr>
        <w:t xml:space="preserve"> района в рейтинге</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социально-экономического развития муниципальных районов</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Самарской области в 2013-2017 гг.</w:t>
      </w:r>
    </w:p>
    <w:p w:rsidR="00F51B81" w:rsidRPr="00B06469" w:rsidRDefault="00F51B81" w:rsidP="001F0139">
      <w:pPr>
        <w:spacing w:after="0" w:line="240" w:lineRule="auto"/>
        <w:jc w:val="center"/>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color w:val="000000"/>
          <w:sz w:val="24"/>
          <w:szCs w:val="24"/>
          <w:shd w:val="clear" w:color="auto" w:fill="FFFFFF"/>
        </w:rPr>
      </w:pPr>
      <w:r w:rsidRPr="00B06469">
        <w:rPr>
          <w:rFonts w:ascii="Times New Roman" w:hAnsi="Times New Roman" w:cs="Times New Roman"/>
          <w:color w:val="000000"/>
          <w:sz w:val="24"/>
          <w:szCs w:val="24"/>
          <w:shd w:val="clear" w:color="auto" w:fill="FFFFFF"/>
        </w:rPr>
        <w:t xml:space="preserve">К </w:t>
      </w:r>
      <w:proofErr w:type="gramStart"/>
      <w:r w:rsidRPr="00B06469">
        <w:rPr>
          <w:rFonts w:ascii="Times New Roman" w:hAnsi="Times New Roman" w:cs="Times New Roman"/>
          <w:color w:val="000000"/>
          <w:sz w:val="24"/>
          <w:szCs w:val="24"/>
          <w:shd w:val="clear" w:color="auto" w:fill="FFFFFF"/>
        </w:rPr>
        <w:t>предприятиям, стабильно работающим на территории района и характеризующимся устойчивыми темпами промышленного производства относятся</w:t>
      </w:r>
      <w:proofErr w:type="gramEnd"/>
      <w:r w:rsidRPr="00B06469">
        <w:rPr>
          <w:rFonts w:ascii="Times New Roman" w:hAnsi="Times New Roman" w:cs="Times New Roman"/>
          <w:color w:val="000000"/>
          <w:sz w:val="24"/>
          <w:szCs w:val="24"/>
          <w:shd w:val="clear" w:color="auto" w:fill="FFFFFF"/>
        </w:rPr>
        <w:t xml:space="preserve">: </w:t>
      </w:r>
      <w:proofErr w:type="gramStart"/>
      <w:r w:rsidRPr="00B06469">
        <w:rPr>
          <w:rFonts w:ascii="Times New Roman" w:hAnsi="Times New Roman" w:cs="Times New Roman"/>
          <w:color w:val="000000"/>
          <w:sz w:val="24"/>
          <w:szCs w:val="24"/>
          <w:shd w:val="clear" w:color="auto" w:fill="FFFFFF"/>
        </w:rPr>
        <w:t xml:space="preserve">ОАО </w:t>
      </w:r>
      <w:proofErr w:type="spellStart"/>
      <w:r w:rsidRPr="00B06469">
        <w:rPr>
          <w:rFonts w:ascii="Times New Roman" w:hAnsi="Times New Roman" w:cs="Times New Roman"/>
          <w:color w:val="000000"/>
          <w:sz w:val="24"/>
          <w:szCs w:val="24"/>
          <w:shd w:val="clear" w:color="auto" w:fill="FFFFFF"/>
        </w:rPr>
        <w:t>Камышлинский</w:t>
      </w:r>
      <w:proofErr w:type="spellEnd"/>
      <w:r w:rsidRPr="00B06469">
        <w:rPr>
          <w:rFonts w:ascii="Times New Roman" w:hAnsi="Times New Roman" w:cs="Times New Roman"/>
          <w:color w:val="000000"/>
          <w:sz w:val="24"/>
          <w:szCs w:val="24"/>
          <w:shd w:val="clear" w:color="auto" w:fill="FFFFFF"/>
        </w:rPr>
        <w:t xml:space="preserve"> Промкомбинат (специализируется на пошиве </w:t>
      </w:r>
      <w:hyperlink r:id="rId43" w:history="1">
        <w:r w:rsidRPr="00B06469">
          <w:rPr>
            <w:rFonts w:ascii="Times New Roman" w:hAnsi="Times New Roman" w:cs="Times New Roman"/>
            <w:color w:val="000000"/>
            <w:sz w:val="24"/>
            <w:szCs w:val="24"/>
            <w:shd w:val="clear" w:color="auto" w:fill="FFFFFF"/>
          </w:rPr>
          <w:t>постельного</w:t>
        </w:r>
      </w:hyperlink>
      <w:r w:rsidRPr="00B06469">
        <w:rPr>
          <w:rFonts w:ascii="Times New Roman" w:hAnsi="Times New Roman" w:cs="Times New Roman"/>
          <w:color w:val="000000"/>
          <w:sz w:val="24"/>
          <w:szCs w:val="24"/>
          <w:shd w:val="clear" w:color="auto" w:fill="FFFFFF"/>
        </w:rPr>
        <w:t xml:space="preserve"> белья, одежды и др.), ООО «</w:t>
      </w:r>
      <w:proofErr w:type="spellStart"/>
      <w:r w:rsidRPr="00B06469">
        <w:rPr>
          <w:rFonts w:ascii="Times New Roman" w:hAnsi="Times New Roman" w:cs="Times New Roman"/>
          <w:color w:val="000000"/>
          <w:sz w:val="24"/>
          <w:szCs w:val="24"/>
          <w:shd w:val="clear" w:color="auto" w:fill="FFFFFF"/>
        </w:rPr>
        <w:t>Байтекс</w:t>
      </w:r>
      <w:proofErr w:type="spellEnd"/>
      <w:r w:rsidRPr="00B06469">
        <w:rPr>
          <w:rFonts w:ascii="Times New Roman" w:hAnsi="Times New Roman" w:cs="Times New Roman"/>
          <w:color w:val="000000"/>
          <w:sz w:val="24"/>
          <w:szCs w:val="24"/>
          <w:shd w:val="clear" w:color="auto" w:fill="FFFFFF"/>
        </w:rPr>
        <w:t>» (нефтедобыча), МУП «</w:t>
      </w:r>
      <w:proofErr w:type="spellStart"/>
      <w:r w:rsidRPr="00B06469">
        <w:rPr>
          <w:rFonts w:ascii="Times New Roman" w:hAnsi="Times New Roman" w:cs="Times New Roman"/>
          <w:color w:val="000000"/>
          <w:sz w:val="24"/>
          <w:szCs w:val="24"/>
          <w:shd w:val="clear" w:color="auto" w:fill="FFFFFF"/>
        </w:rPr>
        <w:t>КомХоз</w:t>
      </w:r>
      <w:proofErr w:type="spellEnd"/>
      <w:r w:rsidRPr="00B06469">
        <w:rPr>
          <w:rFonts w:ascii="Times New Roman" w:hAnsi="Times New Roman" w:cs="Times New Roman"/>
          <w:color w:val="000000"/>
          <w:sz w:val="24"/>
          <w:szCs w:val="24"/>
          <w:shd w:val="clear" w:color="auto" w:fill="FFFFFF"/>
        </w:rPr>
        <w:t>» (производство пара и горячей воды (тепловой энергии).</w:t>
      </w:r>
      <w:proofErr w:type="gramEnd"/>
      <w:r w:rsidRPr="00B06469">
        <w:rPr>
          <w:rFonts w:ascii="Times New Roman" w:hAnsi="Times New Roman" w:cs="Times New Roman"/>
          <w:color w:val="000000"/>
          <w:sz w:val="24"/>
          <w:szCs w:val="24"/>
          <w:shd w:val="clear" w:color="auto" w:fill="FFFFFF"/>
        </w:rPr>
        <w:t xml:space="preserve"> Разработкой </w:t>
      </w:r>
      <w:proofErr w:type="spellStart"/>
      <w:r w:rsidRPr="00B06469">
        <w:rPr>
          <w:rFonts w:ascii="Times New Roman" w:hAnsi="Times New Roman" w:cs="Times New Roman"/>
          <w:color w:val="000000"/>
          <w:sz w:val="24"/>
          <w:szCs w:val="24"/>
          <w:shd w:val="clear" w:color="auto" w:fill="FFFFFF"/>
        </w:rPr>
        <w:t>Буз-Башского</w:t>
      </w:r>
      <w:proofErr w:type="spellEnd"/>
      <w:r w:rsidRPr="00B06469">
        <w:rPr>
          <w:rFonts w:ascii="Times New Roman" w:hAnsi="Times New Roman" w:cs="Times New Roman"/>
          <w:color w:val="000000"/>
          <w:sz w:val="24"/>
          <w:szCs w:val="24"/>
          <w:shd w:val="clear" w:color="auto" w:fill="FFFFFF"/>
        </w:rPr>
        <w:t xml:space="preserve"> месторождения </w:t>
      </w:r>
      <w:proofErr w:type="spellStart"/>
      <w:r w:rsidRPr="00B06469">
        <w:rPr>
          <w:rFonts w:ascii="Times New Roman" w:hAnsi="Times New Roman" w:cs="Times New Roman"/>
          <w:color w:val="000000"/>
          <w:sz w:val="24"/>
          <w:szCs w:val="24"/>
          <w:shd w:val="clear" w:color="auto" w:fill="FFFFFF"/>
        </w:rPr>
        <w:t>с.п</w:t>
      </w:r>
      <w:proofErr w:type="spellEnd"/>
      <w:r w:rsidRPr="00B06469">
        <w:rPr>
          <w:rFonts w:ascii="Times New Roman" w:hAnsi="Times New Roman" w:cs="Times New Roman"/>
          <w:color w:val="000000"/>
          <w:sz w:val="24"/>
          <w:szCs w:val="24"/>
          <w:shd w:val="clear" w:color="auto" w:fill="FFFFFF"/>
        </w:rPr>
        <w:t>. Камышла (известняковый щебень) занимается ОАО «</w:t>
      </w:r>
      <w:proofErr w:type="spellStart"/>
      <w:r w:rsidRPr="00B06469">
        <w:rPr>
          <w:rFonts w:ascii="Times New Roman" w:hAnsi="Times New Roman" w:cs="Times New Roman"/>
          <w:color w:val="000000"/>
          <w:sz w:val="24"/>
          <w:szCs w:val="24"/>
          <w:shd w:val="clear" w:color="auto" w:fill="FFFFFF"/>
        </w:rPr>
        <w:t>Клявлинский</w:t>
      </w:r>
      <w:proofErr w:type="spellEnd"/>
      <w:r w:rsidRPr="00B06469">
        <w:rPr>
          <w:rFonts w:ascii="Times New Roman" w:hAnsi="Times New Roman" w:cs="Times New Roman"/>
          <w:color w:val="000000"/>
          <w:sz w:val="24"/>
          <w:szCs w:val="24"/>
          <w:shd w:val="clear" w:color="auto" w:fill="FFFFFF"/>
        </w:rPr>
        <w:t xml:space="preserve"> завод строительных материалов». </w:t>
      </w:r>
    </w:p>
    <w:p w:rsidR="00F51B81" w:rsidRPr="00B06469" w:rsidRDefault="00F51B81" w:rsidP="001F0139">
      <w:pPr>
        <w:spacing w:after="0" w:line="360" w:lineRule="auto"/>
        <w:ind w:firstLine="709"/>
        <w:jc w:val="both"/>
        <w:rPr>
          <w:rFonts w:ascii="Times New Roman" w:hAnsi="Times New Roman" w:cs="Times New Roman"/>
          <w:color w:val="000000"/>
          <w:sz w:val="24"/>
          <w:szCs w:val="24"/>
          <w:shd w:val="clear" w:color="auto" w:fill="FFFFFF"/>
        </w:rPr>
      </w:pPr>
      <w:proofErr w:type="gramStart"/>
      <w:r w:rsidRPr="00B06469">
        <w:rPr>
          <w:rFonts w:ascii="Times New Roman" w:hAnsi="Times New Roman" w:cs="Times New Roman"/>
          <w:color w:val="000000"/>
          <w:sz w:val="24"/>
          <w:szCs w:val="24"/>
          <w:shd w:val="clear" w:color="auto" w:fill="FFFFFF"/>
        </w:rPr>
        <w:t xml:space="preserve">За период с 2012 по 2016 гг. по показателям работы организаций </w:t>
      </w:r>
      <w:proofErr w:type="spellStart"/>
      <w:r w:rsidRPr="00B06469">
        <w:rPr>
          <w:rFonts w:ascii="Times New Roman" w:hAnsi="Times New Roman" w:cs="Times New Roman"/>
          <w:color w:val="000000"/>
          <w:sz w:val="24"/>
          <w:szCs w:val="24"/>
          <w:shd w:val="clear" w:color="auto" w:fill="FFFFFF"/>
        </w:rPr>
        <w:t>Камышлинского</w:t>
      </w:r>
      <w:proofErr w:type="spellEnd"/>
      <w:r w:rsidRPr="00B06469">
        <w:rPr>
          <w:rFonts w:ascii="Times New Roman" w:hAnsi="Times New Roman" w:cs="Times New Roman"/>
          <w:color w:val="000000"/>
          <w:sz w:val="24"/>
          <w:szCs w:val="24"/>
          <w:shd w:val="clear" w:color="auto" w:fill="FFFFFF"/>
        </w:rPr>
        <w:t xml:space="preserve"> района наблюдается нестабильная отрицательная динамика сальдированного финансового результата (рис. 1.5.2) (с 8,3 млн. руб. в 2012 г. до 1,5 млн. руб. в 2016 г. с наибольшим значением 11,4 млн. руб. в 2014 г.), что значительно ниже </w:t>
      </w:r>
      <w:proofErr w:type="spellStart"/>
      <w:r w:rsidRPr="00B06469">
        <w:rPr>
          <w:rFonts w:ascii="Times New Roman" w:hAnsi="Times New Roman" w:cs="Times New Roman"/>
          <w:color w:val="000000"/>
          <w:sz w:val="24"/>
          <w:szCs w:val="24"/>
          <w:shd w:val="clear" w:color="auto" w:fill="FFFFFF"/>
        </w:rPr>
        <w:t>среднеобластных</w:t>
      </w:r>
      <w:proofErr w:type="spellEnd"/>
      <w:r w:rsidRPr="00B06469">
        <w:rPr>
          <w:rFonts w:ascii="Times New Roman" w:hAnsi="Times New Roman" w:cs="Times New Roman"/>
          <w:color w:val="000000"/>
          <w:sz w:val="24"/>
          <w:szCs w:val="24"/>
          <w:shd w:val="clear" w:color="auto" w:fill="FFFFFF"/>
        </w:rPr>
        <w:t xml:space="preserve"> значений.</w:t>
      </w:r>
      <w:proofErr w:type="gramEnd"/>
      <w:r w:rsidRPr="00B06469">
        <w:rPr>
          <w:rFonts w:ascii="Times New Roman" w:hAnsi="Times New Roman" w:cs="Times New Roman"/>
          <w:color w:val="000000"/>
          <w:sz w:val="24"/>
          <w:szCs w:val="24"/>
          <w:shd w:val="clear" w:color="auto" w:fill="FFFFFF"/>
        </w:rPr>
        <w:t xml:space="preserve"> Одновременно наблюдается увеличение доли убыточных предприятий в районе с 15% в 2013 г. до 28,6% в 2016 г.</w:t>
      </w:r>
    </w:p>
    <w:p w:rsidR="00F51B81" w:rsidRPr="00B06469" w:rsidRDefault="00F51B81" w:rsidP="001F0139">
      <w:pPr>
        <w:spacing w:after="0" w:line="240" w:lineRule="auto"/>
        <w:jc w:val="center"/>
        <w:rPr>
          <w:rFonts w:ascii="Times New Roman" w:hAnsi="Times New Roman" w:cs="Times New Roman"/>
          <w:noProof/>
          <w:sz w:val="24"/>
          <w:szCs w:val="24"/>
          <w:lang w:eastAsia="ru-RU"/>
        </w:rPr>
      </w:pPr>
      <w:r w:rsidRPr="00B06469">
        <w:rPr>
          <w:rFonts w:ascii="Times New Roman" w:hAnsi="Times New Roman" w:cs="Times New Roman"/>
          <w:noProof/>
          <w:sz w:val="24"/>
          <w:szCs w:val="24"/>
          <w:lang w:eastAsia="ru-RU"/>
        </w:rPr>
        <w:drawing>
          <wp:inline distT="0" distB="0" distL="0" distR="0" wp14:anchorId="23BD7F6E" wp14:editId="37CE671E">
            <wp:extent cx="5227955" cy="3041904"/>
            <wp:effectExtent l="6096" t="6096" r="8509" b="6350"/>
            <wp:docPr id="2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2017. Статистический сборник</w:t>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b/>
          <w:sz w:val="24"/>
          <w:szCs w:val="24"/>
        </w:rPr>
        <w:t>Рисунок 1.5.2 - Сальдированный финансовый результат по всем видам деятельности, млн. рублей</w:t>
      </w:r>
      <w:r w:rsidRPr="00B06469">
        <w:rPr>
          <w:rFonts w:ascii="Times New Roman" w:hAnsi="Times New Roman" w:cs="Times New Roman"/>
          <w:sz w:val="24"/>
          <w:szCs w:val="24"/>
        </w:rPr>
        <w:t xml:space="preserve"> </w:t>
      </w:r>
      <w:r w:rsidRPr="00B06469">
        <w:rPr>
          <w:rFonts w:ascii="Times New Roman" w:hAnsi="Times New Roman" w:cs="Times New Roman"/>
          <w:b/>
          <w:sz w:val="24"/>
          <w:szCs w:val="24"/>
        </w:rPr>
        <w:t>по Самарской области в 2012-2016 гг.</w:t>
      </w:r>
    </w:p>
    <w:p w:rsidR="00F51B81" w:rsidRPr="00B06469" w:rsidRDefault="00F51B81" w:rsidP="001F0139">
      <w:pPr>
        <w:spacing w:after="0" w:line="240" w:lineRule="auto"/>
        <w:jc w:val="center"/>
        <w:rPr>
          <w:rFonts w:ascii="Times New Roman" w:hAnsi="Times New Roman" w:cs="Times New Roman"/>
          <w:color w:val="000000"/>
          <w:sz w:val="24"/>
          <w:szCs w:val="24"/>
          <w:shd w:val="clear" w:color="auto" w:fill="FFFFFF"/>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Основные фонды крупных и средних предприятий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изношены. Значения показателя износа основных фондов коммерческих организаций в районе увеличился с 38,4% в 2012 г. до 50,8% в 2016. Аналогичный показатель для некоммерческих организаций увеличился с 73,7% в 2012 г. до 86,5% в 2016 г. В последнем случае показатель значительно отстает от средних значений по области (53,3-57,6%). Коэффициент обновления основных фондов составляет по итогам 2015 г. 11,8% для коммерческих организаций и 0,9% для некоммерческих организаций. </w:t>
      </w:r>
    </w:p>
    <w:p w:rsidR="00F51B81" w:rsidRPr="00B06469" w:rsidRDefault="00F51B81" w:rsidP="001F0139">
      <w:pPr>
        <w:spacing w:after="0" w:line="360" w:lineRule="auto"/>
        <w:ind w:firstLine="709"/>
        <w:jc w:val="both"/>
        <w:rPr>
          <w:rFonts w:ascii="Times New Roman" w:hAnsi="Times New Roman" w:cs="Times New Roman"/>
          <w:color w:val="000000"/>
          <w:sz w:val="24"/>
          <w:szCs w:val="24"/>
          <w:shd w:val="clear" w:color="auto" w:fill="FFFFFF"/>
        </w:rPr>
      </w:pPr>
      <w:r w:rsidRPr="00B06469">
        <w:rPr>
          <w:rFonts w:ascii="Times New Roman" w:hAnsi="Times New Roman" w:cs="Times New Roman"/>
          <w:color w:val="000000"/>
          <w:sz w:val="24"/>
          <w:szCs w:val="24"/>
          <w:shd w:val="clear" w:color="auto" w:fill="FFFFFF"/>
        </w:rPr>
        <w:lastRenderedPageBreak/>
        <w:t xml:space="preserve">В </w:t>
      </w:r>
      <w:proofErr w:type="spellStart"/>
      <w:r w:rsidRPr="00B06469">
        <w:rPr>
          <w:rFonts w:ascii="Times New Roman" w:hAnsi="Times New Roman" w:cs="Times New Roman"/>
          <w:color w:val="000000"/>
          <w:sz w:val="24"/>
          <w:szCs w:val="24"/>
          <w:shd w:val="clear" w:color="auto" w:fill="FFFFFF"/>
        </w:rPr>
        <w:t>Камышлинском</w:t>
      </w:r>
      <w:proofErr w:type="spellEnd"/>
      <w:r w:rsidRPr="00B06469">
        <w:rPr>
          <w:rFonts w:ascii="Times New Roman" w:hAnsi="Times New Roman" w:cs="Times New Roman"/>
          <w:color w:val="000000"/>
          <w:sz w:val="24"/>
          <w:szCs w:val="24"/>
          <w:shd w:val="clear" w:color="auto" w:fill="FFFFFF"/>
        </w:rPr>
        <w:t xml:space="preserve"> районе развита добывающая промышленность: на территории района превалируют месторождения полезных ископаемых осадочного происхождения, являющихся сырьем для производства строительных материалов – разведаны месторождения бутового камня, галечника, красной глины для производства керамического кирпича, </w:t>
      </w:r>
      <w:hyperlink r:id="rId45" w:history="1">
        <w:r w:rsidRPr="00B06469">
          <w:rPr>
            <w:rFonts w:ascii="Times New Roman" w:hAnsi="Times New Roman" w:cs="Times New Roman"/>
            <w:color w:val="000000"/>
            <w:sz w:val="24"/>
            <w:szCs w:val="24"/>
            <w:shd w:val="clear" w:color="auto" w:fill="FFFFFF"/>
          </w:rPr>
          <w:t>голубой</w:t>
        </w:r>
      </w:hyperlink>
      <w:r w:rsidRPr="00B06469">
        <w:rPr>
          <w:rFonts w:ascii="Times New Roman" w:hAnsi="Times New Roman" w:cs="Times New Roman"/>
          <w:color w:val="000000"/>
          <w:sz w:val="24"/>
          <w:szCs w:val="24"/>
          <w:shd w:val="clear" w:color="auto" w:fill="FFFFFF"/>
        </w:rPr>
        <w:t xml:space="preserve"> и </w:t>
      </w:r>
      <w:hyperlink r:id="rId46" w:history="1">
        <w:r w:rsidRPr="00B06469">
          <w:rPr>
            <w:rFonts w:ascii="Times New Roman" w:hAnsi="Times New Roman" w:cs="Times New Roman"/>
            <w:color w:val="000000"/>
            <w:sz w:val="24"/>
            <w:szCs w:val="24"/>
            <w:shd w:val="clear" w:color="auto" w:fill="FFFFFF"/>
          </w:rPr>
          <w:t>зеленой</w:t>
        </w:r>
      </w:hyperlink>
      <w:r w:rsidRPr="00B06469">
        <w:rPr>
          <w:rFonts w:ascii="Times New Roman" w:hAnsi="Times New Roman" w:cs="Times New Roman"/>
          <w:color w:val="000000"/>
          <w:sz w:val="24"/>
          <w:szCs w:val="24"/>
          <w:shd w:val="clear" w:color="auto" w:fill="FFFFFF"/>
        </w:rPr>
        <w:t xml:space="preserve"> глины, горного песка; добывается горная масса для выработки алебастра, гипса, извести, щебня. В районе ведется добыча нефти. В структуре обрабатывающего производства преобладает обработка древесины и производство изделий из дерева. Одной из главных отраслей промышленности в районе является производство и распределение электроэнергии, газа и воды.</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К позитивным изменениям можно отнести тот факт, что по итогам 2017 г. объем отгруженной продукции товаров собственного производства увеличился более чем в 1,5 раза по сравнению с аналогичным показателем 2014 г. и составил 96,6 млн. рублей. </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Сравнение динамики промышленного производства </w:t>
      </w:r>
      <w:proofErr w:type="spellStart"/>
      <w:r w:rsidRPr="00B06469">
        <w:rPr>
          <w:rFonts w:ascii="Times New Roman" w:hAnsi="Times New Roman" w:cs="Times New Roman"/>
          <w:sz w:val="24"/>
          <w:szCs w:val="24"/>
        </w:rPr>
        <w:t>м.р</w:t>
      </w:r>
      <w:proofErr w:type="spell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и Самарской области показывает, что тренд индекса промышленного производства в районе превосходит областную динамику за период с 2013 по 2016 гг. (рис.1.5.3).</w:t>
      </w:r>
    </w:p>
    <w:p w:rsidR="00F51B81" w:rsidRPr="00B06469" w:rsidRDefault="00F51B81" w:rsidP="001F0139">
      <w:pPr>
        <w:spacing w:after="0" w:line="240" w:lineRule="auto"/>
        <w:jc w:val="center"/>
        <w:rPr>
          <w:rFonts w:ascii="Times New Roman" w:hAnsi="Times New Roman" w:cs="Times New Roman"/>
          <w:color w:val="000000"/>
          <w:sz w:val="24"/>
          <w:szCs w:val="24"/>
          <w:shd w:val="clear" w:color="auto" w:fill="FFFFFF"/>
        </w:rPr>
      </w:pPr>
      <w:r w:rsidRPr="00B06469">
        <w:rPr>
          <w:rFonts w:ascii="Times New Roman" w:hAnsi="Times New Roman" w:cs="Times New Roman"/>
          <w:noProof/>
          <w:color w:val="000000"/>
          <w:sz w:val="24"/>
          <w:szCs w:val="24"/>
          <w:shd w:val="clear" w:color="auto" w:fill="FFFFFF"/>
          <w:lang w:eastAsia="ru-RU"/>
        </w:rPr>
        <w:drawing>
          <wp:inline distT="0" distB="0" distL="0" distR="0" wp14:anchorId="0456C0AB" wp14:editId="0F2A20A3">
            <wp:extent cx="4929759" cy="3389122"/>
            <wp:effectExtent l="6096" t="6096" r="8255" b="6477"/>
            <wp:docPr id="2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Источники: Самарский статистический ежегодник; Муниципальные районы Самарской области, 2017. Статистический сборник</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Рисунок 1.5.3 – Индексы промышленного производства</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в </w:t>
      </w:r>
      <w:proofErr w:type="spellStart"/>
      <w:r w:rsidRPr="00B06469">
        <w:rPr>
          <w:rFonts w:ascii="Times New Roman" w:hAnsi="Times New Roman" w:cs="Times New Roman"/>
          <w:b/>
          <w:sz w:val="24"/>
          <w:szCs w:val="24"/>
        </w:rPr>
        <w:t>Камышлинском</w:t>
      </w:r>
      <w:proofErr w:type="spellEnd"/>
      <w:r w:rsidRPr="00B06469">
        <w:rPr>
          <w:rFonts w:ascii="Times New Roman" w:hAnsi="Times New Roman" w:cs="Times New Roman"/>
          <w:b/>
          <w:sz w:val="24"/>
          <w:szCs w:val="24"/>
        </w:rPr>
        <w:t xml:space="preserve"> районе и в Самарской области в 2012-2016 гг.</w:t>
      </w:r>
    </w:p>
    <w:p w:rsidR="00F51B81" w:rsidRPr="00B06469" w:rsidRDefault="00F51B81" w:rsidP="001F0139">
      <w:pPr>
        <w:spacing w:after="0" w:line="240" w:lineRule="auto"/>
        <w:jc w:val="center"/>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color w:val="000000"/>
          <w:sz w:val="24"/>
          <w:szCs w:val="24"/>
          <w:shd w:val="clear" w:color="auto" w:fill="FFFFFF"/>
        </w:rPr>
        <w:t xml:space="preserve">Отраслевая структура </w:t>
      </w:r>
      <w:proofErr w:type="spellStart"/>
      <w:r w:rsidRPr="00B06469">
        <w:rPr>
          <w:rFonts w:ascii="Times New Roman" w:hAnsi="Times New Roman" w:cs="Times New Roman"/>
          <w:color w:val="000000"/>
          <w:sz w:val="24"/>
          <w:szCs w:val="24"/>
          <w:shd w:val="clear" w:color="auto" w:fill="FFFFFF"/>
        </w:rPr>
        <w:t>Камышлинского</w:t>
      </w:r>
      <w:proofErr w:type="spellEnd"/>
      <w:r w:rsidRPr="00B06469">
        <w:rPr>
          <w:rFonts w:ascii="Times New Roman" w:hAnsi="Times New Roman" w:cs="Times New Roman"/>
          <w:color w:val="000000"/>
          <w:sz w:val="24"/>
          <w:szCs w:val="24"/>
          <w:shd w:val="clear" w:color="auto" w:fill="FFFFFF"/>
        </w:rPr>
        <w:t xml:space="preserve"> района представлена сельским хозяйством, промышленными предприятиями по переработке сельскохозяйственной продукции, строительством, транспортом и связью, торговлей и общественным питанием, отраслями непроизводственной сферы. Промышленность </w:t>
      </w:r>
      <w:proofErr w:type="spellStart"/>
      <w:r w:rsidRPr="00B06469">
        <w:rPr>
          <w:rFonts w:ascii="Times New Roman" w:hAnsi="Times New Roman" w:cs="Times New Roman"/>
          <w:color w:val="000000"/>
          <w:sz w:val="24"/>
          <w:szCs w:val="24"/>
          <w:shd w:val="clear" w:color="auto" w:fill="FFFFFF"/>
        </w:rPr>
        <w:t>Камышлинского</w:t>
      </w:r>
      <w:proofErr w:type="spellEnd"/>
      <w:r w:rsidRPr="00B06469">
        <w:rPr>
          <w:rFonts w:ascii="Times New Roman" w:hAnsi="Times New Roman" w:cs="Times New Roman"/>
          <w:color w:val="000000"/>
          <w:sz w:val="24"/>
          <w:szCs w:val="24"/>
          <w:shd w:val="clear" w:color="auto" w:fill="FFFFFF"/>
        </w:rPr>
        <w:t xml:space="preserve"> района занимает малую часть в отраслевой структуре занятости населения и характеризуется рядом проблем: изношенность основных фондов, ассортимент производимой продукции беден; </w:t>
      </w:r>
      <w:r w:rsidRPr="00B06469">
        <w:rPr>
          <w:rFonts w:ascii="Times New Roman" w:hAnsi="Times New Roman" w:cs="Times New Roman"/>
          <w:sz w:val="24"/>
          <w:szCs w:val="24"/>
          <w:shd w:val="clear" w:color="auto" w:fill="FFFFFF"/>
        </w:rPr>
        <w:lastRenderedPageBreak/>
        <w:t xml:space="preserve">неустойчивость динамики промышленного производства; нестабильная отрицательная динамика сальдированного финансового результата. </w:t>
      </w:r>
    </w:p>
    <w:p w:rsidR="00F51B81" w:rsidRPr="00B06469" w:rsidRDefault="00F51B81" w:rsidP="001F0139">
      <w:pPr>
        <w:spacing w:after="0" w:line="360" w:lineRule="auto"/>
        <w:ind w:firstLine="709"/>
        <w:jc w:val="center"/>
        <w:rPr>
          <w:rFonts w:ascii="Times New Roman" w:hAnsi="Times New Roman" w:cs="Times New Roman"/>
          <w:b/>
          <w:sz w:val="24"/>
          <w:szCs w:val="24"/>
        </w:rPr>
      </w:pPr>
    </w:p>
    <w:p w:rsidR="00F51B81" w:rsidRPr="00B06469" w:rsidRDefault="00F51B81" w:rsidP="001F0139">
      <w:pPr>
        <w:spacing w:after="0" w:line="360" w:lineRule="auto"/>
        <w:contextualSpacing/>
        <w:outlineLvl w:val="2"/>
        <w:rPr>
          <w:rFonts w:ascii="Times New Roman" w:hAnsi="Times New Roman" w:cs="Times New Roman"/>
          <w:b/>
          <w:color w:val="365F91"/>
          <w:sz w:val="24"/>
          <w:szCs w:val="24"/>
        </w:rPr>
      </w:pPr>
      <w:bookmarkStart w:id="31" w:name="_Toc520894839"/>
      <w:r w:rsidRPr="00B06469">
        <w:rPr>
          <w:rFonts w:ascii="Times New Roman" w:hAnsi="Times New Roman" w:cs="Times New Roman"/>
          <w:b/>
          <w:color w:val="365F91"/>
          <w:sz w:val="24"/>
          <w:szCs w:val="24"/>
        </w:rPr>
        <w:t>1.5.2 Сельское хозяйство</w:t>
      </w:r>
      <w:bookmarkEnd w:id="31"/>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Экономика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имеет преимущественно сельскохозяйственную ориентацию.</w:t>
      </w:r>
      <w:r w:rsidRPr="00B06469">
        <w:rPr>
          <w:rFonts w:ascii="Times New Roman" w:hAnsi="Times New Roman" w:cs="Times New Roman"/>
          <w:color w:val="FF0000"/>
          <w:sz w:val="24"/>
          <w:szCs w:val="24"/>
        </w:rPr>
        <w:t xml:space="preserve"> </w:t>
      </w:r>
      <w:r w:rsidRPr="00B06469">
        <w:rPr>
          <w:rFonts w:ascii="Times New Roman" w:hAnsi="Times New Roman" w:cs="Times New Roman"/>
          <w:sz w:val="24"/>
          <w:szCs w:val="24"/>
        </w:rPr>
        <w:t>В рейтинге муниципальных районов Самарской области по показателям развития сельского хозяйства в 2013-2017гг. район показал стабильно низкие результаты по валовому сбору и урожайности зерновых и зернобобовых культур и по производству мяса. Немного выше рейтинг района по производству молока (рис.1.5.4).</w:t>
      </w:r>
    </w:p>
    <w:p w:rsidR="00F51B81" w:rsidRPr="00B06469" w:rsidRDefault="00F51B81" w:rsidP="001F0139">
      <w:pPr>
        <w:spacing w:after="0" w:line="36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5E32CFC0" wp14:editId="5E58DDFA">
            <wp:extent cx="5643499" cy="2840736"/>
            <wp:effectExtent l="19050" t="0" r="14351" b="0"/>
            <wp:docPr id="2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51B81" w:rsidRPr="00B06469" w:rsidRDefault="00F51B81" w:rsidP="001F0139">
      <w:pPr>
        <w:spacing w:after="0" w:line="240" w:lineRule="auto"/>
        <w:ind w:firstLine="426"/>
        <w:jc w:val="both"/>
        <w:rPr>
          <w:rFonts w:ascii="Times New Roman" w:hAnsi="Times New Roman" w:cs="Times New Roman"/>
          <w:sz w:val="24"/>
          <w:szCs w:val="24"/>
        </w:rPr>
      </w:pPr>
      <w:r w:rsidRPr="00B06469">
        <w:rPr>
          <w:rFonts w:ascii="Times New Roman" w:hAnsi="Times New Roman" w:cs="Times New Roman"/>
          <w:sz w:val="24"/>
          <w:szCs w:val="24"/>
        </w:rPr>
        <w:t xml:space="preserve">Источники: Рейтинг социально-экономического развития муниципальных образований Самарской области МЭРИТ – Режим доступа: </w:t>
      </w:r>
      <w:hyperlink r:id="rId49" w:history="1">
        <w:r w:rsidRPr="00B06469">
          <w:rPr>
            <w:rFonts w:ascii="Times New Roman" w:hAnsi="Times New Roman" w:cs="Times New Roman"/>
            <w:sz w:val="24"/>
            <w:szCs w:val="24"/>
          </w:rPr>
          <w:t>http://economy.samregion.ru/</w:t>
        </w:r>
      </w:hyperlink>
      <w:r w:rsidRPr="00B06469">
        <w:rPr>
          <w:rFonts w:ascii="Times New Roman" w:hAnsi="Times New Roman" w:cs="Times New Roman"/>
          <w:sz w:val="24"/>
          <w:szCs w:val="24"/>
        </w:rPr>
        <w:t>; аналитика ФГБОУ ВО «СГЭУ»</w:t>
      </w:r>
    </w:p>
    <w:p w:rsidR="00F51B81" w:rsidRPr="00B06469" w:rsidRDefault="00F51B81" w:rsidP="001F0139">
      <w:pPr>
        <w:spacing w:after="0" w:line="240" w:lineRule="auto"/>
        <w:ind w:firstLine="709"/>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1.5.4- Позиции </w:t>
      </w:r>
      <w:proofErr w:type="spellStart"/>
      <w:r w:rsidRPr="00B06469">
        <w:rPr>
          <w:rFonts w:ascii="Times New Roman" w:hAnsi="Times New Roman" w:cs="Times New Roman"/>
          <w:b/>
          <w:sz w:val="24"/>
          <w:szCs w:val="24"/>
        </w:rPr>
        <w:t>Камышлинского</w:t>
      </w:r>
      <w:proofErr w:type="spellEnd"/>
      <w:r w:rsidRPr="00B06469">
        <w:rPr>
          <w:rFonts w:ascii="Times New Roman" w:hAnsi="Times New Roman" w:cs="Times New Roman"/>
          <w:b/>
          <w:sz w:val="24"/>
          <w:szCs w:val="24"/>
        </w:rPr>
        <w:t xml:space="preserve"> района в рейтинге </w:t>
      </w:r>
    </w:p>
    <w:p w:rsidR="00F51B81" w:rsidRPr="00B06469" w:rsidRDefault="00F51B81" w:rsidP="001F0139">
      <w:pPr>
        <w:spacing w:after="0" w:line="240" w:lineRule="auto"/>
        <w:ind w:firstLine="709"/>
        <w:jc w:val="center"/>
        <w:rPr>
          <w:rFonts w:ascii="Times New Roman" w:hAnsi="Times New Roman" w:cs="Times New Roman"/>
          <w:b/>
          <w:sz w:val="24"/>
          <w:szCs w:val="24"/>
        </w:rPr>
      </w:pPr>
      <w:r w:rsidRPr="00B06469">
        <w:rPr>
          <w:rFonts w:ascii="Times New Roman" w:hAnsi="Times New Roman" w:cs="Times New Roman"/>
          <w:b/>
          <w:sz w:val="24"/>
          <w:szCs w:val="24"/>
        </w:rPr>
        <w:t>социально- экономического развития муниципальных районов Самарской области в 2014-2017 гг. по показателям</w:t>
      </w:r>
    </w:p>
    <w:p w:rsidR="00F51B81" w:rsidRPr="00B06469" w:rsidRDefault="00F51B81" w:rsidP="001F0139">
      <w:pPr>
        <w:spacing w:after="0" w:line="240" w:lineRule="auto"/>
        <w:ind w:firstLine="709"/>
        <w:jc w:val="center"/>
        <w:rPr>
          <w:rFonts w:ascii="Times New Roman" w:hAnsi="Times New Roman" w:cs="Times New Roman"/>
          <w:sz w:val="24"/>
          <w:szCs w:val="24"/>
        </w:rPr>
      </w:pPr>
      <w:r w:rsidRPr="00B06469">
        <w:rPr>
          <w:rFonts w:ascii="Times New Roman" w:hAnsi="Times New Roman" w:cs="Times New Roman"/>
          <w:b/>
          <w:sz w:val="24"/>
          <w:szCs w:val="24"/>
        </w:rPr>
        <w:t xml:space="preserve"> сельскохозяйственного производства</w:t>
      </w:r>
    </w:p>
    <w:p w:rsidR="00F51B81" w:rsidRPr="00B06469" w:rsidRDefault="00F51B81" w:rsidP="001F0139">
      <w:pPr>
        <w:spacing w:after="0" w:line="240" w:lineRule="auto"/>
        <w:ind w:firstLine="709"/>
        <w:jc w:val="center"/>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целом, валовая продукция сельского хозяйства имеет устойчивую тенденцию к росту (439,1 млн. руб. в 2012 г., 596,8 млн. руб. в 2016 г.). Индекс физического объема продукции сельского хозяйства во всех категориях хозяйств в целом соответствует областному индексу, а в 2016 г. опережает его (рис. 1.5.5).</w:t>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1248A8DF" wp14:editId="08833FD1">
            <wp:extent cx="4459351" cy="3078480"/>
            <wp:effectExtent l="0" t="0" r="0" b="0"/>
            <wp:docPr id="30"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Источники: ФСГС; Муниципальные районы Самарской области, 2017. Статистический сборник</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Рисунок 1.5.5 - Индекс физического объема продукции сельского</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хозяйства во всех категориях хозяйств в текущих ценах</w:t>
      </w:r>
      <w:proofErr w:type="gramStart"/>
      <w:r w:rsidRPr="00B06469">
        <w:rPr>
          <w:rFonts w:ascii="Times New Roman" w:hAnsi="Times New Roman" w:cs="Times New Roman"/>
          <w:b/>
          <w:sz w:val="24"/>
          <w:szCs w:val="24"/>
        </w:rPr>
        <w:t xml:space="preserve"> (%)</w:t>
      </w:r>
      <w:proofErr w:type="gramEnd"/>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b/>
          <w:sz w:val="24"/>
          <w:szCs w:val="24"/>
        </w:rPr>
        <w:t xml:space="preserve">в </w:t>
      </w:r>
      <w:proofErr w:type="spellStart"/>
      <w:r w:rsidRPr="00B06469">
        <w:rPr>
          <w:rFonts w:ascii="Times New Roman" w:hAnsi="Times New Roman" w:cs="Times New Roman"/>
          <w:b/>
          <w:sz w:val="24"/>
          <w:szCs w:val="24"/>
        </w:rPr>
        <w:t>Камышлинском</w:t>
      </w:r>
      <w:proofErr w:type="spellEnd"/>
      <w:r w:rsidRPr="00B06469">
        <w:rPr>
          <w:rFonts w:ascii="Times New Roman" w:hAnsi="Times New Roman" w:cs="Times New Roman"/>
          <w:b/>
          <w:sz w:val="24"/>
          <w:szCs w:val="24"/>
        </w:rPr>
        <w:t xml:space="preserve"> районе и в Самарской области в 2012-2016 гг.</w:t>
      </w:r>
    </w:p>
    <w:p w:rsidR="00F51B81" w:rsidRPr="00B06469" w:rsidRDefault="00F51B81" w:rsidP="001F0139">
      <w:pPr>
        <w:spacing w:after="0" w:line="240" w:lineRule="auto"/>
        <w:jc w:val="center"/>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Cs/>
          <w:color w:val="000000"/>
          <w:sz w:val="24"/>
          <w:szCs w:val="24"/>
        </w:rPr>
        <w:t xml:space="preserve">В структуре </w:t>
      </w:r>
      <w:r w:rsidRPr="00B06469">
        <w:rPr>
          <w:rFonts w:ascii="Times New Roman" w:hAnsi="Times New Roman" w:cs="Times New Roman"/>
          <w:sz w:val="24"/>
          <w:szCs w:val="24"/>
        </w:rPr>
        <w:t xml:space="preserve">производства продукции сельского хозяйства во всех категориях хозяйств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преобладает растениеводческая специализация (рис. 1.5.6), доля продукции растениеводства увеличилась с 41,6% в 2012г. до 57,8% в 2016г. При этом</w:t>
      </w:r>
      <w:proofErr w:type="gramStart"/>
      <w:r w:rsidRPr="00B06469">
        <w:rPr>
          <w:rFonts w:ascii="Times New Roman" w:hAnsi="Times New Roman" w:cs="Times New Roman"/>
          <w:sz w:val="24"/>
          <w:szCs w:val="24"/>
        </w:rPr>
        <w:t>,</w:t>
      </w:r>
      <w:proofErr w:type="gramEnd"/>
      <w:r w:rsidRPr="00B06469">
        <w:rPr>
          <w:rFonts w:ascii="Times New Roman" w:hAnsi="Times New Roman" w:cs="Times New Roman"/>
          <w:sz w:val="24"/>
          <w:szCs w:val="24"/>
        </w:rPr>
        <w:t xml:space="preserve"> размер обрабатываемой пашни за 2012-2016 гг. не изменился и составил 34,8 тыс. га, а размер посевных площадей уменьшился с 15956 га в 2012 г. до 15080 га в 2016 г. Кроме того, количество внесенных минеральных удобрений на 1 га посевной площади увеличилось в 6,4 раза в 2016 г. по сравнению с 2012 г. Количество единиц техники в сельскохозяйственных </w:t>
      </w:r>
      <w:proofErr w:type="gramStart"/>
      <w:r w:rsidRPr="00B06469">
        <w:rPr>
          <w:rFonts w:ascii="Times New Roman" w:hAnsi="Times New Roman" w:cs="Times New Roman"/>
          <w:sz w:val="24"/>
          <w:szCs w:val="24"/>
        </w:rPr>
        <w:t>предприятиях</w:t>
      </w:r>
      <w:proofErr w:type="gramEnd"/>
      <w:r w:rsidRPr="00B06469">
        <w:rPr>
          <w:rFonts w:ascii="Times New Roman" w:hAnsi="Times New Roman" w:cs="Times New Roman"/>
          <w:sz w:val="24"/>
          <w:szCs w:val="24"/>
        </w:rPr>
        <w:t xml:space="preserve"> (тракторы, комбайны, плуги, культиваторы и др.) не изменилось или уменьшилось за рассматриваемый период. </w:t>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color w:val="FF0000"/>
          <w:sz w:val="24"/>
          <w:szCs w:val="24"/>
          <w:lang w:eastAsia="ru-RU"/>
        </w:rPr>
        <w:drawing>
          <wp:inline distT="0" distB="0" distL="0" distR="0" wp14:anchorId="2E33EF5F" wp14:editId="1972DD11">
            <wp:extent cx="5474208" cy="2676144"/>
            <wp:effectExtent l="0" t="0" r="0" b="0"/>
            <wp:docPr id="31"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Источники: Муниципальные районы Самарской области, 2017. Статистический сборник</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Рисунок 1.5.6 - Продукция сельского хозяйства во всех категориях</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хозяйств </w:t>
      </w:r>
      <w:proofErr w:type="spellStart"/>
      <w:r w:rsidRPr="00B06469">
        <w:rPr>
          <w:rFonts w:ascii="Times New Roman" w:hAnsi="Times New Roman" w:cs="Times New Roman"/>
          <w:b/>
          <w:sz w:val="24"/>
          <w:szCs w:val="24"/>
        </w:rPr>
        <w:t>Камышлинского</w:t>
      </w:r>
      <w:proofErr w:type="spellEnd"/>
      <w:r w:rsidRPr="00B06469">
        <w:rPr>
          <w:rFonts w:ascii="Times New Roman" w:hAnsi="Times New Roman" w:cs="Times New Roman"/>
          <w:b/>
          <w:sz w:val="24"/>
          <w:szCs w:val="24"/>
        </w:rPr>
        <w:t xml:space="preserve"> района в 2012-2016 гг.</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(в фактически действующих ценах, млн. руб.)</w:t>
      </w:r>
    </w:p>
    <w:p w:rsidR="00F51B81" w:rsidRPr="00B06469" w:rsidRDefault="00F51B81" w:rsidP="001F0139">
      <w:pPr>
        <w:spacing w:after="0" w:line="240" w:lineRule="auto"/>
        <w:jc w:val="both"/>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Основными продуктами растениеводства 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 являются зерновые культуры, подсолнечник и картофель (табл. 1.5.1). Основные производители данных растениеводческих культур - крестьянские (фермерские) хозяйства района. Производство зерновых культур увеличилось за рассматриваемый период в 2 раза, подсолнечника – в 1,4 раза, производство картофеля и других овощей снизилось. </w:t>
      </w:r>
    </w:p>
    <w:p w:rsidR="00F51B81" w:rsidRPr="00B06469" w:rsidRDefault="00F51B81" w:rsidP="001F0139">
      <w:pPr>
        <w:spacing w:after="0" w:line="240" w:lineRule="auto"/>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 xml:space="preserve">Таблица 1.5.1 - Производство основных продуктов растениеводства </w:t>
      </w:r>
    </w:p>
    <w:p w:rsidR="00F51B81" w:rsidRPr="00B06469" w:rsidRDefault="002760F1" w:rsidP="001F0139">
      <w:pPr>
        <w:spacing w:after="0" w:line="240" w:lineRule="auto"/>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 xml:space="preserve"> </w:t>
      </w:r>
      <w:r w:rsidR="00F51B81" w:rsidRPr="00B06469">
        <w:rPr>
          <w:rFonts w:ascii="Times New Roman" w:hAnsi="Times New Roman" w:cs="Times New Roman"/>
          <w:b/>
          <w:color w:val="000000"/>
          <w:sz w:val="24"/>
          <w:szCs w:val="24"/>
          <w:shd w:val="clear" w:color="auto" w:fill="FFFFFF"/>
        </w:rPr>
        <w:t xml:space="preserve"> </w:t>
      </w:r>
      <w:proofErr w:type="spellStart"/>
      <w:r w:rsidR="00F51B81" w:rsidRPr="00B06469">
        <w:rPr>
          <w:rFonts w:ascii="Times New Roman" w:hAnsi="Times New Roman" w:cs="Times New Roman"/>
          <w:b/>
          <w:color w:val="000000"/>
          <w:sz w:val="24"/>
          <w:szCs w:val="24"/>
          <w:shd w:val="clear" w:color="auto" w:fill="FFFFFF"/>
        </w:rPr>
        <w:t>Камышлинского</w:t>
      </w:r>
      <w:proofErr w:type="spellEnd"/>
      <w:r w:rsidR="00F51B81" w:rsidRPr="00B06469">
        <w:rPr>
          <w:rFonts w:ascii="Times New Roman" w:hAnsi="Times New Roman" w:cs="Times New Roman"/>
          <w:b/>
          <w:color w:val="000000"/>
          <w:sz w:val="24"/>
          <w:szCs w:val="24"/>
          <w:shd w:val="clear" w:color="auto" w:fill="FFFFFF"/>
        </w:rPr>
        <w:t xml:space="preserve"> района в 2012-2016 гг. (тонн)</w:t>
      </w:r>
    </w:p>
    <w:tbl>
      <w:tblPr>
        <w:tblW w:w="9560" w:type="dxa"/>
        <w:tblInd w:w="93" w:type="dxa"/>
        <w:tblLook w:val="04A0" w:firstRow="1" w:lastRow="0" w:firstColumn="1" w:lastColumn="0" w:noHBand="0" w:noVBand="1"/>
      </w:tblPr>
      <w:tblGrid>
        <w:gridCol w:w="4760"/>
        <w:gridCol w:w="960"/>
        <w:gridCol w:w="960"/>
        <w:gridCol w:w="960"/>
        <w:gridCol w:w="960"/>
        <w:gridCol w:w="960"/>
      </w:tblGrid>
      <w:tr w:rsidR="00F51B81" w:rsidRPr="00B06469" w:rsidTr="002760F1">
        <w:trPr>
          <w:trHeight w:val="315"/>
        </w:trPr>
        <w:tc>
          <w:tcPr>
            <w:tcW w:w="4760" w:type="dxa"/>
            <w:vMerge w:val="restart"/>
            <w:tcBorders>
              <w:top w:val="single" w:sz="8" w:space="0" w:color="000000"/>
              <w:left w:val="single" w:sz="8" w:space="0" w:color="000000"/>
              <w:bottom w:val="single" w:sz="4" w:space="0" w:color="000000"/>
              <w:right w:val="single" w:sz="4" w:space="0" w:color="000000"/>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Наименование показателей</w:t>
            </w:r>
          </w:p>
        </w:tc>
        <w:tc>
          <w:tcPr>
            <w:tcW w:w="4800" w:type="dxa"/>
            <w:gridSpan w:val="5"/>
            <w:tcBorders>
              <w:top w:val="single" w:sz="8" w:space="0" w:color="000000"/>
              <w:left w:val="nil"/>
              <w:bottom w:val="single" w:sz="4" w:space="0" w:color="000000"/>
              <w:right w:val="single" w:sz="4" w:space="0" w:color="000000"/>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Годы</w:t>
            </w:r>
          </w:p>
        </w:tc>
      </w:tr>
      <w:tr w:rsidR="00F51B81" w:rsidRPr="00B06469" w:rsidTr="002760F1">
        <w:trPr>
          <w:trHeight w:val="345"/>
        </w:trPr>
        <w:tc>
          <w:tcPr>
            <w:tcW w:w="0" w:type="auto"/>
            <w:vMerge/>
            <w:tcBorders>
              <w:top w:val="single" w:sz="8" w:space="0" w:color="000000"/>
              <w:left w:val="single" w:sz="8" w:space="0" w:color="000000"/>
              <w:bottom w:val="single" w:sz="4" w:space="0" w:color="000000"/>
              <w:right w:val="single" w:sz="4" w:space="0" w:color="000000"/>
            </w:tcBorders>
            <w:vAlign w:val="center"/>
            <w:hideMark/>
          </w:tcPr>
          <w:p w:rsidR="00F51B81" w:rsidRPr="00B06469" w:rsidRDefault="00F51B81" w:rsidP="001F0139">
            <w:pPr>
              <w:spacing w:after="0" w:line="240" w:lineRule="auto"/>
              <w:rPr>
                <w:rFonts w:ascii="Times New Roman" w:eastAsia="Times New Roman" w:hAnsi="Times New Roman" w:cs="Times New Roman"/>
                <w:b/>
                <w:bCs/>
                <w:color w:val="FFFFFF"/>
                <w:sz w:val="24"/>
                <w:szCs w:val="24"/>
                <w:lang w:eastAsia="ru-RU"/>
              </w:rPr>
            </w:pP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2012</w:t>
            </w: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2013</w:t>
            </w: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2014</w:t>
            </w: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2015</w:t>
            </w: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2016</w:t>
            </w:r>
          </w:p>
        </w:tc>
      </w:tr>
      <w:tr w:rsidR="00F51B81" w:rsidRPr="00B06469" w:rsidTr="002760F1">
        <w:trPr>
          <w:trHeight w:val="489"/>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
                <w:iCs/>
                <w:color w:val="000000"/>
                <w:sz w:val="24"/>
                <w:szCs w:val="24"/>
                <w:lang w:eastAsia="ru-RU"/>
              </w:rPr>
            </w:pPr>
            <w:r w:rsidRPr="00B06469">
              <w:rPr>
                <w:rFonts w:ascii="Times New Roman" w:eastAsia="Times New Roman" w:hAnsi="Times New Roman" w:cs="Times New Roman"/>
                <w:i/>
                <w:iCs/>
                <w:color w:val="000000"/>
                <w:sz w:val="24"/>
                <w:szCs w:val="24"/>
                <w:lang w:eastAsia="ru-RU"/>
              </w:rPr>
              <w:t xml:space="preserve">Зерновые культуры </w:t>
            </w:r>
            <w:r w:rsidRPr="00B06469">
              <w:rPr>
                <w:rFonts w:ascii="Times New Roman" w:eastAsia="Times New Roman" w:hAnsi="Times New Roman" w:cs="Times New Roman"/>
                <w:color w:val="000000"/>
                <w:sz w:val="24"/>
                <w:szCs w:val="24"/>
                <w:lang w:eastAsia="ru-RU"/>
              </w:rPr>
              <w:t>(в весе после доработки) - всего</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6480</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10550</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13816</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11332</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13641</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 xml:space="preserve">в </w:t>
            </w:r>
            <w:proofErr w:type="spellStart"/>
            <w:r w:rsidRPr="00B06469">
              <w:rPr>
                <w:rFonts w:ascii="Times New Roman" w:eastAsia="Times New Roman" w:hAnsi="Times New Roman" w:cs="Times New Roman"/>
                <w:iCs/>
                <w:color w:val="000000"/>
                <w:sz w:val="24"/>
                <w:szCs w:val="24"/>
                <w:lang w:eastAsia="ru-RU"/>
              </w:rPr>
              <w:t>т.ч</w:t>
            </w:r>
            <w:proofErr w:type="spellEnd"/>
            <w:r w:rsidRPr="00B06469">
              <w:rPr>
                <w:rFonts w:ascii="Times New Roman" w:eastAsia="Times New Roman" w:hAnsi="Times New Roman" w:cs="Times New Roman"/>
                <w:iCs/>
                <w:color w:val="000000"/>
                <w:sz w:val="24"/>
                <w:szCs w:val="24"/>
                <w:lang w:eastAsia="ru-RU"/>
              </w:rPr>
              <w:t>. сельскохозяйственные предприятия</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2404</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3703</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3978</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3391</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4900</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крестьянские (фермерские) хозяйства</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4076</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6847</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9838</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7940</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8741</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
                <w:iCs/>
                <w:color w:val="000000"/>
                <w:sz w:val="24"/>
                <w:szCs w:val="24"/>
                <w:lang w:eastAsia="ru-RU"/>
              </w:rPr>
            </w:pPr>
            <w:r w:rsidRPr="00B06469">
              <w:rPr>
                <w:rFonts w:ascii="Times New Roman" w:eastAsia="Times New Roman" w:hAnsi="Times New Roman" w:cs="Times New Roman"/>
                <w:i/>
                <w:iCs/>
                <w:color w:val="000000"/>
                <w:sz w:val="24"/>
                <w:szCs w:val="24"/>
                <w:lang w:eastAsia="ru-RU"/>
              </w:rPr>
              <w:t xml:space="preserve">Подсолнечник </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1814</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5540</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2075</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2209</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2620</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jc w:val="center"/>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 xml:space="preserve">в </w:t>
            </w:r>
            <w:proofErr w:type="spellStart"/>
            <w:r w:rsidRPr="00B06469">
              <w:rPr>
                <w:rFonts w:ascii="Times New Roman" w:eastAsia="Times New Roman" w:hAnsi="Times New Roman" w:cs="Times New Roman"/>
                <w:iCs/>
                <w:color w:val="000000"/>
                <w:sz w:val="24"/>
                <w:szCs w:val="24"/>
                <w:lang w:eastAsia="ru-RU"/>
              </w:rPr>
              <w:t>т.ч</w:t>
            </w:r>
            <w:proofErr w:type="spellEnd"/>
            <w:r w:rsidRPr="00B06469">
              <w:rPr>
                <w:rFonts w:ascii="Times New Roman" w:eastAsia="Times New Roman" w:hAnsi="Times New Roman" w:cs="Times New Roman"/>
                <w:iCs/>
                <w:color w:val="000000"/>
                <w:sz w:val="24"/>
                <w:szCs w:val="24"/>
                <w:lang w:eastAsia="ru-RU"/>
              </w:rPr>
              <w:t>. сельскохозяйственные предприятия</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806</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3355</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518</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 </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497</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jc w:val="center"/>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крестьянские (фермерские) хозяйства</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1008</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2185</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1557</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2209</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2123</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
                <w:iCs/>
                <w:color w:val="000000"/>
                <w:sz w:val="24"/>
                <w:szCs w:val="24"/>
                <w:lang w:eastAsia="ru-RU"/>
              </w:rPr>
            </w:pPr>
            <w:r w:rsidRPr="00B06469">
              <w:rPr>
                <w:rFonts w:ascii="Times New Roman" w:eastAsia="Times New Roman" w:hAnsi="Times New Roman" w:cs="Times New Roman"/>
                <w:i/>
                <w:iCs/>
                <w:color w:val="000000"/>
                <w:sz w:val="24"/>
                <w:szCs w:val="24"/>
                <w:lang w:eastAsia="ru-RU"/>
              </w:rPr>
              <w:t xml:space="preserve">Картофель </w:t>
            </w:r>
            <w:r w:rsidRPr="00B06469">
              <w:rPr>
                <w:rFonts w:ascii="Times New Roman" w:eastAsia="Times New Roman" w:hAnsi="Times New Roman" w:cs="Times New Roman"/>
                <w:color w:val="000000"/>
                <w:sz w:val="24"/>
                <w:szCs w:val="24"/>
                <w:lang w:eastAsia="ru-RU"/>
              </w:rPr>
              <w:t>во всех категориях хозяйств</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4817</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4482</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4682</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4463</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4309</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jc w:val="center"/>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4817</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4482</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4682</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4433</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4309</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jc w:val="center"/>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крестьянские (фермерские) хозяйства</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 </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 </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 </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30</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0</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
                <w:iCs/>
                <w:color w:val="000000"/>
                <w:sz w:val="24"/>
                <w:szCs w:val="24"/>
                <w:lang w:eastAsia="ru-RU"/>
              </w:rPr>
            </w:pPr>
            <w:r w:rsidRPr="00B06469">
              <w:rPr>
                <w:rFonts w:ascii="Times New Roman" w:eastAsia="Times New Roman" w:hAnsi="Times New Roman" w:cs="Times New Roman"/>
                <w:i/>
                <w:iCs/>
                <w:color w:val="000000"/>
                <w:sz w:val="24"/>
                <w:szCs w:val="24"/>
                <w:lang w:eastAsia="ru-RU"/>
              </w:rPr>
              <w:t xml:space="preserve">Овощи </w:t>
            </w:r>
            <w:r w:rsidRPr="00B06469">
              <w:rPr>
                <w:rFonts w:ascii="Times New Roman" w:eastAsia="Times New Roman" w:hAnsi="Times New Roman" w:cs="Times New Roman"/>
                <w:color w:val="000000"/>
                <w:sz w:val="24"/>
                <w:szCs w:val="24"/>
                <w:lang w:eastAsia="ru-RU"/>
              </w:rPr>
              <w:t>во всех категориях хозяйств</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1495</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1332</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1348</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1304</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1249</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jc w:val="center"/>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1495</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1332</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1348</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1304</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1249</w:t>
            </w:r>
          </w:p>
        </w:tc>
      </w:tr>
    </w:tbl>
    <w:p w:rsidR="00F51B81" w:rsidRPr="00B06469" w:rsidRDefault="00F51B81" w:rsidP="001F0139">
      <w:pPr>
        <w:spacing w:after="0" w:line="240" w:lineRule="auto"/>
        <w:ind w:firstLine="426"/>
        <w:jc w:val="both"/>
        <w:rPr>
          <w:rFonts w:ascii="Times New Roman" w:hAnsi="Times New Roman" w:cs="Times New Roman"/>
          <w:sz w:val="24"/>
          <w:szCs w:val="24"/>
        </w:rPr>
      </w:pPr>
      <w:r w:rsidRPr="00B06469">
        <w:rPr>
          <w:rFonts w:ascii="Times New Roman" w:hAnsi="Times New Roman" w:cs="Times New Roman"/>
          <w:sz w:val="24"/>
          <w:szCs w:val="24"/>
        </w:rPr>
        <w:t xml:space="preserve">Источник: Паспорт социально-экономического развития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форма № 5</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Положительная динамика наблюдается по урожайности зерновых и зернобобовых культур, подсолнечника и картофеля. Урожайность овощей в районе за рассматриваемый период уменьшилась (табл.1.5.2).</w:t>
      </w:r>
    </w:p>
    <w:p w:rsidR="00F51B81" w:rsidRPr="00B06469" w:rsidRDefault="00F51B81" w:rsidP="001F0139">
      <w:pPr>
        <w:spacing w:after="0" w:line="240" w:lineRule="auto"/>
        <w:jc w:val="both"/>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 xml:space="preserve">Таблица 1.5.2 – Урожайность сельскохозяйственных культур </w:t>
      </w:r>
    </w:p>
    <w:p w:rsidR="00F51B81" w:rsidRPr="00B06469" w:rsidRDefault="00F51B81" w:rsidP="001F0139">
      <w:pPr>
        <w:spacing w:after="0" w:line="240" w:lineRule="auto"/>
        <w:jc w:val="both"/>
        <w:rPr>
          <w:rFonts w:ascii="Times New Roman" w:hAnsi="Times New Roman" w:cs="Times New Roman"/>
          <w:b/>
          <w:color w:val="000000"/>
          <w:sz w:val="24"/>
          <w:szCs w:val="24"/>
          <w:shd w:val="clear" w:color="auto" w:fill="FFFFFF"/>
        </w:rPr>
      </w:pPr>
      <w:proofErr w:type="spellStart"/>
      <w:r w:rsidRPr="00B06469">
        <w:rPr>
          <w:rFonts w:ascii="Times New Roman" w:hAnsi="Times New Roman" w:cs="Times New Roman"/>
          <w:b/>
          <w:color w:val="000000"/>
          <w:sz w:val="24"/>
          <w:szCs w:val="24"/>
          <w:shd w:val="clear" w:color="auto" w:fill="FFFFFF"/>
        </w:rPr>
        <w:t>Камышлинского</w:t>
      </w:r>
      <w:proofErr w:type="spellEnd"/>
      <w:r w:rsidRPr="00B06469">
        <w:rPr>
          <w:rFonts w:ascii="Times New Roman" w:hAnsi="Times New Roman" w:cs="Times New Roman"/>
          <w:b/>
          <w:color w:val="000000"/>
          <w:sz w:val="24"/>
          <w:szCs w:val="24"/>
          <w:shd w:val="clear" w:color="auto" w:fill="FFFFFF"/>
        </w:rPr>
        <w:t xml:space="preserve"> района в 2012-2016 гг., ц/га</w:t>
      </w:r>
    </w:p>
    <w:tbl>
      <w:tblPr>
        <w:tblW w:w="9359" w:type="dxa"/>
        <w:jc w:val="center"/>
        <w:tblInd w:w="93" w:type="dxa"/>
        <w:tblLook w:val="04A0" w:firstRow="1" w:lastRow="0" w:firstColumn="1" w:lastColumn="0" w:noHBand="0" w:noVBand="1"/>
      </w:tblPr>
      <w:tblGrid>
        <w:gridCol w:w="4925"/>
        <w:gridCol w:w="992"/>
        <w:gridCol w:w="993"/>
        <w:gridCol w:w="850"/>
        <w:gridCol w:w="851"/>
        <w:gridCol w:w="748"/>
      </w:tblGrid>
      <w:tr w:rsidR="00F51B81" w:rsidRPr="00B06469" w:rsidTr="002760F1">
        <w:trPr>
          <w:trHeight w:val="300"/>
          <w:jc w:val="center"/>
        </w:trPr>
        <w:tc>
          <w:tcPr>
            <w:tcW w:w="4925" w:type="dxa"/>
            <w:tcBorders>
              <w:top w:val="single" w:sz="4" w:space="0" w:color="auto"/>
              <w:left w:val="single" w:sz="4" w:space="0" w:color="auto"/>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Сельскохозяйственная культура </w:t>
            </w:r>
          </w:p>
        </w:tc>
        <w:tc>
          <w:tcPr>
            <w:tcW w:w="992"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2012</w:t>
            </w:r>
          </w:p>
        </w:tc>
        <w:tc>
          <w:tcPr>
            <w:tcW w:w="993"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2013</w:t>
            </w:r>
          </w:p>
        </w:tc>
        <w:tc>
          <w:tcPr>
            <w:tcW w:w="850"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2014</w:t>
            </w:r>
          </w:p>
        </w:tc>
        <w:tc>
          <w:tcPr>
            <w:tcW w:w="851"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2015</w:t>
            </w:r>
          </w:p>
        </w:tc>
        <w:tc>
          <w:tcPr>
            <w:tcW w:w="748"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2016</w:t>
            </w:r>
          </w:p>
        </w:tc>
      </w:tr>
      <w:tr w:rsidR="00F51B81" w:rsidRPr="00B06469" w:rsidTr="002760F1">
        <w:trPr>
          <w:trHeight w:val="540"/>
          <w:jc w:val="center"/>
        </w:trPr>
        <w:tc>
          <w:tcPr>
            <w:tcW w:w="4925" w:type="dxa"/>
            <w:tcBorders>
              <w:top w:val="nil"/>
              <w:left w:val="single" w:sz="4" w:space="0" w:color="auto"/>
              <w:bottom w:val="single" w:sz="4" w:space="0" w:color="auto"/>
              <w:right w:val="single" w:sz="4" w:space="0" w:color="auto"/>
            </w:tcBorders>
            <w:vAlign w:val="bottom"/>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Зерновые и зернобобовые культуры (в весе после доработки)</w:t>
            </w:r>
          </w:p>
        </w:tc>
        <w:tc>
          <w:tcPr>
            <w:tcW w:w="992"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11,4</w:t>
            </w:r>
          </w:p>
        </w:tc>
        <w:tc>
          <w:tcPr>
            <w:tcW w:w="993"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16,1</w:t>
            </w:r>
          </w:p>
        </w:tc>
        <w:tc>
          <w:tcPr>
            <w:tcW w:w="85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16,5</w:t>
            </w:r>
          </w:p>
        </w:tc>
        <w:tc>
          <w:tcPr>
            <w:tcW w:w="851"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14,8</w:t>
            </w:r>
          </w:p>
        </w:tc>
        <w:tc>
          <w:tcPr>
            <w:tcW w:w="748"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16,5</w:t>
            </w:r>
          </w:p>
        </w:tc>
      </w:tr>
      <w:tr w:rsidR="00F51B81" w:rsidRPr="00B06469" w:rsidTr="002760F1">
        <w:trPr>
          <w:trHeight w:val="315"/>
          <w:jc w:val="center"/>
        </w:trPr>
        <w:tc>
          <w:tcPr>
            <w:tcW w:w="4925" w:type="dxa"/>
            <w:tcBorders>
              <w:top w:val="nil"/>
              <w:left w:val="single" w:sz="4" w:space="0" w:color="auto"/>
              <w:bottom w:val="single" w:sz="4" w:space="0" w:color="auto"/>
              <w:right w:val="single" w:sz="4" w:space="0" w:color="auto"/>
            </w:tcBorders>
            <w:vAlign w:val="bottom"/>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Подсолнечник (в весе после доработки)</w:t>
            </w:r>
          </w:p>
        </w:tc>
        <w:tc>
          <w:tcPr>
            <w:tcW w:w="992"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5,5</w:t>
            </w:r>
          </w:p>
        </w:tc>
        <w:tc>
          <w:tcPr>
            <w:tcW w:w="993"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6,2</w:t>
            </w:r>
          </w:p>
        </w:tc>
        <w:tc>
          <w:tcPr>
            <w:tcW w:w="85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8,0</w:t>
            </w:r>
          </w:p>
        </w:tc>
        <w:tc>
          <w:tcPr>
            <w:tcW w:w="851"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11,6</w:t>
            </w:r>
          </w:p>
        </w:tc>
        <w:tc>
          <w:tcPr>
            <w:tcW w:w="748"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7,4</w:t>
            </w:r>
          </w:p>
        </w:tc>
      </w:tr>
      <w:tr w:rsidR="00F51B81" w:rsidRPr="00B06469" w:rsidTr="002760F1">
        <w:trPr>
          <w:trHeight w:val="300"/>
          <w:jc w:val="center"/>
        </w:trPr>
        <w:tc>
          <w:tcPr>
            <w:tcW w:w="4925" w:type="dxa"/>
            <w:tcBorders>
              <w:top w:val="nil"/>
              <w:left w:val="single" w:sz="4" w:space="0" w:color="auto"/>
              <w:bottom w:val="single" w:sz="4" w:space="0" w:color="auto"/>
              <w:right w:val="single" w:sz="4" w:space="0" w:color="auto"/>
            </w:tcBorders>
            <w:vAlign w:val="bottom"/>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Картофель</w:t>
            </w:r>
          </w:p>
        </w:tc>
        <w:tc>
          <w:tcPr>
            <w:tcW w:w="992"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130,2</w:t>
            </w:r>
          </w:p>
        </w:tc>
        <w:tc>
          <w:tcPr>
            <w:tcW w:w="993"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130,3</w:t>
            </w:r>
          </w:p>
        </w:tc>
        <w:tc>
          <w:tcPr>
            <w:tcW w:w="85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132,3</w:t>
            </w:r>
          </w:p>
        </w:tc>
        <w:tc>
          <w:tcPr>
            <w:tcW w:w="851"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127,2</w:t>
            </w:r>
          </w:p>
        </w:tc>
        <w:tc>
          <w:tcPr>
            <w:tcW w:w="748"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133</w:t>
            </w:r>
          </w:p>
        </w:tc>
      </w:tr>
      <w:tr w:rsidR="00F51B81" w:rsidRPr="00B06469" w:rsidTr="002760F1">
        <w:trPr>
          <w:trHeight w:val="300"/>
          <w:jc w:val="center"/>
        </w:trPr>
        <w:tc>
          <w:tcPr>
            <w:tcW w:w="4925" w:type="dxa"/>
            <w:tcBorders>
              <w:top w:val="nil"/>
              <w:left w:val="single" w:sz="4" w:space="0" w:color="auto"/>
              <w:bottom w:val="single" w:sz="4" w:space="0" w:color="auto"/>
              <w:right w:val="single" w:sz="4" w:space="0" w:color="auto"/>
            </w:tcBorders>
            <w:vAlign w:val="bottom"/>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Овощи</w:t>
            </w:r>
          </w:p>
        </w:tc>
        <w:tc>
          <w:tcPr>
            <w:tcW w:w="992"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262,3</w:t>
            </w:r>
          </w:p>
        </w:tc>
        <w:tc>
          <w:tcPr>
            <w:tcW w:w="993"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251,3</w:t>
            </w:r>
          </w:p>
        </w:tc>
        <w:tc>
          <w:tcPr>
            <w:tcW w:w="85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249,6</w:t>
            </w:r>
          </w:p>
        </w:tc>
        <w:tc>
          <w:tcPr>
            <w:tcW w:w="851"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241,5</w:t>
            </w:r>
          </w:p>
        </w:tc>
        <w:tc>
          <w:tcPr>
            <w:tcW w:w="748"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245</w:t>
            </w:r>
          </w:p>
        </w:tc>
      </w:tr>
    </w:tbl>
    <w:p w:rsidR="00F51B81" w:rsidRPr="00B06469" w:rsidRDefault="00F51B81" w:rsidP="001F0139">
      <w:pPr>
        <w:spacing w:after="0" w:line="240" w:lineRule="auto"/>
        <w:ind w:firstLine="426"/>
        <w:jc w:val="both"/>
        <w:rPr>
          <w:rFonts w:ascii="Times New Roman" w:hAnsi="Times New Roman" w:cs="Times New Roman"/>
          <w:sz w:val="24"/>
          <w:szCs w:val="24"/>
        </w:rPr>
      </w:pPr>
      <w:r w:rsidRPr="00B06469">
        <w:rPr>
          <w:rFonts w:ascii="Times New Roman" w:hAnsi="Times New Roman" w:cs="Times New Roman"/>
          <w:sz w:val="24"/>
          <w:szCs w:val="24"/>
        </w:rPr>
        <w:t xml:space="preserve"> Источники: Муниципальные районы Самарской области, 2017. Статистический сборник</w:t>
      </w:r>
    </w:p>
    <w:p w:rsidR="00F51B81" w:rsidRPr="00B06469" w:rsidRDefault="00F51B81" w:rsidP="001F0139">
      <w:pPr>
        <w:spacing w:after="0" w:line="240" w:lineRule="auto"/>
        <w:ind w:firstLine="426"/>
        <w:jc w:val="both"/>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Основными продуктами животноводства 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 являются мясо, молоко, яйца и шерсть (табл. 1.5.3). Основными производителями данных продуктов являются личные подсобные хозяйства населения. По всем видам продуктов (кроме шерсти, объем </w:t>
      </w:r>
      <w:proofErr w:type="gramStart"/>
      <w:r w:rsidRPr="00B06469">
        <w:rPr>
          <w:rFonts w:ascii="Times New Roman" w:hAnsi="Times New Roman" w:cs="Times New Roman"/>
          <w:sz w:val="24"/>
          <w:szCs w:val="24"/>
        </w:rPr>
        <w:t>производства</w:t>
      </w:r>
      <w:proofErr w:type="gramEnd"/>
      <w:r w:rsidRPr="00B06469">
        <w:rPr>
          <w:rFonts w:ascii="Times New Roman" w:hAnsi="Times New Roman" w:cs="Times New Roman"/>
          <w:sz w:val="24"/>
          <w:szCs w:val="24"/>
        </w:rPr>
        <w:t xml:space="preserve"> которой не изменился) наблюдается сокращение объемов производства: мясо и яйцо – в 1,7 раза, молоко – в 1,2 раза. </w:t>
      </w:r>
    </w:p>
    <w:p w:rsidR="00F51B81" w:rsidRPr="00B06469" w:rsidRDefault="00F51B81" w:rsidP="001F0139">
      <w:pPr>
        <w:spacing w:after="0" w:line="240" w:lineRule="auto"/>
        <w:ind w:firstLine="709"/>
        <w:jc w:val="both"/>
        <w:rPr>
          <w:rFonts w:ascii="Times New Roman" w:hAnsi="Times New Roman" w:cs="Times New Roman"/>
          <w:sz w:val="24"/>
          <w:szCs w:val="24"/>
        </w:rPr>
      </w:pPr>
    </w:p>
    <w:p w:rsidR="00F51B81" w:rsidRPr="00B06469" w:rsidRDefault="00F51B81" w:rsidP="001F0139">
      <w:pPr>
        <w:spacing w:after="0" w:line="240" w:lineRule="auto"/>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Таблица 1.5.3 - Производство основных продуктов животноводства</w:t>
      </w:r>
    </w:p>
    <w:p w:rsidR="00F51B81" w:rsidRPr="00B06469" w:rsidRDefault="00F51B81" w:rsidP="001F0139">
      <w:pPr>
        <w:spacing w:after="0" w:line="240" w:lineRule="auto"/>
        <w:jc w:val="center"/>
        <w:rPr>
          <w:rFonts w:ascii="Times New Roman" w:hAnsi="Times New Roman" w:cs="Times New Roman"/>
          <w:b/>
          <w:color w:val="000000"/>
          <w:sz w:val="24"/>
          <w:szCs w:val="24"/>
          <w:shd w:val="clear" w:color="auto" w:fill="FFFFFF"/>
        </w:rPr>
      </w:pPr>
      <w:proofErr w:type="spellStart"/>
      <w:r w:rsidRPr="00B06469">
        <w:rPr>
          <w:rFonts w:ascii="Times New Roman" w:hAnsi="Times New Roman" w:cs="Times New Roman"/>
          <w:b/>
          <w:color w:val="000000"/>
          <w:sz w:val="24"/>
          <w:szCs w:val="24"/>
          <w:shd w:val="clear" w:color="auto" w:fill="FFFFFF"/>
        </w:rPr>
        <w:t>Камышлинского</w:t>
      </w:r>
      <w:proofErr w:type="spellEnd"/>
      <w:r w:rsidRPr="00B06469">
        <w:rPr>
          <w:rFonts w:ascii="Times New Roman" w:hAnsi="Times New Roman" w:cs="Times New Roman"/>
          <w:b/>
          <w:color w:val="000000"/>
          <w:sz w:val="24"/>
          <w:szCs w:val="24"/>
          <w:shd w:val="clear" w:color="auto" w:fill="FFFFFF"/>
        </w:rPr>
        <w:t xml:space="preserve"> района в 2012-2016 гг. (тонн)</w:t>
      </w:r>
    </w:p>
    <w:tbl>
      <w:tblPr>
        <w:tblW w:w="9640" w:type="dxa"/>
        <w:tblInd w:w="93" w:type="dxa"/>
        <w:tblLook w:val="04A0" w:firstRow="1" w:lastRow="0" w:firstColumn="1" w:lastColumn="0" w:noHBand="0" w:noVBand="1"/>
      </w:tblPr>
      <w:tblGrid>
        <w:gridCol w:w="4840"/>
        <w:gridCol w:w="960"/>
        <w:gridCol w:w="960"/>
        <w:gridCol w:w="960"/>
        <w:gridCol w:w="960"/>
        <w:gridCol w:w="960"/>
      </w:tblGrid>
      <w:tr w:rsidR="00F51B81" w:rsidRPr="00B06469" w:rsidTr="002760F1">
        <w:trPr>
          <w:trHeight w:hRule="exact" w:val="340"/>
          <w:tblHeader/>
        </w:trPr>
        <w:tc>
          <w:tcPr>
            <w:tcW w:w="4840" w:type="dxa"/>
            <w:vMerge w:val="restart"/>
            <w:tcBorders>
              <w:top w:val="single" w:sz="8" w:space="0" w:color="000000"/>
              <w:left w:val="single" w:sz="8" w:space="0" w:color="000000"/>
              <w:bottom w:val="single" w:sz="4" w:space="0" w:color="000000"/>
              <w:right w:val="single" w:sz="4" w:space="0" w:color="000000"/>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lastRenderedPageBreak/>
              <w:t>Наименование показателей</w:t>
            </w:r>
          </w:p>
        </w:tc>
        <w:tc>
          <w:tcPr>
            <w:tcW w:w="4800" w:type="dxa"/>
            <w:gridSpan w:val="5"/>
            <w:tcBorders>
              <w:top w:val="single" w:sz="8" w:space="0" w:color="000000"/>
              <w:left w:val="nil"/>
              <w:bottom w:val="single" w:sz="4" w:space="0" w:color="000000"/>
              <w:right w:val="single" w:sz="4" w:space="0" w:color="000000"/>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Годы</w:t>
            </w:r>
          </w:p>
        </w:tc>
      </w:tr>
      <w:tr w:rsidR="00F51B81" w:rsidRPr="00B06469" w:rsidTr="002760F1">
        <w:trPr>
          <w:trHeight w:hRule="exact" w:val="340"/>
          <w:tblHeader/>
        </w:trPr>
        <w:tc>
          <w:tcPr>
            <w:tcW w:w="0" w:type="auto"/>
            <w:vMerge/>
            <w:tcBorders>
              <w:top w:val="single" w:sz="8" w:space="0" w:color="000000"/>
              <w:left w:val="single" w:sz="8" w:space="0" w:color="000000"/>
              <w:bottom w:val="single" w:sz="4" w:space="0" w:color="000000"/>
              <w:right w:val="single" w:sz="4" w:space="0" w:color="000000"/>
            </w:tcBorders>
            <w:vAlign w:val="center"/>
            <w:hideMark/>
          </w:tcPr>
          <w:p w:rsidR="00F51B81" w:rsidRPr="00B06469" w:rsidRDefault="00F51B81" w:rsidP="001F0139">
            <w:pPr>
              <w:spacing w:after="0" w:line="240" w:lineRule="auto"/>
              <w:rPr>
                <w:rFonts w:ascii="Times New Roman" w:eastAsia="Times New Roman" w:hAnsi="Times New Roman" w:cs="Times New Roman"/>
                <w:b/>
                <w:bCs/>
                <w:color w:val="FFFFFF"/>
                <w:sz w:val="24"/>
                <w:szCs w:val="24"/>
                <w:lang w:eastAsia="ru-RU"/>
              </w:rPr>
            </w:pP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2012</w:t>
            </w: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2013</w:t>
            </w: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2014</w:t>
            </w: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2015</w:t>
            </w: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2016</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
                <w:iCs/>
                <w:color w:val="000000"/>
                <w:sz w:val="24"/>
                <w:szCs w:val="24"/>
                <w:lang w:eastAsia="ru-RU"/>
              </w:rPr>
            </w:pPr>
            <w:r w:rsidRPr="00B06469">
              <w:rPr>
                <w:rFonts w:ascii="Times New Roman" w:eastAsia="Times New Roman" w:hAnsi="Times New Roman" w:cs="Times New Roman"/>
                <w:i/>
                <w:iCs/>
                <w:color w:val="000000"/>
                <w:sz w:val="24"/>
                <w:szCs w:val="24"/>
                <w:lang w:eastAsia="ru-RU"/>
              </w:rPr>
              <w:t>Мясо (</w:t>
            </w:r>
            <w:r w:rsidRPr="00B06469">
              <w:rPr>
                <w:rFonts w:ascii="Times New Roman" w:eastAsia="Times New Roman" w:hAnsi="Times New Roman" w:cs="Times New Roman"/>
                <w:color w:val="000000"/>
                <w:sz w:val="24"/>
                <w:szCs w:val="24"/>
                <w:lang w:eastAsia="ru-RU"/>
              </w:rPr>
              <w:t>в живом весе) - всего</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1043</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574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634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707</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618</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в </w:t>
            </w:r>
            <w:proofErr w:type="spellStart"/>
            <w:r w:rsidRPr="00B06469">
              <w:rPr>
                <w:rFonts w:ascii="Times New Roman" w:eastAsia="Times New Roman" w:hAnsi="Times New Roman" w:cs="Times New Roman"/>
                <w:color w:val="000000"/>
                <w:sz w:val="24"/>
                <w:szCs w:val="24"/>
                <w:lang w:eastAsia="ru-RU"/>
              </w:rPr>
              <w:t>т.ч</w:t>
            </w:r>
            <w:proofErr w:type="spellEnd"/>
            <w:r w:rsidRPr="00B06469">
              <w:rPr>
                <w:rFonts w:ascii="Times New Roman" w:eastAsia="Times New Roman" w:hAnsi="Times New Roman" w:cs="Times New Roman"/>
                <w:color w:val="000000"/>
                <w:sz w:val="24"/>
                <w:szCs w:val="24"/>
                <w:lang w:eastAsia="ru-RU"/>
              </w:rPr>
              <w:t>. сельскохозяйственные предприятия</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34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20</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23</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34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0</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921</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533</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578</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604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590</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крестьянские (фермерские) хозяйства</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88</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21</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33</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69</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28</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
                <w:iCs/>
                <w:color w:val="000000"/>
                <w:sz w:val="24"/>
                <w:szCs w:val="24"/>
                <w:lang w:eastAsia="ru-RU"/>
              </w:rPr>
            </w:pPr>
            <w:r w:rsidRPr="00B06469">
              <w:rPr>
                <w:rFonts w:ascii="Times New Roman" w:eastAsia="Times New Roman" w:hAnsi="Times New Roman" w:cs="Times New Roman"/>
                <w:i/>
                <w:iCs/>
                <w:color w:val="000000"/>
                <w:sz w:val="24"/>
                <w:szCs w:val="24"/>
                <w:lang w:eastAsia="ru-RU"/>
              </w:rPr>
              <w:t xml:space="preserve">Молоко </w:t>
            </w:r>
            <w:r w:rsidRPr="00B06469">
              <w:rPr>
                <w:rFonts w:ascii="Times New Roman" w:eastAsia="Times New Roman" w:hAnsi="Times New Roman" w:cs="Times New Roman"/>
                <w:color w:val="000000"/>
                <w:sz w:val="24"/>
                <w:szCs w:val="24"/>
                <w:lang w:eastAsia="ru-RU"/>
              </w:rPr>
              <w:t>- всего</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5090,4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5284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4564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4179</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4123</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в </w:t>
            </w:r>
            <w:proofErr w:type="spellStart"/>
            <w:r w:rsidRPr="00B06469">
              <w:rPr>
                <w:rFonts w:ascii="Times New Roman" w:eastAsia="Times New Roman" w:hAnsi="Times New Roman" w:cs="Times New Roman"/>
                <w:color w:val="000000"/>
                <w:sz w:val="24"/>
                <w:szCs w:val="24"/>
                <w:lang w:eastAsia="ru-RU"/>
              </w:rPr>
              <w:t>т.ч</w:t>
            </w:r>
            <w:proofErr w:type="spellEnd"/>
            <w:r w:rsidRPr="00B06469">
              <w:rPr>
                <w:rFonts w:ascii="Times New Roman" w:eastAsia="Times New Roman" w:hAnsi="Times New Roman" w:cs="Times New Roman"/>
                <w:color w:val="000000"/>
                <w:sz w:val="24"/>
                <w:szCs w:val="24"/>
                <w:lang w:eastAsia="ru-RU"/>
              </w:rPr>
              <w:t>. сельскохозяйственные предприятия</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503</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409</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262</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137</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0</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3753</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3977</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3152</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2978</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3150</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крестьянские (фермерские) хозяйства</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834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898</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1150</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1064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973</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
                <w:iCs/>
                <w:color w:val="000000"/>
                <w:sz w:val="24"/>
                <w:szCs w:val="24"/>
                <w:lang w:eastAsia="ru-RU"/>
              </w:rPr>
            </w:pPr>
            <w:r w:rsidRPr="00B06469">
              <w:rPr>
                <w:rFonts w:ascii="Times New Roman" w:eastAsia="Times New Roman" w:hAnsi="Times New Roman" w:cs="Times New Roman"/>
                <w:i/>
                <w:iCs/>
                <w:color w:val="000000"/>
                <w:sz w:val="24"/>
                <w:szCs w:val="24"/>
                <w:lang w:eastAsia="ru-RU"/>
              </w:rPr>
              <w:t xml:space="preserve">Яйца - </w:t>
            </w:r>
            <w:r w:rsidRPr="00B06469">
              <w:rPr>
                <w:rFonts w:ascii="Times New Roman" w:eastAsia="Times New Roman" w:hAnsi="Times New Roman" w:cs="Times New Roman"/>
                <w:color w:val="000000"/>
                <w:sz w:val="24"/>
                <w:szCs w:val="24"/>
                <w:lang w:eastAsia="ru-RU"/>
              </w:rPr>
              <w:t>всего</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2252</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1904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1563</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1589</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1309</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2252</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1904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1563</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1589</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1309</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
                <w:iCs/>
                <w:color w:val="000000"/>
                <w:sz w:val="24"/>
                <w:szCs w:val="24"/>
                <w:lang w:eastAsia="ru-RU"/>
              </w:rPr>
            </w:pPr>
            <w:r w:rsidRPr="00B06469">
              <w:rPr>
                <w:rFonts w:ascii="Times New Roman" w:eastAsia="Times New Roman" w:hAnsi="Times New Roman" w:cs="Times New Roman"/>
                <w:i/>
                <w:iCs/>
                <w:color w:val="000000"/>
                <w:sz w:val="24"/>
                <w:szCs w:val="24"/>
                <w:lang w:eastAsia="ru-RU"/>
              </w:rPr>
              <w:t xml:space="preserve">Шерсть </w:t>
            </w:r>
            <w:r w:rsidRPr="00B06469">
              <w:rPr>
                <w:rFonts w:ascii="Times New Roman" w:eastAsia="Times New Roman" w:hAnsi="Times New Roman" w:cs="Times New Roman"/>
                <w:color w:val="000000"/>
                <w:sz w:val="24"/>
                <w:szCs w:val="24"/>
                <w:lang w:eastAsia="ru-RU"/>
              </w:rPr>
              <w:t>(в физическом весе) – всего:</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w:t>
            </w:r>
          </w:p>
        </w:tc>
      </w:tr>
    </w:tbl>
    <w:p w:rsidR="00F51B81" w:rsidRPr="00B06469" w:rsidRDefault="00F51B81" w:rsidP="001F0139">
      <w:pPr>
        <w:spacing w:after="0" w:line="240" w:lineRule="auto"/>
        <w:ind w:firstLine="426"/>
        <w:jc w:val="both"/>
        <w:rPr>
          <w:rFonts w:ascii="Times New Roman" w:hAnsi="Times New Roman" w:cs="Times New Roman"/>
          <w:sz w:val="24"/>
          <w:szCs w:val="24"/>
        </w:rPr>
      </w:pPr>
      <w:r w:rsidRPr="00B06469">
        <w:rPr>
          <w:rFonts w:ascii="Times New Roman" w:hAnsi="Times New Roman" w:cs="Times New Roman"/>
          <w:sz w:val="24"/>
          <w:szCs w:val="24"/>
        </w:rPr>
        <w:t xml:space="preserve">Источник: Паспорт социально-экономического развития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форма № 5</w:t>
      </w:r>
    </w:p>
    <w:p w:rsidR="00F51B81" w:rsidRPr="00B06469" w:rsidRDefault="00F51B81" w:rsidP="001F0139">
      <w:pPr>
        <w:spacing w:after="0" w:line="360" w:lineRule="auto"/>
        <w:ind w:firstLine="709"/>
        <w:jc w:val="both"/>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Поголовье крупного рогатого скота уменьшилось на 1000 голов за период с 2012 по 2016 гг. Поголовье свиней не изменилось, а поголовье овец и коз увеличилось на 500 голов (табл.1.5.4)</w:t>
      </w:r>
    </w:p>
    <w:p w:rsidR="00F51B81" w:rsidRPr="00B06469" w:rsidRDefault="00F51B81" w:rsidP="001F0139">
      <w:pPr>
        <w:spacing w:after="0" w:line="240" w:lineRule="auto"/>
        <w:jc w:val="both"/>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Таблица 1.5.4 – Поголовье скота в хозяйствах всех категорий</w:t>
      </w:r>
    </w:p>
    <w:p w:rsidR="00F51B81" w:rsidRPr="00B06469" w:rsidRDefault="00F51B81" w:rsidP="001F0139">
      <w:pPr>
        <w:spacing w:after="0" w:line="240" w:lineRule="auto"/>
        <w:jc w:val="both"/>
        <w:rPr>
          <w:rFonts w:ascii="Times New Roman" w:hAnsi="Times New Roman" w:cs="Times New Roman"/>
          <w:b/>
          <w:color w:val="000000"/>
          <w:sz w:val="24"/>
          <w:szCs w:val="24"/>
          <w:shd w:val="clear" w:color="auto" w:fill="FFFFFF"/>
        </w:rPr>
      </w:pPr>
      <w:proofErr w:type="spellStart"/>
      <w:r w:rsidRPr="00B06469">
        <w:rPr>
          <w:rFonts w:ascii="Times New Roman" w:hAnsi="Times New Roman" w:cs="Times New Roman"/>
          <w:b/>
          <w:color w:val="000000"/>
          <w:sz w:val="24"/>
          <w:szCs w:val="24"/>
          <w:shd w:val="clear" w:color="auto" w:fill="FFFFFF"/>
        </w:rPr>
        <w:t>Камышлинского</w:t>
      </w:r>
      <w:proofErr w:type="spellEnd"/>
      <w:r w:rsidRPr="00B06469">
        <w:rPr>
          <w:rFonts w:ascii="Times New Roman" w:hAnsi="Times New Roman" w:cs="Times New Roman"/>
          <w:b/>
          <w:color w:val="000000"/>
          <w:sz w:val="24"/>
          <w:szCs w:val="24"/>
          <w:shd w:val="clear" w:color="auto" w:fill="FFFFFF"/>
        </w:rPr>
        <w:t xml:space="preserve"> района в 2012-2016 гг. (тысяч голов)</w:t>
      </w:r>
    </w:p>
    <w:tbl>
      <w:tblPr>
        <w:tblW w:w="8560" w:type="dxa"/>
        <w:jc w:val="center"/>
        <w:tblInd w:w="93" w:type="dxa"/>
        <w:tblLook w:val="04A0" w:firstRow="1" w:lastRow="0" w:firstColumn="1" w:lastColumn="0" w:noHBand="0" w:noVBand="1"/>
      </w:tblPr>
      <w:tblGrid>
        <w:gridCol w:w="3760"/>
        <w:gridCol w:w="960"/>
        <w:gridCol w:w="960"/>
        <w:gridCol w:w="960"/>
        <w:gridCol w:w="960"/>
        <w:gridCol w:w="960"/>
      </w:tblGrid>
      <w:tr w:rsidR="00F51B81" w:rsidRPr="00B06469" w:rsidTr="002760F1">
        <w:trPr>
          <w:trHeight w:val="315"/>
          <w:jc w:val="center"/>
        </w:trPr>
        <w:tc>
          <w:tcPr>
            <w:tcW w:w="3760" w:type="dxa"/>
            <w:tcBorders>
              <w:top w:val="single" w:sz="4" w:space="0" w:color="auto"/>
              <w:left w:val="single" w:sz="4" w:space="0" w:color="auto"/>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 </w:t>
            </w:r>
          </w:p>
        </w:tc>
        <w:tc>
          <w:tcPr>
            <w:tcW w:w="960"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2012</w:t>
            </w:r>
          </w:p>
        </w:tc>
        <w:tc>
          <w:tcPr>
            <w:tcW w:w="960"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2013</w:t>
            </w:r>
          </w:p>
        </w:tc>
        <w:tc>
          <w:tcPr>
            <w:tcW w:w="960"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2014</w:t>
            </w:r>
          </w:p>
        </w:tc>
        <w:tc>
          <w:tcPr>
            <w:tcW w:w="960"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2015</w:t>
            </w:r>
          </w:p>
        </w:tc>
        <w:tc>
          <w:tcPr>
            <w:tcW w:w="960"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2016</w:t>
            </w:r>
          </w:p>
        </w:tc>
      </w:tr>
      <w:tr w:rsidR="00F51B81" w:rsidRPr="00B06469" w:rsidTr="002760F1">
        <w:trPr>
          <w:trHeight w:val="315"/>
          <w:jc w:val="center"/>
        </w:trPr>
        <w:tc>
          <w:tcPr>
            <w:tcW w:w="3760" w:type="dxa"/>
            <w:tcBorders>
              <w:top w:val="nil"/>
              <w:left w:val="single" w:sz="4" w:space="0" w:color="auto"/>
              <w:bottom w:val="single" w:sz="4" w:space="0" w:color="auto"/>
              <w:right w:val="single" w:sz="4" w:space="0" w:color="auto"/>
            </w:tcBorders>
            <w:vAlign w:val="bottom"/>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Крупный рогатый скот</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3</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2,7</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2,5</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2,2</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w:t>
            </w:r>
          </w:p>
        </w:tc>
      </w:tr>
      <w:tr w:rsidR="00F51B81" w:rsidRPr="00B06469" w:rsidTr="002760F1">
        <w:trPr>
          <w:trHeight w:val="315"/>
          <w:jc w:val="center"/>
        </w:trPr>
        <w:tc>
          <w:tcPr>
            <w:tcW w:w="3760" w:type="dxa"/>
            <w:tcBorders>
              <w:top w:val="nil"/>
              <w:left w:val="single" w:sz="4" w:space="0" w:color="auto"/>
              <w:bottom w:val="single" w:sz="4" w:space="0" w:color="auto"/>
              <w:right w:val="single" w:sz="4" w:space="0" w:color="auto"/>
            </w:tcBorders>
            <w:vAlign w:val="bottom"/>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из них коровы</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1,3</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1,2</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0,9</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0,9</w:t>
            </w:r>
          </w:p>
        </w:tc>
      </w:tr>
      <w:tr w:rsidR="00F51B81" w:rsidRPr="00B06469" w:rsidTr="002760F1">
        <w:trPr>
          <w:trHeight w:val="315"/>
          <w:jc w:val="center"/>
        </w:trPr>
        <w:tc>
          <w:tcPr>
            <w:tcW w:w="3760" w:type="dxa"/>
            <w:tcBorders>
              <w:top w:val="nil"/>
              <w:left w:val="single" w:sz="4" w:space="0" w:color="auto"/>
              <w:bottom w:val="single" w:sz="4" w:space="0" w:color="auto"/>
              <w:right w:val="single" w:sz="4" w:space="0" w:color="auto"/>
            </w:tcBorders>
            <w:vAlign w:val="bottom"/>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Свиньи</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0,1</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0,1</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0,1</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0,1</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0,1</w:t>
            </w:r>
          </w:p>
        </w:tc>
      </w:tr>
      <w:tr w:rsidR="00F51B81" w:rsidRPr="00B06469" w:rsidTr="002760F1">
        <w:trPr>
          <w:trHeight w:val="315"/>
          <w:jc w:val="center"/>
        </w:trPr>
        <w:tc>
          <w:tcPr>
            <w:tcW w:w="3760" w:type="dxa"/>
            <w:tcBorders>
              <w:top w:val="nil"/>
              <w:left w:val="single" w:sz="4" w:space="0" w:color="auto"/>
              <w:bottom w:val="single" w:sz="4" w:space="0" w:color="auto"/>
              <w:right w:val="single" w:sz="4" w:space="0" w:color="auto"/>
            </w:tcBorders>
            <w:vAlign w:val="bottom"/>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Овцы и козы</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1,8</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2,1</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2,3</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2,1</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2,3</w:t>
            </w:r>
          </w:p>
        </w:tc>
      </w:tr>
    </w:tbl>
    <w:p w:rsidR="00F51B81" w:rsidRPr="00B06469" w:rsidRDefault="00F51B81" w:rsidP="001F0139">
      <w:pPr>
        <w:spacing w:after="0" w:line="240" w:lineRule="auto"/>
        <w:ind w:firstLine="426"/>
        <w:jc w:val="both"/>
        <w:rPr>
          <w:rFonts w:ascii="Times New Roman" w:hAnsi="Times New Roman" w:cs="Times New Roman"/>
          <w:sz w:val="24"/>
          <w:szCs w:val="24"/>
        </w:rPr>
      </w:pPr>
      <w:r w:rsidRPr="00B06469">
        <w:rPr>
          <w:rFonts w:ascii="Times New Roman" w:hAnsi="Times New Roman" w:cs="Times New Roman"/>
          <w:sz w:val="24"/>
          <w:szCs w:val="24"/>
        </w:rPr>
        <w:t>Источники: Муниципальные районы Самарской области, 2017. Статистический сборник</w:t>
      </w:r>
    </w:p>
    <w:p w:rsidR="00F51B81" w:rsidRPr="00B06469" w:rsidRDefault="00F51B81" w:rsidP="001F0139">
      <w:pPr>
        <w:spacing w:after="0" w:line="360" w:lineRule="auto"/>
        <w:ind w:firstLine="709"/>
        <w:jc w:val="center"/>
        <w:rPr>
          <w:rFonts w:ascii="Times New Roman" w:hAnsi="Times New Roman" w:cs="Times New Roman"/>
          <w:b/>
          <w:color w:val="000000"/>
          <w:sz w:val="24"/>
          <w:szCs w:val="24"/>
          <w:shd w:val="clear" w:color="auto" w:fill="FFFFFF"/>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Сельскохозяйственные организации района в подавляющем большинстве работают с прибылью. По итогам работы за 2012-2016 гг. сельскохозяйственные предприятия имеют положительный финансовый результат (прибыль в 2016г. – 4902 тыс. руб.). Однако</w:t>
      </w:r>
      <w:proofErr w:type="gramStart"/>
      <w:r w:rsidRPr="00B06469">
        <w:rPr>
          <w:rFonts w:ascii="Times New Roman" w:hAnsi="Times New Roman" w:cs="Times New Roman"/>
          <w:sz w:val="24"/>
          <w:szCs w:val="24"/>
        </w:rPr>
        <w:t>,</w:t>
      </w:r>
      <w:proofErr w:type="gramEnd"/>
      <w:r w:rsidRPr="00B06469">
        <w:rPr>
          <w:rFonts w:ascii="Times New Roman" w:hAnsi="Times New Roman" w:cs="Times New Roman"/>
          <w:sz w:val="24"/>
          <w:szCs w:val="24"/>
        </w:rPr>
        <w:t xml:space="preserve"> динамика роста прибыли неустойчива (рис. 1.5.7). Резкое снижение значения данного показателя наблюдалось в 2015 г. (почти в 3 раза по сравнению с 2014 г.). Такая же динамика прослеживается по уровню рентабельности сельскохозяйственных предприятий района (увеличение с 9,1% в 2012 г. до 11,8% в 2016 г. с резким снижением до 6,1% в 2015 г.).</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noProof/>
          <w:color w:val="FF0000"/>
          <w:sz w:val="24"/>
          <w:szCs w:val="24"/>
          <w:lang w:eastAsia="ru-RU"/>
        </w:rPr>
        <w:lastRenderedPageBreak/>
        <w:drawing>
          <wp:inline distT="0" distB="0" distL="0" distR="0" wp14:anchorId="66978893" wp14:editId="5E5F6078">
            <wp:extent cx="5258054" cy="2682240"/>
            <wp:effectExtent l="19050" t="0" r="18796" b="3810"/>
            <wp:docPr id="32"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51B81" w:rsidRPr="00B06469" w:rsidRDefault="00F51B81" w:rsidP="001F0139">
      <w:pPr>
        <w:spacing w:after="0" w:line="240" w:lineRule="auto"/>
        <w:jc w:val="center"/>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 xml:space="preserve">Рисунок 1.5.7 - Прибыль (убыток) сельскохозяйственных предприятий </w:t>
      </w:r>
      <w:proofErr w:type="spellStart"/>
      <w:r w:rsidRPr="00B06469">
        <w:rPr>
          <w:rFonts w:ascii="Times New Roman" w:hAnsi="Times New Roman" w:cs="Times New Roman"/>
          <w:b/>
          <w:color w:val="000000"/>
          <w:sz w:val="24"/>
          <w:szCs w:val="24"/>
          <w:shd w:val="clear" w:color="auto" w:fill="FFFFFF"/>
        </w:rPr>
        <w:t>Камышлинского</w:t>
      </w:r>
      <w:proofErr w:type="spellEnd"/>
      <w:r w:rsidRPr="00B06469">
        <w:rPr>
          <w:rFonts w:ascii="Times New Roman" w:hAnsi="Times New Roman" w:cs="Times New Roman"/>
          <w:b/>
          <w:color w:val="000000"/>
          <w:sz w:val="24"/>
          <w:szCs w:val="24"/>
          <w:shd w:val="clear" w:color="auto" w:fill="FFFFFF"/>
        </w:rPr>
        <w:t xml:space="preserve"> района в 2012-2016 гг. (тыс. руб.)</w:t>
      </w:r>
    </w:p>
    <w:p w:rsidR="00F51B81" w:rsidRPr="00B06469" w:rsidRDefault="00F51B81" w:rsidP="001F0139">
      <w:pPr>
        <w:spacing w:after="0" w:line="240" w:lineRule="auto"/>
        <w:jc w:val="center"/>
        <w:rPr>
          <w:rFonts w:ascii="Times New Roman" w:hAnsi="Times New Roman" w:cs="Times New Roman"/>
          <w:b/>
          <w:color w:val="000000"/>
          <w:sz w:val="24"/>
          <w:szCs w:val="24"/>
          <w:shd w:val="clear" w:color="auto" w:fill="FFFFFF"/>
        </w:rPr>
      </w:pPr>
    </w:p>
    <w:p w:rsidR="00F51B81" w:rsidRPr="00B06469" w:rsidRDefault="00F51B81" w:rsidP="001F0139">
      <w:pPr>
        <w:spacing w:after="0" w:line="360" w:lineRule="auto"/>
        <w:ind w:firstLine="709"/>
        <w:jc w:val="both"/>
        <w:rPr>
          <w:rFonts w:ascii="Times New Roman" w:hAnsi="Times New Roman" w:cs="Times New Roman"/>
          <w:sz w:val="24"/>
          <w:szCs w:val="24"/>
        </w:rPr>
      </w:pPr>
      <w:proofErr w:type="gramStart"/>
      <w:r w:rsidRPr="00B06469">
        <w:rPr>
          <w:rFonts w:ascii="Times New Roman" w:hAnsi="Times New Roman" w:cs="Times New Roman"/>
          <w:sz w:val="24"/>
          <w:szCs w:val="24"/>
        </w:rPr>
        <w:t>К положительным изменениям за рассматриваемый период стоит отнести уменьшение степени износа основных фондов (с 59% в 2012 г. до 49% в 2016 г.), увеличение показателей продуктивности (надой молока на одну фуражную корову увеличился в 2016 г. в 1,5 раз по сравнению с 2012 г., среднесуточный привес крупного рогатого скота в 2012 г. составлял 632 грамма, а в 2016 г. – 707</w:t>
      </w:r>
      <w:proofErr w:type="gramEnd"/>
      <w:r w:rsidRPr="00B06469">
        <w:rPr>
          <w:rFonts w:ascii="Times New Roman" w:hAnsi="Times New Roman" w:cs="Times New Roman"/>
          <w:sz w:val="24"/>
          <w:szCs w:val="24"/>
        </w:rPr>
        <w:t xml:space="preserve"> грамм).</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Важным направлением развития агропромышленного комплекса является стимулирование развития малых форм хозяйствования и личных подсобных хозяйств. С 2012 по 2017 годы получателями гранта стали 10 начинающих фермеров, участвовавших в областном мероприятии «Развитие малых форм хозяйствования» государственной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на 2014–2020 годы.</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 продолжается субсидирование процентных ставок по краткосрочным, среднесрочным и долгосрочным кредитам малым формам хозяйствования – КФХ и ЛПХ. Благодаря субсидированию семян элиты зерновых и зернобобовых культур из областного и федерального бюджетов за последние годы хозяйства района значительно улучшили качество и репродуктивный состав высеваемых семян. Это стало одним из главных факторов в деле увеличения урожайности сельскохозяйственных культур последних лет в районе.</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Важный вклад в развитие сельского хозяйства вносят личные подсобные хозяйства. Всего 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 насчитывается 4400 подворий. За последние годы многие семьи района не только создали, но и приумножили свои хозяйства. </w:t>
      </w:r>
    </w:p>
    <w:p w:rsidR="00F51B81" w:rsidRPr="00B06469" w:rsidRDefault="00F51B81" w:rsidP="001F0139">
      <w:pPr>
        <w:spacing w:after="0" w:line="360" w:lineRule="auto"/>
        <w:ind w:firstLine="709"/>
        <w:contextualSpacing/>
        <w:rPr>
          <w:rFonts w:ascii="Times New Roman" w:hAnsi="Times New Roman" w:cs="Times New Roman"/>
          <w:sz w:val="24"/>
          <w:szCs w:val="24"/>
        </w:rPr>
      </w:pPr>
      <w:r w:rsidRPr="00B06469">
        <w:rPr>
          <w:rFonts w:ascii="Times New Roman" w:hAnsi="Times New Roman" w:cs="Times New Roman"/>
          <w:sz w:val="24"/>
          <w:szCs w:val="24"/>
        </w:rPr>
        <w:br w:type="page"/>
      </w:r>
    </w:p>
    <w:p w:rsidR="00F51B81" w:rsidRPr="00B06469" w:rsidRDefault="00F51B81" w:rsidP="001F0139">
      <w:pPr>
        <w:spacing w:after="0" w:line="360" w:lineRule="auto"/>
        <w:contextualSpacing/>
        <w:outlineLvl w:val="2"/>
        <w:rPr>
          <w:rFonts w:ascii="Times New Roman" w:hAnsi="Times New Roman" w:cs="Times New Roman"/>
          <w:b/>
          <w:color w:val="365F91"/>
          <w:sz w:val="24"/>
          <w:szCs w:val="24"/>
        </w:rPr>
      </w:pPr>
      <w:bookmarkStart w:id="32" w:name="_Toc520894840"/>
      <w:r w:rsidRPr="00B06469">
        <w:rPr>
          <w:rFonts w:ascii="Times New Roman" w:hAnsi="Times New Roman" w:cs="Times New Roman"/>
          <w:b/>
          <w:color w:val="365F91"/>
          <w:sz w:val="24"/>
          <w:szCs w:val="24"/>
        </w:rPr>
        <w:lastRenderedPageBreak/>
        <w:t>1.5.3 Развитие малого и среднего бизнеса</w:t>
      </w:r>
      <w:bookmarkEnd w:id="32"/>
    </w:p>
    <w:p w:rsidR="00F51B81" w:rsidRPr="00B06469" w:rsidRDefault="00F51B81" w:rsidP="001F0139">
      <w:pPr>
        <w:spacing w:after="0" w:line="360" w:lineRule="auto"/>
        <w:ind w:firstLine="709"/>
        <w:contextualSpacing/>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eastAsia="Times New Roman" w:hAnsi="Times New Roman" w:cs="Times New Roman"/>
          <w:color w:val="000000"/>
          <w:kern w:val="2"/>
          <w:sz w:val="24"/>
          <w:szCs w:val="24"/>
        </w:rPr>
      </w:pPr>
      <w:r w:rsidRPr="00B06469">
        <w:rPr>
          <w:rFonts w:ascii="Times New Roman" w:eastAsia="Times New Roman" w:hAnsi="Times New Roman" w:cs="Times New Roman"/>
          <w:color w:val="000000"/>
          <w:kern w:val="2"/>
          <w:sz w:val="24"/>
          <w:szCs w:val="24"/>
        </w:rPr>
        <w:t xml:space="preserve">По состоянию на 1 января 2018 года на территории района действуют 19 малых предприятий и 211 индивидуальных предпринимателей. В структуре субъектов малого предпринимательства наибольший удельный вес занимают оптовая и розничная торговля и услуги по ремонту (50%), с большим отрывом отстает сельскохозяйственное производство (15%), транспорт и связь (9%), гостиницы и </w:t>
      </w:r>
      <w:proofErr w:type="gramStart"/>
      <w:r w:rsidRPr="00B06469">
        <w:rPr>
          <w:rFonts w:ascii="Times New Roman" w:eastAsia="Times New Roman" w:hAnsi="Times New Roman" w:cs="Times New Roman"/>
          <w:color w:val="000000"/>
          <w:kern w:val="2"/>
          <w:sz w:val="24"/>
          <w:szCs w:val="24"/>
        </w:rPr>
        <w:t>рестораны</w:t>
      </w:r>
      <w:proofErr w:type="gramEnd"/>
      <w:r w:rsidRPr="00B06469">
        <w:rPr>
          <w:rFonts w:ascii="Times New Roman" w:eastAsia="Times New Roman" w:hAnsi="Times New Roman" w:cs="Times New Roman"/>
          <w:color w:val="000000"/>
          <w:kern w:val="2"/>
          <w:sz w:val="24"/>
          <w:szCs w:val="24"/>
        </w:rPr>
        <w:t xml:space="preserve"> и обрабатывающие производства (по 7%) и т.д. (рис. 1.5.8). </w:t>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b/>
          <w:noProof/>
          <w:sz w:val="24"/>
          <w:szCs w:val="24"/>
          <w:lang w:eastAsia="ru-RU"/>
        </w:rPr>
        <w:drawing>
          <wp:inline distT="0" distB="0" distL="0" distR="0" wp14:anchorId="0C04B91C" wp14:editId="2C3E0EA9">
            <wp:extent cx="5703697" cy="3517392"/>
            <wp:effectExtent l="0" t="0" r="0" b="0"/>
            <wp:docPr id="33" name="Рисунок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51B81" w:rsidRPr="00B06469" w:rsidRDefault="00F51B81"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Источники: Муниципальные районы Самарской области, 2017. Статистический сборник</w:t>
      </w:r>
    </w:p>
    <w:p w:rsidR="00F51B81" w:rsidRPr="00B06469" w:rsidRDefault="00F51B81" w:rsidP="001F0139">
      <w:pPr>
        <w:spacing w:after="0" w:line="240" w:lineRule="auto"/>
        <w:jc w:val="center"/>
        <w:rPr>
          <w:rFonts w:ascii="Times New Roman" w:hAnsi="Times New Roman" w:cs="Times New Roman"/>
          <w:b/>
          <w:bCs/>
          <w:color w:val="000000"/>
          <w:sz w:val="24"/>
          <w:szCs w:val="24"/>
          <w:shd w:val="clear" w:color="auto" w:fill="FFFFFF"/>
        </w:rPr>
      </w:pPr>
      <w:r w:rsidRPr="00B06469">
        <w:rPr>
          <w:rFonts w:ascii="Times New Roman" w:hAnsi="Times New Roman" w:cs="Times New Roman"/>
          <w:b/>
          <w:color w:val="000000"/>
          <w:sz w:val="24"/>
          <w:szCs w:val="24"/>
          <w:shd w:val="clear" w:color="auto" w:fill="FFFFFF"/>
        </w:rPr>
        <w:t xml:space="preserve">Рисунок 1.5.8 - </w:t>
      </w:r>
      <w:r w:rsidRPr="00B06469">
        <w:rPr>
          <w:rFonts w:ascii="Times New Roman" w:hAnsi="Times New Roman" w:cs="Times New Roman"/>
          <w:b/>
          <w:bCs/>
          <w:color w:val="000000"/>
          <w:sz w:val="24"/>
          <w:szCs w:val="24"/>
          <w:shd w:val="clear" w:color="auto" w:fill="FFFFFF"/>
        </w:rPr>
        <w:t xml:space="preserve">Распределение индивидуальных предпринимателей по видам экономической деятельности </w:t>
      </w:r>
      <w:proofErr w:type="spellStart"/>
      <w:r w:rsidRPr="00B06469">
        <w:rPr>
          <w:rFonts w:ascii="Times New Roman" w:hAnsi="Times New Roman" w:cs="Times New Roman"/>
          <w:b/>
          <w:bCs/>
          <w:color w:val="000000"/>
          <w:sz w:val="24"/>
          <w:szCs w:val="24"/>
          <w:shd w:val="clear" w:color="auto" w:fill="FFFFFF"/>
        </w:rPr>
        <w:t>Камышлинского</w:t>
      </w:r>
      <w:proofErr w:type="spellEnd"/>
      <w:r w:rsidRPr="00B06469">
        <w:rPr>
          <w:rFonts w:ascii="Times New Roman" w:hAnsi="Times New Roman" w:cs="Times New Roman"/>
          <w:b/>
          <w:bCs/>
          <w:color w:val="000000"/>
          <w:sz w:val="24"/>
          <w:szCs w:val="24"/>
          <w:shd w:val="clear" w:color="auto" w:fill="FFFFFF"/>
        </w:rPr>
        <w:t xml:space="preserve"> района, %</w:t>
      </w:r>
    </w:p>
    <w:p w:rsidR="00F51B81" w:rsidRPr="00B06469" w:rsidRDefault="00F51B81" w:rsidP="001F0139">
      <w:pPr>
        <w:spacing w:after="0" w:line="240" w:lineRule="auto"/>
        <w:jc w:val="center"/>
        <w:rPr>
          <w:rFonts w:ascii="Times New Roman" w:hAnsi="Times New Roman" w:cs="Times New Roman"/>
          <w:b/>
          <w:bCs/>
          <w:color w:val="000000"/>
          <w:sz w:val="24"/>
          <w:szCs w:val="24"/>
          <w:shd w:val="clear" w:color="auto" w:fill="FFFFFF"/>
        </w:rPr>
      </w:pPr>
    </w:p>
    <w:p w:rsidR="00F51B81" w:rsidRPr="00B06469" w:rsidRDefault="00F51B81" w:rsidP="001F0139">
      <w:pPr>
        <w:shd w:val="clear" w:color="auto" w:fill="FFFFFF"/>
        <w:spacing w:after="0" w:line="360" w:lineRule="auto"/>
        <w:ind w:firstLine="709"/>
        <w:jc w:val="both"/>
        <w:rPr>
          <w:rFonts w:ascii="Times New Roman" w:eastAsia="Times New Roman" w:hAnsi="Times New Roman" w:cs="Times New Roman"/>
          <w:bCs/>
          <w:sz w:val="24"/>
          <w:szCs w:val="24"/>
          <w:shd w:val="clear" w:color="auto" w:fill="FFFFFF"/>
          <w:lang w:eastAsia="ru-RU"/>
        </w:rPr>
      </w:pPr>
      <w:r w:rsidRPr="00B06469">
        <w:rPr>
          <w:rFonts w:ascii="Times New Roman" w:eastAsia="Times New Roman" w:hAnsi="Times New Roman" w:cs="Times New Roman"/>
          <w:bCs/>
          <w:sz w:val="24"/>
          <w:szCs w:val="24"/>
          <w:shd w:val="clear" w:color="auto" w:fill="FFFFFF"/>
          <w:lang w:eastAsia="ru-RU"/>
        </w:rPr>
        <w:t xml:space="preserve">По результатам </w:t>
      </w:r>
      <w:proofErr w:type="gramStart"/>
      <w:r w:rsidRPr="00B06469">
        <w:rPr>
          <w:rFonts w:ascii="Times New Roman" w:eastAsia="Times New Roman" w:hAnsi="Times New Roman" w:cs="Times New Roman"/>
          <w:bCs/>
          <w:sz w:val="24"/>
          <w:szCs w:val="24"/>
          <w:shd w:val="clear" w:color="auto" w:fill="FFFFFF"/>
          <w:lang w:eastAsia="ru-RU"/>
        </w:rPr>
        <w:t>мониторинга эффективности деятельности органов местного самоуправления</w:t>
      </w:r>
      <w:proofErr w:type="gramEnd"/>
      <w:r w:rsidRPr="00B06469">
        <w:rPr>
          <w:rFonts w:ascii="Times New Roman" w:eastAsia="Times New Roman" w:hAnsi="Times New Roman" w:cs="Times New Roman"/>
          <w:bCs/>
          <w:sz w:val="24"/>
          <w:szCs w:val="24"/>
          <w:shd w:val="clear" w:color="auto" w:fill="FFFFFF"/>
          <w:lang w:eastAsia="ru-RU"/>
        </w:rPr>
        <w:t xml:space="preserve"> </w:t>
      </w:r>
      <w:proofErr w:type="spellStart"/>
      <w:r w:rsidR="001F0139" w:rsidRPr="00B06469">
        <w:rPr>
          <w:rFonts w:ascii="Times New Roman" w:eastAsia="Times New Roman" w:hAnsi="Times New Roman" w:cs="Times New Roman"/>
          <w:bCs/>
          <w:sz w:val="24"/>
          <w:szCs w:val="24"/>
          <w:shd w:val="clear" w:color="auto" w:fill="FFFFFF"/>
          <w:lang w:eastAsia="ru-RU"/>
        </w:rPr>
        <w:t>район</w:t>
      </w:r>
      <w:r w:rsidRPr="00B06469">
        <w:rPr>
          <w:rFonts w:ascii="Times New Roman" w:eastAsia="Times New Roman" w:hAnsi="Times New Roman" w:cs="Times New Roman"/>
          <w:bCs/>
          <w:sz w:val="24"/>
          <w:szCs w:val="24"/>
          <w:shd w:val="clear" w:color="auto" w:fill="FFFFFF"/>
          <w:lang w:eastAsia="ru-RU"/>
        </w:rPr>
        <w:t>ских</w:t>
      </w:r>
      <w:proofErr w:type="spellEnd"/>
      <w:r w:rsidRPr="00B06469">
        <w:rPr>
          <w:rFonts w:ascii="Times New Roman" w:eastAsia="Times New Roman" w:hAnsi="Times New Roman" w:cs="Times New Roman"/>
          <w:bCs/>
          <w:sz w:val="24"/>
          <w:szCs w:val="24"/>
          <w:shd w:val="clear" w:color="auto" w:fill="FFFFFF"/>
          <w:lang w:eastAsia="ru-RU"/>
        </w:rPr>
        <w:t xml:space="preserve"> округов и муниципальных районов в Самарской области за 2016 г. </w:t>
      </w:r>
      <w:proofErr w:type="spellStart"/>
      <w:r w:rsidRPr="00B06469">
        <w:rPr>
          <w:rFonts w:ascii="Times New Roman" w:eastAsia="Times New Roman" w:hAnsi="Times New Roman" w:cs="Times New Roman"/>
          <w:bCs/>
          <w:sz w:val="24"/>
          <w:szCs w:val="24"/>
          <w:shd w:val="clear" w:color="auto" w:fill="FFFFFF"/>
          <w:lang w:eastAsia="ru-RU"/>
        </w:rPr>
        <w:t>Камышлинский</w:t>
      </w:r>
      <w:proofErr w:type="spellEnd"/>
      <w:r w:rsidRPr="00B06469">
        <w:rPr>
          <w:rFonts w:ascii="Times New Roman" w:eastAsia="Times New Roman" w:hAnsi="Times New Roman" w:cs="Times New Roman"/>
          <w:bCs/>
          <w:sz w:val="24"/>
          <w:szCs w:val="24"/>
          <w:shd w:val="clear" w:color="auto" w:fill="FFFFFF"/>
          <w:lang w:eastAsia="ru-RU"/>
        </w:rPr>
        <w:t xml:space="preserve"> район по показателю плотности субъектов малого и среднего предпринимательства (МСП) отстает от </w:t>
      </w:r>
      <w:proofErr w:type="spellStart"/>
      <w:r w:rsidRPr="00B06469">
        <w:rPr>
          <w:rFonts w:ascii="Times New Roman" w:eastAsia="Times New Roman" w:hAnsi="Times New Roman" w:cs="Times New Roman"/>
          <w:bCs/>
          <w:sz w:val="24"/>
          <w:szCs w:val="24"/>
          <w:shd w:val="clear" w:color="auto" w:fill="FFFFFF"/>
          <w:lang w:eastAsia="ru-RU"/>
        </w:rPr>
        <w:t>среднеобластных</w:t>
      </w:r>
      <w:proofErr w:type="spellEnd"/>
      <w:r w:rsidRPr="00B06469">
        <w:rPr>
          <w:rFonts w:ascii="Times New Roman" w:eastAsia="Times New Roman" w:hAnsi="Times New Roman" w:cs="Times New Roman"/>
          <w:bCs/>
          <w:sz w:val="24"/>
          <w:szCs w:val="24"/>
          <w:shd w:val="clear" w:color="auto" w:fill="FFFFFF"/>
          <w:lang w:eastAsia="ru-RU"/>
        </w:rPr>
        <w:t xml:space="preserve"> значений (283,85 ед. на 10 тыс. человек) и характеризуется значением 252 ед. на 10 тыс. человек. Это больше значения 2015 г. (248 ед.), но восстановить значения 2012 года (292 ед.) пока не удается (рис. 1.5.9).</w:t>
      </w:r>
    </w:p>
    <w:p w:rsidR="00F51B81" w:rsidRPr="00B06469" w:rsidRDefault="00F51B81" w:rsidP="001F0139">
      <w:pPr>
        <w:shd w:val="clear" w:color="auto" w:fill="FFFFFF"/>
        <w:spacing w:after="0" w:line="240" w:lineRule="auto"/>
        <w:jc w:val="center"/>
        <w:rPr>
          <w:rFonts w:ascii="Times New Roman" w:eastAsia="Times New Roman" w:hAnsi="Times New Roman" w:cs="Times New Roman"/>
          <w:bCs/>
          <w:sz w:val="24"/>
          <w:szCs w:val="24"/>
          <w:shd w:val="clear" w:color="auto" w:fill="FFFFFF"/>
          <w:lang w:eastAsia="ru-RU"/>
        </w:rPr>
      </w:pPr>
      <w:r w:rsidRPr="00B06469">
        <w:rPr>
          <w:rFonts w:ascii="Times New Roman" w:eastAsia="Times New Roman" w:hAnsi="Times New Roman" w:cs="Times New Roman"/>
          <w:noProof/>
          <w:sz w:val="24"/>
          <w:szCs w:val="24"/>
          <w:shd w:val="clear" w:color="auto" w:fill="FFFFFF"/>
          <w:lang w:eastAsia="ru-RU"/>
        </w:rPr>
        <w:lastRenderedPageBreak/>
        <w:drawing>
          <wp:inline distT="0" distB="0" distL="0" distR="0" wp14:anchorId="63C538AB" wp14:editId="201BD8B5">
            <wp:extent cx="5711952" cy="2359152"/>
            <wp:effectExtent l="0" t="0" r="0" b="0"/>
            <wp:docPr id="3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 xml:space="preserve">Источник: Доклад Главы Администрации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«О достигнутых значениях показателей для оценки эффективности деятельности органов местного самоуправления за 2016 год и их планируемых значениях на 3-х летний период (до 2019 года)</w:t>
      </w:r>
    </w:p>
    <w:p w:rsidR="00F51B81" w:rsidRPr="00B06469" w:rsidRDefault="00F51B81" w:rsidP="001F0139">
      <w:pPr>
        <w:spacing w:after="0" w:line="240" w:lineRule="auto"/>
        <w:jc w:val="center"/>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 xml:space="preserve">Рисунок 1.5.9 - Число субъектов малого и среднего предпринимательства в расчете на 10 тыс. человек населения в </w:t>
      </w:r>
      <w:proofErr w:type="spellStart"/>
      <w:r w:rsidRPr="00B06469">
        <w:rPr>
          <w:rFonts w:ascii="Times New Roman" w:hAnsi="Times New Roman" w:cs="Times New Roman"/>
          <w:b/>
          <w:color w:val="000000"/>
          <w:sz w:val="24"/>
          <w:szCs w:val="24"/>
          <w:shd w:val="clear" w:color="auto" w:fill="FFFFFF"/>
        </w:rPr>
        <w:t>Камышлинском</w:t>
      </w:r>
      <w:proofErr w:type="spellEnd"/>
      <w:r w:rsidRPr="00B06469">
        <w:rPr>
          <w:rFonts w:ascii="Times New Roman" w:hAnsi="Times New Roman" w:cs="Times New Roman"/>
          <w:b/>
          <w:color w:val="000000"/>
          <w:sz w:val="24"/>
          <w:szCs w:val="24"/>
          <w:shd w:val="clear" w:color="auto" w:fill="FFFFFF"/>
        </w:rPr>
        <w:t xml:space="preserve"> районе</w:t>
      </w:r>
    </w:p>
    <w:p w:rsidR="00F51B81" w:rsidRPr="00B06469" w:rsidRDefault="00F51B81" w:rsidP="001F0139">
      <w:pPr>
        <w:spacing w:after="0" w:line="240" w:lineRule="auto"/>
        <w:jc w:val="center"/>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в 2012-2016 гг.</w:t>
      </w:r>
    </w:p>
    <w:p w:rsidR="00F51B81" w:rsidRPr="00B06469" w:rsidRDefault="00F51B81" w:rsidP="001F0139">
      <w:pPr>
        <w:spacing w:after="0" w:line="240" w:lineRule="auto"/>
        <w:jc w:val="center"/>
        <w:rPr>
          <w:rFonts w:ascii="Times New Roman" w:hAnsi="Times New Roman" w:cs="Times New Roman"/>
          <w:b/>
          <w:color w:val="000000"/>
          <w:sz w:val="24"/>
          <w:szCs w:val="24"/>
          <w:shd w:val="clear" w:color="auto" w:fill="FFFFFF"/>
        </w:rPr>
      </w:pPr>
    </w:p>
    <w:p w:rsidR="00F51B81" w:rsidRPr="00B06469" w:rsidRDefault="00F51B81" w:rsidP="001F0139">
      <w:pPr>
        <w:shd w:val="clear" w:color="auto" w:fill="FFFFFF"/>
        <w:spacing w:after="0" w:line="360" w:lineRule="auto"/>
        <w:ind w:firstLine="709"/>
        <w:jc w:val="both"/>
        <w:rPr>
          <w:rFonts w:ascii="Times New Roman" w:hAnsi="Times New Roman" w:cs="Times New Roman"/>
          <w:b/>
          <w:color w:val="000000"/>
          <w:sz w:val="24"/>
          <w:szCs w:val="24"/>
          <w:shd w:val="clear" w:color="auto" w:fill="FFFFFF"/>
        </w:rPr>
      </w:pPr>
      <w:r w:rsidRPr="00B06469">
        <w:rPr>
          <w:rFonts w:ascii="Times New Roman" w:eastAsia="Times New Roman" w:hAnsi="Times New Roman" w:cs="Times New Roman"/>
          <w:bCs/>
          <w:sz w:val="24"/>
          <w:szCs w:val="24"/>
          <w:shd w:val="clear" w:color="auto" w:fill="FFFFFF"/>
          <w:lang w:eastAsia="ru-RU"/>
        </w:rPr>
        <w:t>Аналогичная ситуация наблюдается по показателю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 2012 г. значение данного показателя уменьшилось более чем в 2 раза (рис. 1.5.10).</w:t>
      </w:r>
    </w:p>
    <w:p w:rsidR="00F51B81" w:rsidRPr="00B0646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B06469">
        <w:rPr>
          <w:rFonts w:ascii="Times New Roman" w:eastAsia="Times New Roman" w:hAnsi="Times New Roman" w:cs="Times New Roman"/>
          <w:b/>
          <w:noProof/>
          <w:color w:val="000000"/>
          <w:sz w:val="24"/>
          <w:szCs w:val="24"/>
          <w:shd w:val="clear" w:color="auto" w:fill="FFFFFF"/>
          <w:lang w:eastAsia="ru-RU"/>
        </w:rPr>
        <w:drawing>
          <wp:inline distT="0" distB="0" distL="0" distR="0" wp14:anchorId="67555066" wp14:editId="4EFA3F2E">
            <wp:extent cx="5689346" cy="2244979"/>
            <wp:effectExtent l="0" t="0" r="0" b="0"/>
            <wp:docPr id="35"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51B81" w:rsidRPr="00B06469" w:rsidRDefault="00F51B81"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 xml:space="preserve">Источник: Доклад Главы Администрации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«О достигнутых значениях показателей для оценки эффективности деятельности органов местного самоуправления за 2016 год и их планируемых значениях на 3-х летний период (до 2019 года)</w:t>
      </w:r>
    </w:p>
    <w:p w:rsidR="00F51B81" w:rsidRPr="00B0646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B06469">
        <w:rPr>
          <w:rFonts w:ascii="Times New Roman" w:eastAsia="Times New Roman" w:hAnsi="Times New Roman" w:cs="Times New Roman"/>
          <w:b/>
          <w:color w:val="000000"/>
          <w:sz w:val="24"/>
          <w:szCs w:val="24"/>
          <w:shd w:val="clear" w:color="auto" w:fill="FFFFFF"/>
          <w:lang w:eastAsia="ru-RU"/>
        </w:rPr>
        <w:t xml:space="preserve">Рисунок 1.5.10 - Доля среднесписочной численности малых и средних предприятий в среднесписочной численности работников </w:t>
      </w:r>
    </w:p>
    <w:p w:rsidR="00F51B81" w:rsidRPr="00B0646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B06469">
        <w:rPr>
          <w:rFonts w:ascii="Times New Roman" w:eastAsia="Times New Roman" w:hAnsi="Times New Roman" w:cs="Times New Roman"/>
          <w:b/>
          <w:color w:val="000000"/>
          <w:sz w:val="24"/>
          <w:szCs w:val="24"/>
          <w:shd w:val="clear" w:color="auto" w:fill="FFFFFF"/>
          <w:lang w:eastAsia="ru-RU"/>
        </w:rPr>
        <w:t xml:space="preserve">всех предприятий и организаций </w:t>
      </w:r>
      <w:proofErr w:type="spellStart"/>
      <w:r w:rsidRPr="00B06469">
        <w:rPr>
          <w:rFonts w:ascii="Times New Roman" w:eastAsia="Times New Roman" w:hAnsi="Times New Roman" w:cs="Times New Roman"/>
          <w:b/>
          <w:color w:val="000000"/>
          <w:sz w:val="24"/>
          <w:szCs w:val="24"/>
          <w:shd w:val="clear" w:color="auto" w:fill="FFFFFF"/>
          <w:lang w:eastAsia="ru-RU"/>
        </w:rPr>
        <w:t>м.р</w:t>
      </w:r>
      <w:proofErr w:type="spellEnd"/>
      <w:r w:rsidRPr="00B06469">
        <w:rPr>
          <w:rFonts w:ascii="Times New Roman" w:eastAsia="Times New Roman" w:hAnsi="Times New Roman" w:cs="Times New Roman"/>
          <w:b/>
          <w:color w:val="000000"/>
          <w:sz w:val="24"/>
          <w:szCs w:val="24"/>
          <w:shd w:val="clear" w:color="auto" w:fill="FFFFFF"/>
          <w:lang w:eastAsia="ru-RU"/>
        </w:rPr>
        <w:t xml:space="preserve">. </w:t>
      </w:r>
      <w:proofErr w:type="spellStart"/>
      <w:r w:rsidRPr="00B06469">
        <w:rPr>
          <w:rFonts w:ascii="Times New Roman" w:eastAsia="Times New Roman" w:hAnsi="Times New Roman" w:cs="Times New Roman"/>
          <w:b/>
          <w:color w:val="000000"/>
          <w:sz w:val="24"/>
          <w:szCs w:val="24"/>
          <w:shd w:val="clear" w:color="auto" w:fill="FFFFFF"/>
          <w:lang w:eastAsia="ru-RU"/>
        </w:rPr>
        <w:t>Камышлинский</w:t>
      </w:r>
      <w:proofErr w:type="spellEnd"/>
    </w:p>
    <w:p w:rsidR="00F51B81" w:rsidRPr="00B06469" w:rsidRDefault="00F51B81" w:rsidP="001F0139">
      <w:pPr>
        <w:shd w:val="clear" w:color="auto" w:fill="FFFFFF"/>
        <w:spacing w:after="0" w:line="360" w:lineRule="auto"/>
        <w:ind w:firstLine="709"/>
        <w:jc w:val="both"/>
        <w:rPr>
          <w:rFonts w:ascii="Times New Roman" w:eastAsia="Times New Roman" w:hAnsi="Times New Roman" w:cs="Times New Roman"/>
          <w:bCs/>
          <w:sz w:val="24"/>
          <w:szCs w:val="24"/>
          <w:shd w:val="clear" w:color="auto" w:fill="FFFFFF"/>
          <w:lang w:eastAsia="ru-RU"/>
        </w:rPr>
      </w:pPr>
      <w:r w:rsidRPr="00B06469">
        <w:rPr>
          <w:rFonts w:ascii="Times New Roman" w:eastAsia="Times New Roman" w:hAnsi="Times New Roman" w:cs="Times New Roman"/>
          <w:bCs/>
          <w:sz w:val="24"/>
          <w:szCs w:val="24"/>
          <w:shd w:val="clear" w:color="auto" w:fill="FFFFFF"/>
          <w:lang w:eastAsia="ru-RU"/>
        </w:rPr>
        <w:t>По итогам 2012-2016 гг. по основным показателям развития субъектов МСП наблюдается тенденция снижения (табл. 1.5.5).</w:t>
      </w:r>
    </w:p>
    <w:p w:rsidR="00F51B81" w:rsidRPr="00B06469" w:rsidRDefault="00F51B81" w:rsidP="001F0139">
      <w:pPr>
        <w:shd w:val="clear" w:color="auto" w:fill="FFFFFF"/>
        <w:spacing w:after="0" w:line="240" w:lineRule="auto"/>
        <w:ind w:firstLine="709"/>
        <w:rPr>
          <w:rFonts w:ascii="Times New Roman" w:eastAsia="Times New Roman" w:hAnsi="Times New Roman" w:cs="Times New Roman"/>
          <w:b/>
          <w:sz w:val="24"/>
          <w:szCs w:val="24"/>
          <w:lang w:eastAsia="ru-RU"/>
        </w:rPr>
      </w:pPr>
    </w:p>
    <w:p w:rsidR="00F51B81" w:rsidRPr="00B06469" w:rsidRDefault="00F51B81" w:rsidP="001F0139">
      <w:pPr>
        <w:shd w:val="clear" w:color="auto" w:fill="FFFFFF"/>
        <w:spacing w:after="0" w:line="240" w:lineRule="auto"/>
        <w:rPr>
          <w:rFonts w:ascii="Times New Roman" w:eastAsia="Times New Roman" w:hAnsi="Times New Roman" w:cs="Times New Roman"/>
          <w:b/>
          <w:sz w:val="24"/>
          <w:szCs w:val="24"/>
          <w:lang w:eastAsia="ru-RU"/>
        </w:rPr>
      </w:pPr>
      <w:r w:rsidRPr="00B06469">
        <w:rPr>
          <w:rFonts w:ascii="Times New Roman" w:eastAsia="Times New Roman" w:hAnsi="Times New Roman" w:cs="Times New Roman"/>
          <w:b/>
          <w:sz w:val="24"/>
          <w:szCs w:val="24"/>
          <w:lang w:eastAsia="ru-RU"/>
        </w:rPr>
        <w:t xml:space="preserve">Таблица </w:t>
      </w:r>
      <w:r w:rsidRPr="00B06469">
        <w:rPr>
          <w:rFonts w:ascii="Times New Roman" w:eastAsia="Times New Roman" w:hAnsi="Times New Roman" w:cs="Times New Roman"/>
          <w:b/>
          <w:color w:val="000000"/>
          <w:sz w:val="24"/>
          <w:szCs w:val="24"/>
          <w:shd w:val="clear" w:color="auto" w:fill="FFFFFF"/>
          <w:lang w:eastAsia="ru-RU"/>
        </w:rPr>
        <w:t>1.5.5</w:t>
      </w:r>
      <w:r w:rsidRPr="00B06469">
        <w:rPr>
          <w:rFonts w:ascii="Times New Roman" w:eastAsia="Times New Roman" w:hAnsi="Times New Roman" w:cs="Times New Roman"/>
          <w:b/>
          <w:sz w:val="24"/>
          <w:szCs w:val="24"/>
          <w:lang w:eastAsia="ru-RU"/>
        </w:rPr>
        <w:t xml:space="preserve">- Основные показатели развития субъектов малого и </w:t>
      </w:r>
    </w:p>
    <w:p w:rsidR="00F51B81" w:rsidRPr="00B06469" w:rsidRDefault="00F51B81" w:rsidP="001F0139">
      <w:pPr>
        <w:shd w:val="clear" w:color="auto" w:fill="FFFFFF"/>
        <w:spacing w:after="0" w:line="240" w:lineRule="auto"/>
        <w:rPr>
          <w:rFonts w:ascii="Times New Roman" w:eastAsia="Times New Roman" w:hAnsi="Times New Roman" w:cs="Times New Roman"/>
          <w:b/>
          <w:bCs/>
          <w:sz w:val="24"/>
          <w:szCs w:val="24"/>
          <w:shd w:val="clear" w:color="auto" w:fill="FFFFFF"/>
          <w:lang w:eastAsia="ru-RU"/>
        </w:rPr>
      </w:pPr>
      <w:r w:rsidRPr="00B06469">
        <w:rPr>
          <w:rFonts w:ascii="Times New Roman" w:eastAsia="Times New Roman" w:hAnsi="Times New Roman" w:cs="Times New Roman"/>
          <w:b/>
          <w:sz w:val="24"/>
          <w:szCs w:val="24"/>
          <w:lang w:eastAsia="ru-RU"/>
        </w:rPr>
        <w:t>среднего предпринимательства</w:t>
      </w:r>
    </w:p>
    <w:tbl>
      <w:tblPr>
        <w:tblW w:w="9527" w:type="dxa"/>
        <w:tblInd w:w="103" w:type="dxa"/>
        <w:tblLook w:val="04A0" w:firstRow="1" w:lastRow="0" w:firstColumn="1" w:lastColumn="0" w:noHBand="0" w:noVBand="1"/>
      </w:tblPr>
      <w:tblGrid>
        <w:gridCol w:w="5817"/>
        <w:gridCol w:w="734"/>
        <w:gridCol w:w="708"/>
        <w:gridCol w:w="709"/>
        <w:gridCol w:w="741"/>
        <w:gridCol w:w="818"/>
      </w:tblGrid>
      <w:tr w:rsidR="00F51B81" w:rsidRPr="00B06469" w:rsidTr="002760F1">
        <w:trPr>
          <w:trHeight w:val="414"/>
          <w:tblHeader/>
        </w:trPr>
        <w:tc>
          <w:tcPr>
            <w:tcW w:w="5817" w:type="dxa"/>
            <w:vMerge w:val="restart"/>
            <w:tcBorders>
              <w:top w:val="single" w:sz="4" w:space="0" w:color="auto"/>
              <w:left w:val="single" w:sz="4" w:space="0" w:color="auto"/>
              <w:bottom w:val="single" w:sz="4" w:space="0" w:color="auto"/>
              <w:right w:val="single" w:sz="4" w:space="0" w:color="auto"/>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Наименование показателей</w:t>
            </w:r>
          </w:p>
        </w:tc>
        <w:tc>
          <w:tcPr>
            <w:tcW w:w="3710" w:type="dxa"/>
            <w:gridSpan w:val="5"/>
            <w:vMerge w:val="restart"/>
            <w:tcBorders>
              <w:top w:val="single" w:sz="4" w:space="0" w:color="auto"/>
              <w:left w:val="single" w:sz="4" w:space="0" w:color="auto"/>
              <w:bottom w:val="single" w:sz="4" w:space="0" w:color="000000"/>
              <w:right w:val="single" w:sz="4" w:space="0" w:color="000000"/>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Годы</w:t>
            </w:r>
          </w:p>
        </w:tc>
      </w:tr>
      <w:tr w:rsidR="00F51B81" w:rsidRPr="00B06469" w:rsidTr="002760F1">
        <w:trPr>
          <w:trHeight w:val="299"/>
          <w:tblHeader/>
        </w:trPr>
        <w:tc>
          <w:tcPr>
            <w:tcW w:w="5817" w:type="dxa"/>
            <w:vMerge/>
            <w:tcBorders>
              <w:top w:val="single" w:sz="4" w:space="0" w:color="auto"/>
              <w:left w:val="single" w:sz="4" w:space="0" w:color="auto"/>
              <w:bottom w:val="single" w:sz="4" w:space="0" w:color="auto"/>
              <w:right w:val="single" w:sz="4" w:space="0" w:color="auto"/>
            </w:tcBorders>
            <w:vAlign w:val="center"/>
            <w:hideMark/>
          </w:tcPr>
          <w:p w:rsidR="00F51B81" w:rsidRPr="00B06469" w:rsidRDefault="00F51B81" w:rsidP="001F0139">
            <w:pPr>
              <w:spacing w:after="0" w:line="240" w:lineRule="auto"/>
              <w:rPr>
                <w:rFonts w:ascii="Times New Roman" w:eastAsia="Times New Roman" w:hAnsi="Times New Roman" w:cs="Times New Roman"/>
                <w:b/>
                <w:bCs/>
                <w:color w:val="FFFFFF"/>
                <w:sz w:val="24"/>
                <w:szCs w:val="24"/>
                <w:lang w:eastAsia="ru-RU"/>
              </w:rPr>
            </w:pPr>
          </w:p>
        </w:tc>
        <w:tc>
          <w:tcPr>
            <w:tcW w:w="3710" w:type="dxa"/>
            <w:gridSpan w:val="5"/>
            <w:vMerge/>
            <w:tcBorders>
              <w:top w:val="single" w:sz="4" w:space="0" w:color="auto"/>
              <w:left w:val="single" w:sz="4" w:space="0" w:color="auto"/>
              <w:bottom w:val="single" w:sz="4" w:space="0" w:color="000000"/>
              <w:right w:val="single" w:sz="4" w:space="0" w:color="000000"/>
            </w:tcBorders>
            <w:vAlign w:val="center"/>
            <w:hideMark/>
          </w:tcPr>
          <w:p w:rsidR="00F51B81" w:rsidRPr="00B06469" w:rsidRDefault="00F51B81" w:rsidP="001F0139">
            <w:pPr>
              <w:spacing w:after="0" w:line="240" w:lineRule="auto"/>
              <w:rPr>
                <w:rFonts w:ascii="Times New Roman" w:eastAsia="Times New Roman" w:hAnsi="Times New Roman" w:cs="Times New Roman"/>
                <w:b/>
                <w:bCs/>
                <w:color w:val="FFFFFF"/>
                <w:sz w:val="24"/>
                <w:szCs w:val="24"/>
                <w:lang w:eastAsia="ru-RU"/>
              </w:rPr>
            </w:pPr>
          </w:p>
        </w:tc>
      </w:tr>
      <w:tr w:rsidR="00F51B81" w:rsidRPr="00B06469" w:rsidTr="002760F1">
        <w:trPr>
          <w:trHeight w:val="480"/>
          <w:tblHeader/>
        </w:trPr>
        <w:tc>
          <w:tcPr>
            <w:tcW w:w="5817" w:type="dxa"/>
            <w:vMerge/>
            <w:tcBorders>
              <w:top w:val="single" w:sz="4" w:space="0" w:color="auto"/>
              <w:left w:val="single" w:sz="4" w:space="0" w:color="auto"/>
              <w:bottom w:val="single" w:sz="4" w:space="0" w:color="auto"/>
              <w:right w:val="single" w:sz="4" w:space="0" w:color="auto"/>
            </w:tcBorders>
            <w:vAlign w:val="center"/>
            <w:hideMark/>
          </w:tcPr>
          <w:p w:rsidR="00F51B81" w:rsidRPr="00B06469" w:rsidRDefault="00F51B81" w:rsidP="001F0139">
            <w:pPr>
              <w:spacing w:after="0" w:line="240" w:lineRule="auto"/>
              <w:rPr>
                <w:rFonts w:ascii="Times New Roman" w:eastAsia="Times New Roman" w:hAnsi="Times New Roman" w:cs="Times New Roman"/>
                <w:b/>
                <w:bCs/>
                <w:color w:val="FFFFFF"/>
                <w:sz w:val="24"/>
                <w:szCs w:val="24"/>
                <w:lang w:eastAsia="ru-RU"/>
              </w:rPr>
            </w:pPr>
          </w:p>
        </w:tc>
        <w:tc>
          <w:tcPr>
            <w:tcW w:w="734" w:type="dxa"/>
            <w:tcBorders>
              <w:top w:val="nil"/>
              <w:left w:val="nil"/>
              <w:bottom w:val="single" w:sz="4" w:space="0" w:color="auto"/>
              <w:right w:val="single" w:sz="4" w:space="0" w:color="auto"/>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2012</w:t>
            </w:r>
          </w:p>
        </w:tc>
        <w:tc>
          <w:tcPr>
            <w:tcW w:w="708" w:type="dxa"/>
            <w:tcBorders>
              <w:top w:val="nil"/>
              <w:left w:val="nil"/>
              <w:bottom w:val="single" w:sz="4" w:space="0" w:color="auto"/>
              <w:right w:val="single" w:sz="4" w:space="0" w:color="auto"/>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2013</w:t>
            </w:r>
          </w:p>
        </w:tc>
        <w:tc>
          <w:tcPr>
            <w:tcW w:w="709" w:type="dxa"/>
            <w:tcBorders>
              <w:top w:val="nil"/>
              <w:left w:val="nil"/>
              <w:bottom w:val="single" w:sz="4" w:space="0" w:color="auto"/>
              <w:right w:val="single" w:sz="4" w:space="0" w:color="auto"/>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2014</w:t>
            </w:r>
          </w:p>
        </w:tc>
        <w:tc>
          <w:tcPr>
            <w:tcW w:w="741" w:type="dxa"/>
            <w:tcBorders>
              <w:top w:val="nil"/>
              <w:left w:val="nil"/>
              <w:bottom w:val="single" w:sz="4" w:space="0" w:color="auto"/>
              <w:right w:val="single" w:sz="4" w:space="0" w:color="auto"/>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2015</w:t>
            </w:r>
          </w:p>
        </w:tc>
        <w:tc>
          <w:tcPr>
            <w:tcW w:w="818" w:type="dxa"/>
            <w:tcBorders>
              <w:top w:val="nil"/>
              <w:left w:val="nil"/>
              <w:bottom w:val="single" w:sz="4" w:space="0" w:color="auto"/>
              <w:right w:val="single" w:sz="4" w:space="0" w:color="auto"/>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2016</w:t>
            </w:r>
          </w:p>
        </w:tc>
      </w:tr>
      <w:tr w:rsidR="00F51B81" w:rsidRPr="00B06469" w:rsidTr="002760F1">
        <w:trPr>
          <w:trHeight w:val="330"/>
        </w:trPr>
        <w:tc>
          <w:tcPr>
            <w:tcW w:w="5817" w:type="dxa"/>
            <w:tcBorders>
              <w:top w:val="nil"/>
              <w:left w:val="single" w:sz="4" w:space="0" w:color="auto"/>
              <w:bottom w:val="single" w:sz="4" w:space="0" w:color="auto"/>
              <w:right w:val="single" w:sz="4" w:space="0" w:color="auto"/>
            </w:tcBorders>
            <w:hideMark/>
          </w:tcPr>
          <w:p w:rsidR="00F51B81" w:rsidRPr="00B06469" w:rsidRDefault="00F51B81" w:rsidP="001F0139">
            <w:pPr>
              <w:spacing w:after="0" w:line="240" w:lineRule="auto"/>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Количество малых предприятий</w:t>
            </w:r>
          </w:p>
        </w:tc>
        <w:tc>
          <w:tcPr>
            <w:tcW w:w="734"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w:t>
            </w:r>
          </w:p>
        </w:tc>
        <w:tc>
          <w:tcPr>
            <w:tcW w:w="70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w:t>
            </w:r>
          </w:p>
        </w:tc>
        <w:tc>
          <w:tcPr>
            <w:tcW w:w="709"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w:t>
            </w:r>
          </w:p>
        </w:tc>
        <w:tc>
          <w:tcPr>
            <w:tcW w:w="741"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w:t>
            </w:r>
          </w:p>
        </w:tc>
        <w:tc>
          <w:tcPr>
            <w:tcW w:w="81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w:t>
            </w:r>
          </w:p>
        </w:tc>
      </w:tr>
      <w:tr w:rsidR="00F51B81" w:rsidRPr="00B06469" w:rsidTr="002760F1">
        <w:trPr>
          <w:trHeight w:val="775"/>
        </w:trPr>
        <w:tc>
          <w:tcPr>
            <w:tcW w:w="5817" w:type="dxa"/>
            <w:tcBorders>
              <w:top w:val="nil"/>
              <w:left w:val="single" w:sz="4" w:space="0" w:color="auto"/>
              <w:bottom w:val="single" w:sz="4" w:space="0" w:color="auto"/>
              <w:right w:val="single" w:sz="4" w:space="0" w:color="auto"/>
            </w:tcBorders>
            <w:hideMark/>
          </w:tcPr>
          <w:p w:rsidR="00F51B81" w:rsidRPr="00B06469" w:rsidRDefault="00F51B81" w:rsidP="001F0139">
            <w:pPr>
              <w:spacing w:after="0" w:line="240" w:lineRule="auto"/>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Численность предпринимателей без образования юридического лица (индивидуальные предприниматели)</w:t>
            </w:r>
          </w:p>
        </w:tc>
        <w:tc>
          <w:tcPr>
            <w:tcW w:w="734"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255</w:t>
            </w:r>
          </w:p>
        </w:tc>
        <w:tc>
          <w:tcPr>
            <w:tcW w:w="70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216</w:t>
            </w:r>
          </w:p>
        </w:tc>
        <w:tc>
          <w:tcPr>
            <w:tcW w:w="709"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211</w:t>
            </w:r>
          </w:p>
        </w:tc>
        <w:tc>
          <w:tcPr>
            <w:tcW w:w="741"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210</w:t>
            </w:r>
          </w:p>
        </w:tc>
        <w:tc>
          <w:tcPr>
            <w:tcW w:w="81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196</w:t>
            </w:r>
          </w:p>
        </w:tc>
      </w:tr>
      <w:tr w:rsidR="00F51B81" w:rsidRPr="00B06469" w:rsidTr="002760F1">
        <w:trPr>
          <w:trHeight w:val="787"/>
        </w:trPr>
        <w:tc>
          <w:tcPr>
            <w:tcW w:w="5817" w:type="dxa"/>
            <w:tcBorders>
              <w:top w:val="nil"/>
              <w:left w:val="single" w:sz="4" w:space="0" w:color="auto"/>
              <w:bottom w:val="single" w:sz="4" w:space="0" w:color="auto"/>
              <w:right w:val="single" w:sz="4" w:space="0" w:color="auto"/>
            </w:tcBorders>
            <w:hideMark/>
          </w:tcPr>
          <w:p w:rsidR="00F51B81" w:rsidRPr="00B06469" w:rsidRDefault="00F51B81" w:rsidP="001F0139">
            <w:pPr>
              <w:spacing w:after="0" w:line="240" w:lineRule="auto"/>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Плотность субъектов малого предпринимательства (малые предприятия и индивидуальные предприниматели), на 1000 жителей</w:t>
            </w:r>
          </w:p>
        </w:tc>
        <w:tc>
          <w:tcPr>
            <w:tcW w:w="734"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24,6</w:t>
            </w:r>
          </w:p>
        </w:tc>
        <w:tc>
          <w:tcPr>
            <w:tcW w:w="70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21,2</w:t>
            </w:r>
          </w:p>
        </w:tc>
        <w:tc>
          <w:tcPr>
            <w:tcW w:w="709"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20,8</w:t>
            </w:r>
          </w:p>
        </w:tc>
        <w:tc>
          <w:tcPr>
            <w:tcW w:w="741"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20,9</w:t>
            </w:r>
          </w:p>
        </w:tc>
        <w:tc>
          <w:tcPr>
            <w:tcW w:w="81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19,8</w:t>
            </w:r>
          </w:p>
        </w:tc>
      </w:tr>
      <w:tr w:rsidR="00F51B81" w:rsidRPr="00B06469" w:rsidTr="002760F1">
        <w:trPr>
          <w:trHeight w:val="549"/>
        </w:trPr>
        <w:tc>
          <w:tcPr>
            <w:tcW w:w="5817" w:type="dxa"/>
            <w:tcBorders>
              <w:top w:val="nil"/>
              <w:left w:val="single" w:sz="4" w:space="0" w:color="auto"/>
              <w:bottom w:val="single" w:sz="4" w:space="0" w:color="auto"/>
              <w:right w:val="single" w:sz="4" w:space="0" w:color="auto"/>
            </w:tcBorders>
            <w:hideMark/>
          </w:tcPr>
          <w:p w:rsidR="00F51B81" w:rsidRPr="00B06469" w:rsidRDefault="00F51B81" w:rsidP="001F0139">
            <w:pPr>
              <w:spacing w:after="0" w:line="240" w:lineRule="auto"/>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Среднесписочная численность занятых на малых предприятиях</w:t>
            </w:r>
          </w:p>
        </w:tc>
        <w:tc>
          <w:tcPr>
            <w:tcW w:w="734"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184</w:t>
            </w:r>
          </w:p>
        </w:tc>
        <w:tc>
          <w:tcPr>
            <w:tcW w:w="70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180</w:t>
            </w:r>
          </w:p>
        </w:tc>
        <w:tc>
          <w:tcPr>
            <w:tcW w:w="709"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174</w:t>
            </w:r>
          </w:p>
        </w:tc>
        <w:tc>
          <w:tcPr>
            <w:tcW w:w="741"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157</w:t>
            </w:r>
          </w:p>
        </w:tc>
        <w:tc>
          <w:tcPr>
            <w:tcW w:w="81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159</w:t>
            </w:r>
          </w:p>
        </w:tc>
      </w:tr>
      <w:tr w:rsidR="00F51B81" w:rsidRPr="00B06469" w:rsidTr="002760F1">
        <w:trPr>
          <w:trHeight w:val="510"/>
        </w:trPr>
        <w:tc>
          <w:tcPr>
            <w:tcW w:w="5817" w:type="dxa"/>
            <w:tcBorders>
              <w:top w:val="nil"/>
              <w:left w:val="single" w:sz="4" w:space="0" w:color="auto"/>
              <w:bottom w:val="single" w:sz="4" w:space="0" w:color="auto"/>
              <w:right w:val="single" w:sz="4" w:space="0" w:color="auto"/>
            </w:tcBorders>
            <w:hideMark/>
          </w:tcPr>
          <w:p w:rsidR="00F51B81" w:rsidRPr="00B06469" w:rsidRDefault="00F51B81" w:rsidP="001F0139">
            <w:pPr>
              <w:spacing w:after="0" w:line="240" w:lineRule="auto"/>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Расходы местного бюджета на программу поддержки и развития малого предпринимательства, тыс. руб.</w:t>
            </w:r>
          </w:p>
        </w:tc>
        <w:tc>
          <w:tcPr>
            <w:tcW w:w="734"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1000</w:t>
            </w:r>
          </w:p>
        </w:tc>
        <w:tc>
          <w:tcPr>
            <w:tcW w:w="70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2333</w:t>
            </w:r>
          </w:p>
        </w:tc>
        <w:tc>
          <w:tcPr>
            <w:tcW w:w="709"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0</w:t>
            </w:r>
          </w:p>
        </w:tc>
        <w:tc>
          <w:tcPr>
            <w:tcW w:w="741"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0</w:t>
            </w:r>
          </w:p>
        </w:tc>
        <w:tc>
          <w:tcPr>
            <w:tcW w:w="81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0</w:t>
            </w:r>
          </w:p>
        </w:tc>
      </w:tr>
      <w:tr w:rsidR="00F51B81" w:rsidRPr="00B06469" w:rsidTr="002760F1">
        <w:trPr>
          <w:trHeight w:val="1099"/>
        </w:trPr>
        <w:tc>
          <w:tcPr>
            <w:tcW w:w="5817" w:type="dxa"/>
            <w:tcBorders>
              <w:top w:val="nil"/>
              <w:left w:val="single" w:sz="4" w:space="0" w:color="auto"/>
              <w:bottom w:val="single" w:sz="4" w:space="0" w:color="auto"/>
              <w:right w:val="single" w:sz="4" w:space="0" w:color="auto"/>
            </w:tcBorders>
            <w:hideMark/>
          </w:tcPr>
          <w:p w:rsidR="00F51B81" w:rsidRPr="00B06469" w:rsidRDefault="00F51B81" w:rsidP="001F0139">
            <w:pPr>
              <w:spacing w:after="0" w:line="240" w:lineRule="auto"/>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Поступление единого налога от применения специальных режимов налогообложения (упрощенная система налогообложения, единый налог на вмененный доход), тыс. руб.</w:t>
            </w:r>
          </w:p>
        </w:tc>
        <w:tc>
          <w:tcPr>
            <w:tcW w:w="734"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2628</w:t>
            </w:r>
          </w:p>
        </w:tc>
        <w:tc>
          <w:tcPr>
            <w:tcW w:w="70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2006</w:t>
            </w:r>
          </w:p>
        </w:tc>
        <w:tc>
          <w:tcPr>
            <w:tcW w:w="709"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2112</w:t>
            </w:r>
          </w:p>
        </w:tc>
        <w:tc>
          <w:tcPr>
            <w:tcW w:w="741"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2320</w:t>
            </w:r>
          </w:p>
        </w:tc>
        <w:tc>
          <w:tcPr>
            <w:tcW w:w="81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2168</w:t>
            </w:r>
          </w:p>
        </w:tc>
      </w:tr>
    </w:tbl>
    <w:p w:rsidR="00F51B81" w:rsidRPr="00B06469" w:rsidRDefault="00F51B81" w:rsidP="001F0139">
      <w:pPr>
        <w:shd w:val="clear" w:color="auto" w:fill="FFFFFF"/>
        <w:spacing w:after="0" w:line="360" w:lineRule="auto"/>
        <w:ind w:firstLine="709"/>
        <w:jc w:val="both"/>
        <w:rPr>
          <w:rFonts w:ascii="Times New Roman" w:eastAsia="Times New Roman" w:hAnsi="Times New Roman" w:cs="Times New Roman"/>
          <w:bCs/>
          <w:sz w:val="24"/>
          <w:szCs w:val="24"/>
          <w:shd w:val="clear" w:color="auto" w:fill="FFFFFF"/>
          <w:lang w:eastAsia="ru-RU"/>
        </w:rPr>
      </w:pPr>
    </w:p>
    <w:p w:rsidR="00F51B81" w:rsidRPr="00B06469" w:rsidRDefault="00F51B81" w:rsidP="001F0139">
      <w:pPr>
        <w:shd w:val="clear" w:color="auto" w:fill="FFFFFF"/>
        <w:spacing w:after="0" w:line="360" w:lineRule="auto"/>
        <w:ind w:firstLine="709"/>
        <w:jc w:val="both"/>
        <w:rPr>
          <w:rFonts w:ascii="Times New Roman" w:eastAsia="Times New Roman" w:hAnsi="Times New Roman" w:cs="Times New Roman"/>
          <w:bCs/>
          <w:sz w:val="24"/>
          <w:szCs w:val="24"/>
          <w:shd w:val="clear" w:color="auto" w:fill="FFFFFF"/>
          <w:lang w:eastAsia="ru-RU"/>
        </w:rPr>
      </w:pPr>
      <w:r w:rsidRPr="00B06469">
        <w:rPr>
          <w:rFonts w:ascii="Times New Roman" w:eastAsia="Times New Roman" w:hAnsi="Times New Roman" w:cs="Times New Roman"/>
          <w:bCs/>
          <w:sz w:val="24"/>
          <w:szCs w:val="24"/>
          <w:shd w:val="clear" w:color="auto" w:fill="FFFFFF"/>
          <w:lang w:eastAsia="ru-RU"/>
        </w:rPr>
        <w:t xml:space="preserve">В целях создания благоприятных условий для развития и устойчивой деятельности субъектов малого предпринимательства администрацией района разработана и реализуется программа «Развитие малого и среднего предпринимательства в </w:t>
      </w:r>
      <w:proofErr w:type="spellStart"/>
      <w:r w:rsidRPr="00B06469">
        <w:rPr>
          <w:rFonts w:ascii="Times New Roman" w:eastAsia="Times New Roman" w:hAnsi="Times New Roman" w:cs="Times New Roman"/>
          <w:bCs/>
          <w:sz w:val="24"/>
          <w:szCs w:val="24"/>
          <w:shd w:val="clear" w:color="auto" w:fill="FFFFFF"/>
          <w:lang w:eastAsia="ru-RU"/>
        </w:rPr>
        <w:t>Камышлинском</w:t>
      </w:r>
      <w:proofErr w:type="spellEnd"/>
      <w:r w:rsidRPr="00B06469">
        <w:rPr>
          <w:rFonts w:ascii="Times New Roman" w:eastAsia="Times New Roman" w:hAnsi="Times New Roman" w:cs="Times New Roman"/>
          <w:bCs/>
          <w:sz w:val="24"/>
          <w:szCs w:val="24"/>
          <w:shd w:val="clear" w:color="auto" w:fill="FFFFFF"/>
          <w:lang w:eastAsia="ru-RU"/>
        </w:rPr>
        <w:t xml:space="preserve"> районе на 2015 – 2017 годы». В 2013-2016 гг. на реализацию вышеуказанной программы денежные средства не выделялись. </w:t>
      </w:r>
      <w:proofErr w:type="gramStart"/>
      <w:r w:rsidRPr="00B06469">
        <w:rPr>
          <w:rFonts w:ascii="Times New Roman" w:eastAsia="Times New Roman" w:hAnsi="Times New Roman" w:cs="Times New Roman"/>
          <w:bCs/>
          <w:sz w:val="24"/>
          <w:szCs w:val="24"/>
          <w:shd w:val="clear" w:color="auto" w:fill="FFFFFF"/>
          <w:lang w:eastAsia="ru-RU"/>
        </w:rPr>
        <w:t xml:space="preserve">Результатом могло стать сокращение </w:t>
      </w:r>
      <w:r w:rsidRPr="00B06469">
        <w:rPr>
          <w:rFonts w:ascii="Times New Roman" w:eastAsia="Times New Roman" w:hAnsi="Times New Roman" w:cs="Times New Roman"/>
          <w:sz w:val="24"/>
          <w:szCs w:val="24"/>
          <w:lang w:eastAsia="ru-RU"/>
        </w:rPr>
        <w:t xml:space="preserve">среднесписочной численности занятых на малых предприятиях, численности индивидуальных предпринимателей, </w:t>
      </w:r>
      <w:r w:rsidRPr="00B06469">
        <w:rPr>
          <w:rFonts w:ascii="Times New Roman" w:eastAsia="Times New Roman" w:hAnsi="Times New Roman" w:cs="Times New Roman"/>
          <w:bCs/>
          <w:sz w:val="24"/>
          <w:szCs w:val="24"/>
          <w:shd w:val="clear" w:color="auto" w:fill="FFFFFF"/>
          <w:lang w:eastAsia="ru-RU"/>
        </w:rPr>
        <w:t xml:space="preserve">сокращение объема поступлений налогов от применения специальных режимов налогообложения в муниципальный бюджет, и др. Тем не менее, </w:t>
      </w:r>
      <w:proofErr w:type="spellStart"/>
      <w:r w:rsidRPr="00B06469">
        <w:rPr>
          <w:rFonts w:ascii="Times New Roman" w:eastAsia="Times New Roman" w:hAnsi="Times New Roman" w:cs="Times New Roman"/>
          <w:bCs/>
          <w:sz w:val="24"/>
          <w:szCs w:val="24"/>
          <w:shd w:val="clear" w:color="auto" w:fill="FFFFFF"/>
          <w:lang w:eastAsia="ru-RU"/>
        </w:rPr>
        <w:t>микрозаймами</w:t>
      </w:r>
      <w:proofErr w:type="spellEnd"/>
      <w:r w:rsidRPr="00B06469">
        <w:rPr>
          <w:rFonts w:ascii="Times New Roman" w:eastAsia="Times New Roman" w:hAnsi="Times New Roman" w:cs="Times New Roman"/>
          <w:bCs/>
          <w:sz w:val="24"/>
          <w:szCs w:val="24"/>
          <w:shd w:val="clear" w:color="auto" w:fill="FFFFFF"/>
          <w:lang w:eastAsia="ru-RU"/>
        </w:rPr>
        <w:t xml:space="preserve"> районного фонда микрофинансирования субъектов малого и среднего предпринимательства в 2011-2016 гг. воспользовались 83 предпринимателя на общую сумму более 23 млн. рублей.</w:t>
      </w:r>
      <w:proofErr w:type="gramEnd"/>
    </w:p>
    <w:p w:rsidR="00F51B81" w:rsidRPr="00B06469" w:rsidRDefault="00F51B81" w:rsidP="001F0139">
      <w:pPr>
        <w:shd w:val="clear" w:color="auto" w:fill="FFFFFF"/>
        <w:spacing w:after="0" w:line="360" w:lineRule="auto"/>
        <w:ind w:firstLine="709"/>
        <w:jc w:val="both"/>
        <w:rPr>
          <w:rFonts w:ascii="Times New Roman" w:eastAsia="Times New Roman" w:hAnsi="Times New Roman" w:cs="Times New Roman"/>
          <w:bCs/>
          <w:sz w:val="24"/>
          <w:szCs w:val="24"/>
          <w:shd w:val="clear" w:color="auto" w:fill="FFFFFF"/>
          <w:lang w:eastAsia="ru-RU"/>
        </w:rPr>
      </w:pPr>
      <w:r w:rsidRPr="00B06469">
        <w:rPr>
          <w:rFonts w:ascii="Times New Roman" w:eastAsia="Times New Roman" w:hAnsi="Times New Roman" w:cs="Times New Roman"/>
          <w:bCs/>
          <w:sz w:val="24"/>
          <w:szCs w:val="24"/>
          <w:shd w:val="clear" w:color="auto" w:fill="FFFFFF"/>
          <w:lang w:eastAsia="ru-RU"/>
        </w:rPr>
        <w:t xml:space="preserve">По программе </w:t>
      </w:r>
      <w:proofErr w:type="spellStart"/>
      <w:r w:rsidRPr="00B06469">
        <w:rPr>
          <w:rFonts w:ascii="Times New Roman" w:eastAsia="Times New Roman" w:hAnsi="Times New Roman" w:cs="Times New Roman"/>
          <w:bCs/>
          <w:sz w:val="24"/>
          <w:szCs w:val="24"/>
          <w:shd w:val="clear" w:color="auto" w:fill="FFFFFF"/>
          <w:lang w:eastAsia="ru-RU"/>
        </w:rPr>
        <w:t>самозанятости</w:t>
      </w:r>
      <w:proofErr w:type="spellEnd"/>
      <w:r w:rsidRPr="00B06469">
        <w:rPr>
          <w:rFonts w:ascii="Times New Roman" w:eastAsia="Times New Roman" w:hAnsi="Times New Roman" w:cs="Times New Roman"/>
          <w:bCs/>
          <w:sz w:val="24"/>
          <w:szCs w:val="24"/>
          <w:shd w:val="clear" w:color="auto" w:fill="FFFFFF"/>
          <w:lang w:eastAsia="ru-RU"/>
        </w:rPr>
        <w:t xml:space="preserve"> населения было оказано содействие в организации собственного дела в период с 2012 по сегодняшний день 22 индивидуальным предпринимателям на сумму более 1 млн. 293 тыс. руб. Дополнительно 11 жителям района оказано содействие в оформлении документов при открытии собственного дела. </w:t>
      </w:r>
    </w:p>
    <w:p w:rsidR="00F51B81" w:rsidRPr="00B06469" w:rsidRDefault="00F51B81" w:rsidP="001F0139">
      <w:pPr>
        <w:shd w:val="clear" w:color="auto" w:fill="FFFFFF"/>
        <w:spacing w:after="0" w:line="360" w:lineRule="auto"/>
        <w:ind w:firstLine="709"/>
        <w:jc w:val="both"/>
        <w:rPr>
          <w:rFonts w:ascii="Times New Roman" w:eastAsia="Times New Roman" w:hAnsi="Times New Roman" w:cs="Times New Roman"/>
          <w:b/>
          <w:sz w:val="24"/>
          <w:szCs w:val="24"/>
          <w:lang w:eastAsia="ru-RU"/>
        </w:rPr>
      </w:pPr>
    </w:p>
    <w:p w:rsidR="00F51B81" w:rsidRPr="00B06469" w:rsidRDefault="00F51B81" w:rsidP="001F0139">
      <w:pPr>
        <w:spacing w:after="0" w:line="360" w:lineRule="auto"/>
        <w:contextualSpacing/>
        <w:outlineLvl w:val="2"/>
        <w:rPr>
          <w:rFonts w:ascii="Times New Roman" w:hAnsi="Times New Roman" w:cs="Times New Roman"/>
          <w:b/>
          <w:color w:val="365F91"/>
          <w:sz w:val="24"/>
          <w:szCs w:val="24"/>
        </w:rPr>
      </w:pPr>
      <w:bookmarkStart w:id="33" w:name="_Toc520894841"/>
      <w:r w:rsidRPr="00B06469">
        <w:rPr>
          <w:rFonts w:ascii="Times New Roman" w:hAnsi="Times New Roman" w:cs="Times New Roman"/>
          <w:b/>
          <w:color w:val="365F91"/>
          <w:sz w:val="24"/>
          <w:szCs w:val="24"/>
        </w:rPr>
        <w:t>1.5.4 Потребительский рынок и сфера услуг</w:t>
      </w:r>
      <w:bookmarkEnd w:id="33"/>
    </w:p>
    <w:p w:rsidR="00F51B81" w:rsidRPr="00B06469" w:rsidRDefault="00F51B81" w:rsidP="001F0139">
      <w:pPr>
        <w:spacing w:after="0" w:line="360" w:lineRule="auto"/>
        <w:ind w:firstLine="709"/>
        <w:jc w:val="both"/>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b/>
          <w:sz w:val="24"/>
          <w:szCs w:val="24"/>
        </w:rPr>
      </w:pPr>
      <w:r w:rsidRPr="00B06469">
        <w:rPr>
          <w:rFonts w:ascii="Times New Roman" w:hAnsi="Times New Roman" w:cs="Times New Roman"/>
          <w:sz w:val="24"/>
          <w:szCs w:val="24"/>
        </w:rPr>
        <w:t xml:space="preserve">Сфера услуг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представлена услугами: кредитно-финансовых организаций, розничной торговли, жилищно-коммунального хозяйства, общественного питания, бытового обслуживания, транспортного обслуживания. К концу 2016 г. в районе услуги розничной торговли оказывали 109 предприятий, организаций и индивидуальных предпринимателей. Структура сектора розничной торговли представлена на рис. 1.5.11. </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noProof/>
          <w:sz w:val="24"/>
          <w:szCs w:val="24"/>
          <w:lang w:eastAsia="ru-RU"/>
        </w:rPr>
        <w:lastRenderedPageBreak/>
        <w:drawing>
          <wp:inline distT="0" distB="0" distL="0" distR="0" wp14:anchorId="7156B7A7" wp14:editId="26D069BF">
            <wp:extent cx="5863590" cy="3090672"/>
            <wp:effectExtent l="0" t="0" r="0" b="0"/>
            <wp:docPr id="36"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51B81" w:rsidRPr="00B0646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B06469">
        <w:rPr>
          <w:rFonts w:ascii="Times New Roman" w:eastAsia="Times New Roman" w:hAnsi="Times New Roman" w:cs="Times New Roman"/>
          <w:b/>
          <w:color w:val="000000"/>
          <w:sz w:val="24"/>
          <w:szCs w:val="24"/>
          <w:shd w:val="clear" w:color="auto" w:fill="FFFFFF"/>
          <w:lang w:eastAsia="ru-RU"/>
        </w:rPr>
        <w:t xml:space="preserve">Рисунок 1.5.11 – Количество объектов розничной торговли и общественного питания в </w:t>
      </w:r>
      <w:proofErr w:type="spellStart"/>
      <w:r w:rsidRPr="00B06469">
        <w:rPr>
          <w:rFonts w:ascii="Times New Roman" w:eastAsia="Times New Roman" w:hAnsi="Times New Roman" w:cs="Times New Roman"/>
          <w:b/>
          <w:color w:val="000000"/>
          <w:sz w:val="24"/>
          <w:szCs w:val="24"/>
          <w:shd w:val="clear" w:color="auto" w:fill="FFFFFF"/>
          <w:lang w:eastAsia="ru-RU"/>
        </w:rPr>
        <w:t>Камышлинском</w:t>
      </w:r>
      <w:proofErr w:type="spellEnd"/>
      <w:r w:rsidRPr="00B06469">
        <w:rPr>
          <w:rFonts w:ascii="Times New Roman" w:eastAsia="Times New Roman" w:hAnsi="Times New Roman" w:cs="Times New Roman"/>
          <w:b/>
          <w:color w:val="000000"/>
          <w:sz w:val="24"/>
          <w:szCs w:val="24"/>
          <w:shd w:val="clear" w:color="auto" w:fill="FFFFFF"/>
          <w:lang w:eastAsia="ru-RU"/>
        </w:rPr>
        <w:t xml:space="preserve"> районе, ед.</w:t>
      </w:r>
    </w:p>
    <w:p w:rsidR="00F51B81" w:rsidRPr="00B0646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F51B81" w:rsidRPr="00B06469" w:rsidRDefault="00F51B81" w:rsidP="001F0139">
      <w:pPr>
        <w:spacing w:after="0" w:line="360" w:lineRule="auto"/>
        <w:ind w:firstLine="709"/>
        <w:jc w:val="both"/>
        <w:rPr>
          <w:rFonts w:ascii="Times New Roman" w:hAnsi="Times New Roman" w:cs="Times New Roman"/>
          <w:sz w:val="24"/>
          <w:szCs w:val="24"/>
        </w:rPr>
      </w:pPr>
      <w:proofErr w:type="gramStart"/>
      <w:r w:rsidRPr="00B06469">
        <w:rPr>
          <w:rFonts w:ascii="Times New Roman" w:hAnsi="Times New Roman" w:cs="Times New Roman"/>
          <w:sz w:val="24"/>
          <w:szCs w:val="24"/>
        </w:rPr>
        <w:t xml:space="preserve">В 2016 г. фактическая обеспеченность населения площадью стационарных торговых объектов (суммарная) составила 350,7 кв. метров на 1 тыс. чел. Фактическая обеспеченность населения площадью нестационарных торговых объектов (павильонов и киосков) по продаже продовольственных товаров и сельскохозяйственной продукции составила 6,4 единицы на 10000 человек, по продаже продукции общественного питания - 0,9 единиц на 10000 человек. </w:t>
      </w:r>
      <w:proofErr w:type="gramEnd"/>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Оборот розничной торговли является одним из целевых показателей для расчета величины стимулирующих выплат. В период 2012-2016 гг. оборот розничной торговли в абсолютном выражении увеличился на 233 млн. рублей и в 2016 году составил 566 млн. рублей. В районе совершенно не развита потребительская кооперация по розничной торговле. Среднедушевой оборот розничной торговли 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 немного превышает среднее значение по области (52070,5 руб./чел. при </w:t>
      </w:r>
      <w:proofErr w:type="spellStart"/>
      <w:r w:rsidRPr="00B06469">
        <w:rPr>
          <w:rFonts w:ascii="Times New Roman" w:hAnsi="Times New Roman" w:cs="Times New Roman"/>
          <w:sz w:val="24"/>
          <w:szCs w:val="24"/>
        </w:rPr>
        <w:t>среднеобластном</w:t>
      </w:r>
      <w:proofErr w:type="spellEnd"/>
      <w:r w:rsidRPr="00B06469">
        <w:rPr>
          <w:rFonts w:ascii="Times New Roman" w:hAnsi="Times New Roman" w:cs="Times New Roman"/>
          <w:sz w:val="24"/>
          <w:szCs w:val="24"/>
        </w:rPr>
        <w:t xml:space="preserve"> значении 51798,3 руб./чел.) (рис.1.5.12).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858"/>
      </w:tblGrid>
      <w:tr w:rsidR="00F51B81" w:rsidRPr="00B06469" w:rsidTr="002760F1">
        <w:trPr>
          <w:trHeight w:val="7361"/>
        </w:trPr>
        <w:tc>
          <w:tcPr>
            <w:tcW w:w="2463" w:type="pct"/>
            <w:tcBorders>
              <w:top w:val="single" w:sz="4" w:space="0" w:color="auto"/>
              <w:left w:val="single" w:sz="4" w:space="0" w:color="auto"/>
              <w:bottom w:val="single" w:sz="4" w:space="0" w:color="auto"/>
              <w:right w:val="single" w:sz="4" w:space="0" w:color="auto"/>
            </w:tcBorders>
            <w:shd w:val="clear" w:color="auto" w:fill="auto"/>
            <w:hideMark/>
          </w:tcPr>
          <w:p w:rsidR="00F51B81" w:rsidRPr="00B06469" w:rsidRDefault="00F51B81" w:rsidP="001F0139">
            <w:pPr>
              <w:spacing w:after="0" w:line="360" w:lineRule="auto"/>
              <w:jc w:val="both"/>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24758367" wp14:editId="4B3ED70A">
                  <wp:extent cx="2922524" cy="4671822"/>
                  <wp:effectExtent l="19050" t="0" r="11176" b="0"/>
                  <wp:docPr id="37"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2537" w:type="pct"/>
            <w:tcBorders>
              <w:top w:val="single" w:sz="4" w:space="0" w:color="auto"/>
              <w:left w:val="single" w:sz="4" w:space="0" w:color="auto"/>
              <w:bottom w:val="single" w:sz="4" w:space="0" w:color="auto"/>
              <w:right w:val="single" w:sz="4" w:space="0" w:color="auto"/>
            </w:tcBorders>
            <w:shd w:val="clear" w:color="auto" w:fill="auto"/>
            <w:hideMark/>
          </w:tcPr>
          <w:p w:rsidR="00F51B81" w:rsidRPr="00B06469" w:rsidRDefault="00F51B81" w:rsidP="001F0139">
            <w:pPr>
              <w:spacing w:after="0" w:line="360" w:lineRule="auto"/>
              <w:jc w:val="both"/>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44CC858E" wp14:editId="752C7A24">
                  <wp:extent cx="3012059" cy="4661408"/>
                  <wp:effectExtent l="19050" t="0" r="16891" b="5842"/>
                  <wp:docPr id="38"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rsidR="00F51B81" w:rsidRPr="00B06469" w:rsidRDefault="00F51B81" w:rsidP="001F0139">
      <w:pPr>
        <w:spacing w:after="0" w:line="240" w:lineRule="auto"/>
        <w:ind w:firstLine="709"/>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1.5.12 </w:t>
      </w:r>
      <w:r w:rsidRPr="00B06469">
        <w:rPr>
          <w:rFonts w:ascii="Times New Roman" w:hAnsi="Times New Roman" w:cs="Times New Roman"/>
          <w:b/>
          <w:sz w:val="24"/>
          <w:szCs w:val="24"/>
        </w:rPr>
        <w:t>- Оборот розничной торговли и общественного питания на душу населения в муниципальных районах Самарской области в 2016 г., руб./чел.</w:t>
      </w:r>
    </w:p>
    <w:p w:rsidR="00F51B81" w:rsidRPr="00B06469" w:rsidRDefault="00F51B81" w:rsidP="001F0139">
      <w:pPr>
        <w:spacing w:after="0" w:line="360" w:lineRule="auto"/>
        <w:ind w:firstLine="709"/>
        <w:jc w:val="both"/>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Основной составляющей сферы услуг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является общественное питание. </w:t>
      </w:r>
      <w:proofErr w:type="gramStart"/>
      <w:r w:rsidRPr="00B06469">
        <w:rPr>
          <w:rFonts w:ascii="Times New Roman" w:hAnsi="Times New Roman" w:cs="Times New Roman"/>
          <w:sz w:val="24"/>
          <w:szCs w:val="24"/>
        </w:rPr>
        <w:t>За период 2012-2016 гг. значение оборота общественного питания увеличилось на 17,5 млн. руб. Потребкооперация по общественному питанию в районе существует, но ее обороты снизились за рассматриваемые 5 лет с 6,6 млн. руб. до 2,2 млн. руб. По итогам 2016 г. район занимает 1 место среди муниципальных районов Самарской области по показателю оборота общественного питания на душу населения (10480,1 руб./чел</w:t>
      </w:r>
      <w:proofErr w:type="gramEnd"/>
      <w:r w:rsidRPr="00B06469">
        <w:rPr>
          <w:rFonts w:ascii="Times New Roman" w:hAnsi="Times New Roman" w:cs="Times New Roman"/>
          <w:sz w:val="24"/>
          <w:szCs w:val="24"/>
        </w:rPr>
        <w:t>.). На территории муниципального района в 2016 г. действовало 27 объектов общественного питания. Из них 23 объекта это общедоступные с</w:t>
      </w:r>
      <w:r w:rsidRPr="00B06469">
        <w:rPr>
          <w:rFonts w:ascii="Times New Roman" w:eastAsia="Times New Roman" w:hAnsi="Times New Roman" w:cs="Times New Roman"/>
          <w:sz w:val="24"/>
          <w:szCs w:val="24"/>
          <w:lang w:eastAsia="ru-RU"/>
        </w:rPr>
        <w:t xml:space="preserve">толовые и закусочные, </w:t>
      </w:r>
      <w:r w:rsidRPr="00B06469">
        <w:rPr>
          <w:rFonts w:ascii="Times New Roman" w:hAnsi="Times New Roman" w:cs="Times New Roman"/>
          <w:sz w:val="24"/>
          <w:szCs w:val="24"/>
        </w:rPr>
        <w:t>4 объекта – рестораны, кафе, бары.</w:t>
      </w:r>
    </w:p>
    <w:p w:rsidR="00F51B81" w:rsidRPr="00B06469" w:rsidRDefault="00F51B81" w:rsidP="001F0139">
      <w:pPr>
        <w:spacing w:after="0" w:line="360" w:lineRule="auto"/>
        <w:ind w:firstLine="709"/>
        <w:jc w:val="both"/>
        <w:rPr>
          <w:rFonts w:ascii="Times New Roman" w:hAnsi="Times New Roman" w:cs="Times New Roman"/>
          <w:sz w:val="24"/>
          <w:szCs w:val="24"/>
        </w:rPr>
      </w:pP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район характеризуется сравнительно низким уровнем обеспеченности населения платными услугами. По данным 2016 г. объем платных услуг на душу населения в районе составлял 4536 руб./чел и существенно отставал от других муниципальных районов Самарской области. </w:t>
      </w:r>
    </w:p>
    <w:p w:rsidR="00F51B81" w:rsidRPr="00B06469" w:rsidRDefault="00F51B81" w:rsidP="001F0139">
      <w:pPr>
        <w:spacing w:after="0" w:line="360" w:lineRule="auto"/>
        <w:ind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В районе недостаточно развит рынок бытовых услуг (рис. 1.5.13). </w:t>
      </w:r>
    </w:p>
    <w:p w:rsidR="00F51B81" w:rsidRPr="00B06469" w:rsidRDefault="00F51B81" w:rsidP="001F0139">
      <w:pPr>
        <w:spacing w:after="0" w:line="240" w:lineRule="auto"/>
        <w:contextualSpacing/>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4656A3F3" wp14:editId="04DC7846">
            <wp:extent cx="5669280" cy="3011424"/>
            <wp:effectExtent l="0" t="0" r="0" b="0"/>
            <wp:docPr id="39"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51B81" w:rsidRPr="00B0646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B06469">
        <w:rPr>
          <w:rFonts w:ascii="Times New Roman" w:eastAsia="Times New Roman" w:hAnsi="Times New Roman" w:cs="Times New Roman"/>
          <w:b/>
          <w:color w:val="000000"/>
          <w:sz w:val="24"/>
          <w:szCs w:val="24"/>
          <w:shd w:val="clear" w:color="auto" w:fill="FFFFFF"/>
          <w:lang w:eastAsia="ru-RU"/>
        </w:rPr>
        <w:t>Рисунок 1.5.13 – Число объектов бытового обслуживания</w:t>
      </w:r>
    </w:p>
    <w:p w:rsidR="00F51B81" w:rsidRPr="00B0646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B06469">
        <w:rPr>
          <w:rFonts w:ascii="Times New Roman" w:eastAsia="Times New Roman" w:hAnsi="Times New Roman" w:cs="Times New Roman"/>
          <w:b/>
          <w:color w:val="000000"/>
          <w:sz w:val="24"/>
          <w:szCs w:val="24"/>
          <w:shd w:val="clear" w:color="auto" w:fill="FFFFFF"/>
          <w:lang w:eastAsia="ru-RU"/>
        </w:rPr>
        <w:t xml:space="preserve">населения </w:t>
      </w:r>
      <w:proofErr w:type="spellStart"/>
      <w:r w:rsidRPr="00B06469">
        <w:rPr>
          <w:rFonts w:ascii="Times New Roman" w:eastAsia="Times New Roman" w:hAnsi="Times New Roman" w:cs="Times New Roman"/>
          <w:b/>
          <w:color w:val="000000"/>
          <w:sz w:val="24"/>
          <w:szCs w:val="24"/>
          <w:shd w:val="clear" w:color="auto" w:fill="FFFFFF"/>
          <w:lang w:eastAsia="ru-RU"/>
        </w:rPr>
        <w:t>Камышлинского</w:t>
      </w:r>
      <w:proofErr w:type="spellEnd"/>
      <w:r w:rsidRPr="00B06469">
        <w:rPr>
          <w:rFonts w:ascii="Times New Roman" w:eastAsia="Times New Roman" w:hAnsi="Times New Roman" w:cs="Times New Roman"/>
          <w:b/>
          <w:color w:val="000000"/>
          <w:sz w:val="24"/>
          <w:szCs w:val="24"/>
          <w:shd w:val="clear" w:color="auto" w:fill="FFFFFF"/>
          <w:lang w:eastAsia="ru-RU"/>
        </w:rPr>
        <w:t xml:space="preserve"> района </w:t>
      </w:r>
      <w:proofErr w:type="gramStart"/>
      <w:r w:rsidRPr="00B06469">
        <w:rPr>
          <w:rFonts w:ascii="Times New Roman" w:eastAsia="Times New Roman" w:hAnsi="Times New Roman" w:cs="Times New Roman"/>
          <w:b/>
          <w:color w:val="000000"/>
          <w:sz w:val="24"/>
          <w:szCs w:val="24"/>
          <w:shd w:val="clear" w:color="auto" w:fill="FFFFFF"/>
          <w:lang w:eastAsia="ru-RU"/>
        </w:rPr>
        <w:t>на конец</w:t>
      </w:r>
      <w:proofErr w:type="gramEnd"/>
      <w:r w:rsidRPr="00B06469">
        <w:rPr>
          <w:rFonts w:ascii="Times New Roman" w:eastAsia="Times New Roman" w:hAnsi="Times New Roman" w:cs="Times New Roman"/>
          <w:b/>
          <w:color w:val="000000"/>
          <w:sz w:val="24"/>
          <w:szCs w:val="24"/>
          <w:shd w:val="clear" w:color="auto" w:fill="FFFFFF"/>
          <w:lang w:eastAsia="ru-RU"/>
        </w:rPr>
        <w:t xml:space="preserve"> 2016 г., ед.</w:t>
      </w:r>
    </w:p>
    <w:p w:rsidR="00F51B81" w:rsidRPr="00B06469" w:rsidRDefault="00F51B81" w:rsidP="001F0139">
      <w:pPr>
        <w:spacing w:after="0" w:line="240" w:lineRule="auto"/>
        <w:ind w:firstLine="709"/>
        <w:contextualSpacing/>
        <w:jc w:val="both"/>
        <w:rPr>
          <w:rFonts w:ascii="Times New Roman" w:hAnsi="Times New Roman" w:cs="Times New Roman"/>
          <w:sz w:val="24"/>
          <w:szCs w:val="24"/>
        </w:rPr>
      </w:pPr>
    </w:p>
    <w:p w:rsidR="00F51B81" w:rsidRPr="00B06469" w:rsidRDefault="00F51B81" w:rsidP="001F0139">
      <w:pPr>
        <w:spacing w:after="0" w:line="360" w:lineRule="auto"/>
        <w:ind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Отсутствуют </w:t>
      </w:r>
      <w:proofErr w:type="spellStart"/>
      <w:r w:rsidRPr="00B06469">
        <w:rPr>
          <w:rFonts w:ascii="Times New Roman" w:hAnsi="Times New Roman" w:cs="Times New Roman"/>
          <w:sz w:val="24"/>
          <w:szCs w:val="24"/>
        </w:rPr>
        <w:t>клининговые</w:t>
      </w:r>
      <w:proofErr w:type="spellEnd"/>
      <w:r w:rsidRPr="00B06469">
        <w:rPr>
          <w:rFonts w:ascii="Times New Roman" w:hAnsi="Times New Roman" w:cs="Times New Roman"/>
          <w:sz w:val="24"/>
          <w:szCs w:val="24"/>
        </w:rPr>
        <w:t xml:space="preserve"> компании, предоставляющие услуги по уборке помещений, химчистки, услуги по ремонту и </w:t>
      </w:r>
      <w:r w:rsidRPr="00B06469">
        <w:rPr>
          <w:rFonts w:ascii="Times New Roman" w:hAnsi="Times New Roman" w:cs="Times New Roman"/>
          <w:sz w:val="24"/>
          <w:szCs w:val="24"/>
        </w:rPr>
        <w:br/>
        <w:t xml:space="preserve">техническому обслуживанию бытовой техники, бани, душевые и сауны, а также услуги по благоустройству территорий, садово-дачных участков, ландшафтному дизайну и т.п. Дальнейший рост рынка бытовых услуг </w:t>
      </w:r>
      <w:proofErr w:type="gramStart"/>
      <w:r w:rsidRPr="00B06469">
        <w:rPr>
          <w:rFonts w:ascii="Times New Roman" w:hAnsi="Times New Roman" w:cs="Times New Roman"/>
          <w:sz w:val="24"/>
          <w:szCs w:val="24"/>
        </w:rPr>
        <w:t>связан</w:t>
      </w:r>
      <w:proofErr w:type="gramEnd"/>
      <w:r w:rsidRPr="00B06469">
        <w:rPr>
          <w:rFonts w:ascii="Times New Roman" w:hAnsi="Times New Roman" w:cs="Times New Roman"/>
          <w:sz w:val="24"/>
          <w:szCs w:val="24"/>
        </w:rPr>
        <w:t xml:space="preserve"> в том числе и с этими видами деятельности.</w:t>
      </w:r>
    </w:p>
    <w:p w:rsidR="00F51B81" w:rsidRPr="00B06469" w:rsidRDefault="00F51B81" w:rsidP="001F0139">
      <w:pPr>
        <w:spacing w:after="0" w:line="360" w:lineRule="auto"/>
        <w:ind w:firstLine="709"/>
        <w:contextualSpacing/>
        <w:jc w:val="both"/>
        <w:rPr>
          <w:rFonts w:ascii="Times New Roman" w:hAnsi="Times New Roman" w:cs="Times New Roman"/>
          <w:sz w:val="24"/>
          <w:szCs w:val="24"/>
        </w:rPr>
      </w:pPr>
    </w:p>
    <w:p w:rsidR="00F51B81" w:rsidRPr="00B06469" w:rsidRDefault="00F51B81" w:rsidP="001F0139">
      <w:pPr>
        <w:spacing w:after="0" w:line="360" w:lineRule="auto"/>
        <w:contextualSpacing/>
        <w:outlineLvl w:val="2"/>
        <w:rPr>
          <w:rFonts w:ascii="Times New Roman" w:hAnsi="Times New Roman" w:cs="Times New Roman"/>
          <w:b/>
          <w:color w:val="365F91"/>
          <w:sz w:val="24"/>
          <w:szCs w:val="24"/>
        </w:rPr>
      </w:pPr>
      <w:bookmarkStart w:id="34" w:name="_Toc520894842"/>
      <w:r w:rsidRPr="00B06469">
        <w:rPr>
          <w:rFonts w:ascii="Times New Roman" w:hAnsi="Times New Roman" w:cs="Times New Roman"/>
          <w:b/>
          <w:color w:val="365F91"/>
          <w:sz w:val="24"/>
          <w:szCs w:val="24"/>
        </w:rPr>
        <w:t>1.5.5 Инвестиции</w:t>
      </w:r>
      <w:bookmarkEnd w:id="34"/>
    </w:p>
    <w:p w:rsidR="00F51B81" w:rsidRPr="00B06469" w:rsidRDefault="00F51B81" w:rsidP="001F0139">
      <w:pPr>
        <w:spacing w:after="0" w:line="360" w:lineRule="auto"/>
        <w:ind w:firstLine="709"/>
        <w:jc w:val="both"/>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Важнейшим экономическим показателем для социально-экономического развития является объем вовлекаемых в экономику инвестиционных ресурсов, которые во многом определяют будущее муниципального образования, его конкурентоспособность и перспективы развития. По объему инвестиций в основной капитал на душу населения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район занимает 12 место и незначительно отстает от </w:t>
      </w:r>
      <w:proofErr w:type="spellStart"/>
      <w:r w:rsidRPr="00B06469">
        <w:rPr>
          <w:rFonts w:ascii="Times New Roman" w:hAnsi="Times New Roman" w:cs="Times New Roman"/>
          <w:sz w:val="24"/>
          <w:szCs w:val="24"/>
        </w:rPr>
        <w:t>среднеобластного</w:t>
      </w:r>
      <w:proofErr w:type="spellEnd"/>
      <w:r w:rsidRPr="00B06469">
        <w:rPr>
          <w:rFonts w:ascii="Times New Roman" w:hAnsi="Times New Roman" w:cs="Times New Roman"/>
          <w:sz w:val="24"/>
          <w:szCs w:val="24"/>
        </w:rPr>
        <w:t xml:space="preserve"> значения - 79,8 тыс. руб./чел. (рис. 1.5.14). </w:t>
      </w:r>
    </w:p>
    <w:p w:rsidR="00F51B81" w:rsidRPr="00B06469" w:rsidRDefault="00F51B81" w:rsidP="001F0139">
      <w:pPr>
        <w:spacing w:after="0" w:line="240" w:lineRule="auto"/>
        <w:jc w:val="center"/>
        <w:rPr>
          <w:rFonts w:ascii="Times New Roman" w:hAnsi="Times New Roman" w:cs="Times New Roman"/>
          <w:color w:val="FF0000"/>
          <w:sz w:val="24"/>
          <w:szCs w:val="24"/>
        </w:rPr>
      </w:pPr>
      <w:r w:rsidRPr="00B06469">
        <w:rPr>
          <w:rFonts w:ascii="Times New Roman" w:hAnsi="Times New Roman" w:cs="Times New Roman"/>
          <w:noProof/>
          <w:color w:val="FF0000"/>
          <w:sz w:val="24"/>
          <w:szCs w:val="24"/>
          <w:lang w:eastAsia="ru-RU"/>
        </w:rPr>
        <w:lastRenderedPageBreak/>
        <w:drawing>
          <wp:inline distT="0" distB="0" distL="0" distR="0" wp14:anchorId="18FEC47D" wp14:editId="00C4A596">
            <wp:extent cx="4978783" cy="4263646"/>
            <wp:effectExtent l="19050" t="0" r="12317" b="22604"/>
            <wp:docPr id="40"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1.5.14 </w:t>
      </w:r>
      <w:r w:rsidRPr="00B06469">
        <w:rPr>
          <w:rFonts w:ascii="Times New Roman" w:hAnsi="Times New Roman" w:cs="Times New Roman"/>
          <w:b/>
          <w:sz w:val="24"/>
          <w:szCs w:val="24"/>
        </w:rPr>
        <w:t xml:space="preserve">– Инвестиции в основной капитал на душу населения </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в муниципальных районах Самарской области в 2016 г., тыс. руб./чел.</w:t>
      </w:r>
    </w:p>
    <w:p w:rsidR="00F51B81" w:rsidRPr="00B06469" w:rsidRDefault="00F51B81" w:rsidP="001F0139">
      <w:pPr>
        <w:spacing w:after="0" w:line="240" w:lineRule="auto"/>
        <w:jc w:val="center"/>
        <w:rPr>
          <w:rFonts w:ascii="Times New Roman" w:hAnsi="Times New Roman" w:cs="Times New Roman"/>
          <w:b/>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Для района характерна положительная динамика темпов роста инвестиционных вложений (рис. 1.5.15). С 2012 года наблюдается устойчивый рост объемов инвестиций в основной капитал в расчете на душу населения. В 2016 г. года значение данного показателя увеличилось в 2,7 раза по сравнению с предыдущим годом. Вместе с тем, инвестиции в основной капитал за счет средств муниципального бюджета сократились с 14 млн. руб. в 2012 г. до 8,4 млн. руб. в 2016 г., то есть на 40%.</w:t>
      </w:r>
    </w:p>
    <w:p w:rsidR="00F51B81" w:rsidRPr="00B06469" w:rsidRDefault="00F51B81" w:rsidP="001F0139">
      <w:pPr>
        <w:spacing w:after="0" w:line="240" w:lineRule="auto"/>
        <w:jc w:val="center"/>
        <w:rPr>
          <w:rFonts w:ascii="Times New Roman" w:hAnsi="Times New Roman" w:cs="Times New Roman"/>
          <w:color w:val="FF0000"/>
          <w:sz w:val="24"/>
          <w:szCs w:val="24"/>
        </w:rPr>
      </w:pPr>
      <w:r w:rsidRPr="00B06469">
        <w:rPr>
          <w:rFonts w:ascii="Times New Roman" w:hAnsi="Times New Roman" w:cs="Times New Roman"/>
          <w:noProof/>
          <w:color w:val="FF0000"/>
          <w:sz w:val="24"/>
          <w:szCs w:val="24"/>
          <w:lang w:eastAsia="ru-RU"/>
        </w:rPr>
        <w:lastRenderedPageBreak/>
        <w:drawing>
          <wp:inline distT="0" distB="0" distL="0" distR="0" wp14:anchorId="13112B7C" wp14:editId="14BDEC2C">
            <wp:extent cx="5695569" cy="3876167"/>
            <wp:effectExtent l="19050" t="0" r="381" b="0"/>
            <wp:docPr id="41" name="Рисунок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51B81" w:rsidRPr="00B06469" w:rsidRDefault="00F51B81"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 xml:space="preserve">Источник: ФСГС; Доклад Главы Администрации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«О достигнутых значениях показателей для оценки эффективности деятельности органов местного самоуправления за 2016 год и их планируемых значениях на 3-х летний период (до 2019 года)</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1.5.15 </w:t>
      </w:r>
      <w:r w:rsidRPr="00B06469">
        <w:rPr>
          <w:rFonts w:ascii="Times New Roman" w:hAnsi="Times New Roman" w:cs="Times New Roman"/>
          <w:b/>
          <w:sz w:val="24"/>
          <w:szCs w:val="24"/>
        </w:rPr>
        <w:t xml:space="preserve">– Объем инвестиционных вложений </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в экономику </w:t>
      </w:r>
      <w:proofErr w:type="spellStart"/>
      <w:r w:rsidRPr="00B06469">
        <w:rPr>
          <w:rFonts w:ascii="Times New Roman" w:hAnsi="Times New Roman" w:cs="Times New Roman"/>
          <w:b/>
          <w:sz w:val="24"/>
          <w:szCs w:val="24"/>
        </w:rPr>
        <w:t>Камышлинского</w:t>
      </w:r>
      <w:proofErr w:type="spellEnd"/>
      <w:r w:rsidRPr="00B06469">
        <w:rPr>
          <w:rFonts w:ascii="Times New Roman" w:hAnsi="Times New Roman" w:cs="Times New Roman"/>
          <w:b/>
          <w:sz w:val="24"/>
          <w:szCs w:val="24"/>
        </w:rPr>
        <w:t xml:space="preserve"> района в 2012-2016 гг.</w:t>
      </w:r>
    </w:p>
    <w:p w:rsidR="00F51B81" w:rsidRPr="00B06469" w:rsidRDefault="00F51B81" w:rsidP="001F0139">
      <w:pPr>
        <w:spacing w:after="0" w:line="240" w:lineRule="auto"/>
        <w:jc w:val="both"/>
        <w:rPr>
          <w:rFonts w:ascii="Times New Roman" w:hAnsi="Times New Roman" w:cs="Times New Roman"/>
          <w:sz w:val="24"/>
          <w:szCs w:val="24"/>
        </w:rPr>
      </w:pP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увеличились в 2016 г. по сравнению с 2012 г. более</w:t>
      </w:r>
      <w:proofErr w:type="gramStart"/>
      <w:r w:rsidRPr="00B06469">
        <w:rPr>
          <w:rFonts w:ascii="Times New Roman" w:hAnsi="Times New Roman" w:cs="Times New Roman"/>
          <w:sz w:val="24"/>
          <w:szCs w:val="24"/>
        </w:rPr>
        <w:t>,</w:t>
      </w:r>
      <w:proofErr w:type="gramEnd"/>
      <w:r w:rsidRPr="00B06469">
        <w:rPr>
          <w:rFonts w:ascii="Times New Roman" w:hAnsi="Times New Roman" w:cs="Times New Roman"/>
          <w:sz w:val="24"/>
          <w:szCs w:val="24"/>
        </w:rPr>
        <w:t xml:space="preserve"> чем на 40%. Инвестиции в основной капитал организаций муниципальной формы собственности, также увеличились в 3 раза (в 2013 г. объем инвестиций составлял 7,7 млн. руб., а в 2016 г. – 24,8 млн. руб.).</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Важную роль в развитии муниципального образования играют бюджетные инвестиции в инфраструктуру района, привлекаемые через участие в федеральных и областных программах. 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 имеются свободные производственные площади, пригодные к размещению инвестиционных проектов.</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Советом по инвестициям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определены основные направления инвестиционного развития: </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создание новых рабочих мест в агропромышленном комплексе; </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развитие социальной сферы; </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развитие туризма на основе использования особенностей рельефа территории, ландшафта, благоприятных климатических и экологических условий, культурного наследия: создание объектов туристско-рекреационной сферы. </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Значительные объемы капитальных вложений прогнозируются в отраслях, имеющих традиционно высокую долю в общем объеме инвестиций в целом по району: </w:t>
      </w:r>
      <w:r w:rsidRPr="00B06469">
        <w:rPr>
          <w:rFonts w:ascii="Times New Roman" w:hAnsi="Times New Roman" w:cs="Times New Roman"/>
          <w:sz w:val="24"/>
          <w:szCs w:val="24"/>
        </w:rPr>
        <w:lastRenderedPageBreak/>
        <w:t>«Добыча полезных ископаемых», «Транспорт и связь», «Сельское хозяйство», «Обрабатывающие производства», «Социальная сфера». Именно эти отрасли будут оказывать определяющее воздействие на развитие промышленности и сельского хозяйства района, составлять базу экономического роста и обеспечат выполнение главной стратегической цели политики муниципального района – повышение качества жизни населения района.</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целях создания благоприятных условий для развития и устойчивой деятельности субъектов малого и среднего предпринимательства администрацией района разработана и реализуется программа «Развитие малого и среднего предпринимательства в </w:t>
      </w:r>
      <w:proofErr w:type="spellStart"/>
      <w:r w:rsidRPr="00B06469">
        <w:rPr>
          <w:rFonts w:ascii="Times New Roman" w:hAnsi="Times New Roman" w:cs="Times New Roman"/>
          <w:sz w:val="24"/>
          <w:szCs w:val="24"/>
        </w:rPr>
        <w:t>Камышлинском</w:t>
      </w:r>
      <w:proofErr w:type="spellEnd"/>
      <w:r w:rsidRPr="00B06469">
        <w:rPr>
          <w:rFonts w:ascii="Times New Roman" w:hAnsi="Times New Roman" w:cs="Times New Roman"/>
          <w:sz w:val="24"/>
          <w:szCs w:val="24"/>
        </w:rPr>
        <w:t xml:space="preserve"> районе на 2015-2017 годы». К наиболее </w:t>
      </w:r>
      <w:proofErr w:type="gramStart"/>
      <w:r w:rsidRPr="00B06469">
        <w:rPr>
          <w:rFonts w:ascii="Times New Roman" w:hAnsi="Times New Roman" w:cs="Times New Roman"/>
          <w:sz w:val="24"/>
          <w:szCs w:val="24"/>
        </w:rPr>
        <w:t xml:space="preserve">значимым инвестиционным проектам, реализуемым за счет внебюджетных средств на территории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относятся</w:t>
      </w:r>
      <w:proofErr w:type="gramEnd"/>
      <w:r w:rsidRPr="00B06469">
        <w:rPr>
          <w:rFonts w:ascii="Times New Roman" w:hAnsi="Times New Roman" w:cs="Times New Roman"/>
          <w:sz w:val="24"/>
          <w:szCs w:val="24"/>
        </w:rPr>
        <w:t>: создание предприятия по выращиванию сельскохозяйственных культур (инвестор ГК «СИНКО»); финансирование сортировального и сушильного комплекса, ремонтных мастерских и линий по очистке семян (инвестор ООО «</w:t>
      </w:r>
      <w:proofErr w:type="spellStart"/>
      <w:r w:rsidRPr="00B06469">
        <w:rPr>
          <w:rFonts w:ascii="Times New Roman" w:hAnsi="Times New Roman" w:cs="Times New Roman"/>
          <w:sz w:val="24"/>
          <w:szCs w:val="24"/>
        </w:rPr>
        <w:t>БайкомСервис</w:t>
      </w:r>
      <w:proofErr w:type="spellEnd"/>
      <w:r w:rsidRPr="00B06469">
        <w:rPr>
          <w:rFonts w:ascii="Times New Roman" w:hAnsi="Times New Roman" w:cs="Times New Roman"/>
          <w:sz w:val="24"/>
          <w:szCs w:val="24"/>
        </w:rPr>
        <w:t>»).</w:t>
      </w:r>
    </w:p>
    <w:p w:rsidR="00F51B81" w:rsidRPr="00B06469" w:rsidRDefault="00F51B81" w:rsidP="001F0139">
      <w:pPr>
        <w:spacing w:after="0" w:line="360" w:lineRule="auto"/>
        <w:ind w:firstLine="709"/>
        <w:jc w:val="both"/>
        <w:rPr>
          <w:rFonts w:ascii="Times New Roman" w:hAnsi="Times New Roman" w:cs="Times New Roman"/>
          <w:sz w:val="24"/>
          <w:szCs w:val="24"/>
        </w:rPr>
      </w:pPr>
    </w:p>
    <w:p w:rsidR="00F51B81" w:rsidRPr="00B06469" w:rsidRDefault="00F51B81" w:rsidP="001F0139">
      <w:pPr>
        <w:spacing w:after="0" w:line="360" w:lineRule="auto"/>
        <w:ind w:firstLine="709"/>
        <w:contextualSpacing/>
        <w:jc w:val="both"/>
        <w:outlineLvl w:val="2"/>
        <w:rPr>
          <w:rFonts w:ascii="Times New Roman" w:hAnsi="Times New Roman" w:cs="Times New Roman"/>
          <w:b/>
          <w:color w:val="365F91"/>
          <w:sz w:val="24"/>
          <w:szCs w:val="24"/>
        </w:rPr>
      </w:pPr>
      <w:bookmarkStart w:id="35" w:name="_Toc520894843"/>
      <w:r w:rsidRPr="00B06469">
        <w:rPr>
          <w:rFonts w:ascii="Times New Roman" w:hAnsi="Times New Roman" w:cs="Times New Roman"/>
          <w:b/>
          <w:color w:val="365F91"/>
          <w:sz w:val="24"/>
          <w:szCs w:val="24"/>
        </w:rPr>
        <w:t>1.5.6 Финансовое обеспечение развития МО и межбюджетные</w:t>
      </w:r>
      <w:bookmarkStart w:id="36" w:name="_Toc520894844"/>
      <w:bookmarkEnd w:id="35"/>
      <w:r w:rsidRPr="00B06469">
        <w:rPr>
          <w:rFonts w:ascii="Times New Roman" w:hAnsi="Times New Roman" w:cs="Times New Roman"/>
          <w:b/>
          <w:color w:val="365F91"/>
          <w:sz w:val="24"/>
          <w:szCs w:val="24"/>
        </w:rPr>
        <w:t xml:space="preserve"> отношения</w:t>
      </w:r>
      <w:bookmarkEnd w:id="36"/>
    </w:p>
    <w:p w:rsidR="00F51B81" w:rsidRPr="00B06469" w:rsidRDefault="00F51B81" w:rsidP="001F0139">
      <w:pPr>
        <w:spacing w:after="0" w:line="360" w:lineRule="auto"/>
        <w:ind w:firstLine="709"/>
        <w:jc w:val="both"/>
        <w:rPr>
          <w:rFonts w:ascii="Times New Roman" w:hAnsi="Times New Roman" w:cs="Times New Roman"/>
          <w:sz w:val="24"/>
          <w:szCs w:val="24"/>
        </w:rPr>
      </w:pP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Для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основными приоритетами в реализации бюджетной и налоговой политики в 2017 году были: увеличение доходной части бюджета, оптимизация действующих расходных обязательств и повышение эффективности использования финансовых ресурсов. </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За период 2012-2016 гг. наблюдалось уменьшение доходов бюджета. Поступление в 2012 г. в консолидированный бюджет района составило 262177 тыс. руб., а в 2016 г. – 204397 тыс. руб. (наибольшее значение показателя за рассматриваемый период наблюдалось в 2014 г. – 336549 тыс. руб.). </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По показателю бюджетной обеспеченности за счет налоговых и неналоговых доходов на душу населения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район в рейтинге сельских муниципальных образований занимал в 2016 г. и в 2017 г. соответственно 23 и 27 место. В те же годы по показателю «Бюджетная обеспеченность с учетом безвозмездных перечислений на душу населения» район занимал соответственно 10 и 21 место.</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proofErr w:type="spellStart"/>
      <w:proofErr w:type="gram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район демонстрирует достаточно низкий уровень бюджетного обеспечения, но в положительной динамике: по показателю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в 2012 г. значение составило 17,2%, а в 2016 г. – 29,3%. </w:t>
      </w:r>
      <w:proofErr w:type="gramEnd"/>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В структуре доходов (кроме 2012 г.) наибольшую долю составляют безвозмездные поступления. В 2016 г. доля безвозмездных поступлений составила 66%. Налоговые доходы в 2016 г. выросли по отношению к 2012 г. почти в 2 раза и составили 45979 тыс. руб. неналоговые доходы снизились в 3,5 раза (рис. 1.5.16). Удельный вес налоговых и неналоговых поступлений в общей сумме доходов составил 29,8% (в 2012 г. – 29,3%).</w:t>
      </w:r>
    </w:p>
    <w:p w:rsidR="00F51B81" w:rsidRPr="00B06469" w:rsidRDefault="00F51B81" w:rsidP="001F0139">
      <w:pPr>
        <w:widowControl w:val="0"/>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551A14D5" wp14:editId="649E2474">
            <wp:extent cx="5754626" cy="3140583"/>
            <wp:effectExtent l="0" t="0" r="0" b="0"/>
            <wp:docPr id="42"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51B81" w:rsidRPr="00B06469" w:rsidRDefault="00F51B81"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1.5.16 </w:t>
      </w:r>
      <w:r w:rsidRPr="00B06469">
        <w:rPr>
          <w:rFonts w:ascii="Times New Roman" w:hAnsi="Times New Roman" w:cs="Times New Roman"/>
          <w:b/>
          <w:sz w:val="24"/>
          <w:szCs w:val="24"/>
        </w:rPr>
        <w:t xml:space="preserve">- Структура доходов консолидированного бюджета </w:t>
      </w:r>
      <w:proofErr w:type="spellStart"/>
      <w:r w:rsidRPr="00B06469">
        <w:rPr>
          <w:rFonts w:ascii="Times New Roman" w:hAnsi="Times New Roman" w:cs="Times New Roman"/>
          <w:b/>
          <w:sz w:val="24"/>
          <w:szCs w:val="24"/>
        </w:rPr>
        <w:t>Камышлинского</w:t>
      </w:r>
      <w:proofErr w:type="spellEnd"/>
      <w:r w:rsidRPr="00B06469">
        <w:rPr>
          <w:rFonts w:ascii="Times New Roman" w:hAnsi="Times New Roman" w:cs="Times New Roman"/>
          <w:b/>
          <w:sz w:val="24"/>
          <w:szCs w:val="24"/>
        </w:rPr>
        <w:t xml:space="preserve"> района за 2012-2016 гг., тыс. руб.</w:t>
      </w:r>
    </w:p>
    <w:p w:rsidR="00F51B81" w:rsidRPr="00B06469" w:rsidRDefault="00F51B81" w:rsidP="001F0139">
      <w:pPr>
        <w:widowControl w:val="0"/>
        <w:spacing w:after="0" w:line="240" w:lineRule="auto"/>
        <w:jc w:val="center"/>
        <w:rPr>
          <w:rFonts w:ascii="Times New Roman" w:hAnsi="Times New Roman" w:cs="Times New Roman"/>
          <w:sz w:val="24"/>
          <w:szCs w:val="24"/>
        </w:rPr>
      </w:pP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структуре налоговой части доходов наибольшая доля приходится на </w:t>
      </w:r>
      <w:proofErr w:type="gramStart"/>
      <w:r w:rsidRPr="00B06469">
        <w:rPr>
          <w:rFonts w:ascii="Times New Roman" w:hAnsi="Times New Roman" w:cs="Times New Roman"/>
          <w:sz w:val="24"/>
          <w:szCs w:val="24"/>
        </w:rPr>
        <w:t>налоги</w:t>
      </w:r>
      <w:proofErr w:type="gramEnd"/>
      <w:r w:rsidRPr="00B06469">
        <w:rPr>
          <w:rFonts w:ascii="Times New Roman" w:hAnsi="Times New Roman" w:cs="Times New Roman"/>
          <w:sz w:val="24"/>
          <w:szCs w:val="24"/>
        </w:rPr>
        <w:t xml:space="preserve"> на доходы физических лиц (33,5%), на единый налог на вмененный доход (31,5%) и на прочие налоговые доходы (23,8%) (рис. 1.5.17). </w:t>
      </w:r>
    </w:p>
    <w:p w:rsidR="00F51B81" w:rsidRPr="00B06469" w:rsidRDefault="00F51B81" w:rsidP="001F0139">
      <w:pPr>
        <w:widowControl w:val="0"/>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21E95C0C" wp14:editId="107CED0A">
            <wp:extent cx="5128389" cy="2573403"/>
            <wp:effectExtent l="0" t="0" r="0" b="0"/>
            <wp:docPr id="43"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51B81" w:rsidRPr="00B06469" w:rsidRDefault="00F51B81"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1.5.17 </w:t>
      </w:r>
      <w:r w:rsidRPr="00B06469">
        <w:rPr>
          <w:rFonts w:ascii="Times New Roman" w:hAnsi="Times New Roman" w:cs="Times New Roman"/>
          <w:b/>
          <w:sz w:val="24"/>
          <w:szCs w:val="24"/>
        </w:rPr>
        <w:t xml:space="preserve">- Состав налоговой части доходов консолидированного бюджета </w:t>
      </w:r>
      <w:proofErr w:type="spellStart"/>
      <w:r w:rsidRPr="00B06469">
        <w:rPr>
          <w:rFonts w:ascii="Times New Roman" w:hAnsi="Times New Roman" w:cs="Times New Roman"/>
          <w:b/>
          <w:sz w:val="24"/>
          <w:szCs w:val="24"/>
        </w:rPr>
        <w:t>Камышлинского</w:t>
      </w:r>
      <w:proofErr w:type="spellEnd"/>
      <w:r w:rsidRPr="00B06469">
        <w:rPr>
          <w:rFonts w:ascii="Times New Roman" w:hAnsi="Times New Roman" w:cs="Times New Roman"/>
          <w:b/>
          <w:sz w:val="24"/>
          <w:szCs w:val="24"/>
        </w:rPr>
        <w:t xml:space="preserve"> района за 2016 г., тыс. руб.</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За период 2012-2016 гг. динамика величины дохода от большинства налогов имела устойчивую тенденцию роста. В частности, за рассматриваемый период доход от земельного налога увеличился в 3 раза, от прочих налоговых доходов – в 7 раз, от единого </w:t>
      </w:r>
      <w:r w:rsidRPr="00B06469">
        <w:rPr>
          <w:rFonts w:ascii="Times New Roman" w:hAnsi="Times New Roman" w:cs="Times New Roman"/>
          <w:sz w:val="24"/>
          <w:szCs w:val="24"/>
        </w:rPr>
        <w:lastRenderedPageBreak/>
        <w:t xml:space="preserve">налога на вмененный доход – в 10 раз.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Безвозмездные поступления в 2016 г. составили 135 млн. руб., что на 27% меньше по сравнению с 2012 г. сократились на 25%, это может означать, что район стал в большей мере развиваться благодаря собственным источникам дохода.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Структура безвозмездных поступлений следующая:</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дотации составили 37134 </w:t>
      </w:r>
      <w:proofErr w:type="spellStart"/>
      <w:r w:rsidRPr="00B06469">
        <w:rPr>
          <w:rFonts w:ascii="Times New Roman" w:hAnsi="Times New Roman" w:cs="Times New Roman"/>
          <w:sz w:val="24"/>
          <w:szCs w:val="24"/>
        </w:rPr>
        <w:t>тыс</w:t>
      </w:r>
      <w:proofErr w:type="gramStart"/>
      <w:r w:rsidRPr="00B06469">
        <w:rPr>
          <w:rFonts w:ascii="Times New Roman" w:hAnsi="Times New Roman" w:cs="Times New Roman"/>
          <w:sz w:val="24"/>
          <w:szCs w:val="24"/>
        </w:rPr>
        <w:t>.р</w:t>
      </w:r>
      <w:proofErr w:type="gramEnd"/>
      <w:r w:rsidRPr="00B06469">
        <w:rPr>
          <w:rFonts w:ascii="Times New Roman" w:hAnsi="Times New Roman" w:cs="Times New Roman"/>
          <w:sz w:val="24"/>
          <w:szCs w:val="24"/>
        </w:rPr>
        <w:t>уб</w:t>
      </w:r>
      <w:proofErr w:type="spellEnd"/>
      <w:r w:rsidRPr="00B06469">
        <w:rPr>
          <w:rFonts w:ascii="Times New Roman" w:hAnsi="Times New Roman" w:cs="Times New Roman"/>
          <w:sz w:val="24"/>
          <w:szCs w:val="24"/>
        </w:rPr>
        <w:t xml:space="preserve">. (в 2012 г. – 38564 тыс. руб.);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субсидии составили 37049 тыс. руб. (в 1,7 раз меньше, чем в 2012 г.);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w:t>
      </w:r>
      <w:r w:rsidRPr="00B06469">
        <w:rPr>
          <w:rFonts w:ascii="Times New Roman" w:hAnsi="Times New Roman" w:cs="Times New Roman"/>
          <w:spacing w:val="-20"/>
          <w:sz w:val="24"/>
          <w:szCs w:val="24"/>
        </w:rPr>
        <w:t>субвенции составили 26443 тыс. руб. (в 2,5 раза меньше, чем в 2012 г.);</w:t>
      </w:r>
      <w:r w:rsidRPr="00B06469">
        <w:rPr>
          <w:rFonts w:ascii="Times New Roman" w:hAnsi="Times New Roman" w:cs="Times New Roman"/>
          <w:sz w:val="24"/>
          <w:szCs w:val="24"/>
        </w:rPr>
        <w:t xml:space="preserve">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иные межбюджетные трансферты составили 204 тыс. руб. (в 72 раза меньше, чем в 2012 г.).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По показателю дохода местного бюджета на душу населения муниципальный район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в рейтинге муниципальных образований в 2016 году занимает достаточно высокое 10 место с суммой средств 18144,6 руб. при </w:t>
      </w:r>
      <w:proofErr w:type="spellStart"/>
      <w:r w:rsidRPr="00B06469">
        <w:rPr>
          <w:rFonts w:ascii="Times New Roman" w:hAnsi="Times New Roman" w:cs="Times New Roman"/>
          <w:sz w:val="24"/>
          <w:szCs w:val="24"/>
        </w:rPr>
        <w:t>среднеобластном</w:t>
      </w:r>
      <w:proofErr w:type="spellEnd"/>
      <w:r w:rsidRPr="00B06469">
        <w:rPr>
          <w:rFonts w:ascii="Times New Roman" w:hAnsi="Times New Roman" w:cs="Times New Roman"/>
          <w:sz w:val="24"/>
          <w:szCs w:val="24"/>
        </w:rPr>
        <w:t xml:space="preserve"> значении 19181,4 руб. (рис. 1.5.18).</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proofErr w:type="gramStart"/>
      <w:r w:rsidRPr="00B06469">
        <w:rPr>
          <w:rFonts w:ascii="Times New Roman" w:hAnsi="Times New Roman" w:cs="Times New Roman"/>
          <w:sz w:val="24"/>
          <w:szCs w:val="24"/>
        </w:rPr>
        <w:t xml:space="preserve">Расходная часть консолидированного бюджета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уменьшилась с 251756 тыс. руб. в 2012 г. до 202613 тыс. руб. в 2016 г. Положительным моментом является профицит бюджета в 2016 г. в сумме 1784 тыс. руб. Значительный удельный вес в расходной части бюджета занимают расходы на функционирование местных администраций – 25% (в 2012 г. – 14,5%), на национальную экономику – 19,8% (в 2012 г. – 6,5</w:t>
      </w:r>
      <w:proofErr w:type="gramEnd"/>
      <w:r w:rsidRPr="00B06469">
        <w:rPr>
          <w:rFonts w:ascii="Times New Roman" w:hAnsi="Times New Roman" w:cs="Times New Roman"/>
          <w:sz w:val="24"/>
          <w:szCs w:val="24"/>
        </w:rPr>
        <w:t xml:space="preserve">%), на культуру – 16,7% (в 2012 г. – 12,5%), на социальную политику – 14,9% (в 2012 г. – 13,5%). </w:t>
      </w:r>
    </w:p>
    <w:p w:rsidR="00F51B81" w:rsidRPr="00B06469" w:rsidRDefault="00F51B81" w:rsidP="001F0139">
      <w:pPr>
        <w:widowControl w:val="0"/>
        <w:spacing w:after="0" w:line="36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239E4059" wp14:editId="09175427">
            <wp:extent cx="4438015" cy="3834130"/>
            <wp:effectExtent l="19050" t="0" r="635" b="0"/>
            <wp:docPr id="44" name="Диаграмма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0"/>
                    <pic:cNvPicPr>
                      <a:picLocks noChangeArrowheads="1"/>
                    </pic:cNvPicPr>
                  </pic:nvPicPr>
                  <pic:blipFill>
                    <a:blip r:embed="rId64" cstate="print"/>
                    <a:srcRect/>
                    <a:stretch>
                      <a:fillRect/>
                    </a:stretch>
                  </pic:blipFill>
                  <pic:spPr bwMode="auto">
                    <a:xfrm>
                      <a:off x="0" y="0"/>
                      <a:ext cx="4438015" cy="3834130"/>
                    </a:xfrm>
                    <a:prstGeom prst="rect">
                      <a:avLst/>
                    </a:prstGeom>
                    <a:noFill/>
                    <a:ln w="9525">
                      <a:noFill/>
                      <a:miter lim="800000"/>
                      <a:headEnd/>
                      <a:tailEnd/>
                    </a:ln>
                  </pic:spPr>
                </pic:pic>
              </a:graphicData>
            </a:graphic>
          </wp:inline>
        </w:drawing>
      </w:r>
    </w:p>
    <w:p w:rsidR="00F51B81" w:rsidRPr="00B06469" w:rsidRDefault="00F51B81" w:rsidP="001F0139">
      <w:pPr>
        <w:spacing w:after="0" w:line="240" w:lineRule="auto"/>
        <w:ind w:firstLine="426"/>
        <w:jc w:val="both"/>
        <w:rPr>
          <w:rFonts w:ascii="Times New Roman" w:hAnsi="Times New Roman" w:cs="Times New Roman"/>
          <w:sz w:val="24"/>
          <w:szCs w:val="24"/>
        </w:rPr>
      </w:pPr>
      <w:r w:rsidRPr="00B06469">
        <w:rPr>
          <w:rFonts w:ascii="Times New Roman" w:hAnsi="Times New Roman" w:cs="Times New Roman"/>
          <w:sz w:val="24"/>
          <w:szCs w:val="24"/>
        </w:rPr>
        <w:t xml:space="preserve">Источник: ФСГС: Социально-экономические показатели муниципальных районов и </w:t>
      </w:r>
      <w:proofErr w:type="spellStart"/>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ских</w:t>
      </w:r>
      <w:proofErr w:type="spellEnd"/>
      <w:r w:rsidRPr="00B06469">
        <w:rPr>
          <w:rFonts w:ascii="Times New Roman" w:hAnsi="Times New Roman" w:cs="Times New Roman"/>
          <w:sz w:val="24"/>
          <w:szCs w:val="24"/>
        </w:rPr>
        <w:t xml:space="preserve"> округов Самарской области, 2016</w:t>
      </w:r>
    </w:p>
    <w:p w:rsidR="00F51B81" w:rsidRPr="00B06469" w:rsidRDefault="00F51B81" w:rsidP="001F0139">
      <w:pPr>
        <w:widowControl w:val="0"/>
        <w:spacing w:after="0" w:line="240" w:lineRule="auto"/>
        <w:ind w:firstLine="709"/>
        <w:jc w:val="center"/>
        <w:rPr>
          <w:rFonts w:ascii="Times New Roman" w:hAnsi="Times New Roman" w:cs="Times New Roman"/>
          <w:b/>
          <w:sz w:val="24"/>
          <w:szCs w:val="24"/>
        </w:rPr>
      </w:pPr>
      <w:r w:rsidRPr="00B06469">
        <w:rPr>
          <w:rFonts w:ascii="Times New Roman" w:hAnsi="Times New Roman" w:cs="Times New Roman"/>
          <w:b/>
          <w:sz w:val="24"/>
          <w:szCs w:val="24"/>
        </w:rPr>
        <w:lastRenderedPageBreak/>
        <w:t xml:space="preserve">Рисунок </w:t>
      </w:r>
      <w:r w:rsidRPr="00B06469">
        <w:rPr>
          <w:rFonts w:ascii="Times New Roman" w:hAnsi="Times New Roman" w:cs="Times New Roman"/>
          <w:b/>
          <w:color w:val="000000"/>
          <w:sz w:val="24"/>
          <w:szCs w:val="24"/>
          <w:shd w:val="clear" w:color="auto" w:fill="FFFFFF"/>
        </w:rPr>
        <w:t xml:space="preserve">1.5.18 </w:t>
      </w:r>
      <w:r w:rsidRPr="00B06469">
        <w:rPr>
          <w:rFonts w:ascii="Times New Roman" w:hAnsi="Times New Roman" w:cs="Times New Roman"/>
          <w:b/>
          <w:sz w:val="24"/>
          <w:szCs w:val="24"/>
        </w:rPr>
        <w:t xml:space="preserve">– Доходы местного бюджета на душу населения </w:t>
      </w:r>
    </w:p>
    <w:p w:rsidR="00F51B81" w:rsidRPr="00B06469" w:rsidRDefault="00F51B81" w:rsidP="001F0139">
      <w:pPr>
        <w:widowControl w:val="0"/>
        <w:spacing w:after="0" w:line="240" w:lineRule="auto"/>
        <w:ind w:firstLine="709"/>
        <w:jc w:val="center"/>
        <w:rPr>
          <w:rFonts w:ascii="Times New Roman" w:hAnsi="Times New Roman" w:cs="Times New Roman"/>
          <w:b/>
          <w:sz w:val="24"/>
          <w:szCs w:val="24"/>
        </w:rPr>
      </w:pPr>
      <w:r w:rsidRPr="00B06469">
        <w:rPr>
          <w:rFonts w:ascii="Times New Roman" w:hAnsi="Times New Roman" w:cs="Times New Roman"/>
          <w:b/>
          <w:sz w:val="24"/>
          <w:szCs w:val="24"/>
        </w:rPr>
        <w:t>муниципальных районов Самарской области за 2016 г., руб.</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Расходы на жилищно-коммунальное хозяйство занимают 8,9% (в 2012 г. – 25,6%), на образование – 7,9 % (в 2012г. – 8,1%), на прочие расходы – 6,4% (в 2012 г. – 8,4%), на функционирование представительных органов муниципальных образований – 0,4% (в 2012 г. – 0,7%). На физическую культуру и спорт было потрачено 0,1% бюджета 2016 г. при отсутствии финансирования в 2012 г. Здравоохранение не финансировалось в 2016 г. из средств бюджета района, хотя в 2012 г. доля расходов на него составляла 10,3% (рис. 1.5.19).</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p>
    <w:p w:rsidR="00F51B81" w:rsidRPr="00B06469" w:rsidRDefault="00F51B81" w:rsidP="001F0139">
      <w:pPr>
        <w:widowControl w:val="0"/>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5F040A06" wp14:editId="39016850">
            <wp:extent cx="5207891" cy="3149984"/>
            <wp:effectExtent l="0" t="0" r="0" b="0"/>
            <wp:docPr id="45"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51B81" w:rsidRPr="00B06469" w:rsidRDefault="00F51B81"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1.5.19 </w:t>
      </w:r>
      <w:r w:rsidRPr="00B06469">
        <w:rPr>
          <w:rFonts w:ascii="Times New Roman" w:hAnsi="Times New Roman" w:cs="Times New Roman"/>
          <w:b/>
          <w:sz w:val="24"/>
          <w:szCs w:val="24"/>
        </w:rPr>
        <w:t xml:space="preserve">- Структура расходной части бюджета </w:t>
      </w:r>
    </w:p>
    <w:p w:rsidR="00F51B81" w:rsidRPr="00B06469" w:rsidRDefault="00F51B81" w:rsidP="001F0139">
      <w:pPr>
        <w:widowControl w:val="0"/>
        <w:spacing w:after="0" w:line="240" w:lineRule="auto"/>
        <w:jc w:val="center"/>
        <w:rPr>
          <w:rFonts w:ascii="Times New Roman" w:hAnsi="Times New Roman" w:cs="Times New Roman"/>
          <w:b/>
          <w:sz w:val="24"/>
          <w:szCs w:val="24"/>
        </w:rPr>
      </w:pPr>
      <w:proofErr w:type="spellStart"/>
      <w:r w:rsidRPr="00B06469">
        <w:rPr>
          <w:rFonts w:ascii="Times New Roman" w:hAnsi="Times New Roman" w:cs="Times New Roman"/>
          <w:b/>
          <w:sz w:val="24"/>
          <w:szCs w:val="24"/>
        </w:rPr>
        <w:t>Камышлинского</w:t>
      </w:r>
      <w:proofErr w:type="spellEnd"/>
      <w:r w:rsidRPr="00B06469">
        <w:rPr>
          <w:rFonts w:ascii="Times New Roman" w:hAnsi="Times New Roman" w:cs="Times New Roman"/>
          <w:b/>
          <w:sz w:val="24"/>
          <w:szCs w:val="24"/>
        </w:rPr>
        <w:t xml:space="preserve"> района в 2012 и 2016годах, тыс. руб. </w:t>
      </w:r>
    </w:p>
    <w:p w:rsidR="00F51B81" w:rsidRPr="00B06469" w:rsidRDefault="00F51B81" w:rsidP="001F0139">
      <w:pPr>
        <w:widowControl w:val="0"/>
        <w:spacing w:after="0" w:line="240" w:lineRule="auto"/>
        <w:jc w:val="both"/>
        <w:rPr>
          <w:rFonts w:ascii="Times New Roman" w:hAnsi="Times New Roman" w:cs="Times New Roman"/>
          <w:sz w:val="24"/>
          <w:szCs w:val="24"/>
        </w:rPr>
      </w:pP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рейтинге сельских муниципальных образований по расходам местного бюджета на душу населения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район занимает 11 место (при среднем значении по области – 18637,1 руб.) (рис. 1.5.20). </w:t>
      </w:r>
    </w:p>
    <w:p w:rsidR="00F51B81" w:rsidRPr="00B06469" w:rsidRDefault="00F51B81" w:rsidP="001F0139">
      <w:pPr>
        <w:widowControl w:val="0"/>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060BA0A1" wp14:editId="071DF29E">
            <wp:extent cx="4583684" cy="3755136"/>
            <wp:effectExtent l="19050" t="0" r="26416" b="0"/>
            <wp:docPr id="46"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 xml:space="preserve">Источник: ФСГС: Социально-экономические показатели муниципальных районов </w:t>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 xml:space="preserve">и </w:t>
      </w:r>
      <w:proofErr w:type="spellStart"/>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ских</w:t>
      </w:r>
      <w:proofErr w:type="spellEnd"/>
      <w:r w:rsidRPr="00B06469">
        <w:rPr>
          <w:rFonts w:ascii="Times New Roman" w:hAnsi="Times New Roman" w:cs="Times New Roman"/>
          <w:sz w:val="24"/>
          <w:szCs w:val="24"/>
        </w:rPr>
        <w:t xml:space="preserve"> округов Самарской области, 2016</w:t>
      </w:r>
    </w:p>
    <w:p w:rsidR="00F51B81" w:rsidRPr="00B06469" w:rsidRDefault="00F51B81"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1.5.20 </w:t>
      </w:r>
      <w:r w:rsidRPr="00B06469">
        <w:rPr>
          <w:rFonts w:ascii="Times New Roman" w:hAnsi="Times New Roman" w:cs="Times New Roman"/>
          <w:b/>
          <w:sz w:val="24"/>
          <w:szCs w:val="24"/>
        </w:rPr>
        <w:t>– Расходы местного бюджета на душу населения</w:t>
      </w:r>
    </w:p>
    <w:p w:rsidR="00F51B81" w:rsidRPr="00B06469" w:rsidRDefault="00F51B81"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муниципальных районов Самарской области за 2016 г., руб.</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2017 году объём дотаций на выравнивание бюджетной обеспеченности муниципальных районов по сравнению с 2016 годом уменьшилась. Однако в связи со структурными изменениями в распределении, прежде всего, налогового потенциала по земельному налогу (его сокращение по </w:t>
      </w:r>
      <w:proofErr w:type="spellStart"/>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ским</w:t>
      </w:r>
      <w:proofErr w:type="spellEnd"/>
      <w:r w:rsidRPr="00B06469">
        <w:rPr>
          <w:rFonts w:ascii="Times New Roman" w:hAnsi="Times New Roman" w:cs="Times New Roman"/>
          <w:sz w:val="24"/>
          <w:szCs w:val="24"/>
        </w:rPr>
        <w:t xml:space="preserve"> округам и увеличение по муниципальным районам) произошло перераспределение дотаций от бюджетов муниципальных районов в пользу бюджетов </w:t>
      </w:r>
      <w:proofErr w:type="spellStart"/>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ских</w:t>
      </w:r>
      <w:proofErr w:type="spellEnd"/>
      <w:r w:rsidRPr="00B06469">
        <w:rPr>
          <w:rFonts w:ascii="Times New Roman" w:hAnsi="Times New Roman" w:cs="Times New Roman"/>
          <w:sz w:val="24"/>
          <w:szCs w:val="24"/>
        </w:rPr>
        <w:t xml:space="preserve"> округов.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Указанные перераспределения частично нивелируются за счёт другой формы финансовой поддержки – стимулирующих субсидий, в составе которых в 2017 году бюджетам муниципальных районов была предусмотрена компенсация сокращения дотаций на выравнивание в виде возмещения выпадающих доходов.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Кроме того, в составе бюджета министерства сельского хозяйства и продовольствия Самарской области с 2017 года бюджетам муниципальных районов была перечислена дотация на стимулирование роста налогового потенциала территории муниципального образования в связи с созданием условий органами местного самоуправления муниципальных образований в Самарской области для развития сельскохозяйственного производства.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 2017 года появился ещё один новый вид дотации – на стимулирование предоставления государственных услуг через МФЦ (объём этих дотаций будет определяться исходя из 50%-</w:t>
      </w:r>
      <w:proofErr w:type="spellStart"/>
      <w:r w:rsidRPr="00B06469">
        <w:rPr>
          <w:rFonts w:ascii="Times New Roman" w:hAnsi="Times New Roman" w:cs="Times New Roman"/>
          <w:sz w:val="24"/>
          <w:szCs w:val="24"/>
        </w:rPr>
        <w:t>ного</w:t>
      </w:r>
      <w:proofErr w:type="spellEnd"/>
      <w:r w:rsidRPr="00B06469">
        <w:rPr>
          <w:rFonts w:ascii="Times New Roman" w:hAnsi="Times New Roman" w:cs="Times New Roman"/>
          <w:sz w:val="24"/>
          <w:szCs w:val="24"/>
        </w:rPr>
        <w:t xml:space="preserve"> уровня платы за предоставление федеральными органами сведений через МФЦ за отчётный период).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С 2017 года из состава стимулирующих субсидий (исключительно в части бюджетов муниципальных районов) выведены средства на поддержку сельскохозяйственного производства. Данная поддержка с 2017 года осуществлялась напрямую с министерством сельского хозяйства и продовольствия Самарской области. При этом данные изменения не затрагивают бюджеты поселений (у них сохранится составляющая, связанная с развитием сельского хозяйства).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 2017 года изменилась ситуация, связанная с оперативным расходованием узкоцелевых субсидий. В соответствии с новыми общими условиями предоставления и расходования субсидий для главных распорядителей бюджетных средств устанавливаются жёсткие сроки их распределения между местными бюджетами – до 1 марта, в случае если субсидии были изначально предусмотрены в областном бюджете, и в течение 45 дней при внесении изменений в бюджет. Кроме того, главные распорядители бюджетных средств обязаны в течение 15 рабочих дней со дня распределения субсидий заключить с органами местного самоуправления соглашения, если их заключение предполагает порядок расходования субсидий. Также должны будут устанавливаться конкретные сроки, связанные с процедурой расходования средств органами местного самоуправления (начало конкурсных процедур, принятие необходимых муниципальных нормативных правовых актов и т.п.). Всё это позволит сократить сроки нахождения финансовых ресурсов на счетах областного и местных бюджетов, а, значит, повысит эффективность расходования бюджетных средств.</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p>
    <w:p w:rsidR="00F51B81" w:rsidRPr="00B06469" w:rsidRDefault="00F51B81" w:rsidP="001F0139">
      <w:pPr>
        <w:spacing w:after="0" w:line="360" w:lineRule="auto"/>
        <w:contextualSpacing/>
        <w:outlineLvl w:val="2"/>
        <w:rPr>
          <w:rFonts w:ascii="Times New Roman" w:hAnsi="Times New Roman" w:cs="Times New Roman"/>
          <w:b/>
          <w:color w:val="365F91"/>
          <w:sz w:val="24"/>
          <w:szCs w:val="24"/>
        </w:rPr>
      </w:pPr>
      <w:bookmarkStart w:id="37" w:name="_Toc520894845"/>
      <w:r w:rsidRPr="00B06469">
        <w:rPr>
          <w:rFonts w:ascii="Times New Roman" w:hAnsi="Times New Roman" w:cs="Times New Roman"/>
          <w:b/>
          <w:color w:val="365F91"/>
          <w:sz w:val="24"/>
          <w:szCs w:val="24"/>
        </w:rPr>
        <w:t>1.5.7 Муниципальное управление</w:t>
      </w:r>
      <w:bookmarkEnd w:id="37"/>
    </w:p>
    <w:p w:rsidR="00F51B81" w:rsidRPr="00B06469" w:rsidRDefault="00F51B81" w:rsidP="001F0139">
      <w:pPr>
        <w:spacing w:after="0"/>
        <w:rPr>
          <w:rFonts w:ascii="Times New Roman" w:hAnsi="Times New Roman" w:cs="Times New Roman"/>
          <w:sz w:val="24"/>
          <w:szCs w:val="24"/>
        </w:rPr>
      </w:pPr>
    </w:p>
    <w:p w:rsidR="00F51B81" w:rsidRPr="00B0646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t>Большое внимание в районе уделяется вопросам выполнения Указа Президента РФ от 07.05.2012 N 601 «Об основных направлениях совершенствования системы государственного управления». В целях совершенствования системы оказания государственных и муниципальных услуг населению сформирован реестр муниципальных услуг, предоставляемых на территории района. Данный реестр включает в себя 27 видов услуг, в том числе 4 услуги, оказываемые в электронной форме.</w:t>
      </w:r>
    </w:p>
    <w:p w:rsidR="00F51B81" w:rsidRPr="00B0646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t>С конца 2011 года на территории района работает многофункциональный центр предоставления государственных и муниципальных услуг. По итогам 2016 года на базе центра организовано предоставление 185 услуг, федеральных, региональных и муниципальных органов власти.</w:t>
      </w:r>
    </w:p>
    <w:p w:rsidR="00F51B81" w:rsidRPr="00B0646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t>В 2013 году были открыты и оборудованы два стационарных удаленных, и три выездных пункта приема в населенных пунктах района. Это позволило достичь показателя – 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 до 100 процентов.</w:t>
      </w:r>
    </w:p>
    <w:p w:rsidR="00F51B81" w:rsidRPr="00B0646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lastRenderedPageBreak/>
        <w:t>В целях оценки гражданами качества и доступности предоставления государственных (муниципальных) услуг многофункциональный центр подключен к Информационно–аналитической системе мониторинга качества (ИАС МКГУ «</w:t>
      </w:r>
      <w:proofErr w:type="spellStart"/>
      <w:r w:rsidRPr="00B06469">
        <w:rPr>
          <w:rFonts w:ascii="Times New Roman" w:eastAsia="Times New Roman" w:hAnsi="Times New Roman" w:cs="Times New Roman"/>
          <w:sz w:val="24"/>
          <w:szCs w:val="24"/>
        </w:rPr>
        <w:t>Вашконтроль</w:t>
      </w:r>
      <w:proofErr w:type="gramStart"/>
      <w:r w:rsidRPr="00B06469">
        <w:rPr>
          <w:rFonts w:ascii="Times New Roman" w:eastAsia="Times New Roman" w:hAnsi="Times New Roman" w:cs="Times New Roman"/>
          <w:sz w:val="24"/>
          <w:szCs w:val="24"/>
        </w:rPr>
        <w:t>.р</w:t>
      </w:r>
      <w:proofErr w:type="gramEnd"/>
      <w:r w:rsidRPr="00B06469">
        <w:rPr>
          <w:rFonts w:ascii="Times New Roman" w:eastAsia="Times New Roman" w:hAnsi="Times New Roman" w:cs="Times New Roman"/>
          <w:sz w:val="24"/>
          <w:szCs w:val="24"/>
        </w:rPr>
        <w:t>у</w:t>
      </w:r>
      <w:proofErr w:type="spellEnd"/>
      <w:r w:rsidRPr="00B06469">
        <w:rPr>
          <w:rFonts w:ascii="Times New Roman" w:eastAsia="Times New Roman" w:hAnsi="Times New Roman" w:cs="Times New Roman"/>
          <w:sz w:val="24"/>
          <w:szCs w:val="24"/>
        </w:rPr>
        <w:t>»). По данным мониторинга уровень удовлетворенности граждан качеством предоставления государственных и муниципальных за 2016 года составляет 100%.</w:t>
      </w:r>
    </w:p>
    <w:p w:rsidR="00F51B81" w:rsidRPr="00B0646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t xml:space="preserve">Дополнительно мотивировать сельчан к совместному выполнению работ по решению вопросов местного значения призван областной проект поддержки местных инициатив граждан, </w:t>
      </w:r>
      <w:proofErr w:type="gramStart"/>
      <w:r w:rsidRPr="00B06469">
        <w:rPr>
          <w:rFonts w:ascii="Times New Roman" w:eastAsia="Times New Roman" w:hAnsi="Times New Roman" w:cs="Times New Roman"/>
          <w:sz w:val="24"/>
          <w:szCs w:val="24"/>
        </w:rPr>
        <w:t>благодаря</w:t>
      </w:r>
      <w:proofErr w:type="gramEnd"/>
      <w:r w:rsidRPr="00B06469">
        <w:rPr>
          <w:rFonts w:ascii="Times New Roman" w:eastAsia="Times New Roman" w:hAnsi="Times New Roman" w:cs="Times New Roman"/>
          <w:sz w:val="24"/>
          <w:szCs w:val="24"/>
        </w:rPr>
        <w:t xml:space="preserve"> которому все сельские поселения района смогут улучшить уровень благоустройства. Участие в нем — отличная возможность для населения решать именно те проблемы, которые являются наиболее важными для их территорий.</w:t>
      </w:r>
    </w:p>
    <w:p w:rsidR="00F51B81" w:rsidRPr="00B0646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t xml:space="preserve">Проект поддержки местных инициатив осуществляется за счет областного бюджета через предоставление субсидии на реализацию конкретного проекта муниципалитета на условиях </w:t>
      </w:r>
      <w:proofErr w:type="spellStart"/>
      <w:r w:rsidRPr="00B06469">
        <w:rPr>
          <w:rFonts w:ascii="Times New Roman" w:eastAsia="Times New Roman" w:hAnsi="Times New Roman" w:cs="Times New Roman"/>
          <w:sz w:val="24"/>
          <w:szCs w:val="24"/>
        </w:rPr>
        <w:t>софинансирования</w:t>
      </w:r>
      <w:proofErr w:type="spellEnd"/>
      <w:r w:rsidRPr="00B06469">
        <w:rPr>
          <w:rFonts w:ascii="Times New Roman" w:eastAsia="Times New Roman" w:hAnsi="Times New Roman" w:cs="Times New Roman"/>
          <w:sz w:val="24"/>
          <w:szCs w:val="24"/>
        </w:rPr>
        <w:t xml:space="preserve"> из местного бюджета, средств населения и организаций. На сегодня все шесть сельских поселений района подали заявки на участие в конкурсном отборе программы по поддержке и реализации местных инициатив. Это проекты, инициированные гражданами, по самым различным направлениям.</w:t>
      </w:r>
    </w:p>
    <w:p w:rsidR="00F51B81" w:rsidRPr="00B0646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t>Государственная программа Самарской области «Поддержка инициатив населения муниципальных образований» на 2017-2025 годы разработана правительством Самарской области, ее цель — вовлечение жителей муниципальных образований в развитие их территорий, увеличение средств муниципалитетов, расходуемых на решение проблем, которые волнуют граждан. Поддержка общественных проектов из регионального бюджета будет осуществляться на конкурсной основе. Минимальная доля самофинансирования за счет сре</w:t>
      </w:r>
      <w:proofErr w:type="gramStart"/>
      <w:r w:rsidRPr="00B06469">
        <w:rPr>
          <w:rFonts w:ascii="Times New Roman" w:eastAsia="Times New Roman" w:hAnsi="Times New Roman" w:cs="Times New Roman"/>
          <w:sz w:val="24"/>
          <w:szCs w:val="24"/>
        </w:rPr>
        <w:t>дств гр</w:t>
      </w:r>
      <w:proofErr w:type="gramEnd"/>
      <w:r w:rsidRPr="00B06469">
        <w:rPr>
          <w:rFonts w:ascii="Times New Roman" w:eastAsia="Times New Roman" w:hAnsi="Times New Roman" w:cs="Times New Roman"/>
          <w:sz w:val="24"/>
          <w:szCs w:val="24"/>
        </w:rPr>
        <w:t xml:space="preserve">аждан и организаций — 7%. Также обязательно </w:t>
      </w:r>
      <w:proofErr w:type="spellStart"/>
      <w:r w:rsidRPr="00B06469">
        <w:rPr>
          <w:rFonts w:ascii="Times New Roman" w:eastAsia="Times New Roman" w:hAnsi="Times New Roman" w:cs="Times New Roman"/>
          <w:sz w:val="24"/>
          <w:szCs w:val="24"/>
        </w:rPr>
        <w:t>софинансирование</w:t>
      </w:r>
      <w:proofErr w:type="spellEnd"/>
      <w:r w:rsidRPr="00B06469">
        <w:rPr>
          <w:rFonts w:ascii="Times New Roman" w:eastAsia="Times New Roman" w:hAnsi="Times New Roman" w:cs="Times New Roman"/>
          <w:sz w:val="24"/>
          <w:szCs w:val="24"/>
        </w:rPr>
        <w:t xml:space="preserve"> за счет средств местного бюджета. Оно станет одним из критериев отбора. Инициировать проекты могут общественные советы, органы самоуправления, непосредственно сами граждане.</w:t>
      </w:r>
    </w:p>
    <w:p w:rsidR="00F51B81" w:rsidRPr="00B0646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t xml:space="preserve">В </w:t>
      </w:r>
      <w:proofErr w:type="spellStart"/>
      <w:r w:rsidRPr="00B06469">
        <w:rPr>
          <w:rFonts w:ascii="Times New Roman" w:eastAsia="Times New Roman" w:hAnsi="Times New Roman" w:cs="Times New Roman"/>
          <w:sz w:val="24"/>
          <w:szCs w:val="24"/>
        </w:rPr>
        <w:t>Камышлинском</w:t>
      </w:r>
      <w:proofErr w:type="spellEnd"/>
      <w:r w:rsidRPr="00B06469">
        <w:rPr>
          <w:rFonts w:ascii="Times New Roman" w:eastAsia="Times New Roman" w:hAnsi="Times New Roman" w:cs="Times New Roman"/>
          <w:sz w:val="24"/>
          <w:szCs w:val="24"/>
        </w:rPr>
        <w:t xml:space="preserve"> районе на сайте Органов местного самоуправления сельского поселения Камышла действует интернет-приемная для принятия и обработки обращений граждан (Режим доступа: http://kamyshla.ru/sv_rezultati_raboti.php?blok=priemnaya&amp;razdel=rezultati_raboti&amp;cs=6). В 2016 г. </w:t>
      </w:r>
      <w:proofErr w:type="spellStart"/>
      <w:r w:rsidRPr="00B06469">
        <w:rPr>
          <w:rFonts w:ascii="Times New Roman" w:eastAsia="Times New Roman" w:hAnsi="Times New Roman" w:cs="Times New Roman"/>
          <w:sz w:val="24"/>
          <w:szCs w:val="24"/>
        </w:rPr>
        <w:t>Камышлинский</w:t>
      </w:r>
      <w:proofErr w:type="spellEnd"/>
      <w:r w:rsidRPr="00B06469">
        <w:rPr>
          <w:rFonts w:ascii="Times New Roman" w:eastAsia="Times New Roman" w:hAnsi="Times New Roman" w:cs="Times New Roman"/>
          <w:sz w:val="24"/>
          <w:szCs w:val="24"/>
        </w:rPr>
        <w:t xml:space="preserve"> район демонстрировал уровень удовлетворенности населения деятельностью органов местного самоуправления, равный 76%, при среднем значении по муниципальным районам (77,5%).</w:t>
      </w:r>
    </w:p>
    <w:p w:rsidR="00F51B81" w:rsidRPr="00B06469" w:rsidRDefault="00F51B81"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CB5772" w:rsidRPr="00B06469" w:rsidRDefault="00CB5772"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lastRenderedPageBreak/>
        <w:t>8.2.Стратегические цели, задачи и проектно-программный комплекс</w:t>
      </w:r>
      <w:r w:rsidR="002760F1" w:rsidRPr="00B06469">
        <w:rPr>
          <w:rFonts w:ascii="Times New Roman" w:hAnsi="Times New Roman" w:cs="Times New Roman"/>
          <w:b/>
          <w:color w:val="365F91" w:themeColor="accent1" w:themeShade="BF"/>
          <w:sz w:val="24"/>
          <w:szCs w:val="24"/>
        </w:rPr>
        <w:t xml:space="preserve"> </w:t>
      </w:r>
      <w:r w:rsidRPr="00B06469">
        <w:rPr>
          <w:rFonts w:ascii="Times New Roman" w:hAnsi="Times New Roman" w:cs="Times New Roman"/>
          <w:b/>
          <w:color w:val="365F91" w:themeColor="accent1" w:themeShade="BF"/>
          <w:sz w:val="24"/>
          <w:szCs w:val="24"/>
        </w:rPr>
        <w:t>направления «Формирование, совершенствование и накопление человеческого капитала».</w:t>
      </w:r>
    </w:p>
    <w:p w:rsidR="00F23598" w:rsidRPr="00B06469" w:rsidRDefault="00337AC4"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 xml:space="preserve">8.2.1.Развитие и модернизация производства сельскохозяйственной продукции </w:t>
      </w:r>
    </w:p>
    <w:p w:rsidR="00077D58" w:rsidRPr="00B06469" w:rsidRDefault="00443650" w:rsidP="001F0139">
      <w:pPr>
        <w:pStyle w:val="a3"/>
        <w:spacing w:after="0" w:line="360" w:lineRule="auto"/>
        <w:ind w:left="0" w:firstLine="709"/>
        <w:jc w:val="both"/>
        <w:rPr>
          <w:rFonts w:ascii="Times New Roman" w:hAnsi="Times New Roman" w:cs="Times New Roman"/>
          <w:b/>
          <w:sz w:val="24"/>
          <w:szCs w:val="24"/>
        </w:rPr>
      </w:pPr>
      <w:r w:rsidRPr="00B06469">
        <w:rPr>
          <w:rFonts w:ascii="Times New Roman" w:hAnsi="Times New Roman" w:cs="Times New Roman"/>
          <w:b/>
          <w:sz w:val="24"/>
          <w:szCs w:val="24"/>
        </w:rPr>
        <w:t>Мероприятия</w:t>
      </w:r>
    </w:p>
    <w:p w:rsidR="00443650" w:rsidRPr="00B06469" w:rsidRDefault="00443650" w:rsidP="001F0139">
      <w:pPr>
        <w:pStyle w:val="a3"/>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 xml:space="preserve">Строительство </w:t>
      </w:r>
      <w:proofErr w:type="spellStart"/>
      <w:r w:rsidRPr="00B06469">
        <w:rPr>
          <w:rFonts w:ascii="Times New Roman" w:hAnsi="Times New Roman" w:cs="Times New Roman"/>
          <w:sz w:val="24"/>
          <w:szCs w:val="24"/>
        </w:rPr>
        <w:t>свинокомплексов</w:t>
      </w:r>
      <w:proofErr w:type="spellEnd"/>
      <w:r w:rsidRPr="00B06469">
        <w:rPr>
          <w:rFonts w:ascii="Times New Roman" w:hAnsi="Times New Roman" w:cs="Times New Roman"/>
          <w:sz w:val="24"/>
          <w:szCs w:val="24"/>
        </w:rPr>
        <w:t xml:space="preserve"> в селе Никиткино на 3000 голов и в селе Степановка на 1000 голов.</w:t>
      </w:r>
    </w:p>
    <w:p w:rsidR="00443650" w:rsidRPr="00B06469" w:rsidRDefault="00443650" w:rsidP="001F0139">
      <w:pPr>
        <w:pStyle w:val="a3"/>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 xml:space="preserve">Строительство ферм КРС в населенных пунктах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Самарской области: </w:t>
      </w:r>
    </w:p>
    <w:p w:rsidR="00443650" w:rsidRPr="00B06469" w:rsidRDefault="00443650" w:rsidP="001F0139">
      <w:pPr>
        <w:pStyle w:val="a3"/>
        <w:numPr>
          <w:ilvl w:val="0"/>
          <w:numId w:val="22"/>
        </w:numPr>
        <w:spacing w:after="0" w:line="360" w:lineRule="auto"/>
        <w:ind w:left="0"/>
        <w:rPr>
          <w:rFonts w:ascii="Times New Roman" w:hAnsi="Times New Roman" w:cs="Times New Roman"/>
          <w:sz w:val="24"/>
          <w:szCs w:val="24"/>
        </w:rPr>
      </w:pPr>
      <w:proofErr w:type="gramStart"/>
      <w:r w:rsidRPr="00B06469">
        <w:rPr>
          <w:rFonts w:ascii="Times New Roman" w:hAnsi="Times New Roman" w:cs="Times New Roman"/>
          <w:sz w:val="24"/>
          <w:szCs w:val="24"/>
        </w:rPr>
        <w:t>с</w:t>
      </w:r>
      <w:proofErr w:type="gramEnd"/>
      <w:r w:rsidRPr="00B06469">
        <w:rPr>
          <w:rFonts w:ascii="Times New Roman" w:hAnsi="Times New Roman" w:cs="Times New Roman"/>
          <w:sz w:val="24"/>
          <w:szCs w:val="24"/>
        </w:rPr>
        <w:t xml:space="preserve">. Старое </w:t>
      </w:r>
      <w:proofErr w:type="spellStart"/>
      <w:r w:rsidRPr="00B06469">
        <w:rPr>
          <w:rFonts w:ascii="Times New Roman" w:hAnsi="Times New Roman" w:cs="Times New Roman"/>
          <w:sz w:val="24"/>
          <w:szCs w:val="24"/>
        </w:rPr>
        <w:t>Усманово</w:t>
      </w:r>
      <w:proofErr w:type="spellEnd"/>
      <w:r w:rsidRPr="00B06469">
        <w:rPr>
          <w:rFonts w:ascii="Times New Roman" w:hAnsi="Times New Roman" w:cs="Times New Roman"/>
          <w:sz w:val="24"/>
          <w:szCs w:val="24"/>
        </w:rPr>
        <w:t xml:space="preserve"> на 1000 голов;</w:t>
      </w:r>
    </w:p>
    <w:p w:rsidR="00443650" w:rsidRPr="00B06469" w:rsidRDefault="00443650" w:rsidP="001F0139">
      <w:pPr>
        <w:pStyle w:val="a3"/>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 xml:space="preserve">с. Новое </w:t>
      </w:r>
      <w:proofErr w:type="spellStart"/>
      <w:r w:rsidRPr="00B06469">
        <w:rPr>
          <w:rFonts w:ascii="Times New Roman" w:hAnsi="Times New Roman" w:cs="Times New Roman"/>
          <w:sz w:val="24"/>
          <w:szCs w:val="24"/>
        </w:rPr>
        <w:t>Усманово</w:t>
      </w:r>
      <w:proofErr w:type="spellEnd"/>
      <w:r w:rsidRPr="00B06469">
        <w:rPr>
          <w:rFonts w:ascii="Times New Roman" w:hAnsi="Times New Roman" w:cs="Times New Roman"/>
          <w:sz w:val="24"/>
          <w:szCs w:val="24"/>
        </w:rPr>
        <w:t xml:space="preserve"> на 2000 голов;</w:t>
      </w:r>
    </w:p>
    <w:p w:rsidR="00443650" w:rsidRPr="00B06469" w:rsidRDefault="00443650" w:rsidP="001F0139">
      <w:pPr>
        <w:pStyle w:val="a3"/>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 xml:space="preserve">с. </w:t>
      </w:r>
      <w:proofErr w:type="gramStart"/>
      <w:r w:rsidRPr="00B06469">
        <w:rPr>
          <w:rFonts w:ascii="Times New Roman" w:hAnsi="Times New Roman" w:cs="Times New Roman"/>
          <w:sz w:val="24"/>
          <w:szCs w:val="24"/>
        </w:rPr>
        <w:t>Татарский</w:t>
      </w:r>
      <w:proofErr w:type="gramEnd"/>
      <w:r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Байтуган</w:t>
      </w:r>
      <w:proofErr w:type="spellEnd"/>
      <w:r w:rsidRPr="00B06469">
        <w:rPr>
          <w:rFonts w:ascii="Times New Roman" w:hAnsi="Times New Roman" w:cs="Times New Roman"/>
          <w:sz w:val="24"/>
          <w:szCs w:val="24"/>
        </w:rPr>
        <w:t xml:space="preserve"> на 1000 голов;</w:t>
      </w:r>
    </w:p>
    <w:p w:rsidR="00443650" w:rsidRPr="00B06469" w:rsidRDefault="00443650" w:rsidP="001F0139">
      <w:pPr>
        <w:pStyle w:val="a3"/>
        <w:numPr>
          <w:ilvl w:val="0"/>
          <w:numId w:val="22"/>
        </w:numPr>
        <w:spacing w:after="0" w:line="360" w:lineRule="auto"/>
        <w:ind w:left="0"/>
        <w:rPr>
          <w:rFonts w:ascii="Times New Roman" w:hAnsi="Times New Roman" w:cs="Times New Roman"/>
          <w:sz w:val="24"/>
          <w:szCs w:val="24"/>
        </w:rPr>
      </w:pPr>
      <w:proofErr w:type="gramStart"/>
      <w:r w:rsidRPr="00B06469">
        <w:rPr>
          <w:rFonts w:ascii="Times New Roman" w:hAnsi="Times New Roman" w:cs="Times New Roman"/>
          <w:sz w:val="24"/>
          <w:szCs w:val="24"/>
        </w:rPr>
        <w:t>с</w:t>
      </w:r>
      <w:proofErr w:type="gramEnd"/>
      <w:r w:rsidRPr="00B06469">
        <w:rPr>
          <w:rFonts w:ascii="Times New Roman" w:hAnsi="Times New Roman" w:cs="Times New Roman"/>
          <w:sz w:val="24"/>
          <w:szCs w:val="24"/>
        </w:rPr>
        <w:t xml:space="preserve">. </w:t>
      </w:r>
      <w:proofErr w:type="gramStart"/>
      <w:r w:rsidRPr="00B06469">
        <w:rPr>
          <w:rFonts w:ascii="Times New Roman" w:hAnsi="Times New Roman" w:cs="Times New Roman"/>
          <w:sz w:val="24"/>
          <w:szCs w:val="24"/>
        </w:rPr>
        <w:t>Камышла</w:t>
      </w:r>
      <w:proofErr w:type="gramEnd"/>
      <w:r w:rsidRPr="00B06469">
        <w:rPr>
          <w:rFonts w:ascii="Times New Roman" w:hAnsi="Times New Roman" w:cs="Times New Roman"/>
          <w:sz w:val="24"/>
          <w:szCs w:val="24"/>
        </w:rPr>
        <w:t xml:space="preserve"> на 600 голов;</w:t>
      </w:r>
    </w:p>
    <w:p w:rsidR="00443650" w:rsidRPr="00B06469" w:rsidRDefault="00443650" w:rsidP="001F0139">
      <w:pPr>
        <w:pStyle w:val="a3"/>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п. Чулпан на 600 голов;</w:t>
      </w:r>
    </w:p>
    <w:p w:rsidR="00443650" w:rsidRPr="00B06469" w:rsidRDefault="00443650" w:rsidP="001F0139">
      <w:pPr>
        <w:pStyle w:val="a3"/>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п. Юлдуз на 500 голов.</w:t>
      </w:r>
    </w:p>
    <w:p w:rsidR="00443650" w:rsidRPr="00B06469" w:rsidRDefault="00443650" w:rsidP="001F0139">
      <w:pPr>
        <w:pStyle w:val="a3"/>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 xml:space="preserve">Реконструкция ферм КРС в населенных пунктах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Самарской области: </w:t>
      </w:r>
    </w:p>
    <w:p w:rsidR="00443650" w:rsidRPr="00B06469" w:rsidRDefault="00443650" w:rsidP="001F0139">
      <w:pPr>
        <w:pStyle w:val="a3"/>
        <w:numPr>
          <w:ilvl w:val="0"/>
          <w:numId w:val="22"/>
        </w:numPr>
        <w:spacing w:after="0" w:line="360" w:lineRule="auto"/>
        <w:ind w:left="0"/>
        <w:rPr>
          <w:rFonts w:ascii="Times New Roman" w:hAnsi="Times New Roman" w:cs="Times New Roman"/>
          <w:sz w:val="24"/>
          <w:szCs w:val="24"/>
        </w:rPr>
      </w:pPr>
      <w:proofErr w:type="gramStart"/>
      <w:r w:rsidRPr="00B06469">
        <w:rPr>
          <w:rFonts w:ascii="Times New Roman" w:hAnsi="Times New Roman" w:cs="Times New Roman"/>
          <w:sz w:val="24"/>
          <w:szCs w:val="24"/>
        </w:rPr>
        <w:t>с</w:t>
      </w:r>
      <w:proofErr w:type="gramEnd"/>
      <w:r w:rsidRPr="00B06469">
        <w:rPr>
          <w:rFonts w:ascii="Times New Roman" w:hAnsi="Times New Roman" w:cs="Times New Roman"/>
          <w:sz w:val="24"/>
          <w:szCs w:val="24"/>
        </w:rPr>
        <w:t>. Старое Ермаково на 800 голов;</w:t>
      </w:r>
    </w:p>
    <w:p w:rsidR="00443650" w:rsidRPr="00B06469" w:rsidRDefault="00443650" w:rsidP="001F0139">
      <w:pPr>
        <w:pStyle w:val="a3"/>
        <w:numPr>
          <w:ilvl w:val="0"/>
          <w:numId w:val="22"/>
        </w:numPr>
        <w:spacing w:after="0" w:line="360" w:lineRule="auto"/>
        <w:ind w:left="0"/>
        <w:rPr>
          <w:rFonts w:ascii="Times New Roman" w:hAnsi="Times New Roman" w:cs="Times New Roman"/>
          <w:sz w:val="24"/>
          <w:szCs w:val="24"/>
        </w:rPr>
      </w:pPr>
      <w:proofErr w:type="gramStart"/>
      <w:r w:rsidRPr="00B06469">
        <w:rPr>
          <w:rFonts w:ascii="Times New Roman" w:hAnsi="Times New Roman" w:cs="Times New Roman"/>
          <w:sz w:val="24"/>
          <w:szCs w:val="24"/>
        </w:rPr>
        <w:t>с</w:t>
      </w:r>
      <w:proofErr w:type="gramEnd"/>
      <w:r w:rsidRPr="00B06469">
        <w:rPr>
          <w:rFonts w:ascii="Times New Roman" w:hAnsi="Times New Roman" w:cs="Times New Roman"/>
          <w:sz w:val="24"/>
          <w:szCs w:val="24"/>
        </w:rPr>
        <w:t xml:space="preserve">. Старая </w:t>
      </w:r>
      <w:proofErr w:type="spellStart"/>
      <w:r w:rsidRPr="00B06469">
        <w:rPr>
          <w:rFonts w:ascii="Times New Roman" w:hAnsi="Times New Roman" w:cs="Times New Roman"/>
          <w:sz w:val="24"/>
          <w:szCs w:val="24"/>
        </w:rPr>
        <w:t>Балыкла</w:t>
      </w:r>
      <w:proofErr w:type="spellEnd"/>
      <w:r w:rsidRPr="00B06469">
        <w:rPr>
          <w:rFonts w:ascii="Times New Roman" w:hAnsi="Times New Roman" w:cs="Times New Roman"/>
          <w:sz w:val="24"/>
          <w:szCs w:val="24"/>
        </w:rPr>
        <w:t xml:space="preserve"> на 600 голов.</w:t>
      </w:r>
    </w:p>
    <w:p w:rsidR="00443650" w:rsidRPr="00B06469" w:rsidRDefault="00443650" w:rsidP="001F0139">
      <w:pPr>
        <w:pStyle w:val="a3"/>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 Строительство овцеводческих ферм в п. Неклюдово на 5000 голов и п. Юлдуз на 600 голов.</w:t>
      </w:r>
    </w:p>
    <w:p w:rsidR="00443650" w:rsidRPr="00B06469" w:rsidRDefault="00443650" w:rsidP="001F0139">
      <w:pPr>
        <w:pStyle w:val="a3"/>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Строительство птицефермы в п. Юлдуз на 1500 птиц.</w:t>
      </w:r>
    </w:p>
    <w:p w:rsidR="00443650" w:rsidRPr="00B06469" w:rsidRDefault="00443650" w:rsidP="001F0139">
      <w:pPr>
        <w:pStyle w:val="a3"/>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 xml:space="preserve">Реконструкция птицефермы </w:t>
      </w:r>
      <w:proofErr w:type="gramStart"/>
      <w:r w:rsidRPr="00B06469">
        <w:rPr>
          <w:rFonts w:ascii="Times New Roman" w:hAnsi="Times New Roman" w:cs="Times New Roman"/>
          <w:sz w:val="24"/>
          <w:szCs w:val="24"/>
        </w:rPr>
        <w:t>в</w:t>
      </w:r>
      <w:proofErr w:type="gramEnd"/>
      <w:r w:rsidRPr="00B06469">
        <w:rPr>
          <w:rFonts w:ascii="Times New Roman" w:hAnsi="Times New Roman" w:cs="Times New Roman"/>
          <w:sz w:val="24"/>
          <w:szCs w:val="24"/>
        </w:rPr>
        <w:t xml:space="preserve"> </w:t>
      </w:r>
      <w:proofErr w:type="gramStart"/>
      <w:r w:rsidRPr="00B06469">
        <w:rPr>
          <w:rFonts w:ascii="Times New Roman" w:hAnsi="Times New Roman" w:cs="Times New Roman"/>
          <w:sz w:val="24"/>
          <w:szCs w:val="24"/>
        </w:rPr>
        <w:t>с</w:t>
      </w:r>
      <w:proofErr w:type="gramEnd"/>
      <w:r w:rsidRPr="00B06469">
        <w:rPr>
          <w:rFonts w:ascii="Times New Roman" w:hAnsi="Times New Roman" w:cs="Times New Roman"/>
          <w:sz w:val="24"/>
          <w:szCs w:val="24"/>
        </w:rPr>
        <w:t>. Новое Ермаково на 1500 птиц.</w:t>
      </w:r>
    </w:p>
    <w:p w:rsidR="00443650" w:rsidRPr="00B06469" w:rsidRDefault="00443650" w:rsidP="001F0139">
      <w:pPr>
        <w:pStyle w:val="a3"/>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Строительство конезавода в п. Юлдуз.</w:t>
      </w:r>
    </w:p>
    <w:p w:rsidR="00077D58" w:rsidRPr="00B06469" w:rsidRDefault="00077D58" w:rsidP="001F0139">
      <w:pPr>
        <w:pStyle w:val="a3"/>
        <w:spacing w:after="0" w:line="360" w:lineRule="auto"/>
        <w:ind w:left="0" w:firstLine="709"/>
        <w:jc w:val="both"/>
        <w:rPr>
          <w:rFonts w:ascii="Times New Roman" w:hAnsi="Times New Roman" w:cs="Times New Roman"/>
          <w:b/>
          <w:sz w:val="24"/>
          <w:szCs w:val="24"/>
        </w:rPr>
      </w:pPr>
      <w:r w:rsidRPr="00B06469">
        <w:rPr>
          <w:rFonts w:ascii="Times New Roman" w:hAnsi="Times New Roman" w:cs="Times New Roman"/>
          <w:b/>
          <w:sz w:val="24"/>
          <w:szCs w:val="24"/>
        </w:rPr>
        <w:t>Проекты и программы</w:t>
      </w:r>
    </w:p>
    <w:p w:rsidR="00077D58" w:rsidRPr="00B06469" w:rsidRDefault="00077D58" w:rsidP="001F0139">
      <w:pPr>
        <w:pStyle w:val="a3"/>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 xml:space="preserve">Действующая муниципальная программа </w:t>
      </w:r>
      <w:r w:rsidRPr="00B06469">
        <w:rPr>
          <w:rFonts w:ascii="Times New Roman" w:hAnsi="Times New Roman" w:cs="Times New Roman"/>
          <w:sz w:val="24"/>
          <w:szCs w:val="24"/>
        </w:rPr>
        <w:t xml:space="preserve">«Развитие сельского хозяйства и регулирования рынков с/х продукции, сырья и продовольствия муниципального района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на 2013 - 2020 гг.«</w:t>
      </w:r>
    </w:p>
    <w:p w:rsidR="00077D58" w:rsidRPr="00B06469" w:rsidRDefault="00077D58" w:rsidP="001F0139">
      <w:pPr>
        <w:pStyle w:val="a3"/>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 xml:space="preserve">Действующая муниципальная программа </w:t>
      </w:r>
      <w:r w:rsidRPr="00B06469">
        <w:rPr>
          <w:rFonts w:ascii="Times New Roman" w:hAnsi="Times New Roman" w:cs="Times New Roman"/>
          <w:sz w:val="24"/>
          <w:szCs w:val="24"/>
        </w:rPr>
        <w:t xml:space="preserve">«Развитие малого и среднего предпринимательства в муниципальном районе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Самарской области на 2018-2020 годы»</w:t>
      </w:r>
      <w:r w:rsidRPr="00B06469">
        <w:rPr>
          <w:rFonts w:ascii="Times New Roman" w:hAnsi="Times New Roman" w:cs="Times New Roman"/>
          <w:bCs/>
          <w:sz w:val="24"/>
          <w:szCs w:val="24"/>
          <w:u w:val="single"/>
        </w:rPr>
        <w:t xml:space="preserve"> </w:t>
      </w:r>
    </w:p>
    <w:p w:rsidR="00077D58" w:rsidRPr="00B06469" w:rsidRDefault="00077D58" w:rsidP="001F0139">
      <w:pPr>
        <w:pStyle w:val="a3"/>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«Мясомолочный комплекс». </w:t>
      </w:r>
    </w:p>
    <w:p w:rsidR="00077D58" w:rsidRPr="00B06469" w:rsidRDefault="00077D58" w:rsidP="001F0139">
      <w:pPr>
        <w:pStyle w:val="a3"/>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 xml:space="preserve">Проект </w:t>
      </w:r>
      <w:r w:rsidRPr="00B06469">
        <w:rPr>
          <w:rFonts w:ascii="Times New Roman" w:hAnsi="Times New Roman" w:cs="Times New Roman"/>
          <w:sz w:val="24"/>
          <w:szCs w:val="24"/>
        </w:rPr>
        <w:t>«Развитие тепличного овощеводства»</w:t>
      </w:r>
    </w:p>
    <w:p w:rsidR="00077D58" w:rsidRPr="00B06469" w:rsidRDefault="00077D58"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337AC4" w:rsidRPr="00B06469" w:rsidRDefault="00337AC4"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8.2.2. Развитие перерабатывающих производств</w:t>
      </w:r>
    </w:p>
    <w:p w:rsidR="00337AC4" w:rsidRPr="00B06469" w:rsidRDefault="00337AC4" w:rsidP="001F0139">
      <w:pPr>
        <w:pStyle w:val="a3"/>
        <w:spacing w:after="0" w:line="360" w:lineRule="auto"/>
        <w:ind w:left="0" w:firstLine="709"/>
        <w:jc w:val="both"/>
        <w:rPr>
          <w:rFonts w:ascii="Times New Roman" w:hAnsi="Times New Roman" w:cs="Times New Roman"/>
          <w:sz w:val="24"/>
          <w:szCs w:val="24"/>
        </w:rPr>
      </w:pPr>
      <w:r w:rsidRPr="00B06469">
        <w:rPr>
          <w:rFonts w:ascii="Times New Roman" w:hAnsi="Times New Roman" w:cs="Times New Roman"/>
          <w:sz w:val="24"/>
          <w:szCs w:val="24"/>
        </w:rPr>
        <w:t>Проекты и программы</w:t>
      </w:r>
    </w:p>
    <w:p w:rsidR="00077D58" w:rsidRPr="00B06469" w:rsidRDefault="00077D58" w:rsidP="001F0139">
      <w:pPr>
        <w:pStyle w:val="a3"/>
        <w:numPr>
          <w:ilvl w:val="0"/>
          <w:numId w:val="21"/>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lastRenderedPageBreak/>
        <w:t xml:space="preserve">Действующая муниципальная программа </w:t>
      </w:r>
      <w:r w:rsidRPr="00B06469">
        <w:rPr>
          <w:rFonts w:ascii="Times New Roman" w:hAnsi="Times New Roman" w:cs="Times New Roman"/>
          <w:sz w:val="24"/>
          <w:szCs w:val="24"/>
        </w:rPr>
        <w:t xml:space="preserve">«Развитие малого и среднего предпринимательства в муниципальном районе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Самарской области на 2018-2020 годы»</w:t>
      </w:r>
      <w:r w:rsidRPr="00B06469">
        <w:rPr>
          <w:rFonts w:ascii="Times New Roman" w:hAnsi="Times New Roman" w:cs="Times New Roman"/>
          <w:bCs/>
          <w:sz w:val="24"/>
          <w:szCs w:val="24"/>
          <w:u w:val="single"/>
        </w:rPr>
        <w:t xml:space="preserve"> </w:t>
      </w:r>
    </w:p>
    <w:p w:rsidR="00077D58" w:rsidRPr="00B06469" w:rsidRDefault="00077D58" w:rsidP="001F0139">
      <w:pPr>
        <w:pStyle w:val="a3"/>
        <w:numPr>
          <w:ilvl w:val="0"/>
          <w:numId w:val="21"/>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«Гипсовый завод». </w:t>
      </w:r>
    </w:p>
    <w:p w:rsidR="00077D58" w:rsidRPr="00B06469" w:rsidRDefault="00077D58" w:rsidP="001F0139">
      <w:pPr>
        <w:pStyle w:val="a3"/>
        <w:numPr>
          <w:ilvl w:val="0"/>
          <w:numId w:val="21"/>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 xml:space="preserve">Проект </w:t>
      </w:r>
      <w:r w:rsidRPr="00B06469">
        <w:rPr>
          <w:rFonts w:ascii="Times New Roman" w:hAnsi="Times New Roman" w:cs="Times New Roman"/>
          <w:sz w:val="24"/>
          <w:szCs w:val="24"/>
        </w:rPr>
        <w:t>«Цех по переработке молока»</w:t>
      </w:r>
    </w:p>
    <w:p w:rsidR="00077D58" w:rsidRPr="00B06469" w:rsidRDefault="00077D58" w:rsidP="001F0139">
      <w:pPr>
        <w:pStyle w:val="a3"/>
        <w:numPr>
          <w:ilvl w:val="0"/>
          <w:numId w:val="21"/>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u w:val="single"/>
        </w:rPr>
        <w:t xml:space="preserve"> </w:t>
      </w:r>
      <w:r w:rsidRPr="00B06469">
        <w:rPr>
          <w:rFonts w:ascii="Times New Roman" w:hAnsi="Times New Roman" w:cs="Times New Roman"/>
          <w:sz w:val="24"/>
          <w:szCs w:val="24"/>
        </w:rPr>
        <w:t>«Создание перерабатывающих кооперативов»</w:t>
      </w:r>
    </w:p>
    <w:p w:rsidR="00337AC4" w:rsidRPr="00B06469" w:rsidRDefault="00337AC4"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CB5772" w:rsidRPr="00B06469" w:rsidRDefault="00337AC4"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8.2.3. Развитие сферы услуг</w:t>
      </w:r>
    </w:p>
    <w:p w:rsidR="00337AC4" w:rsidRPr="00B06469" w:rsidRDefault="00337AC4" w:rsidP="001F0139">
      <w:pPr>
        <w:pStyle w:val="a3"/>
        <w:spacing w:after="0" w:line="360" w:lineRule="auto"/>
        <w:ind w:left="0" w:firstLine="709"/>
        <w:jc w:val="both"/>
        <w:rPr>
          <w:rFonts w:ascii="Times New Roman" w:hAnsi="Times New Roman" w:cs="Times New Roman"/>
          <w:sz w:val="24"/>
          <w:szCs w:val="24"/>
        </w:rPr>
      </w:pPr>
      <w:r w:rsidRPr="00B06469">
        <w:rPr>
          <w:rFonts w:ascii="Times New Roman" w:hAnsi="Times New Roman" w:cs="Times New Roman"/>
          <w:sz w:val="24"/>
          <w:szCs w:val="24"/>
        </w:rPr>
        <w:t>Проекты и программы</w:t>
      </w:r>
    </w:p>
    <w:p w:rsidR="00077D58" w:rsidRPr="00B06469" w:rsidRDefault="00077D58" w:rsidP="001F0139">
      <w:pPr>
        <w:pStyle w:val="a3"/>
        <w:numPr>
          <w:ilvl w:val="6"/>
          <w:numId w:val="20"/>
        </w:numPr>
        <w:tabs>
          <w:tab w:val="clear" w:pos="5040"/>
          <w:tab w:val="num" w:pos="567"/>
        </w:tabs>
        <w:spacing w:after="0" w:line="360" w:lineRule="auto"/>
        <w:ind w:left="0" w:firstLine="0"/>
        <w:rPr>
          <w:rFonts w:ascii="Times New Roman" w:hAnsi="Times New Roman" w:cs="Times New Roman"/>
          <w:sz w:val="24"/>
          <w:szCs w:val="24"/>
        </w:rPr>
      </w:pPr>
      <w:r w:rsidRPr="00B06469">
        <w:rPr>
          <w:rFonts w:ascii="Times New Roman" w:hAnsi="Times New Roman" w:cs="Times New Roman"/>
          <w:bCs/>
          <w:sz w:val="24"/>
          <w:szCs w:val="24"/>
          <w:u w:val="single"/>
        </w:rPr>
        <w:t xml:space="preserve">Действующая </w:t>
      </w:r>
      <w:r w:rsidRPr="00B06469">
        <w:rPr>
          <w:rFonts w:ascii="Times New Roman" w:hAnsi="Times New Roman" w:cs="Times New Roman"/>
          <w:sz w:val="24"/>
          <w:szCs w:val="24"/>
        </w:rPr>
        <w:t>м</w:t>
      </w:r>
      <w:r w:rsidRPr="00B06469">
        <w:rPr>
          <w:rFonts w:ascii="Times New Roman" w:hAnsi="Times New Roman" w:cs="Times New Roman"/>
          <w:bCs/>
          <w:sz w:val="24"/>
          <w:szCs w:val="24"/>
          <w:u w:val="single"/>
        </w:rPr>
        <w:t xml:space="preserve">униципальная программа </w:t>
      </w:r>
      <w:r w:rsidRPr="00B06469">
        <w:rPr>
          <w:rFonts w:ascii="Times New Roman" w:hAnsi="Times New Roman" w:cs="Times New Roman"/>
          <w:sz w:val="24"/>
          <w:szCs w:val="24"/>
        </w:rPr>
        <w:t xml:space="preserve">«Развитие малого и среднего предпринимательства в муниципальном районе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Самарской области на 2018-2020 годы»</w:t>
      </w:r>
      <w:r w:rsidRPr="00B06469">
        <w:rPr>
          <w:rFonts w:ascii="Times New Roman" w:hAnsi="Times New Roman" w:cs="Times New Roman"/>
          <w:bCs/>
          <w:sz w:val="24"/>
          <w:szCs w:val="24"/>
          <w:u w:val="single"/>
        </w:rPr>
        <w:t xml:space="preserve"> </w:t>
      </w:r>
    </w:p>
    <w:p w:rsidR="00077D58" w:rsidRPr="00B06469" w:rsidRDefault="00077D58" w:rsidP="001F0139">
      <w:pPr>
        <w:pStyle w:val="a3"/>
        <w:numPr>
          <w:ilvl w:val="6"/>
          <w:numId w:val="20"/>
        </w:numPr>
        <w:tabs>
          <w:tab w:val="clear" w:pos="5040"/>
          <w:tab w:val="num" w:pos="567"/>
        </w:tabs>
        <w:spacing w:after="0" w:line="360" w:lineRule="auto"/>
        <w:ind w:left="0" w:firstLine="0"/>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«Развитие инфраструктуры туризма» (2018-2025)</w:t>
      </w:r>
    </w:p>
    <w:p w:rsidR="00077D58" w:rsidRPr="00B06469" w:rsidRDefault="00077D58" w:rsidP="001F0139">
      <w:pPr>
        <w:pStyle w:val="a3"/>
        <w:numPr>
          <w:ilvl w:val="6"/>
          <w:numId w:val="20"/>
        </w:numPr>
        <w:tabs>
          <w:tab w:val="clear" w:pos="5040"/>
          <w:tab w:val="num" w:pos="567"/>
        </w:tabs>
        <w:spacing w:after="0" w:line="360" w:lineRule="auto"/>
        <w:ind w:left="0" w:firstLine="0"/>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«Развитие придорожных услуг и торговли» (2018-2020)</w:t>
      </w:r>
    </w:p>
    <w:p w:rsidR="00337AC4" w:rsidRPr="00B06469" w:rsidRDefault="00337AC4" w:rsidP="001F0139">
      <w:pPr>
        <w:pStyle w:val="a3"/>
        <w:tabs>
          <w:tab w:val="num" w:pos="567"/>
        </w:tabs>
        <w:spacing w:after="0" w:line="360" w:lineRule="auto"/>
        <w:ind w:left="0"/>
        <w:jc w:val="both"/>
        <w:rPr>
          <w:rFonts w:ascii="Times New Roman" w:hAnsi="Times New Roman" w:cs="Times New Roman"/>
          <w:sz w:val="24"/>
          <w:szCs w:val="24"/>
        </w:rPr>
      </w:pPr>
      <w:proofErr w:type="gramStart"/>
      <w:r w:rsidRPr="00B06469">
        <w:rPr>
          <w:rFonts w:ascii="Times New Roman" w:hAnsi="Times New Roman" w:cs="Times New Roman"/>
          <w:bCs/>
          <w:sz w:val="24"/>
          <w:szCs w:val="24"/>
          <w:u w:val="single"/>
        </w:rPr>
        <w:t xml:space="preserve">Проект </w:t>
      </w:r>
      <w:r w:rsidRPr="00B06469">
        <w:rPr>
          <w:rFonts w:ascii="Times New Roman" w:hAnsi="Times New Roman" w:cs="Times New Roman"/>
          <w:sz w:val="24"/>
          <w:szCs w:val="24"/>
        </w:rPr>
        <w:t xml:space="preserve">«Создание </w:t>
      </w:r>
      <w:proofErr w:type="spellStart"/>
      <w:r w:rsidRPr="00B06469">
        <w:rPr>
          <w:rFonts w:ascii="Times New Roman" w:hAnsi="Times New Roman" w:cs="Times New Roman"/>
          <w:sz w:val="24"/>
          <w:szCs w:val="24"/>
        </w:rPr>
        <w:t>инвест</w:t>
      </w:r>
      <w:proofErr w:type="spellEnd"/>
      <w:r w:rsidRPr="00B06469">
        <w:rPr>
          <w:rFonts w:ascii="Times New Roman" w:hAnsi="Times New Roman" w:cs="Times New Roman"/>
          <w:sz w:val="24"/>
          <w:szCs w:val="24"/>
        </w:rPr>
        <w:t xml:space="preserve">-портала </w:t>
      </w:r>
      <w:proofErr w:type="spellStart"/>
      <w:r w:rsidRPr="00B06469">
        <w:rPr>
          <w:rFonts w:ascii="Times New Roman" w:hAnsi="Times New Roman" w:cs="Times New Roman"/>
          <w:sz w:val="24"/>
          <w:szCs w:val="24"/>
        </w:rPr>
        <w:t>Камышлинского</w:t>
      </w:r>
      <w:proofErr w:type="spellEnd"/>
      <w:r w:rsidRPr="00B06469">
        <w:rPr>
          <w:rFonts w:ascii="Times New Roman" w:hAnsi="Times New Roman" w:cs="Times New Roman"/>
          <w:sz w:val="24"/>
          <w:szCs w:val="24"/>
        </w:rPr>
        <w:t xml:space="preserve"> района» (2018-2019</w:t>
      </w:r>
      <w:proofErr w:type="gramEnd"/>
    </w:p>
    <w:p w:rsidR="00337AC4" w:rsidRPr="00B06469" w:rsidRDefault="00337AC4"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F51B81" w:rsidRPr="00B06469" w:rsidRDefault="00F51B81"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Ожидаемые результаты</w:t>
      </w:r>
    </w:p>
    <w:tbl>
      <w:tblPr>
        <w:tblW w:w="9215" w:type="dxa"/>
        <w:tblLayout w:type="fixed"/>
        <w:tblLook w:val="0000" w:firstRow="0" w:lastRow="0" w:firstColumn="0" w:lastColumn="0" w:noHBand="0" w:noVBand="0"/>
      </w:tblPr>
      <w:tblGrid>
        <w:gridCol w:w="3369"/>
        <w:gridCol w:w="885"/>
        <w:gridCol w:w="816"/>
        <w:gridCol w:w="1168"/>
        <w:gridCol w:w="992"/>
        <w:gridCol w:w="993"/>
        <w:gridCol w:w="992"/>
      </w:tblGrid>
      <w:tr w:rsidR="00F51B81" w:rsidRPr="00B06469" w:rsidTr="00D3682B">
        <w:trPr>
          <w:trHeight w:val="164"/>
        </w:trPr>
        <w:tc>
          <w:tcPr>
            <w:tcW w:w="3369" w:type="dxa"/>
            <w:tcBorders>
              <w:top w:val="single" w:sz="4" w:space="0" w:color="000000"/>
              <w:left w:val="single" w:sz="4" w:space="0" w:color="000000"/>
              <w:bottom w:val="single" w:sz="4" w:space="0" w:color="000000"/>
              <w:right w:val="single" w:sz="4" w:space="0" w:color="000000"/>
            </w:tcBorders>
            <w:shd w:val="clear" w:color="auto" w:fill="FF0000"/>
          </w:tcPr>
          <w:p w:rsidR="00F51B81" w:rsidRPr="00B06469" w:rsidRDefault="00F51B81" w:rsidP="001F0139">
            <w:pPr>
              <w:spacing w:after="0"/>
              <w:jc w:val="both"/>
              <w:rPr>
                <w:rFonts w:ascii="Times New Roman" w:eastAsia="Calibri" w:hAnsi="Times New Roman" w:cs="Times New Roman"/>
                <w:b/>
                <w:color w:val="FFFFFF"/>
                <w:sz w:val="24"/>
                <w:szCs w:val="24"/>
              </w:rPr>
            </w:pPr>
            <w:r w:rsidRPr="00B06469">
              <w:rPr>
                <w:rFonts w:ascii="Times New Roman" w:eastAsia="Calibri" w:hAnsi="Times New Roman" w:cs="Times New Roman"/>
                <w:b/>
                <w:color w:val="FFFFFF"/>
                <w:sz w:val="24"/>
                <w:szCs w:val="24"/>
              </w:rPr>
              <w:t>Показатели</w:t>
            </w:r>
          </w:p>
        </w:tc>
        <w:tc>
          <w:tcPr>
            <w:tcW w:w="885" w:type="dxa"/>
            <w:tcBorders>
              <w:top w:val="single" w:sz="4" w:space="0" w:color="000000"/>
              <w:left w:val="single" w:sz="4" w:space="0" w:color="000000"/>
              <w:bottom w:val="single" w:sz="4" w:space="0" w:color="000000"/>
              <w:right w:val="single" w:sz="4" w:space="0" w:color="auto"/>
            </w:tcBorders>
            <w:shd w:val="clear" w:color="auto" w:fill="FF0000"/>
          </w:tcPr>
          <w:p w:rsidR="00F51B81" w:rsidRPr="00B06469" w:rsidRDefault="00F51B81" w:rsidP="001F0139">
            <w:pPr>
              <w:spacing w:after="0"/>
              <w:jc w:val="both"/>
              <w:rPr>
                <w:rFonts w:ascii="Times New Roman" w:eastAsia="Calibri" w:hAnsi="Times New Roman" w:cs="Times New Roman"/>
                <w:b/>
                <w:color w:val="FFFFFF"/>
                <w:sz w:val="24"/>
                <w:szCs w:val="24"/>
              </w:rPr>
            </w:pPr>
            <w:r w:rsidRPr="00B06469">
              <w:rPr>
                <w:rFonts w:ascii="Times New Roman" w:eastAsia="Calibri" w:hAnsi="Times New Roman" w:cs="Times New Roman"/>
                <w:b/>
                <w:color w:val="FFFFFF"/>
                <w:sz w:val="24"/>
                <w:szCs w:val="24"/>
              </w:rPr>
              <w:t>Един</w:t>
            </w:r>
            <w:proofErr w:type="gramStart"/>
            <w:r w:rsidRPr="00B06469">
              <w:rPr>
                <w:rFonts w:ascii="Times New Roman" w:eastAsia="Calibri" w:hAnsi="Times New Roman" w:cs="Times New Roman"/>
                <w:b/>
                <w:color w:val="FFFFFF"/>
                <w:sz w:val="24"/>
                <w:szCs w:val="24"/>
              </w:rPr>
              <w:t>.</w:t>
            </w:r>
            <w:proofErr w:type="gramEnd"/>
            <w:r w:rsidRPr="00B06469">
              <w:rPr>
                <w:rFonts w:ascii="Times New Roman" w:eastAsia="Calibri" w:hAnsi="Times New Roman" w:cs="Times New Roman"/>
                <w:b/>
                <w:color w:val="FFFFFF"/>
                <w:sz w:val="24"/>
                <w:szCs w:val="24"/>
              </w:rPr>
              <w:t xml:space="preserve"> </w:t>
            </w:r>
            <w:proofErr w:type="spellStart"/>
            <w:proofErr w:type="gramStart"/>
            <w:r w:rsidRPr="00B06469">
              <w:rPr>
                <w:rFonts w:ascii="Times New Roman" w:eastAsia="Calibri" w:hAnsi="Times New Roman" w:cs="Times New Roman"/>
                <w:b/>
                <w:color w:val="FFFFFF"/>
                <w:sz w:val="24"/>
                <w:szCs w:val="24"/>
              </w:rPr>
              <w:t>и</w:t>
            </w:r>
            <w:proofErr w:type="gramEnd"/>
            <w:r w:rsidRPr="00B06469">
              <w:rPr>
                <w:rFonts w:ascii="Times New Roman" w:eastAsia="Calibri" w:hAnsi="Times New Roman" w:cs="Times New Roman"/>
                <w:b/>
                <w:color w:val="FFFFFF"/>
                <w:sz w:val="24"/>
                <w:szCs w:val="24"/>
              </w:rPr>
              <w:t>змер</w:t>
            </w:r>
            <w:proofErr w:type="spellEnd"/>
            <w:r w:rsidRPr="00B06469">
              <w:rPr>
                <w:rFonts w:ascii="Times New Roman" w:eastAsia="Calibri" w:hAnsi="Times New Roman" w:cs="Times New Roman"/>
                <w:b/>
                <w:color w:val="FFFFFF"/>
                <w:sz w:val="24"/>
                <w:szCs w:val="24"/>
              </w:rPr>
              <w:t>.</w:t>
            </w:r>
          </w:p>
        </w:tc>
        <w:tc>
          <w:tcPr>
            <w:tcW w:w="816" w:type="dxa"/>
            <w:tcBorders>
              <w:top w:val="single" w:sz="4" w:space="0" w:color="000000"/>
              <w:left w:val="single" w:sz="4" w:space="0" w:color="auto"/>
              <w:bottom w:val="single" w:sz="4" w:space="0" w:color="000000"/>
            </w:tcBorders>
            <w:shd w:val="clear" w:color="auto" w:fill="FF0000"/>
          </w:tcPr>
          <w:p w:rsidR="00F51B81" w:rsidRPr="00B06469" w:rsidRDefault="00F51B81" w:rsidP="001F0139">
            <w:pPr>
              <w:spacing w:after="0"/>
              <w:jc w:val="both"/>
              <w:rPr>
                <w:rFonts w:ascii="Times New Roman" w:eastAsia="Calibri" w:hAnsi="Times New Roman" w:cs="Times New Roman"/>
                <w:b/>
                <w:color w:val="FFFFFF"/>
                <w:sz w:val="24"/>
                <w:szCs w:val="24"/>
              </w:rPr>
            </w:pPr>
            <w:r w:rsidRPr="00B06469">
              <w:rPr>
                <w:rFonts w:ascii="Times New Roman" w:eastAsia="Calibri" w:hAnsi="Times New Roman" w:cs="Times New Roman"/>
                <w:b/>
                <w:color w:val="FFFFFF"/>
                <w:sz w:val="24"/>
                <w:szCs w:val="24"/>
              </w:rPr>
              <w:t>2016</w:t>
            </w:r>
          </w:p>
        </w:tc>
        <w:tc>
          <w:tcPr>
            <w:tcW w:w="1168" w:type="dxa"/>
            <w:tcBorders>
              <w:top w:val="single" w:sz="4" w:space="0" w:color="000000"/>
              <w:left w:val="single" w:sz="4" w:space="0" w:color="000000"/>
              <w:bottom w:val="single" w:sz="4" w:space="0" w:color="000000"/>
              <w:right w:val="single" w:sz="4" w:space="0" w:color="000000"/>
            </w:tcBorders>
            <w:shd w:val="clear" w:color="auto" w:fill="FF0000"/>
          </w:tcPr>
          <w:p w:rsidR="00F51B81" w:rsidRPr="00B06469" w:rsidRDefault="00F51B81" w:rsidP="001F0139">
            <w:pPr>
              <w:spacing w:after="0"/>
              <w:jc w:val="both"/>
              <w:rPr>
                <w:rFonts w:ascii="Times New Roman" w:eastAsia="Calibri" w:hAnsi="Times New Roman" w:cs="Times New Roman"/>
                <w:b/>
                <w:color w:val="FFFFFF"/>
                <w:sz w:val="24"/>
                <w:szCs w:val="24"/>
              </w:rPr>
            </w:pPr>
            <w:r w:rsidRPr="00B06469">
              <w:rPr>
                <w:rFonts w:ascii="Times New Roman" w:eastAsia="Calibri" w:hAnsi="Times New Roman" w:cs="Times New Roman"/>
                <w:b/>
                <w:color w:val="FFFFFF"/>
                <w:sz w:val="24"/>
                <w:szCs w:val="24"/>
              </w:rPr>
              <w:t>Сценарии</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Pr>
          <w:p w:rsidR="00F51B81" w:rsidRPr="00B06469" w:rsidRDefault="00F51B81" w:rsidP="001F0139">
            <w:pPr>
              <w:spacing w:after="0"/>
              <w:jc w:val="both"/>
              <w:rPr>
                <w:rFonts w:ascii="Times New Roman" w:eastAsia="Calibri" w:hAnsi="Times New Roman" w:cs="Times New Roman"/>
                <w:b/>
                <w:color w:val="FFFFFF"/>
                <w:sz w:val="24"/>
                <w:szCs w:val="24"/>
              </w:rPr>
            </w:pPr>
            <w:r w:rsidRPr="00B06469">
              <w:rPr>
                <w:rFonts w:ascii="Times New Roman" w:eastAsia="Calibri" w:hAnsi="Times New Roman" w:cs="Times New Roman"/>
                <w:b/>
                <w:color w:val="FFFFFF"/>
                <w:sz w:val="24"/>
                <w:szCs w:val="24"/>
              </w:rPr>
              <w:t>2020</w:t>
            </w:r>
          </w:p>
        </w:tc>
        <w:tc>
          <w:tcPr>
            <w:tcW w:w="993" w:type="dxa"/>
            <w:tcBorders>
              <w:top w:val="single" w:sz="4" w:space="0" w:color="000000"/>
              <w:left w:val="single" w:sz="4" w:space="0" w:color="000000"/>
              <w:bottom w:val="single" w:sz="4" w:space="0" w:color="000000"/>
              <w:right w:val="single" w:sz="4" w:space="0" w:color="000000"/>
            </w:tcBorders>
            <w:shd w:val="clear" w:color="auto" w:fill="FF0000"/>
          </w:tcPr>
          <w:p w:rsidR="00F51B81" w:rsidRPr="00B06469" w:rsidRDefault="00F51B81" w:rsidP="001F0139">
            <w:pPr>
              <w:spacing w:after="0"/>
              <w:jc w:val="both"/>
              <w:rPr>
                <w:rFonts w:ascii="Times New Roman" w:eastAsia="Calibri" w:hAnsi="Times New Roman" w:cs="Times New Roman"/>
                <w:b/>
                <w:color w:val="FFFFFF"/>
                <w:sz w:val="24"/>
                <w:szCs w:val="24"/>
              </w:rPr>
            </w:pPr>
            <w:r w:rsidRPr="00B06469">
              <w:rPr>
                <w:rFonts w:ascii="Times New Roman" w:eastAsia="Calibri" w:hAnsi="Times New Roman" w:cs="Times New Roman"/>
                <w:b/>
                <w:color w:val="FFFFFF"/>
                <w:sz w:val="24"/>
                <w:szCs w:val="24"/>
              </w:rPr>
              <w:t>2025</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Pr>
          <w:p w:rsidR="00F51B81" w:rsidRPr="00B06469" w:rsidRDefault="00F51B81" w:rsidP="001F0139">
            <w:pPr>
              <w:spacing w:after="0"/>
              <w:jc w:val="both"/>
              <w:rPr>
                <w:rFonts w:ascii="Times New Roman" w:eastAsia="Calibri" w:hAnsi="Times New Roman" w:cs="Times New Roman"/>
                <w:b/>
                <w:color w:val="FFFFFF"/>
                <w:sz w:val="24"/>
                <w:szCs w:val="24"/>
              </w:rPr>
            </w:pPr>
            <w:r w:rsidRPr="00B06469">
              <w:rPr>
                <w:rFonts w:ascii="Times New Roman" w:eastAsia="Calibri" w:hAnsi="Times New Roman" w:cs="Times New Roman"/>
                <w:b/>
                <w:color w:val="FFFFFF"/>
                <w:sz w:val="24"/>
                <w:szCs w:val="24"/>
              </w:rPr>
              <w:t>2030</w:t>
            </w:r>
          </w:p>
        </w:tc>
      </w:tr>
      <w:tr w:rsidR="00F51B81" w:rsidRPr="00B06469" w:rsidTr="00D3682B">
        <w:trPr>
          <w:trHeight w:val="164"/>
        </w:trPr>
        <w:tc>
          <w:tcPr>
            <w:tcW w:w="3369" w:type="dxa"/>
            <w:tcBorders>
              <w:top w:val="single" w:sz="4" w:space="0" w:color="000000"/>
              <w:left w:val="single" w:sz="4" w:space="0" w:color="000000"/>
              <w:bottom w:val="single" w:sz="4" w:space="0" w:color="000000"/>
              <w:right w:val="single" w:sz="4" w:space="0" w:color="000000"/>
            </w:tcBorders>
          </w:tcPr>
          <w:p w:rsidR="00F51B81" w:rsidRPr="00B06469" w:rsidRDefault="00F51B81" w:rsidP="001F0139">
            <w:pPr>
              <w:spacing w:after="0"/>
              <w:rPr>
                <w:rFonts w:ascii="Times New Roman" w:eastAsia="Times New Roman" w:hAnsi="Times New Roman" w:cs="Times New Roman"/>
                <w:bCs/>
                <w:sz w:val="24"/>
                <w:szCs w:val="24"/>
                <w:lang w:eastAsia="ru-RU"/>
              </w:rPr>
            </w:pPr>
            <w:r w:rsidRPr="00B06469">
              <w:rPr>
                <w:rStyle w:val="211pt"/>
                <w:rFonts w:eastAsiaTheme="minorHAnsi"/>
                <w:sz w:val="24"/>
                <w:szCs w:val="24"/>
              </w:rPr>
              <w:t>Индекс производства продукции сельского хозяйства к уровню 2015 г., %</w:t>
            </w:r>
          </w:p>
        </w:tc>
        <w:tc>
          <w:tcPr>
            <w:tcW w:w="885" w:type="dxa"/>
            <w:tcBorders>
              <w:top w:val="single" w:sz="4" w:space="0" w:color="000000"/>
              <w:left w:val="single" w:sz="4" w:space="0" w:color="000000"/>
              <w:bottom w:val="single" w:sz="4" w:space="0" w:color="000000"/>
            </w:tcBorders>
          </w:tcPr>
          <w:p w:rsidR="00F51B81" w:rsidRPr="00B06469" w:rsidRDefault="00F51B81" w:rsidP="001F0139">
            <w:pPr>
              <w:spacing w:after="0"/>
              <w:rPr>
                <w:rFonts w:ascii="Times New Roman" w:eastAsia="Calibri" w:hAnsi="Times New Roman" w:cs="Times New Roman"/>
                <w:sz w:val="24"/>
                <w:szCs w:val="24"/>
              </w:rPr>
            </w:pPr>
            <w:proofErr w:type="gramStart"/>
            <w:r w:rsidRPr="00B06469">
              <w:rPr>
                <w:rFonts w:ascii="Times New Roman" w:eastAsia="Times New Roman" w:hAnsi="Times New Roman" w:cs="Times New Roman"/>
                <w:sz w:val="24"/>
                <w:szCs w:val="24"/>
                <w:lang w:eastAsia="ru-RU"/>
              </w:rPr>
              <w:t>в</w:t>
            </w:r>
            <w:proofErr w:type="gramEnd"/>
            <w:r w:rsidRPr="00B06469">
              <w:rPr>
                <w:rFonts w:ascii="Times New Roman" w:eastAsia="Times New Roman" w:hAnsi="Times New Roman" w:cs="Times New Roman"/>
                <w:sz w:val="24"/>
                <w:szCs w:val="24"/>
                <w:lang w:eastAsia="ru-RU"/>
              </w:rPr>
              <w:t xml:space="preserve"> % к </w:t>
            </w:r>
            <w:r w:rsidRPr="00B06469">
              <w:rPr>
                <w:rStyle w:val="211pt"/>
                <w:rFonts w:eastAsiaTheme="minorHAnsi"/>
                <w:sz w:val="24"/>
                <w:szCs w:val="24"/>
              </w:rPr>
              <w:t>уровню 2015</w:t>
            </w:r>
          </w:p>
        </w:tc>
        <w:tc>
          <w:tcPr>
            <w:tcW w:w="816" w:type="dxa"/>
            <w:tcBorders>
              <w:top w:val="single" w:sz="4" w:space="0" w:color="000000"/>
              <w:left w:val="single" w:sz="4" w:space="0" w:color="000000"/>
              <w:bottom w:val="single" w:sz="4" w:space="0" w:color="000000"/>
            </w:tcBorders>
          </w:tcPr>
          <w:p w:rsidR="00F51B81" w:rsidRPr="00B06469" w:rsidRDefault="00F51B81" w:rsidP="001F0139">
            <w:pPr>
              <w:spacing w:after="0"/>
              <w:rPr>
                <w:rFonts w:ascii="Times New Roman" w:eastAsia="Times New Roman" w:hAnsi="Times New Roman" w:cs="Times New Roman"/>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tcPr>
          <w:p w:rsidR="00F51B81" w:rsidRPr="00B06469" w:rsidRDefault="00F51B81" w:rsidP="001F0139">
            <w:pPr>
              <w:spacing w:after="0"/>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инерционный</w:t>
            </w:r>
          </w:p>
        </w:tc>
        <w:tc>
          <w:tcPr>
            <w:tcW w:w="992" w:type="dxa"/>
            <w:tcBorders>
              <w:top w:val="single" w:sz="4" w:space="0" w:color="000000"/>
              <w:left w:val="single" w:sz="4" w:space="0" w:color="000000"/>
              <w:bottom w:val="single" w:sz="4" w:space="0" w:color="000000"/>
              <w:right w:val="single" w:sz="4" w:space="0" w:color="000000"/>
            </w:tcBorders>
            <w:vAlign w:val="center"/>
          </w:tcPr>
          <w:p w:rsidR="00F51B81" w:rsidRPr="00B06469" w:rsidRDefault="00F51B81" w:rsidP="001F0139">
            <w:pPr>
              <w:spacing w:after="0" w:line="220" w:lineRule="exact"/>
              <w:rPr>
                <w:rFonts w:ascii="Times New Roman" w:hAnsi="Times New Roman" w:cs="Times New Roman"/>
                <w:sz w:val="24"/>
                <w:szCs w:val="24"/>
              </w:rPr>
            </w:pPr>
            <w:r w:rsidRPr="00B06469">
              <w:rPr>
                <w:rStyle w:val="211pt"/>
                <w:rFonts w:eastAsiaTheme="minorHAnsi"/>
                <w:sz w:val="24"/>
                <w:szCs w:val="24"/>
              </w:rPr>
              <w:t>121,2</w:t>
            </w:r>
          </w:p>
        </w:tc>
        <w:tc>
          <w:tcPr>
            <w:tcW w:w="993" w:type="dxa"/>
            <w:tcBorders>
              <w:top w:val="single" w:sz="4" w:space="0" w:color="000000"/>
              <w:left w:val="single" w:sz="4" w:space="0" w:color="000000"/>
              <w:bottom w:val="single" w:sz="4" w:space="0" w:color="000000"/>
              <w:right w:val="single" w:sz="4" w:space="0" w:color="000000"/>
            </w:tcBorders>
            <w:vAlign w:val="center"/>
          </w:tcPr>
          <w:p w:rsidR="00F51B81" w:rsidRPr="00B06469" w:rsidRDefault="00F51B81" w:rsidP="001F0139">
            <w:pPr>
              <w:spacing w:after="0" w:line="220" w:lineRule="exact"/>
              <w:rPr>
                <w:rFonts w:ascii="Times New Roman" w:hAnsi="Times New Roman" w:cs="Times New Roman"/>
                <w:sz w:val="24"/>
                <w:szCs w:val="24"/>
              </w:rPr>
            </w:pPr>
            <w:r w:rsidRPr="00B06469">
              <w:rPr>
                <w:rStyle w:val="211pt"/>
                <w:rFonts w:eastAsiaTheme="minorHAnsi"/>
                <w:sz w:val="24"/>
                <w:szCs w:val="24"/>
              </w:rPr>
              <w:t>135,0</w:t>
            </w:r>
          </w:p>
        </w:tc>
        <w:tc>
          <w:tcPr>
            <w:tcW w:w="992" w:type="dxa"/>
            <w:tcBorders>
              <w:top w:val="single" w:sz="4" w:space="0" w:color="000000"/>
              <w:left w:val="single" w:sz="4" w:space="0" w:color="000000"/>
              <w:bottom w:val="single" w:sz="4" w:space="0" w:color="000000"/>
              <w:right w:val="single" w:sz="4" w:space="0" w:color="000000"/>
            </w:tcBorders>
            <w:vAlign w:val="center"/>
          </w:tcPr>
          <w:p w:rsidR="00F51B81" w:rsidRPr="00B06469" w:rsidRDefault="00F51B81" w:rsidP="001F0139">
            <w:pPr>
              <w:spacing w:after="0" w:line="220" w:lineRule="exact"/>
              <w:rPr>
                <w:rFonts w:ascii="Times New Roman" w:hAnsi="Times New Roman" w:cs="Times New Roman"/>
                <w:sz w:val="24"/>
                <w:szCs w:val="24"/>
              </w:rPr>
            </w:pPr>
            <w:r w:rsidRPr="00B06469">
              <w:rPr>
                <w:rStyle w:val="211pt"/>
                <w:rFonts w:eastAsiaTheme="minorHAnsi"/>
                <w:sz w:val="24"/>
                <w:szCs w:val="24"/>
              </w:rPr>
              <w:t>154,4</w:t>
            </w:r>
          </w:p>
        </w:tc>
      </w:tr>
      <w:tr w:rsidR="00F51B81" w:rsidRPr="00B06469" w:rsidTr="00D3682B">
        <w:trPr>
          <w:trHeight w:val="164"/>
        </w:trPr>
        <w:tc>
          <w:tcPr>
            <w:tcW w:w="3369" w:type="dxa"/>
            <w:tcBorders>
              <w:top w:val="single" w:sz="4" w:space="0" w:color="000000"/>
              <w:left w:val="single" w:sz="4" w:space="0" w:color="000000"/>
              <w:bottom w:val="single" w:sz="4" w:space="0" w:color="000000"/>
              <w:right w:val="single" w:sz="4" w:space="0" w:color="000000"/>
            </w:tcBorders>
          </w:tcPr>
          <w:p w:rsidR="00F51B81" w:rsidRPr="00B06469" w:rsidRDefault="00F51B81" w:rsidP="001F0139">
            <w:pPr>
              <w:spacing w:after="0"/>
              <w:rPr>
                <w:rFonts w:ascii="Times New Roman" w:eastAsia="Times New Roman" w:hAnsi="Times New Roman" w:cs="Times New Roman"/>
                <w:bCs/>
                <w:sz w:val="24"/>
                <w:szCs w:val="24"/>
                <w:lang w:eastAsia="ru-RU"/>
              </w:rPr>
            </w:pPr>
          </w:p>
        </w:tc>
        <w:tc>
          <w:tcPr>
            <w:tcW w:w="885" w:type="dxa"/>
            <w:tcBorders>
              <w:top w:val="single" w:sz="4" w:space="0" w:color="000000"/>
              <w:left w:val="single" w:sz="4" w:space="0" w:color="000000"/>
              <w:bottom w:val="single" w:sz="4" w:space="0" w:color="000000"/>
            </w:tcBorders>
          </w:tcPr>
          <w:p w:rsidR="00F51B81" w:rsidRPr="00B06469" w:rsidRDefault="00F51B81" w:rsidP="001F0139">
            <w:pPr>
              <w:spacing w:after="0"/>
              <w:rPr>
                <w:rFonts w:ascii="Times New Roman" w:eastAsia="Calibri" w:hAnsi="Times New Roman" w:cs="Times New Roman"/>
                <w:sz w:val="24"/>
                <w:szCs w:val="24"/>
              </w:rPr>
            </w:pPr>
          </w:p>
        </w:tc>
        <w:tc>
          <w:tcPr>
            <w:tcW w:w="816" w:type="dxa"/>
            <w:tcBorders>
              <w:top w:val="single" w:sz="4" w:space="0" w:color="000000"/>
              <w:left w:val="single" w:sz="4" w:space="0" w:color="000000"/>
              <w:bottom w:val="single" w:sz="4" w:space="0" w:color="000000"/>
            </w:tcBorders>
          </w:tcPr>
          <w:p w:rsidR="00F51B81" w:rsidRPr="00B06469" w:rsidRDefault="00F51B81" w:rsidP="001F0139">
            <w:pPr>
              <w:spacing w:after="0"/>
              <w:rPr>
                <w:rFonts w:ascii="Times New Roman" w:eastAsia="Times New Roman" w:hAnsi="Times New Roman" w:cs="Times New Roman"/>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tcPr>
          <w:p w:rsidR="00F51B81" w:rsidRPr="00B06469" w:rsidRDefault="00F51B81" w:rsidP="001F0139">
            <w:pPr>
              <w:spacing w:after="0"/>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целевой</w:t>
            </w:r>
          </w:p>
        </w:tc>
        <w:tc>
          <w:tcPr>
            <w:tcW w:w="992" w:type="dxa"/>
            <w:tcBorders>
              <w:top w:val="single" w:sz="4" w:space="0" w:color="000000"/>
              <w:left w:val="single" w:sz="4" w:space="0" w:color="000000"/>
              <w:bottom w:val="single" w:sz="4" w:space="0" w:color="000000"/>
              <w:right w:val="single" w:sz="4" w:space="0" w:color="000000"/>
            </w:tcBorders>
          </w:tcPr>
          <w:p w:rsidR="00F51B81" w:rsidRPr="00B06469" w:rsidRDefault="00F51B81" w:rsidP="001F0139">
            <w:pPr>
              <w:spacing w:after="0" w:line="220" w:lineRule="exact"/>
              <w:rPr>
                <w:rFonts w:ascii="Times New Roman" w:hAnsi="Times New Roman" w:cs="Times New Roman"/>
                <w:sz w:val="24"/>
                <w:szCs w:val="24"/>
              </w:rPr>
            </w:pPr>
            <w:r w:rsidRPr="00B06469">
              <w:rPr>
                <w:rStyle w:val="211pt"/>
                <w:rFonts w:eastAsiaTheme="minorHAnsi"/>
                <w:sz w:val="24"/>
                <w:szCs w:val="24"/>
              </w:rPr>
              <w:t>127,6</w:t>
            </w:r>
          </w:p>
        </w:tc>
        <w:tc>
          <w:tcPr>
            <w:tcW w:w="993" w:type="dxa"/>
            <w:tcBorders>
              <w:top w:val="single" w:sz="4" w:space="0" w:color="000000"/>
              <w:left w:val="single" w:sz="4" w:space="0" w:color="000000"/>
              <w:bottom w:val="single" w:sz="4" w:space="0" w:color="000000"/>
              <w:right w:val="single" w:sz="4" w:space="0" w:color="000000"/>
            </w:tcBorders>
          </w:tcPr>
          <w:p w:rsidR="00F51B81" w:rsidRPr="00B06469" w:rsidRDefault="00F51B81" w:rsidP="001F0139">
            <w:pPr>
              <w:spacing w:after="0" w:line="220" w:lineRule="exact"/>
              <w:rPr>
                <w:rFonts w:ascii="Times New Roman" w:hAnsi="Times New Roman" w:cs="Times New Roman"/>
                <w:sz w:val="24"/>
                <w:szCs w:val="24"/>
              </w:rPr>
            </w:pPr>
            <w:r w:rsidRPr="00B06469">
              <w:rPr>
                <w:rStyle w:val="211pt"/>
                <w:rFonts w:eastAsiaTheme="minorHAnsi"/>
                <w:sz w:val="24"/>
                <w:szCs w:val="24"/>
              </w:rPr>
              <w:t>149,8</w:t>
            </w:r>
          </w:p>
        </w:tc>
        <w:tc>
          <w:tcPr>
            <w:tcW w:w="992" w:type="dxa"/>
            <w:tcBorders>
              <w:top w:val="single" w:sz="4" w:space="0" w:color="000000"/>
              <w:left w:val="single" w:sz="4" w:space="0" w:color="000000"/>
              <w:bottom w:val="single" w:sz="4" w:space="0" w:color="000000"/>
              <w:right w:val="single" w:sz="4" w:space="0" w:color="000000"/>
            </w:tcBorders>
          </w:tcPr>
          <w:p w:rsidR="00F51B81" w:rsidRPr="00B06469" w:rsidRDefault="00F51B81" w:rsidP="001F0139">
            <w:pPr>
              <w:spacing w:after="0" w:line="220" w:lineRule="exact"/>
              <w:rPr>
                <w:rFonts w:ascii="Times New Roman" w:hAnsi="Times New Roman" w:cs="Times New Roman"/>
                <w:sz w:val="24"/>
                <w:szCs w:val="24"/>
              </w:rPr>
            </w:pPr>
            <w:r w:rsidRPr="00B06469">
              <w:rPr>
                <w:rStyle w:val="211pt"/>
                <w:rFonts w:eastAsiaTheme="minorHAnsi"/>
                <w:sz w:val="24"/>
                <w:szCs w:val="24"/>
              </w:rPr>
              <w:t>183,6</w:t>
            </w:r>
          </w:p>
        </w:tc>
      </w:tr>
    </w:tbl>
    <w:p w:rsidR="00F51B81" w:rsidRPr="00B06469" w:rsidRDefault="00F51B81"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F51B81" w:rsidRPr="00B06469" w:rsidRDefault="00F51B81"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F51B81" w:rsidRPr="00B06469" w:rsidRDefault="00F51B81"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F51B81" w:rsidRPr="00B06469" w:rsidRDefault="00F51B81"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F51B81" w:rsidRPr="00B06469" w:rsidRDefault="00F51B81"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F51B81" w:rsidRPr="00B06469" w:rsidRDefault="00F51B81"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F51B81" w:rsidRPr="00B06469" w:rsidRDefault="00F51B81"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F51B81" w:rsidRPr="00B06469" w:rsidRDefault="00F51B81" w:rsidP="001F0139">
      <w:pPr>
        <w:pStyle w:val="a3"/>
        <w:spacing w:after="0" w:line="360" w:lineRule="auto"/>
        <w:ind w:left="0" w:firstLine="709"/>
        <w:jc w:val="both"/>
        <w:rPr>
          <w:rFonts w:ascii="Times New Roman" w:hAnsi="Times New Roman" w:cs="Times New Roman"/>
          <w:b/>
          <w:color w:val="365F91" w:themeColor="accent1" w:themeShade="BF"/>
          <w:sz w:val="24"/>
          <w:szCs w:val="24"/>
        </w:rPr>
      </w:pPr>
    </w:p>
    <w:p w:rsidR="00D3682B" w:rsidRPr="00B06469" w:rsidRDefault="00D3682B">
      <w:pPr>
        <w:rPr>
          <w:rFonts w:ascii="Times New Roman" w:hAnsi="Times New Roman" w:cs="Times New Roman"/>
          <w:b/>
          <w:sz w:val="24"/>
          <w:szCs w:val="24"/>
        </w:rPr>
      </w:pPr>
      <w:r w:rsidRPr="00B06469">
        <w:rPr>
          <w:rFonts w:ascii="Times New Roman" w:hAnsi="Times New Roman" w:cs="Times New Roman"/>
          <w:b/>
          <w:sz w:val="24"/>
          <w:szCs w:val="24"/>
        </w:rPr>
        <w:br w:type="page"/>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lastRenderedPageBreak/>
        <w:t>9.ИНСТИТУЦИОНАЛЬНОЕ И РЕСУРСНОЕ ОБЕСПЕЧЕНИЕ РЕАЛИЗАЦИИ СТРАТЕГИИ</w:t>
      </w:r>
    </w:p>
    <w:p w:rsidR="00D3682B" w:rsidRPr="00B06469" w:rsidRDefault="00D3682B" w:rsidP="001F0139">
      <w:pPr>
        <w:widowControl w:val="0"/>
        <w:autoSpaceDE w:val="0"/>
        <w:autoSpaceDN w:val="0"/>
        <w:adjustRightInd w:val="0"/>
        <w:spacing w:after="0" w:line="360" w:lineRule="auto"/>
        <w:ind w:firstLine="709"/>
        <w:jc w:val="both"/>
        <w:rPr>
          <w:rFonts w:ascii="Times New Roman" w:hAnsi="Times New Roman" w:cs="Times New Roman"/>
          <w:b/>
          <w:color w:val="365F91" w:themeColor="accent1" w:themeShade="BF"/>
          <w:sz w:val="24"/>
          <w:szCs w:val="24"/>
        </w:rPr>
      </w:pP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 xml:space="preserve">9.1 Этапы и сценарии развития </w:t>
      </w:r>
      <w:proofErr w:type="spellStart"/>
      <w:r w:rsidRPr="00B06469">
        <w:rPr>
          <w:rFonts w:ascii="Times New Roman" w:hAnsi="Times New Roman" w:cs="Times New Roman"/>
          <w:b/>
          <w:color w:val="365F91" w:themeColor="accent1" w:themeShade="BF"/>
          <w:sz w:val="24"/>
          <w:szCs w:val="24"/>
        </w:rPr>
        <w:t>м.р</w:t>
      </w:r>
      <w:proofErr w:type="spellEnd"/>
      <w:r w:rsidRPr="00B06469">
        <w:rPr>
          <w:rFonts w:ascii="Times New Roman" w:hAnsi="Times New Roman" w:cs="Times New Roman"/>
          <w:b/>
          <w:color w:val="365F91" w:themeColor="accent1" w:themeShade="BF"/>
          <w:sz w:val="24"/>
          <w:szCs w:val="24"/>
        </w:rPr>
        <w:t>.</w:t>
      </w:r>
      <w:r w:rsidR="00D3682B" w:rsidRPr="00B06469">
        <w:rPr>
          <w:rFonts w:ascii="Times New Roman" w:hAnsi="Times New Roman" w:cs="Times New Roman"/>
          <w:b/>
          <w:color w:val="365F91" w:themeColor="accent1" w:themeShade="BF"/>
          <w:sz w:val="24"/>
          <w:szCs w:val="24"/>
        </w:rPr>
        <w:t xml:space="preserve"> </w:t>
      </w:r>
      <w:proofErr w:type="spellStart"/>
      <w:r w:rsidRPr="00B06469">
        <w:rPr>
          <w:rFonts w:ascii="Times New Roman" w:hAnsi="Times New Roman" w:cs="Times New Roman"/>
          <w:b/>
          <w:color w:val="365F91" w:themeColor="accent1" w:themeShade="BF"/>
          <w:sz w:val="24"/>
          <w:szCs w:val="24"/>
        </w:rPr>
        <w:t>Камышл</w:t>
      </w:r>
      <w:r w:rsidR="00D3682B" w:rsidRPr="00B06469">
        <w:rPr>
          <w:rFonts w:ascii="Times New Roman" w:hAnsi="Times New Roman" w:cs="Times New Roman"/>
          <w:b/>
          <w:color w:val="365F91" w:themeColor="accent1" w:themeShade="BF"/>
          <w:sz w:val="24"/>
          <w:szCs w:val="24"/>
        </w:rPr>
        <w:t>инский</w:t>
      </w:r>
      <w:proofErr w:type="spellEnd"/>
    </w:p>
    <w:p w:rsidR="00443650" w:rsidRPr="00B06469" w:rsidRDefault="00443650" w:rsidP="001F0139">
      <w:pPr>
        <w:widowControl w:val="0"/>
        <w:autoSpaceDE w:val="0"/>
        <w:autoSpaceDN w:val="0"/>
        <w:adjustRightInd w:val="0"/>
        <w:spacing w:after="0" w:line="240" w:lineRule="auto"/>
        <w:jc w:val="both"/>
        <w:rPr>
          <w:rFonts w:ascii="Times New Roman" w:hAnsi="Times New Roman" w:cs="Times New Roman"/>
          <w:sz w:val="24"/>
          <w:szCs w:val="24"/>
        </w:rPr>
      </w:pP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bookmarkStart w:id="38" w:name="Par650"/>
      <w:bookmarkEnd w:id="38"/>
      <w:r w:rsidRPr="00B06469">
        <w:rPr>
          <w:rFonts w:ascii="Times New Roman" w:hAnsi="Times New Roman" w:cs="Times New Roman"/>
          <w:sz w:val="24"/>
          <w:szCs w:val="24"/>
        </w:rPr>
        <w:t>Стратегия определена на 15 лет (2016 - 2030 годы) и предполагает четыре этапа (три трехлетних и один шестилетний). При этом при необходимости раз в три года будет проходить корректировка, а раз в шесть лет - обновление Стратегии.</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Этапы реализации различаются по условиям, факторам, рискам социально-экономического развития и приоритетам </w:t>
      </w:r>
      <w:proofErr w:type="spellStart"/>
      <w:r w:rsidRPr="00B06469">
        <w:rPr>
          <w:rFonts w:ascii="Times New Roman" w:hAnsi="Times New Roman" w:cs="Times New Roman"/>
          <w:sz w:val="24"/>
          <w:szCs w:val="24"/>
        </w:rPr>
        <w:t>м.р</w:t>
      </w:r>
      <w:proofErr w:type="spellEnd"/>
      <w:r w:rsidRPr="00B06469">
        <w:rPr>
          <w:rFonts w:ascii="Times New Roman" w:hAnsi="Times New Roman" w:cs="Times New Roman"/>
          <w:sz w:val="24"/>
          <w:szCs w:val="24"/>
        </w:rPr>
        <w:t>.</w:t>
      </w:r>
      <w:r w:rsidR="00D3682B"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Камышл</w:t>
      </w:r>
      <w:r w:rsidR="00D3682B" w:rsidRPr="00B06469">
        <w:rPr>
          <w:rFonts w:ascii="Times New Roman" w:hAnsi="Times New Roman" w:cs="Times New Roman"/>
          <w:sz w:val="24"/>
          <w:szCs w:val="24"/>
        </w:rPr>
        <w:t>инский</w:t>
      </w:r>
      <w:proofErr w:type="spellEnd"/>
      <w:r w:rsidRPr="00B06469">
        <w:rPr>
          <w:rFonts w:ascii="Times New Roman" w:hAnsi="Times New Roman" w:cs="Times New Roman"/>
          <w:sz w:val="24"/>
          <w:szCs w:val="24"/>
        </w:rPr>
        <w:t>.</w:t>
      </w:r>
    </w:p>
    <w:p w:rsidR="00443650" w:rsidRPr="00B0646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4"/>
          <w:szCs w:val="24"/>
        </w:rPr>
      </w:pPr>
      <w:bookmarkStart w:id="39" w:name="Par653"/>
      <w:bookmarkEnd w:id="39"/>
      <w:r w:rsidRPr="00B06469">
        <w:rPr>
          <w:rFonts w:ascii="Times New Roman" w:hAnsi="Times New Roman" w:cs="Times New Roman"/>
          <w:sz w:val="24"/>
          <w:szCs w:val="24"/>
        </w:rPr>
        <w:t xml:space="preserve">Первый этап (2016 - 2018 годы) базируется на реализации и расширении тех конкурентных преимуществ, которыми обладает экономика </w:t>
      </w:r>
      <w:proofErr w:type="spellStart"/>
      <w:r w:rsidRPr="00B06469">
        <w:rPr>
          <w:rFonts w:ascii="Times New Roman" w:hAnsi="Times New Roman" w:cs="Times New Roman"/>
          <w:sz w:val="24"/>
          <w:szCs w:val="24"/>
        </w:rPr>
        <w:t>м.р</w:t>
      </w:r>
      <w:proofErr w:type="spellEnd"/>
      <w:r w:rsidRPr="00B06469">
        <w:rPr>
          <w:rFonts w:ascii="Times New Roman" w:hAnsi="Times New Roman" w:cs="Times New Roman"/>
          <w:sz w:val="24"/>
          <w:szCs w:val="24"/>
        </w:rPr>
        <w:t>.</w:t>
      </w:r>
      <w:r w:rsidR="00D3682B"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Камышлинский</w:t>
      </w:r>
      <w:proofErr w:type="spellEnd"/>
      <w:r w:rsidR="00D3682B" w:rsidRPr="00B06469">
        <w:rPr>
          <w:rFonts w:ascii="Times New Roman" w:hAnsi="Times New Roman" w:cs="Times New Roman"/>
          <w:sz w:val="24"/>
          <w:szCs w:val="24"/>
        </w:rPr>
        <w:t xml:space="preserve"> </w:t>
      </w:r>
      <w:r w:rsidRPr="00B06469">
        <w:rPr>
          <w:rFonts w:ascii="Times New Roman" w:hAnsi="Times New Roman" w:cs="Times New Roman"/>
          <w:sz w:val="24"/>
          <w:szCs w:val="24"/>
        </w:rPr>
        <w:t xml:space="preserve">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На данном этапе необходимо будет структурировать систему муниципальных программ с формированием программы развития ключевых экономических направлений, проработать набор приоритетных проектов развития, структурированных в рамках портфеля проектов стратегического развития </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Реализация первого этапа. Стратегия на данном этапе обусловливает вероятность существенных корректировок системы стратегических документов </w:t>
      </w:r>
      <w:proofErr w:type="spellStart"/>
      <w:r w:rsidRPr="00B06469">
        <w:rPr>
          <w:rFonts w:ascii="Times New Roman" w:hAnsi="Times New Roman" w:cs="Times New Roman"/>
          <w:sz w:val="24"/>
          <w:szCs w:val="24"/>
        </w:rPr>
        <w:t>г.о</w:t>
      </w:r>
      <w:proofErr w:type="gramStart"/>
      <w:r w:rsidRPr="00B06469">
        <w:rPr>
          <w:rFonts w:ascii="Times New Roman" w:hAnsi="Times New Roman" w:cs="Times New Roman"/>
          <w:sz w:val="24"/>
          <w:szCs w:val="24"/>
        </w:rPr>
        <w:t>.П</w:t>
      </w:r>
      <w:proofErr w:type="gramEnd"/>
      <w:r w:rsidRPr="00B06469">
        <w:rPr>
          <w:rFonts w:ascii="Times New Roman" w:hAnsi="Times New Roman" w:cs="Times New Roman"/>
          <w:sz w:val="24"/>
          <w:szCs w:val="24"/>
        </w:rPr>
        <w:t>охвистнево</w:t>
      </w:r>
      <w:proofErr w:type="spellEnd"/>
      <w:r w:rsidRPr="00B06469">
        <w:rPr>
          <w:rFonts w:ascii="Times New Roman" w:hAnsi="Times New Roman" w:cs="Times New Roman"/>
          <w:sz w:val="24"/>
          <w:szCs w:val="24"/>
        </w:rPr>
        <w:t>.</w:t>
      </w:r>
    </w:p>
    <w:p w:rsidR="00443650" w:rsidRPr="00B0646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4"/>
          <w:szCs w:val="24"/>
        </w:rPr>
      </w:pPr>
      <w:bookmarkStart w:id="40" w:name="Par655"/>
      <w:bookmarkEnd w:id="40"/>
      <w:r w:rsidRPr="00B06469">
        <w:rPr>
          <w:rFonts w:ascii="Times New Roman" w:hAnsi="Times New Roman" w:cs="Times New Roman"/>
          <w:sz w:val="24"/>
          <w:szCs w:val="24"/>
        </w:rPr>
        <w:t xml:space="preserve">Второй этап (2019 - 2021 годы) базируется на модели роста конкурентоспособности. Будут создаваться институциональные условия и технологические заделы развития. В рамках </w:t>
      </w:r>
      <w:proofErr w:type="spellStart"/>
      <w:r w:rsidRPr="00B06469">
        <w:rPr>
          <w:rFonts w:ascii="Times New Roman" w:hAnsi="Times New Roman" w:cs="Times New Roman"/>
          <w:sz w:val="24"/>
          <w:szCs w:val="24"/>
        </w:rPr>
        <w:t>м.р</w:t>
      </w:r>
      <w:proofErr w:type="spellEnd"/>
      <w:r w:rsidRPr="00B06469">
        <w:rPr>
          <w:rFonts w:ascii="Times New Roman" w:hAnsi="Times New Roman" w:cs="Times New Roman"/>
          <w:sz w:val="24"/>
          <w:szCs w:val="24"/>
        </w:rPr>
        <w:t>.</w:t>
      </w:r>
      <w:r w:rsidR="00D3682B"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Камышлинский</w:t>
      </w:r>
      <w:proofErr w:type="spellEnd"/>
      <w:r w:rsidR="00D3682B" w:rsidRPr="00B06469">
        <w:rPr>
          <w:rFonts w:ascii="Times New Roman" w:hAnsi="Times New Roman" w:cs="Times New Roman"/>
          <w:sz w:val="24"/>
          <w:szCs w:val="24"/>
        </w:rPr>
        <w:t xml:space="preserve"> </w:t>
      </w:r>
      <w:r w:rsidRPr="00B06469">
        <w:rPr>
          <w:rFonts w:ascii="Times New Roman" w:hAnsi="Times New Roman" w:cs="Times New Roman"/>
          <w:sz w:val="24"/>
          <w:szCs w:val="24"/>
        </w:rPr>
        <w:t>ускорится модернизация "современной экономики" и начнется создание заделов "умной экономики", стартуют проекты областной</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и межрегиональной интеграции. Внешняя конъюнктура улучшится, темпы роста повысятся.</w:t>
      </w:r>
    </w:p>
    <w:p w:rsidR="00443650" w:rsidRPr="00B0646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4"/>
          <w:szCs w:val="24"/>
        </w:rPr>
      </w:pPr>
      <w:bookmarkStart w:id="41" w:name="Par656"/>
      <w:bookmarkEnd w:id="41"/>
      <w:proofErr w:type="gramStart"/>
      <w:r w:rsidRPr="00B06469">
        <w:rPr>
          <w:rFonts w:ascii="Times New Roman" w:hAnsi="Times New Roman" w:cs="Times New Roman"/>
          <w:sz w:val="24"/>
          <w:szCs w:val="24"/>
        </w:rPr>
        <w:t xml:space="preserve">Третий этап (2022 - 2024 годы) - обеспечит заметный рост конкурентоспособности экономики и социальной сферы </w:t>
      </w:r>
      <w:proofErr w:type="spellStart"/>
      <w:r w:rsidRPr="00B06469">
        <w:rPr>
          <w:rFonts w:ascii="Times New Roman" w:hAnsi="Times New Roman" w:cs="Times New Roman"/>
          <w:sz w:val="24"/>
          <w:szCs w:val="24"/>
        </w:rPr>
        <w:t>м.р</w:t>
      </w:r>
      <w:proofErr w:type="spellEnd"/>
      <w:r w:rsidRPr="00B06469">
        <w:rPr>
          <w:rFonts w:ascii="Times New Roman" w:hAnsi="Times New Roman" w:cs="Times New Roman"/>
          <w:sz w:val="24"/>
          <w:szCs w:val="24"/>
        </w:rPr>
        <w:t>.</w:t>
      </w:r>
      <w:r w:rsidR="00D3682B"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на основе перехода на новую сбалансированную модель развития, значительного улучшения качества человеческого потенциала и социального пространства, углубления структурной модернизации "современной экономики", значительного развития новой "умной экономики", превращения инноваций в ведущий фактор экономического роста </w:t>
      </w:r>
      <w:proofErr w:type="spellStart"/>
      <w:r w:rsidRPr="00B06469">
        <w:rPr>
          <w:rFonts w:ascii="Times New Roman" w:hAnsi="Times New Roman" w:cs="Times New Roman"/>
          <w:sz w:val="24"/>
          <w:szCs w:val="24"/>
        </w:rPr>
        <w:t>м.р</w:t>
      </w:r>
      <w:proofErr w:type="spellEnd"/>
      <w:r w:rsidRPr="00B06469">
        <w:rPr>
          <w:rFonts w:ascii="Times New Roman" w:hAnsi="Times New Roman" w:cs="Times New Roman"/>
          <w:sz w:val="24"/>
          <w:szCs w:val="24"/>
        </w:rPr>
        <w:t>.</w:t>
      </w:r>
      <w:r w:rsidR="00D3682B"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Камышл</w:t>
      </w:r>
      <w:r w:rsidR="00D3682B" w:rsidRPr="00B06469">
        <w:rPr>
          <w:rFonts w:ascii="Times New Roman" w:hAnsi="Times New Roman" w:cs="Times New Roman"/>
          <w:sz w:val="24"/>
          <w:szCs w:val="24"/>
        </w:rPr>
        <w:t>инский</w:t>
      </w:r>
      <w:proofErr w:type="spellEnd"/>
      <w:r w:rsidRPr="00B06469">
        <w:rPr>
          <w:rFonts w:ascii="Times New Roman" w:hAnsi="Times New Roman" w:cs="Times New Roman"/>
          <w:sz w:val="24"/>
          <w:szCs w:val="24"/>
        </w:rPr>
        <w:t>.</w:t>
      </w:r>
      <w:proofErr w:type="gramEnd"/>
    </w:p>
    <w:p w:rsidR="00443650" w:rsidRPr="00B0646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4"/>
          <w:szCs w:val="24"/>
        </w:rPr>
      </w:pPr>
      <w:bookmarkStart w:id="42" w:name="Par657"/>
      <w:bookmarkEnd w:id="42"/>
      <w:r w:rsidRPr="00B06469">
        <w:rPr>
          <w:rFonts w:ascii="Times New Roman" w:hAnsi="Times New Roman" w:cs="Times New Roman"/>
          <w:sz w:val="24"/>
          <w:szCs w:val="24"/>
        </w:rPr>
        <w:t xml:space="preserve">Четвертый этап (2025 - 2030 годы и далее) - произойдет рывок в повышении конкурентоспособности экономики, будут созданы условия для достижения глобальной конкурентоспособности </w:t>
      </w:r>
      <w:proofErr w:type="spellStart"/>
      <w:r w:rsidRPr="00B06469">
        <w:rPr>
          <w:rFonts w:ascii="Times New Roman" w:hAnsi="Times New Roman" w:cs="Times New Roman"/>
          <w:sz w:val="24"/>
          <w:szCs w:val="24"/>
        </w:rPr>
        <w:t>м.р</w:t>
      </w:r>
      <w:proofErr w:type="spellEnd"/>
      <w:r w:rsidRPr="00B06469">
        <w:rPr>
          <w:rFonts w:ascii="Times New Roman" w:hAnsi="Times New Roman" w:cs="Times New Roman"/>
          <w:sz w:val="24"/>
          <w:szCs w:val="24"/>
        </w:rPr>
        <w:t>.</w:t>
      </w:r>
      <w:r w:rsidR="00D3682B"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в рамках ряда ключевых направлений. </w:t>
      </w:r>
      <w:proofErr w:type="spellStart"/>
      <w:r w:rsidRPr="00B06469">
        <w:rPr>
          <w:rFonts w:ascii="Times New Roman" w:hAnsi="Times New Roman" w:cs="Times New Roman"/>
          <w:sz w:val="24"/>
          <w:szCs w:val="24"/>
        </w:rPr>
        <w:t>М.р</w:t>
      </w:r>
      <w:proofErr w:type="spellEnd"/>
      <w:r w:rsidRPr="00B06469">
        <w:rPr>
          <w:rFonts w:ascii="Times New Roman" w:hAnsi="Times New Roman" w:cs="Times New Roman"/>
          <w:sz w:val="24"/>
          <w:szCs w:val="24"/>
        </w:rPr>
        <w:t>.</w:t>
      </w:r>
      <w:r w:rsidR="00D3682B"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сможет занять позицию лидера</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Самарской области</w:t>
      </w:r>
      <w:proofErr w:type="gramStart"/>
      <w:r w:rsidRPr="00B06469">
        <w:rPr>
          <w:rFonts w:ascii="Times New Roman" w:hAnsi="Times New Roman" w:cs="Times New Roman"/>
          <w:sz w:val="24"/>
          <w:szCs w:val="24"/>
        </w:rPr>
        <w:t>..</w:t>
      </w:r>
      <w:proofErr w:type="gramEnd"/>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Неопределенность прогноза внешних условий обусловливает необходимость использования сценарных вариантов реализации Стратегии. Предложено два</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сценария:</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сценарий 1 - инерционный (сценарий жестких ресурсных ограничений);</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сценарий 2 - целевой (сценарий мягких ресурсных ограничений).</w:t>
      </w:r>
    </w:p>
    <w:p w:rsidR="00443650" w:rsidRPr="00B0646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4"/>
          <w:szCs w:val="24"/>
        </w:rPr>
      </w:pPr>
      <w:bookmarkStart w:id="43" w:name="Par662"/>
      <w:bookmarkEnd w:id="43"/>
      <w:r w:rsidRPr="00B06469">
        <w:rPr>
          <w:rFonts w:ascii="Times New Roman" w:hAnsi="Times New Roman" w:cs="Times New Roman"/>
          <w:b/>
          <w:sz w:val="24"/>
          <w:szCs w:val="24"/>
        </w:rPr>
        <w:t>Инерционный сценарий</w:t>
      </w:r>
      <w:r w:rsidRPr="00B06469">
        <w:rPr>
          <w:rFonts w:ascii="Times New Roman" w:hAnsi="Times New Roman" w:cs="Times New Roman"/>
          <w:sz w:val="24"/>
          <w:szCs w:val="24"/>
        </w:rPr>
        <w:t>. Данный сценарий не предполагает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Основные параметры сценария:</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закрепление и расширение конкурентных преимуще</w:t>
      </w:r>
      <w:proofErr w:type="gramStart"/>
      <w:r w:rsidRPr="00B06469">
        <w:rPr>
          <w:rFonts w:ascii="Times New Roman" w:hAnsi="Times New Roman" w:cs="Times New Roman"/>
          <w:sz w:val="24"/>
          <w:szCs w:val="24"/>
        </w:rPr>
        <w:t>ств в тр</w:t>
      </w:r>
      <w:proofErr w:type="gramEnd"/>
      <w:r w:rsidRPr="00B06469">
        <w:rPr>
          <w:rFonts w:ascii="Times New Roman" w:hAnsi="Times New Roman" w:cs="Times New Roman"/>
          <w:sz w:val="24"/>
          <w:szCs w:val="24"/>
        </w:rPr>
        <w:t xml:space="preserve">адиционных сферах с целью формирования устойчивой модели развития, позволяющей обеспечить незначительное сокращение разрыва в конкурентоспособности </w:t>
      </w:r>
      <w:proofErr w:type="spellStart"/>
      <w:r w:rsidRPr="00B06469">
        <w:rPr>
          <w:rFonts w:ascii="Times New Roman" w:hAnsi="Times New Roman" w:cs="Times New Roman"/>
          <w:sz w:val="24"/>
          <w:szCs w:val="24"/>
        </w:rPr>
        <w:t>м.р</w:t>
      </w:r>
      <w:proofErr w:type="spellEnd"/>
      <w:r w:rsidRPr="00B06469">
        <w:rPr>
          <w:rFonts w:ascii="Times New Roman" w:hAnsi="Times New Roman" w:cs="Times New Roman"/>
          <w:sz w:val="24"/>
          <w:szCs w:val="24"/>
        </w:rPr>
        <w:t>.</w:t>
      </w:r>
      <w:r w:rsidR="00D3682B"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от других </w:t>
      </w:r>
      <w:r w:rsidR="00D3682B" w:rsidRPr="00B06469">
        <w:rPr>
          <w:rFonts w:ascii="Times New Roman" w:hAnsi="Times New Roman" w:cs="Times New Roman"/>
          <w:sz w:val="24"/>
          <w:szCs w:val="24"/>
        </w:rPr>
        <w:t>муниципальных образований.</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небольшой рост человеческого капитала;</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небольшой рост инвестиционной привлекательности;</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формирование условий пространственного развития;</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расширение интеграционных процессов в межрегиональное и международное социально-экономическое пространство;</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развитие институциональной среды, способствующей сбалансированному устойчивому развитию;</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стабильный уровень безопасности.</w:t>
      </w:r>
    </w:p>
    <w:p w:rsidR="00443650" w:rsidRPr="00B0646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4"/>
          <w:szCs w:val="24"/>
        </w:rPr>
      </w:pPr>
      <w:bookmarkStart w:id="44" w:name="Par673"/>
      <w:bookmarkStart w:id="45" w:name="Par683"/>
      <w:bookmarkEnd w:id="44"/>
      <w:bookmarkEnd w:id="45"/>
      <w:r w:rsidRPr="00B06469">
        <w:rPr>
          <w:rFonts w:ascii="Times New Roman" w:hAnsi="Times New Roman" w:cs="Times New Roman"/>
          <w:b/>
          <w:sz w:val="24"/>
          <w:szCs w:val="24"/>
        </w:rPr>
        <w:t>Целевой сценарий</w:t>
      </w:r>
      <w:r w:rsidRPr="00B06469">
        <w:rPr>
          <w:rFonts w:ascii="Times New Roman" w:hAnsi="Times New Roman" w:cs="Times New Roman"/>
          <w:sz w:val="24"/>
          <w:szCs w:val="24"/>
        </w:rPr>
        <w:t>. Предполагает полное раскрытие потенциала развития, достижение глобальной конкурентоспособности. Успешно реализуется активация населения: полностью модернизируется "современная экономика" (преимущественно четвертого с элементами пятого технологического уклада), создается сектор "умной экономики" (пятого - шестого технологических укладов, с возможностью появления седьмого технологического уклада). Большинство намеченных проектов реализуется в плановые сроки.</w:t>
      </w:r>
    </w:p>
    <w:p w:rsidR="00443650" w:rsidRPr="00B06469" w:rsidRDefault="00443650"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При реализации данного сценария в экономике района, по сути, создаются новые конкурентные преимущества, связанные с ее диверсификацией и интенсивным развитием производства.</w:t>
      </w:r>
    </w:p>
    <w:p w:rsidR="00443650" w:rsidRPr="00B06469" w:rsidRDefault="00443650"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Целевой сценарий предусматривает активную деятельность по привлечению </w:t>
      </w:r>
      <w:proofErr w:type="spellStart"/>
      <w:r w:rsidRPr="00B06469">
        <w:rPr>
          <w:rFonts w:ascii="Times New Roman" w:hAnsi="Times New Roman" w:cs="Times New Roman"/>
          <w:sz w:val="24"/>
          <w:szCs w:val="24"/>
        </w:rPr>
        <w:t>м.р</w:t>
      </w:r>
      <w:proofErr w:type="spellEnd"/>
      <w:r w:rsidRPr="00B06469">
        <w:rPr>
          <w:rFonts w:ascii="Times New Roman" w:hAnsi="Times New Roman" w:cs="Times New Roman"/>
          <w:sz w:val="24"/>
          <w:szCs w:val="24"/>
        </w:rPr>
        <w:t>.</w:t>
      </w:r>
      <w:r w:rsidR="00D3682B" w:rsidRPr="00B06469">
        <w:rPr>
          <w:rFonts w:ascii="Times New Roman" w:hAnsi="Times New Roman" w:cs="Times New Roman"/>
          <w:sz w:val="24"/>
          <w:szCs w:val="24"/>
        </w:rPr>
        <w:t xml:space="preserve"> </w:t>
      </w:r>
      <w:proofErr w:type="spellStart"/>
      <w:r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инвестиций, направляемых как на новые проекты, так и обновление технологической базы существующих производств. </w:t>
      </w:r>
    </w:p>
    <w:p w:rsidR="00443650" w:rsidRPr="00B06469" w:rsidRDefault="00443650"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Сценарий базируется на благоприятных внешних и внутренних условиях.</w:t>
      </w:r>
    </w:p>
    <w:p w:rsidR="00443650" w:rsidRPr="00B06469" w:rsidRDefault="00443650"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При развитии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по данному сценарию прогнозируется рост численности населения как за счет увеличения естественного движения населения, так и за счет положительной динамики миграционных процессов. При этом прогнозируемые темпы рождаемости и миграционного прироста населения не смогут в полной мере предотвратить сокращение численности населения в трудоспособном возрасте. Предполагаемая диверсификация экономики должна привести к созданию новых мест приложения труда, что повлечет за собой спрос на трудовые ресурсы. Однако, по причине демографического старения населения, на территории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может возникнуть такая проблема, как дефицит квалифицированной рабочей силы. Данное обстоятельство может привести к росту доли работающих пенсионеров, либо к привлечению рабочих кадров на территорию муниципального</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района в целях успешной реализации крупных инфраструктурных проектов.</w:t>
      </w:r>
    </w:p>
    <w:p w:rsidR="00443650" w:rsidRPr="00B06469" w:rsidRDefault="00443650"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Целевой сценарий предполагает интенсивное освоение территории, активное партнерство местных, районных и окружных органов власти и бизнеса в реализации проектов развития территорий. На территории района и входящих в него поселений предполагается создание единого экономического, транспортного, культурного и политического пространства для ведения бизнеса.</w:t>
      </w:r>
    </w:p>
    <w:p w:rsidR="00443650" w:rsidRPr="00B06469" w:rsidRDefault="00443650"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Целевой сценарий развития района предусматривает существенные качественные изменения по основным индикаторам социально-экономического развития. Логика целевого сценария развития предполагает ориентацию на активное внедрение инноваций.</w:t>
      </w:r>
    </w:p>
    <w:p w:rsidR="00443650" w:rsidRPr="00B06469" w:rsidRDefault="00443650"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Реализация данного сценария возможна в условиях наращивания энергоресурсов.</w:t>
      </w:r>
    </w:p>
    <w:p w:rsidR="00443650" w:rsidRPr="00B06469" w:rsidRDefault="00443650"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Данный сценарий учитывает сохранение специализации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в основных существующих направлениях экономики. Реализация данного сценария потребует от органов местного самоуправления согласованных синхронизированных действий с заинтересованными сторонами по масштабной подготовке и освоению промышленных, деловых (офисных) и жилых зон (кварталов), развитию сети транспортных коридоров, реализации программ по привлечению населения из других населенных пунктов.</w:t>
      </w:r>
    </w:p>
    <w:p w:rsidR="00443650" w:rsidRPr="00B06469" w:rsidRDefault="00443650" w:rsidP="001F0139">
      <w:pPr>
        <w:spacing w:after="0"/>
        <w:rPr>
          <w:rFonts w:ascii="Times New Roman" w:hAnsi="Times New Roman" w:cs="Times New Roman"/>
          <w:sz w:val="24"/>
          <w:szCs w:val="24"/>
        </w:rPr>
      </w:pPr>
      <w:r w:rsidRPr="00B06469">
        <w:rPr>
          <w:rFonts w:ascii="Times New Roman" w:hAnsi="Times New Roman" w:cs="Times New Roman"/>
          <w:sz w:val="24"/>
          <w:szCs w:val="24"/>
        </w:rPr>
        <w:t>Таким образом, реализация целевого сценария потребует решения сложных социально-культурных и социально-экономических задач</w:t>
      </w:r>
    </w:p>
    <w:p w:rsidR="00443650" w:rsidRPr="00B06469" w:rsidRDefault="00443650" w:rsidP="001F0139">
      <w:pPr>
        <w:spacing w:after="0"/>
        <w:rPr>
          <w:rFonts w:ascii="Times New Roman" w:hAnsi="Times New Roman" w:cs="Times New Roman"/>
          <w:sz w:val="24"/>
          <w:szCs w:val="24"/>
        </w:rPr>
      </w:pPr>
    </w:p>
    <w:p w:rsidR="00443650" w:rsidRPr="00B06469" w:rsidRDefault="00443650"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9.2. Оценка финансовых ресурсов</w:t>
      </w:r>
    </w:p>
    <w:p w:rsidR="00443650" w:rsidRPr="00B06469" w:rsidRDefault="00443650" w:rsidP="001F0139">
      <w:pPr>
        <w:spacing w:after="0" w:line="360" w:lineRule="auto"/>
        <w:ind w:firstLine="709"/>
        <w:jc w:val="both"/>
        <w:rPr>
          <w:rFonts w:ascii="Times New Roman" w:hAnsi="Times New Roman" w:cs="Times New Roman"/>
          <w:sz w:val="24"/>
          <w:szCs w:val="24"/>
        </w:rPr>
      </w:pPr>
      <w:proofErr w:type="gramStart"/>
      <w:r w:rsidRPr="00B06469">
        <w:rPr>
          <w:rFonts w:ascii="Times New Roman" w:hAnsi="Times New Roman" w:cs="Times New Roman"/>
          <w:sz w:val="24"/>
          <w:szCs w:val="24"/>
        </w:rPr>
        <w:t xml:space="preserve">В соответствии с Федеральным законом от 28 июня 2014 года №172-ФЗ «О стратегическом планировании в Российской Федерации» и Законом Самарской области от 12.03.2018 №19-ГД «О стратегическом планировании в Самарской области» реализация Стратегии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будет осуществляться путем разработки плана </w:t>
      </w:r>
      <w:r w:rsidRPr="00B06469">
        <w:rPr>
          <w:rFonts w:ascii="Times New Roman" w:hAnsi="Times New Roman" w:cs="Times New Roman"/>
          <w:sz w:val="24"/>
          <w:szCs w:val="24"/>
        </w:rPr>
        <w:lastRenderedPageBreak/>
        <w:t>мероприятий, в котором будут детализированы приоритеты Стратегии и осуществлена их увязка с мероприятиями муниципальных программ и бюджетным финансированием.</w:t>
      </w:r>
      <w:proofErr w:type="gramEnd"/>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Ежегодно по итогам оценки эффективности реализации приоритетных стратегических проектов, муниципальных программ и мониторинга хода исполнения плана мероприятий по реализации Стратегии объем бюджетных средств на реализацию Стратегии будет уточняться, при этом во внимание будут приняты возможности бюджета.</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Реализация стратегии социально-экономического развития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будет осуществляться на основе комплексного подхода путем применения соответствующих механизмов и инструментов по достижению заявленных стратегических целей и поставленных в документе конкретных задач. Данный документ (стратегия) является основополагающим документом, </w:t>
      </w:r>
      <w:proofErr w:type="gramStart"/>
      <w:r w:rsidRPr="00B06469">
        <w:rPr>
          <w:rFonts w:ascii="Times New Roman" w:hAnsi="Times New Roman" w:cs="Times New Roman"/>
          <w:sz w:val="24"/>
          <w:szCs w:val="24"/>
        </w:rPr>
        <w:t>цели</w:t>
      </w:r>
      <w:proofErr w:type="gramEnd"/>
      <w:r w:rsidRPr="00B06469">
        <w:rPr>
          <w:rFonts w:ascii="Times New Roman" w:hAnsi="Times New Roman" w:cs="Times New Roman"/>
          <w:sz w:val="24"/>
          <w:szCs w:val="24"/>
        </w:rPr>
        <w:t xml:space="preserve"> и задачи которого разработаны в строгом соответствии с Указом Президента РФ от 07 мая 2018г., со Стратегией социально-экономического развития Самарской области до 2030г.</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Реализация стратегии предусматривает взаимодействие следующих субъектов – участников социально-экономической жизни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Органы местного самоуправления на территории</w:t>
      </w:r>
      <w:r w:rsidR="002760F1"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Органы государственной власти Самарской области;</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Органы власти федерального уровня (территориальные органы федеральных органов исполнительной власти);</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Отраслевые ассоциации и объединения хозяйствующих субъектов;</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Общественные организации, политические партии и движения;</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Хозяйствующие субъекты;</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Население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p>
    <w:p w:rsidR="00443650" w:rsidRPr="00B06469" w:rsidRDefault="00443650" w:rsidP="001F0139">
      <w:pPr>
        <w:spacing w:after="0" w:line="360" w:lineRule="auto"/>
        <w:ind w:firstLine="709"/>
        <w:jc w:val="both"/>
        <w:rPr>
          <w:rFonts w:ascii="Times New Roman" w:hAnsi="Times New Roman" w:cs="Times New Roman"/>
          <w:sz w:val="24"/>
          <w:szCs w:val="24"/>
        </w:rPr>
      </w:pPr>
    </w:p>
    <w:p w:rsidR="00443650" w:rsidRPr="00B06469" w:rsidRDefault="00443650"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 xml:space="preserve">9.3Механизм реализации стратегии и мониторинг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Система стратегического планирования развития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 xml:space="preserve">основывается на программно-целевых, проектных методах управления, методах территориального планирования, прогнозирования социально-экономического развития.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Основными элементами механизма реализации Стратегии являются:</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нормативное правовое обеспечение;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информационно-методическое обеспечение;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организационно-управленческое обеспечение;</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финансовое обеспечение;</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мониторинг и </w:t>
      </w:r>
      <w:proofErr w:type="gramStart"/>
      <w:r w:rsidRPr="00B06469">
        <w:rPr>
          <w:rFonts w:ascii="Times New Roman" w:hAnsi="Times New Roman" w:cs="Times New Roman"/>
          <w:sz w:val="24"/>
          <w:szCs w:val="24"/>
        </w:rPr>
        <w:t>контроль за</w:t>
      </w:r>
      <w:proofErr w:type="gramEnd"/>
      <w:r w:rsidRPr="00B06469">
        <w:rPr>
          <w:rFonts w:ascii="Times New Roman" w:hAnsi="Times New Roman" w:cs="Times New Roman"/>
          <w:sz w:val="24"/>
          <w:szCs w:val="24"/>
        </w:rPr>
        <w:t xml:space="preserve"> ходом реализации документов стратегического планирования;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обеспечение возможности корректировки документов стратегического планирования.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Нормативное правовое обеспечение. Правовой блок механизма реализации Стратегии охватывает все необходимые сферы социально-экономического развития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включая систему стратегического планирования. </w:t>
      </w:r>
      <w:proofErr w:type="gramStart"/>
      <w:r w:rsidRPr="00B06469">
        <w:rPr>
          <w:rFonts w:ascii="Times New Roman" w:hAnsi="Times New Roman" w:cs="Times New Roman"/>
          <w:sz w:val="24"/>
          <w:szCs w:val="24"/>
        </w:rPr>
        <w:t xml:space="preserve">Предусматривается как разработка новых, так и изменение уже действующих нормативных правовых актов, направленных на обеспечение реализации Стратегии по всем направлениям деятельности государственного регулирования, в результате чего будет сформирована система нормативных правовых актов, регламентирующих реализацию Стратегии и способствующих повышению оперативности и качества управленческих решений, принимаемых исполнительными органами государственной власти и муниципального управления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w:t>
      </w:r>
      <w:proofErr w:type="gramEnd"/>
      <w:r w:rsidRPr="00B06469">
        <w:rPr>
          <w:rFonts w:ascii="Times New Roman" w:hAnsi="Times New Roman" w:cs="Times New Roman"/>
          <w:sz w:val="24"/>
          <w:szCs w:val="24"/>
        </w:rPr>
        <w:t xml:space="preserve"> В целях реализации Стратегии разрабатывается и утверждается план мероприятий по ее реализации. Для каждого мероприятия определяются цели, задачи, обеспечивающие достижение стратегических и целевых ориентиров, ответственные исполнители, объемы финансирования, сроки и этапы выполнения мероприятий - таким образом, реализуется принцип </w:t>
      </w:r>
      <w:proofErr w:type="gramStart"/>
      <w:r w:rsidRPr="00B06469">
        <w:rPr>
          <w:rFonts w:ascii="Times New Roman" w:hAnsi="Times New Roman" w:cs="Times New Roman"/>
          <w:sz w:val="24"/>
          <w:szCs w:val="24"/>
        </w:rPr>
        <w:t xml:space="preserve">повышения </w:t>
      </w:r>
      <w:proofErr w:type="spellStart"/>
      <w:r w:rsidRPr="00B06469">
        <w:rPr>
          <w:rFonts w:ascii="Times New Roman" w:hAnsi="Times New Roman" w:cs="Times New Roman"/>
          <w:sz w:val="24"/>
          <w:szCs w:val="24"/>
        </w:rPr>
        <w:t>скоординированности</w:t>
      </w:r>
      <w:proofErr w:type="spellEnd"/>
      <w:r w:rsidRPr="00B06469">
        <w:rPr>
          <w:rFonts w:ascii="Times New Roman" w:hAnsi="Times New Roman" w:cs="Times New Roman"/>
          <w:sz w:val="24"/>
          <w:szCs w:val="24"/>
        </w:rPr>
        <w:t xml:space="preserve"> оперативных управленческих решений исполнительных органов государственной власти</w:t>
      </w:r>
      <w:proofErr w:type="gramEnd"/>
      <w:r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по реализации Стратегии. При реализации Стратегии применяется программно-целевой метод управления в сочетании с проектным подходом. Важнейшим инструментом активного воздействия на комплексное развитие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будет являться реализация муниципальных и</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 xml:space="preserve">государственных программ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Цели и задачи государственных программ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будут соответствовать приоритетам и целям региональной политики в соответствующих сферах социально-экономического развития </w:t>
      </w:r>
      <w:proofErr w:type="spellStart"/>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ского</w:t>
      </w:r>
      <w:proofErr w:type="spellEnd"/>
      <w:r w:rsidRPr="00B06469">
        <w:rPr>
          <w:rFonts w:ascii="Times New Roman" w:hAnsi="Times New Roman" w:cs="Times New Roman"/>
          <w:sz w:val="24"/>
          <w:szCs w:val="24"/>
        </w:rPr>
        <w:t xml:space="preserve"> округа, указанным в Стратегии. В целях эффективной реализации Стратегии развития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будут внесены изменения в существующие муниципальные</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 xml:space="preserve">программы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либо, при необходимости, разработаны новые в соответствии с целями и приоритетами развития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а. При этом приоритетные проекты соответствуют</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 xml:space="preserve">государственных программ Самарской области или муниципальным программам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Так, финансирование отдельных проектов будет осуществляться через государственные программы. Это позволит оптимизировать распределение бюджетных ресурсов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и контролировать процесс достижения целевых характеристик развития определенных сфер.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Условием успешной реализации Стратегии является высокий профессионализм государственных гражданских служащих. В связи с этим одним из мероприятий по повышению эффективности государственного управления регионом является внедрение современных инструментов кадровой политики, отвечающих задачам развития, закрепленным в Стратегии.</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 В частности, необходимо развивать систему мотивации и привлечения высококвалифицированных специалистов на государственную службу. В целях повышения эффективности государственного управления должна быть решена задача по вовлечению в процесс управления развитием региона широкого круга заинтересованных участников. Для этого предусмотрена реализация следующих мероприятий: переход от прямого субсидирования к организационным формам поддержки. Возможными формами поддержки могут выступать: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1.введение режима наибольшего благоприятствования инвесторам, снижение административных барьеров, предоставление широкого перечня государственных услуг, в том числе в электронном виде, расширение кооперации, создание и развитие кластеров;</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2. расширение участия граждан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в управлении регионом (опросы населения, общественные советы, институт гражданской законодательной инициативы, молодежные объединения, политические партии и пр.);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3.развитие института государственно-частного и </w:t>
      </w:r>
      <w:proofErr w:type="spellStart"/>
      <w:r w:rsidRPr="00B06469">
        <w:rPr>
          <w:rFonts w:ascii="Times New Roman" w:hAnsi="Times New Roman" w:cs="Times New Roman"/>
          <w:sz w:val="24"/>
          <w:szCs w:val="24"/>
        </w:rPr>
        <w:t>муниципально</w:t>
      </w:r>
      <w:proofErr w:type="spellEnd"/>
      <w:r w:rsidRPr="00B06469">
        <w:rPr>
          <w:rFonts w:ascii="Times New Roman" w:hAnsi="Times New Roman" w:cs="Times New Roman"/>
          <w:sz w:val="24"/>
          <w:szCs w:val="24"/>
        </w:rPr>
        <w:t xml:space="preserve">-частного партнерства; расширение использования информационных технологий для коммуникаций с гражданами, бизнесом, федеральными и муниципальными органами власти;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4.взаимодействие с отраслевыми ассоциациями и институтами развития, естественными монополиями и государственными корпорациями, в том числе для участия в федеральных проектах;</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5.подготовка обращений с инициативами в федеральные органы государственной власти по вопросам реализации Стратегии.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Информационно-методическое обеспечение. Участники стратегического планирования в процессе реализации Стратегии должны быть обеспечены актуальной, достоверной и достаточной информацией, методической поддержкой для подготовки и принятия управленческих решений, в </w:t>
      </w:r>
      <w:proofErr w:type="gramStart"/>
      <w:r w:rsidRPr="00B06469">
        <w:rPr>
          <w:rFonts w:ascii="Times New Roman" w:hAnsi="Times New Roman" w:cs="Times New Roman"/>
          <w:sz w:val="24"/>
          <w:szCs w:val="24"/>
        </w:rPr>
        <w:t>связи</w:t>
      </w:r>
      <w:proofErr w:type="gramEnd"/>
      <w:r w:rsidRPr="00B06469">
        <w:rPr>
          <w:rFonts w:ascii="Times New Roman" w:hAnsi="Times New Roman" w:cs="Times New Roman"/>
          <w:sz w:val="24"/>
          <w:szCs w:val="24"/>
        </w:rPr>
        <w:t xml:space="preserve"> с чем необходимым является ее всестороннее публичное обсуждение и информирование деловых кругов и общественности: о целях, задачах и приоритетных направлениях Стратегии, и механизмах их достижения; о решениях и действиях, принимаемых субъектами экономической деятельности для реализации Стратегии; о ходе и результатах реализации Стратегии и степени эффективности принимаемых решений. Финансовое обеспечение. Успешная реализация настоящей Стратегии невозможна без наличия соответствующих финансово-инвестиционных ресурсов. Практическое достижение намеченных целей возможно при эффективном использовании финансового блока инструментов реализации Стратегии, направленных на концентрацию финансовых ресурсов на приоритетных направлениях развития, нацеленность на результат. Финансовая база будет определяться денежными средствами консолидированного бюджета, государственных внебюджетных фондов, предприятий, организаций и населения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а также состоянием и </w:t>
      </w:r>
      <w:r w:rsidRPr="00B06469">
        <w:rPr>
          <w:rFonts w:ascii="Times New Roman" w:hAnsi="Times New Roman" w:cs="Times New Roman"/>
          <w:sz w:val="24"/>
          <w:szCs w:val="24"/>
        </w:rPr>
        <w:lastRenderedPageBreak/>
        <w:t xml:space="preserve">развитием банковской системы. Важную роль в социально-экономическом развитии региона будут играть привлекаемые финансовые ресурсы инвесторов. Механизм реализации Стратегии предполагает наличие действенной системы мониторинга и контроля, осуществляемых на основе комплексного анализа достижения целевых показателей и ориентиров социально-экономического развития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степени выполнения запланированных мероприятий. Мониторинг даст возможность сверять реальные результаты с </w:t>
      </w:r>
      <w:proofErr w:type="gramStart"/>
      <w:r w:rsidRPr="00B06469">
        <w:rPr>
          <w:rFonts w:ascii="Times New Roman" w:hAnsi="Times New Roman" w:cs="Times New Roman"/>
          <w:sz w:val="24"/>
          <w:szCs w:val="24"/>
        </w:rPr>
        <w:t>предусмотренными</w:t>
      </w:r>
      <w:proofErr w:type="gramEnd"/>
      <w:r w:rsidRPr="00B06469">
        <w:rPr>
          <w:rFonts w:ascii="Times New Roman" w:hAnsi="Times New Roman" w:cs="Times New Roman"/>
          <w:sz w:val="24"/>
          <w:szCs w:val="24"/>
        </w:rPr>
        <w:t xml:space="preserve"> и при необходимости уточнять траекторию развития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 xml:space="preserve">а. Мониторинг реализации Стратегии осуществляется на основе оценки достижения целей Стратегии и выполнения плана мероприятий по реализации Стратегии.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Документами, в которых отражаются результаты мониторинга реализации Стратегии, являются: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1) ежегодный отчет Главы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2) сводный годовой доклад о ходе реализации и об оценке эффективности муниципальных программ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Собрание представителей</w:t>
      </w:r>
      <w:r w:rsidR="002760F1"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Pr="00B06469">
        <w:rPr>
          <w:rFonts w:ascii="Times New Roman" w:hAnsi="Times New Roman" w:cs="Times New Roman"/>
          <w:sz w:val="24"/>
          <w:szCs w:val="24"/>
        </w:rPr>
        <w:t xml:space="preserve"> обеспечивает </w:t>
      </w:r>
      <w:proofErr w:type="gramStart"/>
      <w:r w:rsidRPr="00B06469">
        <w:rPr>
          <w:rFonts w:ascii="Times New Roman" w:hAnsi="Times New Roman" w:cs="Times New Roman"/>
          <w:sz w:val="24"/>
          <w:szCs w:val="24"/>
        </w:rPr>
        <w:t>контроль за</w:t>
      </w:r>
      <w:proofErr w:type="gramEnd"/>
      <w:r w:rsidRPr="00B06469">
        <w:rPr>
          <w:rFonts w:ascii="Times New Roman" w:hAnsi="Times New Roman" w:cs="Times New Roman"/>
          <w:sz w:val="24"/>
          <w:szCs w:val="24"/>
        </w:rPr>
        <w:t xml:space="preserve"> реализацией Стратегии, за соответствием муниципальных программ целям, задачам и приоритетам Стратегии.</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Основные направления действий по реализации Стратегии и приоритетные стратегические проекты будут детализированы в плане мероприятий с указанием ответственных исполнителей и ожидаемых результатов реализации. На основе плана мероприятий будут внесены изменения в существующие муниципальные программы или разработаны новые муниципальные программы, в которых будут определены конкретные мероприятия с указанием объемов и источников финансирования.</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Основным механизмом реализации Стратегии станет контроль реализации Плана мероприятий и муниципальных программ. При этом должны быть обеспечены взаимосвязь и регулярное скоординированное обновление Стратегии, плана мероприятий и муниципальных программ.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Правовое обеспечение будет осуществляться с учетом изменений федерального и регионального законодательства в области экономического и социального развития.</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Проекты и мероприятия, реализуемые в рамках данной Стратегии, предполагающие финансирование из федерального бюджета, бюджета Самарской области, местного бюджета, будут уточняться, корректироваться и согласовываться в установленном порядке с учетом возможностей бюджетов на соответствующий финансовый год и плановый период.</w:t>
      </w:r>
    </w:p>
    <w:p w:rsidR="00E74438" w:rsidRPr="00B06469" w:rsidRDefault="00443650" w:rsidP="00B06469">
      <w:pPr>
        <w:spacing w:after="0" w:line="360" w:lineRule="auto"/>
        <w:ind w:firstLine="709"/>
        <w:jc w:val="both"/>
        <w:rPr>
          <w:sz w:val="24"/>
          <w:szCs w:val="24"/>
        </w:rPr>
      </w:pPr>
      <w:r w:rsidRPr="00B06469">
        <w:rPr>
          <w:rFonts w:ascii="Times New Roman" w:hAnsi="Times New Roman" w:cs="Times New Roman"/>
          <w:sz w:val="24"/>
          <w:szCs w:val="24"/>
        </w:rPr>
        <w:t xml:space="preserve">Ежегодный отчет о реализации Стратегии подлежит официальному опубликованию на официальном портале органов местного самоуправления </w:t>
      </w:r>
      <w:proofErr w:type="spellStart"/>
      <w:r w:rsidR="00D3682B" w:rsidRPr="00B06469">
        <w:rPr>
          <w:rFonts w:ascii="Times New Roman" w:hAnsi="Times New Roman" w:cs="Times New Roman"/>
          <w:sz w:val="24"/>
          <w:szCs w:val="24"/>
        </w:rPr>
        <w:t>м.р</w:t>
      </w:r>
      <w:proofErr w:type="spellEnd"/>
      <w:r w:rsidR="00D3682B" w:rsidRPr="00B06469">
        <w:rPr>
          <w:rFonts w:ascii="Times New Roman" w:hAnsi="Times New Roman" w:cs="Times New Roman"/>
          <w:sz w:val="24"/>
          <w:szCs w:val="24"/>
        </w:rPr>
        <w:t xml:space="preserve">. </w:t>
      </w:r>
      <w:proofErr w:type="spellStart"/>
      <w:r w:rsidR="00D3682B" w:rsidRPr="00B06469">
        <w:rPr>
          <w:rFonts w:ascii="Times New Roman" w:hAnsi="Times New Roman" w:cs="Times New Roman"/>
          <w:sz w:val="24"/>
          <w:szCs w:val="24"/>
        </w:rPr>
        <w:t>Камышлинский</w:t>
      </w:r>
      <w:proofErr w:type="spellEnd"/>
      <w:r w:rsidR="00B06469">
        <w:rPr>
          <w:rFonts w:ascii="Times New Roman" w:hAnsi="Times New Roman" w:cs="Times New Roman"/>
          <w:sz w:val="24"/>
          <w:szCs w:val="24"/>
        </w:rPr>
        <w:t>.</w:t>
      </w:r>
    </w:p>
    <w:sectPr w:rsidR="00E74438" w:rsidRPr="00B06469" w:rsidSect="00B06469">
      <w:pgSz w:w="11906" w:h="16838"/>
      <w:pgMar w:top="709"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62C3"/>
    <w:multiLevelType w:val="hybridMultilevel"/>
    <w:tmpl w:val="1B642052"/>
    <w:lvl w:ilvl="0" w:tplc="3920E392">
      <w:start w:val="1"/>
      <w:numFmt w:val="decimal"/>
      <w:lvlText w:val="%1."/>
      <w:lvlJc w:val="left"/>
      <w:pPr>
        <w:tabs>
          <w:tab w:val="num" w:pos="720"/>
        </w:tabs>
        <w:ind w:left="720" w:hanging="360"/>
      </w:pPr>
    </w:lvl>
    <w:lvl w:ilvl="1" w:tplc="1F102CC0" w:tentative="1">
      <w:start w:val="1"/>
      <w:numFmt w:val="decimal"/>
      <w:lvlText w:val="%2."/>
      <w:lvlJc w:val="left"/>
      <w:pPr>
        <w:tabs>
          <w:tab w:val="num" w:pos="1440"/>
        </w:tabs>
        <w:ind w:left="1440" w:hanging="360"/>
      </w:pPr>
    </w:lvl>
    <w:lvl w:ilvl="2" w:tplc="29A4F3D4" w:tentative="1">
      <w:start w:val="1"/>
      <w:numFmt w:val="decimal"/>
      <w:lvlText w:val="%3."/>
      <w:lvlJc w:val="left"/>
      <w:pPr>
        <w:tabs>
          <w:tab w:val="num" w:pos="2160"/>
        </w:tabs>
        <w:ind w:left="2160" w:hanging="360"/>
      </w:pPr>
    </w:lvl>
    <w:lvl w:ilvl="3" w:tplc="AE98B0FA" w:tentative="1">
      <w:start w:val="1"/>
      <w:numFmt w:val="decimal"/>
      <w:lvlText w:val="%4."/>
      <w:lvlJc w:val="left"/>
      <w:pPr>
        <w:tabs>
          <w:tab w:val="num" w:pos="2880"/>
        </w:tabs>
        <w:ind w:left="2880" w:hanging="360"/>
      </w:pPr>
    </w:lvl>
    <w:lvl w:ilvl="4" w:tplc="FA369AE2" w:tentative="1">
      <w:start w:val="1"/>
      <w:numFmt w:val="decimal"/>
      <w:lvlText w:val="%5."/>
      <w:lvlJc w:val="left"/>
      <w:pPr>
        <w:tabs>
          <w:tab w:val="num" w:pos="3600"/>
        </w:tabs>
        <w:ind w:left="3600" w:hanging="360"/>
      </w:pPr>
    </w:lvl>
    <w:lvl w:ilvl="5" w:tplc="6E505F3E" w:tentative="1">
      <w:start w:val="1"/>
      <w:numFmt w:val="decimal"/>
      <w:lvlText w:val="%6."/>
      <w:lvlJc w:val="left"/>
      <w:pPr>
        <w:tabs>
          <w:tab w:val="num" w:pos="4320"/>
        </w:tabs>
        <w:ind w:left="4320" w:hanging="360"/>
      </w:pPr>
    </w:lvl>
    <w:lvl w:ilvl="6" w:tplc="52DAC75E">
      <w:start w:val="1"/>
      <w:numFmt w:val="decimal"/>
      <w:lvlText w:val="%7."/>
      <w:lvlJc w:val="left"/>
      <w:pPr>
        <w:tabs>
          <w:tab w:val="num" w:pos="360"/>
        </w:tabs>
        <w:ind w:left="360" w:hanging="360"/>
      </w:pPr>
    </w:lvl>
    <w:lvl w:ilvl="7" w:tplc="16D0A22E" w:tentative="1">
      <w:start w:val="1"/>
      <w:numFmt w:val="decimal"/>
      <w:lvlText w:val="%8."/>
      <w:lvlJc w:val="left"/>
      <w:pPr>
        <w:tabs>
          <w:tab w:val="num" w:pos="5760"/>
        </w:tabs>
        <w:ind w:left="5760" w:hanging="360"/>
      </w:pPr>
    </w:lvl>
    <w:lvl w:ilvl="8" w:tplc="3356C36A" w:tentative="1">
      <w:start w:val="1"/>
      <w:numFmt w:val="decimal"/>
      <w:lvlText w:val="%9."/>
      <w:lvlJc w:val="left"/>
      <w:pPr>
        <w:tabs>
          <w:tab w:val="num" w:pos="6480"/>
        </w:tabs>
        <w:ind w:left="6480" w:hanging="360"/>
      </w:pPr>
    </w:lvl>
  </w:abstractNum>
  <w:abstractNum w:abstractNumId="1">
    <w:nsid w:val="04641F68"/>
    <w:multiLevelType w:val="multilevel"/>
    <w:tmpl w:val="1D48A4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FB469B"/>
    <w:multiLevelType w:val="hybridMultilevel"/>
    <w:tmpl w:val="EDFA39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81831ED"/>
    <w:multiLevelType w:val="multilevel"/>
    <w:tmpl w:val="0C78CE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C64B41"/>
    <w:multiLevelType w:val="multilevel"/>
    <w:tmpl w:val="6FAE0264"/>
    <w:lvl w:ilvl="0">
      <w:start w:val="5"/>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b w:val="0"/>
      </w:rPr>
    </w:lvl>
    <w:lvl w:ilvl="6">
      <w:start w:val="1"/>
      <w:numFmt w:val="decimal"/>
      <w:lvlText w:val="%1.%2.%3.%4.%5.%6.%7"/>
      <w:lvlJc w:val="left"/>
      <w:pPr>
        <w:ind w:left="6840" w:hanging="1440"/>
      </w:pPr>
      <w:rPr>
        <w:rFonts w:hint="default"/>
        <w:b w:val="0"/>
      </w:rPr>
    </w:lvl>
    <w:lvl w:ilvl="7">
      <w:start w:val="1"/>
      <w:numFmt w:val="decimal"/>
      <w:lvlText w:val="%1.%2.%3.%4.%5.%6.%7.%8"/>
      <w:lvlJc w:val="left"/>
      <w:pPr>
        <w:ind w:left="8100" w:hanging="1800"/>
      </w:pPr>
      <w:rPr>
        <w:rFonts w:hint="default"/>
        <w:b w:val="0"/>
      </w:rPr>
    </w:lvl>
    <w:lvl w:ilvl="8">
      <w:start w:val="1"/>
      <w:numFmt w:val="decimal"/>
      <w:lvlText w:val="%1.%2.%3.%4.%5.%6.%7.%8.%9"/>
      <w:lvlJc w:val="left"/>
      <w:pPr>
        <w:ind w:left="9360" w:hanging="2160"/>
      </w:pPr>
      <w:rPr>
        <w:rFonts w:hint="default"/>
        <w:b w:val="0"/>
      </w:rPr>
    </w:lvl>
  </w:abstractNum>
  <w:abstractNum w:abstractNumId="5">
    <w:nsid w:val="0B3D427C"/>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DC45136"/>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F2827F0"/>
    <w:multiLevelType w:val="hybridMultilevel"/>
    <w:tmpl w:val="D0387A22"/>
    <w:lvl w:ilvl="0" w:tplc="F86868C0">
      <w:start w:val="1"/>
      <w:numFmt w:val="decimal"/>
      <w:lvlText w:val="%1."/>
      <w:lvlJc w:val="left"/>
      <w:pPr>
        <w:tabs>
          <w:tab w:val="num" w:pos="720"/>
        </w:tabs>
        <w:ind w:left="720" w:hanging="360"/>
      </w:pPr>
    </w:lvl>
    <w:lvl w:ilvl="1" w:tplc="2342F4B6" w:tentative="1">
      <w:start w:val="1"/>
      <w:numFmt w:val="decimal"/>
      <w:lvlText w:val="%2."/>
      <w:lvlJc w:val="left"/>
      <w:pPr>
        <w:tabs>
          <w:tab w:val="num" w:pos="1440"/>
        </w:tabs>
        <w:ind w:left="1440" w:hanging="360"/>
      </w:pPr>
    </w:lvl>
    <w:lvl w:ilvl="2" w:tplc="8FF2B6A6" w:tentative="1">
      <w:start w:val="1"/>
      <w:numFmt w:val="decimal"/>
      <w:lvlText w:val="%3."/>
      <w:lvlJc w:val="left"/>
      <w:pPr>
        <w:tabs>
          <w:tab w:val="num" w:pos="2160"/>
        </w:tabs>
        <w:ind w:left="2160" w:hanging="360"/>
      </w:pPr>
    </w:lvl>
    <w:lvl w:ilvl="3" w:tplc="6DC459C6" w:tentative="1">
      <w:start w:val="1"/>
      <w:numFmt w:val="decimal"/>
      <w:lvlText w:val="%4."/>
      <w:lvlJc w:val="left"/>
      <w:pPr>
        <w:tabs>
          <w:tab w:val="num" w:pos="2880"/>
        </w:tabs>
        <w:ind w:left="2880" w:hanging="360"/>
      </w:pPr>
    </w:lvl>
    <w:lvl w:ilvl="4" w:tplc="70BEC8BA" w:tentative="1">
      <w:start w:val="1"/>
      <w:numFmt w:val="decimal"/>
      <w:lvlText w:val="%5."/>
      <w:lvlJc w:val="left"/>
      <w:pPr>
        <w:tabs>
          <w:tab w:val="num" w:pos="3600"/>
        </w:tabs>
        <w:ind w:left="3600" w:hanging="360"/>
      </w:pPr>
    </w:lvl>
    <w:lvl w:ilvl="5" w:tplc="2BBEA320" w:tentative="1">
      <w:start w:val="1"/>
      <w:numFmt w:val="decimal"/>
      <w:lvlText w:val="%6."/>
      <w:lvlJc w:val="left"/>
      <w:pPr>
        <w:tabs>
          <w:tab w:val="num" w:pos="4320"/>
        </w:tabs>
        <w:ind w:left="4320" w:hanging="360"/>
      </w:pPr>
    </w:lvl>
    <w:lvl w:ilvl="6" w:tplc="879022EC">
      <w:start w:val="1"/>
      <w:numFmt w:val="decimal"/>
      <w:lvlText w:val="%7."/>
      <w:lvlJc w:val="left"/>
      <w:pPr>
        <w:tabs>
          <w:tab w:val="num" w:pos="5040"/>
        </w:tabs>
        <w:ind w:left="5040" w:hanging="360"/>
      </w:pPr>
    </w:lvl>
    <w:lvl w:ilvl="7" w:tplc="1250057C" w:tentative="1">
      <w:start w:val="1"/>
      <w:numFmt w:val="decimal"/>
      <w:lvlText w:val="%8."/>
      <w:lvlJc w:val="left"/>
      <w:pPr>
        <w:tabs>
          <w:tab w:val="num" w:pos="5760"/>
        </w:tabs>
        <w:ind w:left="5760" w:hanging="360"/>
      </w:pPr>
    </w:lvl>
    <w:lvl w:ilvl="8" w:tplc="D0FCF3F0" w:tentative="1">
      <w:start w:val="1"/>
      <w:numFmt w:val="decimal"/>
      <w:lvlText w:val="%9."/>
      <w:lvlJc w:val="left"/>
      <w:pPr>
        <w:tabs>
          <w:tab w:val="num" w:pos="6480"/>
        </w:tabs>
        <w:ind w:left="6480" w:hanging="360"/>
      </w:pPr>
    </w:lvl>
  </w:abstractNum>
  <w:abstractNum w:abstractNumId="8">
    <w:nsid w:val="125F0B66"/>
    <w:multiLevelType w:val="hybridMultilevel"/>
    <w:tmpl w:val="0A5CE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534838"/>
    <w:multiLevelType w:val="hybridMultilevel"/>
    <w:tmpl w:val="B69062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CB751AF"/>
    <w:multiLevelType w:val="hybridMultilevel"/>
    <w:tmpl w:val="A34895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027383B"/>
    <w:multiLevelType w:val="multilevel"/>
    <w:tmpl w:val="EDB83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A96CCE"/>
    <w:multiLevelType w:val="multilevel"/>
    <w:tmpl w:val="DE9209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4317E9A"/>
    <w:multiLevelType w:val="multilevel"/>
    <w:tmpl w:val="5790BF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85165B"/>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7F2777C"/>
    <w:multiLevelType w:val="hybridMultilevel"/>
    <w:tmpl w:val="2228D628"/>
    <w:lvl w:ilvl="0" w:tplc="71568830">
      <w:start w:val="1"/>
      <w:numFmt w:val="decimal"/>
      <w:lvlText w:val="%1."/>
      <w:lvlJc w:val="left"/>
      <w:pPr>
        <w:tabs>
          <w:tab w:val="num" w:pos="720"/>
        </w:tabs>
        <w:ind w:left="720" w:hanging="360"/>
      </w:pPr>
    </w:lvl>
    <w:lvl w:ilvl="1" w:tplc="10641892" w:tentative="1">
      <w:start w:val="1"/>
      <w:numFmt w:val="decimal"/>
      <w:lvlText w:val="%2."/>
      <w:lvlJc w:val="left"/>
      <w:pPr>
        <w:tabs>
          <w:tab w:val="num" w:pos="1440"/>
        </w:tabs>
        <w:ind w:left="1440" w:hanging="360"/>
      </w:pPr>
    </w:lvl>
    <w:lvl w:ilvl="2" w:tplc="08E2035A" w:tentative="1">
      <w:start w:val="1"/>
      <w:numFmt w:val="decimal"/>
      <w:lvlText w:val="%3."/>
      <w:lvlJc w:val="left"/>
      <w:pPr>
        <w:tabs>
          <w:tab w:val="num" w:pos="2160"/>
        </w:tabs>
        <w:ind w:left="2160" w:hanging="360"/>
      </w:pPr>
    </w:lvl>
    <w:lvl w:ilvl="3" w:tplc="EFD0A594" w:tentative="1">
      <w:start w:val="1"/>
      <w:numFmt w:val="decimal"/>
      <w:lvlText w:val="%4."/>
      <w:lvlJc w:val="left"/>
      <w:pPr>
        <w:tabs>
          <w:tab w:val="num" w:pos="2880"/>
        </w:tabs>
        <w:ind w:left="2880" w:hanging="360"/>
      </w:pPr>
    </w:lvl>
    <w:lvl w:ilvl="4" w:tplc="A1EEA348" w:tentative="1">
      <w:start w:val="1"/>
      <w:numFmt w:val="decimal"/>
      <w:lvlText w:val="%5."/>
      <w:lvlJc w:val="left"/>
      <w:pPr>
        <w:tabs>
          <w:tab w:val="num" w:pos="3600"/>
        </w:tabs>
        <w:ind w:left="3600" w:hanging="360"/>
      </w:pPr>
    </w:lvl>
    <w:lvl w:ilvl="5" w:tplc="76AC2988" w:tentative="1">
      <w:start w:val="1"/>
      <w:numFmt w:val="decimal"/>
      <w:lvlText w:val="%6."/>
      <w:lvlJc w:val="left"/>
      <w:pPr>
        <w:tabs>
          <w:tab w:val="num" w:pos="4320"/>
        </w:tabs>
        <w:ind w:left="4320" w:hanging="360"/>
      </w:pPr>
    </w:lvl>
    <w:lvl w:ilvl="6" w:tplc="B0E4CDB8" w:tentative="1">
      <w:start w:val="1"/>
      <w:numFmt w:val="decimal"/>
      <w:lvlText w:val="%7."/>
      <w:lvlJc w:val="left"/>
      <w:pPr>
        <w:tabs>
          <w:tab w:val="num" w:pos="5040"/>
        </w:tabs>
        <w:ind w:left="5040" w:hanging="360"/>
      </w:pPr>
    </w:lvl>
    <w:lvl w:ilvl="7" w:tplc="B58E7D20" w:tentative="1">
      <w:start w:val="1"/>
      <w:numFmt w:val="decimal"/>
      <w:lvlText w:val="%8."/>
      <w:lvlJc w:val="left"/>
      <w:pPr>
        <w:tabs>
          <w:tab w:val="num" w:pos="5760"/>
        </w:tabs>
        <w:ind w:left="5760" w:hanging="360"/>
      </w:pPr>
    </w:lvl>
    <w:lvl w:ilvl="8" w:tplc="C5364246" w:tentative="1">
      <w:start w:val="1"/>
      <w:numFmt w:val="decimal"/>
      <w:lvlText w:val="%9."/>
      <w:lvlJc w:val="left"/>
      <w:pPr>
        <w:tabs>
          <w:tab w:val="num" w:pos="6480"/>
        </w:tabs>
        <w:ind w:left="6480" w:hanging="360"/>
      </w:pPr>
    </w:lvl>
  </w:abstractNum>
  <w:abstractNum w:abstractNumId="16">
    <w:nsid w:val="39936F55"/>
    <w:multiLevelType w:val="multilevel"/>
    <w:tmpl w:val="DDD837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716216"/>
    <w:multiLevelType w:val="multilevel"/>
    <w:tmpl w:val="6D7CA1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DCF5D5D"/>
    <w:multiLevelType w:val="hybridMultilevel"/>
    <w:tmpl w:val="E3A25302"/>
    <w:lvl w:ilvl="0" w:tplc="E0547F38">
      <w:start w:val="1"/>
      <w:numFmt w:val="decimal"/>
      <w:lvlText w:val="%1."/>
      <w:lvlJc w:val="left"/>
      <w:pPr>
        <w:tabs>
          <w:tab w:val="num" w:pos="720"/>
        </w:tabs>
        <w:ind w:left="720" w:hanging="360"/>
      </w:pPr>
    </w:lvl>
    <w:lvl w:ilvl="1" w:tplc="1A601A46" w:tentative="1">
      <w:start w:val="1"/>
      <w:numFmt w:val="decimal"/>
      <w:lvlText w:val="%2."/>
      <w:lvlJc w:val="left"/>
      <w:pPr>
        <w:tabs>
          <w:tab w:val="num" w:pos="1440"/>
        </w:tabs>
        <w:ind w:left="1440" w:hanging="360"/>
      </w:pPr>
    </w:lvl>
    <w:lvl w:ilvl="2" w:tplc="766A6380" w:tentative="1">
      <w:start w:val="1"/>
      <w:numFmt w:val="decimal"/>
      <w:lvlText w:val="%3."/>
      <w:lvlJc w:val="left"/>
      <w:pPr>
        <w:tabs>
          <w:tab w:val="num" w:pos="2160"/>
        </w:tabs>
        <w:ind w:left="2160" w:hanging="360"/>
      </w:pPr>
    </w:lvl>
    <w:lvl w:ilvl="3" w:tplc="B6685EAC" w:tentative="1">
      <w:start w:val="1"/>
      <w:numFmt w:val="decimal"/>
      <w:lvlText w:val="%4."/>
      <w:lvlJc w:val="left"/>
      <w:pPr>
        <w:tabs>
          <w:tab w:val="num" w:pos="2880"/>
        </w:tabs>
        <w:ind w:left="2880" w:hanging="360"/>
      </w:pPr>
    </w:lvl>
    <w:lvl w:ilvl="4" w:tplc="5B821122" w:tentative="1">
      <w:start w:val="1"/>
      <w:numFmt w:val="decimal"/>
      <w:lvlText w:val="%5."/>
      <w:lvlJc w:val="left"/>
      <w:pPr>
        <w:tabs>
          <w:tab w:val="num" w:pos="3600"/>
        </w:tabs>
        <w:ind w:left="3600" w:hanging="360"/>
      </w:pPr>
    </w:lvl>
    <w:lvl w:ilvl="5" w:tplc="C3CE569E" w:tentative="1">
      <w:start w:val="1"/>
      <w:numFmt w:val="decimal"/>
      <w:lvlText w:val="%6."/>
      <w:lvlJc w:val="left"/>
      <w:pPr>
        <w:tabs>
          <w:tab w:val="num" w:pos="4320"/>
        </w:tabs>
        <w:ind w:left="4320" w:hanging="360"/>
      </w:pPr>
    </w:lvl>
    <w:lvl w:ilvl="6" w:tplc="82F4538E" w:tentative="1">
      <w:start w:val="1"/>
      <w:numFmt w:val="decimal"/>
      <w:lvlText w:val="%7."/>
      <w:lvlJc w:val="left"/>
      <w:pPr>
        <w:tabs>
          <w:tab w:val="num" w:pos="5040"/>
        </w:tabs>
        <w:ind w:left="5040" w:hanging="360"/>
      </w:pPr>
    </w:lvl>
    <w:lvl w:ilvl="7" w:tplc="EC5C212E" w:tentative="1">
      <w:start w:val="1"/>
      <w:numFmt w:val="decimal"/>
      <w:lvlText w:val="%8."/>
      <w:lvlJc w:val="left"/>
      <w:pPr>
        <w:tabs>
          <w:tab w:val="num" w:pos="5760"/>
        </w:tabs>
        <w:ind w:left="5760" w:hanging="360"/>
      </w:pPr>
    </w:lvl>
    <w:lvl w:ilvl="8" w:tplc="67FA5410" w:tentative="1">
      <w:start w:val="1"/>
      <w:numFmt w:val="decimal"/>
      <w:lvlText w:val="%9."/>
      <w:lvlJc w:val="left"/>
      <w:pPr>
        <w:tabs>
          <w:tab w:val="num" w:pos="6480"/>
        </w:tabs>
        <w:ind w:left="6480" w:hanging="360"/>
      </w:pPr>
    </w:lvl>
  </w:abstractNum>
  <w:abstractNum w:abstractNumId="19">
    <w:nsid w:val="3E423C2D"/>
    <w:multiLevelType w:val="multilevel"/>
    <w:tmpl w:val="AF82B414"/>
    <w:lvl w:ilvl="0">
      <w:start w:val="1"/>
      <w:numFmt w:val="decimal"/>
      <w:lvlText w:val="%1"/>
      <w:lvlJc w:val="left"/>
      <w:pPr>
        <w:ind w:left="927" w:hanging="360"/>
      </w:pPr>
      <w:rPr>
        <w:rFonts w:hint="default"/>
      </w:rPr>
    </w:lvl>
    <w:lvl w:ilvl="1">
      <w:start w:val="1"/>
      <w:numFmt w:val="decimal"/>
      <w:isLgl/>
      <w:lvlText w:val="%1.%2"/>
      <w:lvlJc w:val="left"/>
      <w:pPr>
        <w:ind w:left="8739"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0">
    <w:nsid w:val="3E8F2334"/>
    <w:multiLevelType w:val="hybridMultilevel"/>
    <w:tmpl w:val="85EE78DA"/>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1">
    <w:nsid w:val="44C62E73"/>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BD5744E"/>
    <w:multiLevelType w:val="multilevel"/>
    <w:tmpl w:val="5DA8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E004FA"/>
    <w:multiLevelType w:val="hybridMultilevel"/>
    <w:tmpl w:val="1DC211FC"/>
    <w:lvl w:ilvl="0" w:tplc="61A097DC">
      <w:start w:val="1"/>
      <w:numFmt w:val="decimal"/>
      <w:lvlText w:val="%1."/>
      <w:lvlJc w:val="left"/>
      <w:pPr>
        <w:tabs>
          <w:tab w:val="num" w:pos="720"/>
        </w:tabs>
        <w:ind w:left="720" w:hanging="360"/>
      </w:pPr>
    </w:lvl>
    <w:lvl w:ilvl="1" w:tplc="3836EC48" w:tentative="1">
      <w:start w:val="1"/>
      <w:numFmt w:val="decimal"/>
      <w:lvlText w:val="%2."/>
      <w:lvlJc w:val="left"/>
      <w:pPr>
        <w:tabs>
          <w:tab w:val="num" w:pos="1440"/>
        </w:tabs>
        <w:ind w:left="1440" w:hanging="360"/>
      </w:pPr>
    </w:lvl>
    <w:lvl w:ilvl="2" w:tplc="1D36DFB2" w:tentative="1">
      <w:start w:val="1"/>
      <w:numFmt w:val="decimal"/>
      <w:lvlText w:val="%3."/>
      <w:lvlJc w:val="left"/>
      <w:pPr>
        <w:tabs>
          <w:tab w:val="num" w:pos="2160"/>
        </w:tabs>
        <w:ind w:left="2160" w:hanging="360"/>
      </w:pPr>
    </w:lvl>
    <w:lvl w:ilvl="3" w:tplc="7090B976" w:tentative="1">
      <w:start w:val="1"/>
      <w:numFmt w:val="decimal"/>
      <w:lvlText w:val="%4."/>
      <w:lvlJc w:val="left"/>
      <w:pPr>
        <w:tabs>
          <w:tab w:val="num" w:pos="2880"/>
        </w:tabs>
        <w:ind w:left="2880" w:hanging="360"/>
      </w:pPr>
    </w:lvl>
    <w:lvl w:ilvl="4" w:tplc="7CBA5064" w:tentative="1">
      <w:start w:val="1"/>
      <w:numFmt w:val="decimal"/>
      <w:lvlText w:val="%5."/>
      <w:lvlJc w:val="left"/>
      <w:pPr>
        <w:tabs>
          <w:tab w:val="num" w:pos="3600"/>
        </w:tabs>
        <w:ind w:left="3600" w:hanging="360"/>
      </w:pPr>
    </w:lvl>
    <w:lvl w:ilvl="5" w:tplc="85F0E916" w:tentative="1">
      <w:start w:val="1"/>
      <w:numFmt w:val="decimal"/>
      <w:lvlText w:val="%6."/>
      <w:lvlJc w:val="left"/>
      <w:pPr>
        <w:tabs>
          <w:tab w:val="num" w:pos="4320"/>
        </w:tabs>
        <w:ind w:left="4320" w:hanging="360"/>
      </w:pPr>
    </w:lvl>
    <w:lvl w:ilvl="6" w:tplc="87BEE6D2" w:tentative="1">
      <w:start w:val="1"/>
      <w:numFmt w:val="decimal"/>
      <w:lvlText w:val="%7."/>
      <w:lvlJc w:val="left"/>
      <w:pPr>
        <w:tabs>
          <w:tab w:val="num" w:pos="5040"/>
        </w:tabs>
        <w:ind w:left="5040" w:hanging="360"/>
      </w:pPr>
    </w:lvl>
    <w:lvl w:ilvl="7" w:tplc="AB3C889C" w:tentative="1">
      <w:start w:val="1"/>
      <w:numFmt w:val="decimal"/>
      <w:lvlText w:val="%8."/>
      <w:lvlJc w:val="left"/>
      <w:pPr>
        <w:tabs>
          <w:tab w:val="num" w:pos="5760"/>
        </w:tabs>
        <w:ind w:left="5760" w:hanging="360"/>
      </w:pPr>
    </w:lvl>
    <w:lvl w:ilvl="8" w:tplc="2D767EC6" w:tentative="1">
      <w:start w:val="1"/>
      <w:numFmt w:val="decimal"/>
      <w:lvlText w:val="%9."/>
      <w:lvlJc w:val="left"/>
      <w:pPr>
        <w:tabs>
          <w:tab w:val="num" w:pos="6480"/>
        </w:tabs>
        <w:ind w:left="6480" w:hanging="360"/>
      </w:pPr>
    </w:lvl>
  </w:abstractNum>
  <w:abstractNum w:abstractNumId="24">
    <w:nsid w:val="53357059"/>
    <w:multiLevelType w:val="hybridMultilevel"/>
    <w:tmpl w:val="A20A09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39663CE"/>
    <w:multiLevelType w:val="multilevel"/>
    <w:tmpl w:val="500C3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5D17822"/>
    <w:multiLevelType w:val="hybridMultilevel"/>
    <w:tmpl w:val="213E9E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9C76C7F"/>
    <w:multiLevelType w:val="hybridMultilevel"/>
    <w:tmpl w:val="3C68C302"/>
    <w:lvl w:ilvl="0" w:tplc="CDCEDB64">
      <w:start w:val="1"/>
      <w:numFmt w:val="decimal"/>
      <w:lvlText w:val="%1."/>
      <w:lvlJc w:val="left"/>
      <w:pPr>
        <w:tabs>
          <w:tab w:val="num" w:pos="720"/>
        </w:tabs>
        <w:ind w:left="720" w:hanging="360"/>
      </w:pPr>
    </w:lvl>
    <w:lvl w:ilvl="1" w:tplc="3BCA17F4" w:tentative="1">
      <w:start w:val="1"/>
      <w:numFmt w:val="decimal"/>
      <w:lvlText w:val="%2."/>
      <w:lvlJc w:val="left"/>
      <w:pPr>
        <w:tabs>
          <w:tab w:val="num" w:pos="1440"/>
        </w:tabs>
        <w:ind w:left="1440" w:hanging="360"/>
      </w:pPr>
    </w:lvl>
    <w:lvl w:ilvl="2" w:tplc="68CE144A" w:tentative="1">
      <w:start w:val="1"/>
      <w:numFmt w:val="decimal"/>
      <w:lvlText w:val="%3."/>
      <w:lvlJc w:val="left"/>
      <w:pPr>
        <w:tabs>
          <w:tab w:val="num" w:pos="2160"/>
        </w:tabs>
        <w:ind w:left="2160" w:hanging="360"/>
      </w:pPr>
    </w:lvl>
    <w:lvl w:ilvl="3" w:tplc="AB02F640" w:tentative="1">
      <w:start w:val="1"/>
      <w:numFmt w:val="decimal"/>
      <w:lvlText w:val="%4."/>
      <w:lvlJc w:val="left"/>
      <w:pPr>
        <w:tabs>
          <w:tab w:val="num" w:pos="2880"/>
        </w:tabs>
        <w:ind w:left="2880" w:hanging="360"/>
      </w:pPr>
    </w:lvl>
    <w:lvl w:ilvl="4" w:tplc="B54EECCA" w:tentative="1">
      <w:start w:val="1"/>
      <w:numFmt w:val="decimal"/>
      <w:lvlText w:val="%5."/>
      <w:lvlJc w:val="left"/>
      <w:pPr>
        <w:tabs>
          <w:tab w:val="num" w:pos="3600"/>
        </w:tabs>
        <w:ind w:left="3600" w:hanging="360"/>
      </w:pPr>
    </w:lvl>
    <w:lvl w:ilvl="5" w:tplc="AE9E7B1C" w:tentative="1">
      <w:start w:val="1"/>
      <w:numFmt w:val="decimal"/>
      <w:lvlText w:val="%6."/>
      <w:lvlJc w:val="left"/>
      <w:pPr>
        <w:tabs>
          <w:tab w:val="num" w:pos="4320"/>
        </w:tabs>
        <w:ind w:left="4320" w:hanging="360"/>
      </w:pPr>
    </w:lvl>
    <w:lvl w:ilvl="6" w:tplc="7E120BD6" w:tentative="1">
      <w:start w:val="1"/>
      <w:numFmt w:val="decimal"/>
      <w:lvlText w:val="%7."/>
      <w:lvlJc w:val="left"/>
      <w:pPr>
        <w:tabs>
          <w:tab w:val="num" w:pos="5040"/>
        </w:tabs>
        <w:ind w:left="5040" w:hanging="360"/>
      </w:pPr>
    </w:lvl>
    <w:lvl w:ilvl="7" w:tplc="932C6E70" w:tentative="1">
      <w:start w:val="1"/>
      <w:numFmt w:val="decimal"/>
      <w:lvlText w:val="%8."/>
      <w:lvlJc w:val="left"/>
      <w:pPr>
        <w:tabs>
          <w:tab w:val="num" w:pos="5760"/>
        </w:tabs>
        <w:ind w:left="5760" w:hanging="360"/>
      </w:pPr>
    </w:lvl>
    <w:lvl w:ilvl="8" w:tplc="52A4DE16" w:tentative="1">
      <w:start w:val="1"/>
      <w:numFmt w:val="decimal"/>
      <w:lvlText w:val="%9."/>
      <w:lvlJc w:val="left"/>
      <w:pPr>
        <w:tabs>
          <w:tab w:val="num" w:pos="6480"/>
        </w:tabs>
        <w:ind w:left="6480" w:hanging="360"/>
      </w:pPr>
    </w:lvl>
  </w:abstractNum>
  <w:abstractNum w:abstractNumId="28">
    <w:nsid w:val="5ABE7815"/>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C171715"/>
    <w:multiLevelType w:val="hybridMultilevel"/>
    <w:tmpl w:val="A34895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F4E0A43"/>
    <w:multiLevelType w:val="hybridMultilevel"/>
    <w:tmpl w:val="A34895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F89517B"/>
    <w:multiLevelType w:val="hybridMultilevel"/>
    <w:tmpl w:val="3072DAB2"/>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2">
    <w:nsid w:val="616B07C8"/>
    <w:multiLevelType w:val="multilevel"/>
    <w:tmpl w:val="7EA27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1814EB0"/>
    <w:multiLevelType w:val="hybridMultilevel"/>
    <w:tmpl w:val="57749A22"/>
    <w:lvl w:ilvl="0" w:tplc="A5DC900C">
      <w:start w:val="1"/>
      <w:numFmt w:val="decimal"/>
      <w:lvlText w:val="%1)"/>
      <w:lvlJc w:val="left"/>
      <w:pPr>
        <w:ind w:left="927" w:hanging="360"/>
      </w:pPr>
      <w:rPr>
        <w:rFonts w:ascii="Times New Roman" w:hAnsi="Times New Roman" w:cs="Times New Roman" w:hint="default"/>
        <w:i w:val="0"/>
        <w:color w:val="000000"/>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30E6DD3"/>
    <w:multiLevelType w:val="multilevel"/>
    <w:tmpl w:val="1506F97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935587E"/>
    <w:multiLevelType w:val="hybridMultilevel"/>
    <w:tmpl w:val="63BED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4C5D2F"/>
    <w:multiLevelType w:val="multilevel"/>
    <w:tmpl w:val="61A8D1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009646F"/>
    <w:multiLevelType w:val="hybridMultilevel"/>
    <w:tmpl w:val="6DE8FFA4"/>
    <w:lvl w:ilvl="0" w:tplc="FACACDE4">
      <w:start w:val="1"/>
      <w:numFmt w:val="bullet"/>
      <w:lvlText w:val=""/>
      <w:lvlJc w:val="left"/>
      <w:pPr>
        <w:tabs>
          <w:tab w:val="num" w:pos="720"/>
        </w:tabs>
        <w:ind w:left="720" w:hanging="360"/>
      </w:pPr>
      <w:rPr>
        <w:rFonts w:ascii="Wingdings" w:hAnsi="Wingdings" w:hint="default"/>
      </w:rPr>
    </w:lvl>
    <w:lvl w:ilvl="1" w:tplc="43021676" w:tentative="1">
      <w:start w:val="1"/>
      <w:numFmt w:val="bullet"/>
      <w:lvlText w:val=""/>
      <w:lvlJc w:val="left"/>
      <w:pPr>
        <w:tabs>
          <w:tab w:val="num" w:pos="1440"/>
        </w:tabs>
        <w:ind w:left="1440" w:hanging="360"/>
      </w:pPr>
      <w:rPr>
        <w:rFonts w:ascii="Wingdings" w:hAnsi="Wingdings" w:hint="default"/>
      </w:rPr>
    </w:lvl>
    <w:lvl w:ilvl="2" w:tplc="EB8CE3F8" w:tentative="1">
      <w:start w:val="1"/>
      <w:numFmt w:val="bullet"/>
      <w:lvlText w:val=""/>
      <w:lvlJc w:val="left"/>
      <w:pPr>
        <w:tabs>
          <w:tab w:val="num" w:pos="2160"/>
        </w:tabs>
        <w:ind w:left="2160" w:hanging="360"/>
      </w:pPr>
      <w:rPr>
        <w:rFonts w:ascii="Wingdings" w:hAnsi="Wingdings" w:hint="default"/>
      </w:rPr>
    </w:lvl>
    <w:lvl w:ilvl="3" w:tplc="63982A2A" w:tentative="1">
      <w:start w:val="1"/>
      <w:numFmt w:val="bullet"/>
      <w:lvlText w:val=""/>
      <w:lvlJc w:val="left"/>
      <w:pPr>
        <w:tabs>
          <w:tab w:val="num" w:pos="2880"/>
        </w:tabs>
        <w:ind w:left="2880" w:hanging="360"/>
      </w:pPr>
      <w:rPr>
        <w:rFonts w:ascii="Wingdings" w:hAnsi="Wingdings" w:hint="default"/>
      </w:rPr>
    </w:lvl>
    <w:lvl w:ilvl="4" w:tplc="ECC86722" w:tentative="1">
      <w:start w:val="1"/>
      <w:numFmt w:val="bullet"/>
      <w:lvlText w:val=""/>
      <w:lvlJc w:val="left"/>
      <w:pPr>
        <w:tabs>
          <w:tab w:val="num" w:pos="3600"/>
        </w:tabs>
        <w:ind w:left="3600" w:hanging="360"/>
      </w:pPr>
      <w:rPr>
        <w:rFonts w:ascii="Wingdings" w:hAnsi="Wingdings" w:hint="default"/>
      </w:rPr>
    </w:lvl>
    <w:lvl w:ilvl="5" w:tplc="F020BAE0" w:tentative="1">
      <w:start w:val="1"/>
      <w:numFmt w:val="bullet"/>
      <w:lvlText w:val=""/>
      <w:lvlJc w:val="left"/>
      <w:pPr>
        <w:tabs>
          <w:tab w:val="num" w:pos="4320"/>
        </w:tabs>
        <w:ind w:left="4320" w:hanging="360"/>
      </w:pPr>
      <w:rPr>
        <w:rFonts w:ascii="Wingdings" w:hAnsi="Wingdings" w:hint="default"/>
      </w:rPr>
    </w:lvl>
    <w:lvl w:ilvl="6" w:tplc="93F6B9B6" w:tentative="1">
      <w:start w:val="1"/>
      <w:numFmt w:val="bullet"/>
      <w:lvlText w:val=""/>
      <w:lvlJc w:val="left"/>
      <w:pPr>
        <w:tabs>
          <w:tab w:val="num" w:pos="5040"/>
        </w:tabs>
        <w:ind w:left="5040" w:hanging="360"/>
      </w:pPr>
      <w:rPr>
        <w:rFonts w:ascii="Wingdings" w:hAnsi="Wingdings" w:hint="default"/>
      </w:rPr>
    </w:lvl>
    <w:lvl w:ilvl="7" w:tplc="F56E1496" w:tentative="1">
      <w:start w:val="1"/>
      <w:numFmt w:val="bullet"/>
      <w:lvlText w:val=""/>
      <w:lvlJc w:val="left"/>
      <w:pPr>
        <w:tabs>
          <w:tab w:val="num" w:pos="5760"/>
        </w:tabs>
        <w:ind w:left="5760" w:hanging="360"/>
      </w:pPr>
      <w:rPr>
        <w:rFonts w:ascii="Wingdings" w:hAnsi="Wingdings" w:hint="default"/>
      </w:rPr>
    </w:lvl>
    <w:lvl w:ilvl="8" w:tplc="419A3FBA" w:tentative="1">
      <w:start w:val="1"/>
      <w:numFmt w:val="bullet"/>
      <w:lvlText w:val=""/>
      <w:lvlJc w:val="left"/>
      <w:pPr>
        <w:tabs>
          <w:tab w:val="num" w:pos="6480"/>
        </w:tabs>
        <w:ind w:left="6480" w:hanging="360"/>
      </w:pPr>
      <w:rPr>
        <w:rFonts w:ascii="Wingdings" w:hAnsi="Wingdings" w:hint="default"/>
      </w:rPr>
    </w:lvl>
  </w:abstractNum>
  <w:abstractNum w:abstractNumId="38">
    <w:nsid w:val="782D1B5F"/>
    <w:multiLevelType w:val="hybridMultilevel"/>
    <w:tmpl w:val="A34895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949478A"/>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C3728ED"/>
    <w:multiLevelType w:val="multilevel"/>
    <w:tmpl w:val="E834CFA2"/>
    <w:lvl w:ilvl="0">
      <w:start w:val="2"/>
      <w:numFmt w:val="decimal"/>
      <w:lvlText w:val="%1"/>
      <w:lvlJc w:val="left"/>
      <w:pPr>
        <w:ind w:left="720" w:hanging="360"/>
      </w:pPr>
      <w:rPr>
        <w:rFonts w:cs="Times New Roman" w:hint="default"/>
        <w:i w:val="0"/>
        <w:color w:val="C00000"/>
      </w:rPr>
    </w:lvl>
    <w:lvl w:ilvl="1">
      <w:start w:val="1"/>
      <w:numFmt w:val="decimal"/>
      <w:isLgl/>
      <w:lvlText w:val="%1.%2"/>
      <w:lvlJc w:val="left"/>
      <w:pPr>
        <w:ind w:left="2077" w:hanging="375"/>
      </w:pPr>
      <w:rPr>
        <w:rFonts w:cs="Times New Roman" w:hint="default"/>
      </w:rPr>
    </w:lvl>
    <w:lvl w:ilvl="2">
      <w:start w:val="1"/>
      <w:numFmt w:val="decimal"/>
      <w:isLgl/>
      <w:lvlText w:val="%1.%2.%3"/>
      <w:lvlJc w:val="left"/>
      <w:pPr>
        <w:ind w:left="3764" w:hanging="720"/>
      </w:pPr>
      <w:rPr>
        <w:rFonts w:cs="Times New Roman" w:hint="default"/>
        <w:color w:val="365F91"/>
      </w:rPr>
    </w:lvl>
    <w:lvl w:ilvl="3">
      <w:start w:val="1"/>
      <w:numFmt w:val="decimal"/>
      <w:isLgl/>
      <w:lvlText w:val="%1.%2.%3.%4"/>
      <w:lvlJc w:val="left"/>
      <w:pPr>
        <w:ind w:left="5466" w:hanging="1080"/>
      </w:pPr>
      <w:rPr>
        <w:rFonts w:cs="Times New Roman" w:hint="default"/>
      </w:rPr>
    </w:lvl>
    <w:lvl w:ilvl="4">
      <w:start w:val="1"/>
      <w:numFmt w:val="decimal"/>
      <w:isLgl/>
      <w:lvlText w:val="%1.%2.%3.%4.%5"/>
      <w:lvlJc w:val="left"/>
      <w:pPr>
        <w:ind w:left="6808" w:hanging="1080"/>
      </w:pPr>
      <w:rPr>
        <w:rFonts w:cs="Times New Roman" w:hint="default"/>
      </w:rPr>
    </w:lvl>
    <w:lvl w:ilvl="5">
      <w:start w:val="1"/>
      <w:numFmt w:val="decimal"/>
      <w:isLgl/>
      <w:lvlText w:val="%1.%2.%3.%4.%5.%6"/>
      <w:lvlJc w:val="left"/>
      <w:pPr>
        <w:ind w:left="8510" w:hanging="1440"/>
      </w:pPr>
      <w:rPr>
        <w:rFonts w:cs="Times New Roman" w:hint="default"/>
      </w:rPr>
    </w:lvl>
    <w:lvl w:ilvl="6">
      <w:start w:val="1"/>
      <w:numFmt w:val="decimal"/>
      <w:isLgl/>
      <w:lvlText w:val="%1.%2.%3.%4.%5.%6.%7"/>
      <w:lvlJc w:val="left"/>
      <w:pPr>
        <w:ind w:left="9852" w:hanging="1440"/>
      </w:pPr>
      <w:rPr>
        <w:rFonts w:cs="Times New Roman" w:hint="default"/>
      </w:rPr>
    </w:lvl>
    <w:lvl w:ilvl="7">
      <w:start w:val="1"/>
      <w:numFmt w:val="decimal"/>
      <w:isLgl/>
      <w:lvlText w:val="%1.%2.%3.%4.%5.%6.%7.%8"/>
      <w:lvlJc w:val="left"/>
      <w:pPr>
        <w:ind w:left="11554" w:hanging="1800"/>
      </w:pPr>
      <w:rPr>
        <w:rFonts w:cs="Times New Roman" w:hint="default"/>
      </w:rPr>
    </w:lvl>
    <w:lvl w:ilvl="8">
      <w:start w:val="1"/>
      <w:numFmt w:val="decimal"/>
      <w:isLgl/>
      <w:lvlText w:val="%1.%2.%3.%4.%5.%6.%7.%8.%9"/>
      <w:lvlJc w:val="left"/>
      <w:pPr>
        <w:ind w:left="13256" w:hanging="2160"/>
      </w:pPr>
      <w:rPr>
        <w:rFonts w:cs="Times New Roman" w:hint="default"/>
      </w:rPr>
    </w:lvl>
  </w:abstractNum>
  <w:num w:numId="1">
    <w:abstractNumId w:val="3"/>
  </w:num>
  <w:num w:numId="2">
    <w:abstractNumId w:val="40"/>
  </w:num>
  <w:num w:numId="3">
    <w:abstractNumId w:val="37"/>
  </w:num>
  <w:num w:numId="4">
    <w:abstractNumId w:val="19"/>
  </w:num>
  <w:num w:numId="5">
    <w:abstractNumId w:val="6"/>
  </w:num>
  <w:num w:numId="6">
    <w:abstractNumId w:val="14"/>
  </w:num>
  <w:num w:numId="7">
    <w:abstractNumId w:val="5"/>
  </w:num>
  <w:num w:numId="8">
    <w:abstractNumId w:val="39"/>
  </w:num>
  <w:num w:numId="9">
    <w:abstractNumId w:val="21"/>
  </w:num>
  <w:num w:numId="10">
    <w:abstractNumId w:val="28"/>
  </w:num>
  <w:num w:numId="11">
    <w:abstractNumId w:val="36"/>
  </w:num>
  <w:num w:numId="12">
    <w:abstractNumId w:val="12"/>
  </w:num>
  <w:num w:numId="13">
    <w:abstractNumId w:val="25"/>
  </w:num>
  <w:num w:numId="14">
    <w:abstractNumId w:val="13"/>
  </w:num>
  <w:num w:numId="15">
    <w:abstractNumId w:val="38"/>
  </w:num>
  <w:num w:numId="16">
    <w:abstractNumId w:val="10"/>
  </w:num>
  <w:num w:numId="17">
    <w:abstractNumId w:val="4"/>
  </w:num>
  <w:num w:numId="18">
    <w:abstractNumId w:val="29"/>
  </w:num>
  <w:num w:numId="19">
    <w:abstractNumId w:val="30"/>
  </w:num>
  <w:num w:numId="20">
    <w:abstractNumId w:val="7"/>
  </w:num>
  <w:num w:numId="21">
    <w:abstractNumId w:val="18"/>
  </w:num>
  <w:num w:numId="22">
    <w:abstractNumId w:val="27"/>
  </w:num>
  <w:num w:numId="23">
    <w:abstractNumId w:val="0"/>
  </w:num>
  <w:num w:numId="24">
    <w:abstractNumId w:val="35"/>
  </w:num>
  <w:num w:numId="25">
    <w:abstractNumId w:val="31"/>
  </w:num>
  <w:num w:numId="26">
    <w:abstractNumId w:val="23"/>
  </w:num>
  <w:num w:numId="27">
    <w:abstractNumId w:val="15"/>
  </w:num>
  <w:num w:numId="28">
    <w:abstractNumId w:val="22"/>
  </w:num>
  <w:num w:numId="29">
    <w:abstractNumId w:val="26"/>
  </w:num>
  <w:num w:numId="30">
    <w:abstractNumId w:val="32"/>
  </w:num>
  <w:num w:numId="31">
    <w:abstractNumId w:val="24"/>
  </w:num>
  <w:num w:numId="32">
    <w:abstractNumId w:val="9"/>
  </w:num>
  <w:num w:numId="33">
    <w:abstractNumId w:val="11"/>
  </w:num>
  <w:num w:numId="34">
    <w:abstractNumId w:val="8"/>
  </w:num>
  <w:num w:numId="35">
    <w:abstractNumId w:val="16"/>
  </w:num>
  <w:num w:numId="36">
    <w:abstractNumId w:val="1"/>
  </w:num>
  <w:num w:numId="37">
    <w:abstractNumId w:val="2"/>
  </w:num>
  <w:num w:numId="38">
    <w:abstractNumId w:val="34"/>
  </w:num>
  <w:num w:numId="39">
    <w:abstractNumId w:val="17"/>
  </w:num>
  <w:num w:numId="40">
    <w:abstractNumId w:val="20"/>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B6E71"/>
    <w:rsid w:val="0003116F"/>
    <w:rsid w:val="000320B3"/>
    <w:rsid w:val="00077D58"/>
    <w:rsid w:val="0010573D"/>
    <w:rsid w:val="00164400"/>
    <w:rsid w:val="001F0139"/>
    <w:rsid w:val="002760F1"/>
    <w:rsid w:val="002C586A"/>
    <w:rsid w:val="002E2810"/>
    <w:rsid w:val="00302E87"/>
    <w:rsid w:val="00337AC4"/>
    <w:rsid w:val="00443650"/>
    <w:rsid w:val="004643AF"/>
    <w:rsid w:val="004D4A30"/>
    <w:rsid w:val="005B62B2"/>
    <w:rsid w:val="00607703"/>
    <w:rsid w:val="00633F69"/>
    <w:rsid w:val="006C73B0"/>
    <w:rsid w:val="00753D59"/>
    <w:rsid w:val="00805F04"/>
    <w:rsid w:val="00814189"/>
    <w:rsid w:val="00833A0F"/>
    <w:rsid w:val="008A6327"/>
    <w:rsid w:val="008B6E71"/>
    <w:rsid w:val="008D1B35"/>
    <w:rsid w:val="009A0141"/>
    <w:rsid w:val="009A24B4"/>
    <w:rsid w:val="00A34308"/>
    <w:rsid w:val="00A478B9"/>
    <w:rsid w:val="00A65CD4"/>
    <w:rsid w:val="00A722E5"/>
    <w:rsid w:val="00B06469"/>
    <w:rsid w:val="00BC5C1B"/>
    <w:rsid w:val="00BD0E16"/>
    <w:rsid w:val="00C32237"/>
    <w:rsid w:val="00C83656"/>
    <w:rsid w:val="00CB5772"/>
    <w:rsid w:val="00D14EDE"/>
    <w:rsid w:val="00D3682B"/>
    <w:rsid w:val="00DA1EAE"/>
    <w:rsid w:val="00DE1D1C"/>
    <w:rsid w:val="00E7129E"/>
    <w:rsid w:val="00E74438"/>
    <w:rsid w:val="00F23598"/>
    <w:rsid w:val="00F51B81"/>
    <w:rsid w:val="00FA0047"/>
    <w:rsid w:val="00FC6A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C1B"/>
  </w:style>
  <w:style w:type="paragraph" w:styleId="2">
    <w:name w:val="heading 2"/>
    <w:basedOn w:val="a"/>
    <w:next w:val="a"/>
    <w:link w:val="20"/>
    <w:uiPriority w:val="99"/>
    <w:qFormat/>
    <w:rsid w:val="00E74438"/>
    <w:pPr>
      <w:keepNext/>
      <w:keepLines/>
      <w:spacing w:before="200" w:after="0"/>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8B6E71"/>
    <w:rPr>
      <w:rFonts w:ascii="Times New Roman" w:eastAsia="Times New Roman" w:hAnsi="Times New Roman" w:cs="Times New Roman"/>
      <w:b/>
      <w:bCs/>
      <w:sz w:val="28"/>
      <w:szCs w:val="28"/>
      <w:shd w:val="clear" w:color="auto" w:fill="FFFFFF"/>
    </w:rPr>
  </w:style>
  <w:style w:type="paragraph" w:customStyle="1" w:styleId="10">
    <w:name w:val="Заголовок №1"/>
    <w:basedOn w:val="a"/>
    <w:link w:val="1"/>
    <w:rsid w:val="008B6E71"/>
    <w:pPr>
      <w:widowControl w:val="0"/>
      <w:shd w:val="clear" w:color="auto" w:fill="FFFFFF"/>
      <w:spacing w:after="480" w:line="0" w:lineRule="atLeast"/>
      <w:ind w:hanging="1400"/>
      <w:jc w:val="both"/>
      <w:outlineLvl w:val="0"/>
    </w:pPr>
    <w:rPr>
      <w:rFonts w:ascii="Times New Roman" w:eastAsia="Times New Roman" w:hAnsi="Times New Roman" w:cs="Times New Roman"/>
      <w:b/>
      <w:bCs/>
      <w:sz w:val="28"/>
      <w:szCs w:val="28"/>
    </w:rPr>
  </w:style>
  <w:style w:type="paragraph" w:styleId="a3">
    <w:name w:val="List Paragraph"/>
    <w:basedOn w:val="a"/>
    <w:link w:val="a4"/>
    <w:uiPriority w:val="34"/>
    <w:qFormat/>
    <w:rsid w:val="008B6E71"/>
    <w:pPr>
      <w:ind w:left="720"/>
      <w:contextualSpacing/>
    </w:pPr>
  </w:style>
  <w:style w:type="character" w:customStyle="1" w:styleId="a4">
    <w:name w:val="Абзац списка Знак"/>
    <w:link w:val="a3"/>
    <w:uiPriority w:val="34"/>
    <w:locked/>
    <w:rsid w:val="008B6E71"/>
  </w:style>
  <w:style w:type="character" w:customStyle="1" w:styleId="21">
    <w:name w:val="Основной текст (2)_"/>
    <w:basedOn w:val="a0"/>
    <w:link w:val="22"/>
    <w:rsid w:val="004643AF"/>
    <w:rPr>
      <w:rFonts w:ascii="Times New Roman" w:eastAsia="Times New Roman" w:hAnsi="Times New Roman" w:cs="Times New Roman"/>
      <w:shd w:val="clear" w:color="auto" w:fill="FFFFFF"/>
    </w:rPr>
  </w:style>
  <w:style w:type="paragraph" w:customStyle="1" w:styleId="22">
    <w:name w:val="Основной текст (2)"/>
    <w:basedOn w:val="a"/>
    <w:link w:val="21"/>
    <w:rsid w:val="004643AF"/>
    <w:pPr>
      <w:widowControl w:val="0"/>
      <w:shd w:val="clear" w:color="auto" w:fill="FFFFFF"/>
      <w:spacing w:before="3780" w:after="0" w:line="0" w:lineRule="atLeast"/>
      <w:ind w:hanging="440"/>
      <w:jc w:val="center"/>
    </w:pPr>
    <w:rPr>
      <w:rFonts w:ascii="Times New Roman" w:eastAsia="Times New Roman" w:hAnsi="Times New Roman" w:cs="Times New Roman"/>
    </w:rPr>
  </w:style>
  <w:style w:type="paragraph" w:styleId="a5">
    <w:name w:val="Balloon Text"/>
    <w:basedOn w:val="a"/>
    <w:link w:val="a6"/>
    <w:uiPriority w:val="99"/>
    <w:semiHidden/>
    <w:unhideWhenUsed/>
    <w:rsid w:val="00D14E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4EDE"/>
    <w:rPr>
      <w:rFonts w:ascii="Tahoma" w:hAnsi="Tahoma" w:cs="Tahoma"/>
      <w:sz w:val="16"/>
      <w:szCs w:val="16"/>
    </w:rPr>
  </w:style>
  <w:style w:type="character" w:customStyle="1" w:styleId="23">
    <w:name w:val="Заголовок №2_"/>
    <w:basedOn w:val="a0"/>
    <w:link w:val="24"/>
    <w:rsid w:val="004D4A30"/>
    <w:rPr>
      <w:rFonts w:ascii="Times New Roman" w:eastAsia="Times New Roman" w:hAnsi="Times New Roman" w:cs="Times New Roman"/>
      <w:b/>
      <w:bCs/>
      <w:shd w:val="clear" w:color="auto" w:fill="FFFFFF"/>
    </w:rPr>
  </w:style>
  <w:style w:type="paragraph" w:customStyle="1" w:styleId="24">
    <w:name w:val="Заголовок №2"/>
    <w:basedOn w:val="a"/>
    <w:link w:val="23"/>
    <w:rsid w:val="004D4A30"/>
    <w:pPr>
      <w:widowControl w:val="0"/>
      <w:shd w:val="clear" w:color="auto" w:fill="FFFFFF"/>
      <w:spacing w:before="420" w:after="60" w:line="0" w:lineRule="atLeast"/>
      <w:ind w:hanging="300"/>
      <w:jc w:val="both"/>
      <w:outlineLvl w:val="1"/>
    </w:pPr>
    <w:rPr>
      <w:rFonts w:ascii="Times New Roman" w:eastAsia="Times New Roman" w:hAnsi="Times New Roman" w:cs="Times New Roman"/>
      <w:b/>
      <w:bCs/>
    </w:rPr>
  </w:style>
  <w:style w:type="character" w:customStyle="1" w:styleId="20">
    <w:name w:val="Заголовок 2 Знак"/>
    <w:basedOn w:val="a0"/>
    <w:link w:val="2"/>
    <w:uiPriority w:val="99"/>
    <w:rsid w:val="00E74438"/>
    <w:rPr>
      <w:rFonts w:ascii="Cambria" w:eastAsia="Times New Roman" w:hAnsi="Cambria" w:cs="Times New Roman"/>
      <w:b/>
      <w:bCs/>
      <w:color w:val="4F81BD"/>
      <w:sz w:val="26"/>
      <w:szCs w:val="26"/>
      <w:lang w:eastAsia="ru-RU"/>
    </w:rPr>
  </w:style>
  <w:style w:type="paragraph" w:styleId="a7">
    <w:name w:val="Normal (Web)"/>
    <w:aliases w:val=" Знак,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link w:val="25"/>
    <w:uiPriority w:val="99"/>
    <w:unhideWhenUsed/>
    <w:qFormat/>
    <w:rsid w:val="00337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
    <w:name w:val="Основной текст (5)_"/>
    <w:basedOn w:val="a0"/>
    <w:link w:val="50"/>
    <w:rsid w:val="009A24B4"/>
    <w:rPr>
      <w:rFonts w:ascii="Times New Roman" w:eastAsia="Times New Roman" w:hAnsi="Times New Roman" w:cs="Times New Roman"/>
      <w:b/>
      <w:bCs/>
      <w:shd w:val="clear" w:color="auto" w:fill="FFFFFF"/>
    </w:rPr>
  </w:style>
  <w:style w:type="paragraph" w:customStyle="1" w:styleId="50">
    <w:name w:val="Основной текст (5)"/>
    <w:basedOn w:val="a"/>
    <w:link w:val="5"/>
    <w:rsid w:val="009A24B4"/>
    <w:pPr>
      <w:widowControl w:val="0"/>
      <w:shd w:val="clear" w:color="auto" w:fill="FFFFFF"/>
      <w:spacing w:after="0" w:line="274" w:lineRule="exact"/>
      <w:ind w:hanging="300"/>
      <w:jc w:val="center"/>
    </w:pPr>
    <w:rPr>
      <w:rFonts w:ascii="Times New Roman" w:eastAsia="Times New Roman" w:hAnsi="Times New Roman" w:cs="Times New Roman"/>
      <w:b/>
      <w:bCs/>
    </w:rPr>
  </w:style>
  <w:style w:type="character" w:customStyle="1" w:styleId="4">
    <w:name w:val="Основной текст (4)_"/>
    <w:basedOn w:val="a0"/>
    <w:link w:val="40"/>
    <w:rsid w:val="00A478B9"/>
    <w:rPr>
      <w:rFonts w:ascii="Times New Roman" w:eastAsia="Times New Roman" w:hAnsi="Times New Roman" w:cs="Times New Roman"/>
      <w:b/>
      <w:bCs/>
      <w:sz w:val="50"/>
      <w:szCs w:val="50"/>
      <w:shd w:val="clear" w:color="auto" w:fill="FFFFFF"/>
    </w:rPr>
  </w:style>
  <w:style w:type="paragraph" w:customStyle="1" w:styleId="40">
    <w:name w:val="Основной текст (4)"/>
    <w:basedOn w:val="a"/>
    <w:link w:val="4"/>
    <w:rsid w:val="00A478B9"/>
    <w:pPr>
      <w:widowControl w:val="0"/>
      <w:shd w:val="clear" w:color="auto" w:fill="FFFFFF"/>
      <w:spacing w:before="2220" w:after="660" w:line="0" w:lineRule="atLeast"/>
      <w:jc w:val="center"/>
    </w:pPr>
    <w:rPr>
      <w:rFonts w:ascii="Times New Roman" w:eastAsia="Times New Roman" w:hAnsi="Times New Roman" w:cs="Times New Roman"/>
      <w:b/>
      <w:bCs/>
      <w:sz w:val="50"/>
      <w:szCs w:val="50"/>
    </w:rPr>
  </w:style>
  <w:style w:type="paragraph" w:customStyle="1" w:styleId="a8">
    <w:name w:val="Стиль пункта схемы"/>
    <w:basedOn w:val="a"/>
    <w:rsid w:val="00A478B9"/>
    <w:pPr>
      <w:suppressAutoHyphens/>
      <w:autoSpaceDE w:val="0"/>
      <w:spacing w:after="0" w:line="360" w:lineRule="auto"/>
      <w:ind w:firstLine="680"/>
      <w:jc w:val="both"/>
    </w:pPr>
    <w:rPr>
      <w:rFonts w:ascii="Times New Roman" w:eastAsia="Times New Roman" w:hAnsi="Times New Roman" w:cs="Times New Roman"/>
      <w:sz w:val="28"/>
      <w:szCs w:val="28"/>
      <w:lang w:eastAsia="ar-SA"/>
    </w:rPr>
  </w:style>
  <w:style w:type="table" w:styleId="a9">
    <w:name w:val="Table Grid"/>
    <w:basedOn w:val="a1"/>
    <w:uiPriority w:val="59"/>
    <w:rsid w:val="00302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302E8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a">
    <w:name w:val="Основной"/>
    <w:basedOn w:val="ab"/>
    <w:rsid w:val="00805F04"/>
    <w:pPr>
      <w:suppressAutoHyphens/>
      <w:spacing w:after="0" w:line="240" w:lineRule="auto"/>
      <w:ind w:left="0" w:firstLine="680"/>
      <w:jc w:val="both"/>
    </w:pPr>
    <w:rPr>
      <w:rFonts w:ascii="Times New Roman" w:eastAsia="Times New Roman" w:hAnsi="Times New Roman" w:cs="Times New Roman"/>
      <w:sz w:val="28"/>
      <w:szCs w:val="24"/>
      <w:lang w:eastAsia="ar-SA"/>
    </w:rPr>
  </w:style>
  <w:style w:type="paragraph" w:styleId="ab">
    <w:name w:val="Body Text Indent"/>
    <w:basedOn w:val="a"/>
    <w:link w:val="ac"/>
    <w:uiPriority w:val="99"/>
    <w:semiHidden/>
    <w:unhideWhenUsed/>
    <w:rsid w:val="00805F04"/>
    <w:pPr>
      <w:spacing w:after="120"/>
      <w:ind w:left="283"/>
    </w:pPr>
  </w:style>
  <w:style w:type="character" w:customStyle="1" w:styleId="ac">
    <w:name w:val="Основной текст с отступом Знак"/>
    <w:basedOn w:val="a0"/>
    <w:link w:val="ab"/>
    <w:uiPriority w:val="99"/>
    <w:semiHidden/>
    <w:rsid w:val="00805F04"/>
  </w:style>
  <w:style w:type="paragraph" w:customStyle="1" w:styleId="ad">
    <w:name w:val="Стиль заключения Знак"/>
    <w:basedOn w:val="a"/>
    <w:rsid w:val="00607703"/>
    <w:pPr>
      <w:suppressAutoHyphens/>
      <w:spacing w:after="0" w:line="360" w:lineRule="auto"/>
      <w:ind w:firstLine="720"/>
      <w:jc w:val="both"/>
    </w:pPr>
    <w:rPr>
      <w:rFonts w:ascii="Times New Roman" w:eastAsia="Times New Roman" w:hAnsi="Times New Roman" w:cs="Times New Roman"/>
      <w:sz w:val="28"/>
      <w:szCs w:val="28"/>
      <w:lang w:eastAsia="ar-SA"/>
    </w:rPr>
  </w:style>
  <w:style w:type="character" w:styleId="ae">
    <w:name w:val="Hyperlink"/>
    <w:uiPriority w:val="99"/>
    <w:unhideWhenUsed/>
    <w:rsid w:val="00FA0047"/>
    <w:rPr>
      <w:color w:val="0000FF"/>
      <w:u w:val="single"/>
    </w:rPr>
  </w:style>
  <w:style w:type="character" w:customStyle="1" w:styleId="25">
    <w:name w:val="Обычный (веб) Знак2"/>
    <w:aliases w:val=" Знак Знак,Знак Знак,Обычный (Web) Знак,Обычный (веб)1 Знак,Обычный (веб) Знак Знак1,Обычный (веб) Знак1 Знак,Обычный (веб) Знак Знак Знак,Обычный (веб) Знак2 Знак Знак,Обычный (веб) Знак Знак1 Знак Знак"/>
    <w:link w:val="a7"/>
    <w:uiPriority w:val="99"/>
    <w:locked/>
    <w:rsid w:val="00FA0047"/>
    <w:rPr>
      <w:rFonts w:ascii="Times New Roman" w:eastAsia="Times New Roman" w:hAnsi="Times New Roman" w:cs="Times New Roman"/>
      <w:sz w:val="24"/>
      <w:szCs w:val="24"/>
      <w:lang w:eastAsia="ru-RU"/>
    </w:rPr>
  </w:style>
  <w:style w:type="character" w:customStyle="1" w:styleId="211pt">
    <w:name w:val="Основной текст (2) + 11 pt"/>
    <w:basedOn w:val="a0"/>
    <w:rsid w:val="00F51B8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4980">
      <w:bodyDiv w:val="1"/>
      <w:marLeft w:val="0"/>
      <w:marRight w:val="0"/>
      <w:marTop w:val="0"/>
      <w:marBottom w:val="0"/>
      <w:divBdr>
        <w:top w:val="none" w:sz="0" w:space="0" w:color="auto"/>
        <w:left w:val="none" w:sz="0" w:space="0" w:color="auto"/>
        <w:bottom w:val="none" w:sz="0" w:space="0" w:color="auto"/>
        <w:right w:val="none" w:sz="0" w:space="0" w:color="auto"/>
      </w:divBdr>
    </w:div>
    <w:div w:id="189881042">
      <w:bodyDiv w:val="1"/>
      <w:marLeft w:val="0"/>
      <w:marRight w:val="0"/>
      <w:marTop w:val="0"/>
      <w:marBottom w:val="0"/>
      <w:divBdr>
        <w:top w:val="none" w:sz="0" w:space="0" w:color="auto"/>
        <w:left w:val="none" w:sz="0" w:space="0" w:color="auto"/>
        <w:bottom w:val="none" w:sz="0" w:space="0" w:color="auto"/>
        <w:right w:val="none" w:sz="0" w:space="0" w:color="auto"/>
      </w:divBdr>
    </w:div>
    <w:div w:id="457646350">
      <w:bodyDiv w:val="1"/>
      <w:marLeft w:val="0"/>
      <w:marRight w:val="0"/>
      <w:marTop w:val="0"/>
      <w:marBottom w:val="0"/>
      <w:divBdr>
        <w:top w:val="none" w:sz="0" w:space="0" w:color="auto"/>
        <w:left w:val="none" w:sz="0" w:space="0" w:color="auto"/>
        <w:bottom w:val="none" w:sz="0" w:space="0" w:color="auto"/>
        <w:right w:val="none" w:sz="0" w:space="0" w:color="auto"/>
      </w:divBdr>
    </w:div>
    <w:div w:id="603806692">
      <w:bodyDiv w:val="1"/>
      <w:marLeft w:val="0"/>
      <w:marRight w:val="0"/>
      <w:marTop w:val="0"/>
      <w:marBottom w:val="0"/>
      <w:divBdr>
        <w:top w:val="none" w:sz="0" w:space="0" w:color="auto"/>
        <w:left w:val="none" w:sz="0" w:space="0" w:color="auto"/>
        <w:bottom w:val="none" w:sz="0" w:space="0" w:color="auto"/>
        <w:right w:val="none" w:sz="0" w:space="0" w:color="auto"/>
      </w:divBdr>
    </w:div>
    <w:div w:id="624043308">
      <w:bodyDiv w:val="1"/>
      <w:marLeft w:val="0"/>
      <w:marRight w:val="0"/>
      <w:marTop w:val="0"/>
      <w:marBottom w:val="0"/>
      <w:divBdr>
        <w:top w:val="none" w:sz="0" w:space="0" w:color="auto"/>
        <w:left w:val="none" w:sz="0" w:space="0" w:color="auto"/>
        <w:bottom w:val="none" w:sz="0" w:space="0" w:color="auto"/>
        <w:right w:val="none" w:sz="0" w:space="0" w:color="auto"/>
      </w:divBdr>
    </w:div>
    <w:div w:id="978219569">
      <w:bodyDiv w:val="1"/>
      <w:marLeft w:val="0"/>
      <w:marRight w:val="0"/>
      <w:marTop w:val="0"/>
      <w:marBottom w:val="0"/>
      <w:divBdr>
        <w:top w:val="none" w:sz="0" w:space="0" w:color="auto"/>
        <w:left w:val="none" w:sz="0" w:space="0" w:color="auto"/>
        <w:bottom w:val="none" w:sz="0" w:space="0" w:color="auto"/>
        <w:right w:val="none" w:sz="0" w:space="0" w:color="auto"/>
      </w:divBdr>
    </w:div>
    <w:div w:id="1097170668">
      <w:bodyDiv w:val="1"/>
      <w:marLeft w:val="0"/>
      <w:marRight w:val="0"/>
      <w:marTop w:val="0"/>
      <w:marBottom w:val="0"/>
      <w:divBdr>
        <w:top w:val="none" w:sz="0" w:space="0" w:color="auto"/>
        <w:left w:val="none" w:sz="0" w:space="0" w:color="auto"/>
        <w:bottom w:val="none" w:sz="0" w:space="0" w:color="auto"/>
        <w:right w:val="none" w:sz="0" w:space="0" w:color="auto"/>
      </w:divBdr>
    </w:div>
    <w:div w:id="1113329738">
      <w:bodyDiv w:val="1"/>
      <w:marLeft w:val="0"/>
      <w:marRight w:val="0"/>
      <w:marTop w:val="0"/>
      <w:marBottom w:val="0"/>
      <w:divBdr>
        <w:top w:val="none" w:sz="0" w:space="0" w:color="auto"/>
        <w:left w:val="none" w:sz="0" w:space="0" w:color="auto"/>
        <w:bottom w:val="none" w:sz="0" w:space="0" w:color="auto"/>
        <w:right w:val="none" w:sz="0" w:space="0" w:color="auto"/>
      </w:divBdr>
    </w:div>
    <w:div w:id="1118448479">
      <w:bodyDiv w:val="1"/>
      <w:marLeft w:val="0"/>
      <w:marRight w:val="0"/>
      <w:marTop w:val="0"/>
      <w:marBottom w:val="0"/>
      <w:divBdr>
        <w:top w:val="none" w:sz="0" w:space="0" w:color="auto"/>
        <w:left w:val="none" w:sz="0" w:space="0" w:color="auto"/>
        <w:bottom w:val="none" w:sz="0" w:space="0" w:color="auto"/>
        <w:right w:val="none" w:sz="0" w:space="0" w:color="auto"/>
      </w:divBdr>
    </w:div>
    <w:div w:id="1371103334">
      <w:bodyDiv w:val="1"/>
      <w:marLeft w:val="0"/>
      <w:marRight w:val="0"/>
      <w:marTop w:val="0"/>
      <w:marBottom w:val="0"/>
      <w:divBdr>
        <w:top w:val="none" w:sz="0" w:space="0" w:color="auto"/>
        <w:left w:val="none" w:sz="0" w:space="0" w:color="auto"/>
        <w:bottom w:val="none" w:sz="0" w:space="0" w:color="auto"/>
        <w:right w:val="none" w:sz="0" w:space="0" w:color="auto"/>
      </w:divBdr>
    </w:div>
    <w:div w:id="1373119339">
      <w:bodyDiv w:val="1"/>
      <w:marLeft w:val="0"/>
      <w:marRight w:val="0"/>
      <w:marTop w:val="0"/>
      <w:marBottom w:val="0"/>
      <w:divBdr>
        <w:top w:val="none" w:sz="0" w:space="0" w:color="auto"/>
        <w:left w:val="none" w:sz="0" w:space="0" w:color="auto"/>
        <w:bottom w:val="none" w:sz="0" w:space="0" w:color="auto"/>
        <w:right w:val="none" w:sz="0" w:space="0" w:color="auto"/>
      </w:divBdr>
    </w:div>
    <w:div w:id="1838300041">
      <w:bodyDiv w:val="1"/>
      <w:marLeft w:val="0"/>
      <w:marRight w:val="0"/>
      <w:marTop w:val="0"/>
      <w:marBottom w:val="0"/>
      <w:divBdr>
        <w:top w:val="none" w:sz="0" w:space="0" w:color="auto"/>
        <w:left w:val="none" w:sz="0" w:space="0" w:color="auto"/>
        <w:bottom w:val="none" w:sz="0" w:space="0" w:color="auto"/>
        <w:right w:val="none" w:sz="0" w:space="0" w:color="auto"/>
      </w:divBdr>
    </w:div>
    <w:div w:id="1880585661">
      <w:bodyDiv w:val="1"/>
      <w:marLeft w:val="0"/>
      <w:marRight w:val="0"/>
      <w:marTop w:val="0"/>
      <w:marBottom w:val="0"/>
      <w:divBdr>
        <w:top w:val="none" w:sz="0" w:space="0" w:color="auto"/>
        <w:left w:val="none" w:sz="0" w:space="0" w:color="auto"/>
        <w:bottom w:val="none" w:sz="0" w:space="0" w:color="auto"/>
        <w:right w:val="none" w:sz="0" w:space="0" w:color="auto"/>
      </w:divBdr>
    </w:div>
    <w:div w:id="1902476450">
      <w:bodyDiv w:val="1"/>
      <w:marLeft w:val="0"/>
      <w:marRight w:val="0"/>
      <w:marTop w:val="0"/>
      <w:marBottom w:val="0"/>
      <w:divBdr>
        <w:top w:val="none" w:sz="0" w:space="0" w:color="auto"/>
        <w:left w:val="none" w:sz="0" w:space="0" w:color="auto"/>
        <w:bottom w:val="none" w:sz="0" w:space="0" w:color="auto"/>
        <w:right w:val="none" w:sz="0" w:space="0" w:color="auto"/>
      </w:divBdr>
    </w:div>
    <w:div w:id="2031950788">
      <w:bodyDiv w:val="1"/>
      <w:marLeft w:val="0"/>
      <w:marRight w:val="0"/>
      <w:marTop w:val="0"/>
      <w:marBottom w:val="0"/>
      <w:divBdr>
        <w:top w:val="none" w:sz="0" w:space="0" w:color="auto"/>
        <w:left w:val="none" w:sz="0" w:space="0" w:color="auto"/>
        <w:bottom w:val="none" w:sz="0" w:space="0" w:color="auto"/>
        <w:right w:val="none" w:sz="0" w:space="0" w:color="auto"/>
      </w:divBdr>
    </w:div>
    <w:div w:id="205430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economy.samregion.ru/" TargetMode="External"/><Relationship Id="rId39" Type="http://schemas.openxmlformats.org/officeDocument/2006/relationships/image" Target="media/image8.png"/><Relationship Id="rId21" Type="http://schemas.openxmlformats.org/officeDocument/2006/relationships/chart" Target="charts/chart11.xml"/><Relationship Id="rId34" Type="http://schemas.openxmlformats.org/officeDocument/2006/relationships/chart" Target="charts/chart20.xml"/><Relationship Id="rId42" Type="http://schemas.openxmlformats.org/officeDocument/2006/relationships/hyperlink" Target="http://economy.samregion.ru/" TargetMode="External"/><Relationship Id="rId47" Type="http://schemas.openxmlformats.org/officeDocument/2006/relationships/chart" Target="charts/chart28.xml"/><Relationship Id="rId50" Type="http://schemas.openxmlformats.org/officeDocument/2006/relationships/chart" Target="charts/chart30.xml"/><Relationship Id="rId55" Type="http://schemas.openxmlformats.org/officeDocument/2006/relationships/chart" Target="charts/chart35.xml"/><Relationship Id="rId63" Type="http://schemas.openxmlformats.org/officeDocument/2006/relationships/chart" Target="charts/chart43.xm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5.xml"/><Relationship Id="rId45" Type="http://schemas.openxmlformats.org/officeDocument/2006/relationships/hyperlink" Target="http://prostoysovet.ru/index.php?option=com_content&amp;view=article&amp;id=101:2011-02-01-15-23-57&amp;catid=45&amp;Itemid=64" TargetMode="External"/><Relationship Id="rId53" Type="http://schemas.openxmlformats.org/officeDocument/2006/relationships/chart" Target="charts/chart33.xml"/><Relationship Id="rId58" Type="http://schemas.openxmlformats.org/officeDocument/2006/relationships/chart" Target="charts/chart38.xml"/><Relationship Id="rId66" Type="http://schemas.openxmlformats.org/officeDocument/2006/relationships/chart" Target="charts/chart45.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6.png"/><Relationship Id="rId36" Type="http://schemas.openxmlformats.org/officeDocument/2006/relationships/chart" Target="charts/chart22.xml"/><Relationship Id="rId49" Type="http://schemas.openxmlformats.org/officeDocument/2006/relationships/hyperlink" Target="http://economy.samregion.ru/" TargetMode="External"/><Relationship Id="rId57" Type="http://schemas.openxmlformats.org/officeDocument/2006/relationships/chart" Target="charts/chart37.xml"/><Relationship Id="rId61" Type="http://schemas.openxmlformats.org/officeDocument/2006/relationships/chart" Target="charts/chart41.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17.xml"/><Relationship Id="rId44" Type="http://schemas.openxmlformats.org/officeDocument/2006/relationships/chart" Target="charts/chart27.xml"/><Relationship Id="rId52" Type="http://schemas.openxmlformats.org/officeDocument/2006/relationships/chart" Target="charts/chart32.xml"/><Relationship Id="rId60" Type="http://schemas.openxmlformats.org/officeDocument/2006/relationships/chart" Target="charts/chart40.xml"/><Relationship Id="rId65" Type="http://schemas.openxmlformats.org/officeDocument/2006/relationships/chart" Target="charts/chart44.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5.png"/><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hyperlink" Target="http://b2bpoisk.ru/%D0%BF%D1%80%D0%BE%D0%B4%D1%83%D0%BA%D1%86%D0%B8%D1%8F/%D0%B1%D0%B5%D0%BB%D1%8C%D0%B5_%D0%BF%D0%BE%D1%81%D1%82%D0%B5%D0%BB%D1%8C%D0%BD%D0%BE%D0%B5" TargetMode="External"/><Relationship Id="rId48" Type="http://schemas.openxmlformats.org/officeDocument/2006/relationships/chart" Target="charts/chart29.xml"/><Relationship Id="rId56" Type="http://schemas.openxmlformats.org/officeDocument/2006/relationships/chart" Target="charts/chart36.xml"/><Relationship Id="rId64" Type="http://schemas.openxmlformats.org/officeDocument/2006/relationships/image" Target="media/image9.png"/><Relationship Id="rId8" Type="http://schemas.openxmlformats.org/officeDocument/2006/relationships/image" Target="media/image2.jpeg"/><Relationship Id="rId51" Type="http://schemas.openxmlformats.org/officeDocument/2006/relationships/chart" Target="charts/chart3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www.gks.ru/bgd/regl/b18_02/Main.htm" TargetMode="Externa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hyperlink" Target="http://kladovaia-krasoti.ru/2011/08/zelenaya-glina-v-kosmetologii/" TargetMode="External"/><Relationship Id="rId59" Type="http://schemas.openxmlformats.org/officeDocument/2006/relationships/chart" Target="charts/chart39.xml"/><Relationship Id="rId67" Type="http://schemas.openxmlformats.org/officeDocument/2006/relationships/fontTable" Target="fontTable.xml"/><Relationship Id="rId20" Type="http://schemas.openxmlformats.org/officeDocument/2006/relationships/chart" Target="charts/chart10.xml"/><Relationship Id="rId41" Type="http://schemas.openxmlformats.org/officeDocument/2006/relationships/chart" Target="charts/chart26.xml"/><Relationship Id="rId54" Type="http://schemas.openxmlformats.org/officeDocument/2006/relationships/chart" Target="charts/chart34.xml"/><Relationship Id="rId62" Type="http://schemas.openxmlformats.org/officeDocument/2006/relationships/chart" Target="charts/chart42.xml"/></Relationships>
</file>

<file path=word/charts/_rels/chart1.xml.rels><?xml version="1.0" encoding="UTF-8" standalone="yes"?>
<Relationships xmlns="http://schemas.openxmlformats.org/package/2006/relationships"><Relationship Id="rId2" Type="http://schemas.openxmlformats.org/officeDocument/2006/relationships/oleObject" Target="file:///D:\NADIN\SGEU\&#1055;&#1086;&#1083;&#1103;&#1085;&#1089;&#1082;&#1086;&#1074;&#1072;\&#1058;&#1072;&#1073;&#1083;_&#1050;&#1072;&#1084;&#1099;&#1096;&#1083;_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NADIN\SGEU\&#1055;&#1086;&#1083;&#1103;&#1085;&#1089;&#1082;&#1086;&#1074;&#1072;\&#1050;&#1072;&#1084;&#1099;&#1096;&#1083;&#1080;&#1085;&#1089;&#1082;&#1080;&#1081;%20&#1088;&#1072;&#1081;&#1086;&#1085;\&#1058;&#1072;&#1073;&#1083;_&#1050;&#1072;&#1084;&#1099;&#1096;&#1083;_1.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NADIN\SGEU\&#1055;&#1086;&#1083;&#1103;&#1085;&#1089;&#1082;&#1086;&#1074;&#1072;\&#1050;&#1072;&#1084;&#1099;&#1096;&#1083;&#1080;&#1085;&#1089;&#1082;&#1080;&#1081;%20&#1088;&#1072;&#1081;&#1086;&#1085;\&#1058;&#1072;&#1073;&#1083;_&#1050;&#1072;&#1084;&#1099;&#1096;&#1083;_1.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8.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D:\NADIN\SGEU\&#1055;&#1086;&#1083;&#1103;&#1085;&#1089;&#1082;&#1086;&#1074;&#1072;\&#1050;&#1072;&#1084;&#1099;&#1096;&#1083;&#1080;&#1085;&#1089;&#1082;&#1080;&#1081;%20&#1088;&#1072;&#1081;&#1086;&#1085;\&#1058;&#1072;&#1073;&#1083;_&#1050;&#1072;&#1084;&#1099;&#1096;&#1083;_2_0506.xlsx" TargetMode="External"/><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0.xlsx"/></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14.xlsx"/></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oleObject" Target="file:///D:\NADIN\SGEU\&#1055;&#1086;&#1083;&#1103;&#1085;&#1089;&#1082;&#1086;&#1074;&#1072;\&#1075;&#1088;&#1072;&#1092;&#1080;&#1082;&#1080;_&#1063;&#1050;_&#1050;&#1072;&#1084;&#1099;&#1096;&#1083;_1.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6.xml"/></Relationships>
</file>

<file path=word/charts/_rels/chart33.xml.rels><?xml version="1.0" encoding="UTF-8" standalone="yes"?>
<Relationships xmlns="http://schemas.openxmlformats.org/package/2006/relationships"><Relationship Id="rId1" Type="http://schemas.openxmlformats.org/officeDocument/2006/relationships/oleObject" Target="file:///D:\&#1085;&#1080;&#1088;2018\&#1053;&#1048;&#1056;_&#1089;&#1090;&#1088;&#1072;&#1090;&#1077;&#1075;&#1080;&#1103;_&#1082;&#1072;&#1084;&#1099;&#1096;&#1083;&#1099;\&#1075;&#1088;&#1072;&#1092;&#1080;&#1082;&#1080;_&#1084;&#1086;&#1080;.xls"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8.xml"/></Relationships>
</file>

<file path=word/charts/_rels/chart36.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9.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D:\&#1085;&#1080;&#1088;2018\&#1053;&#1048;&#1056;_&#1089;&#1090;&#1088;&#1072;&#1090;&#1077;&#1075;&#1080;&#1103;_&#1082;&#1072;&#1084;&#1099;&#1096;&#1083;&#1099;\&#1075;&#1088;&#1072;&#1092;&#1080;&#1082;&#1080;.xls" TargetMode="External"/><Relationship Id="rId1" Type="http://schemas.openxmlformats.org/officeDocument/2006/relationships/themeOverride" Target="../theme/themeOverride30.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D:\&#1085;&#1080;&#1088;2018\&#1053;&#1048;&#1056;_&#1089;&#1090;&#1088;&#1072;&#1090;&#1077;&#1075;&#1080;&#1103;_&#1082;&#1072;&#1084;&#1099;&#1096;&#1083;&#1099;\&#1075;&#1088;&#1072;&#1092;&#1080;&#1082;&#1080;.xls" TargetMode="External"/><Relationship Id="rId1" Type="http://schemas.openxmlformats.org/officeDocument/2006/relationships/themeOverride" Target="../theme/themeOverride31.xml"/></Relationships>
</file>

<file path=word/charts/_rels/chart39.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NADIN\SGEU\&#1055;&#1086;&#1083;&#1103;&#1085;&#1089;&#1082;&#1086;&#1074;&#1072;\&#1075;&#1088;&#1072;&#1092;&#1080;&#1082;&#1080;_&#1063;&#1050;_&#1050;&#1072;&#1084;&#1099;&#1096;&#1083;_1.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D:\&#1085;&#1080;&#1088;2018\&#1053;&#1048;&#1056;_&#1089;&#1090;&#1088;&#1072;&#1090;&#1077;&#1075;&#1080;&#1103;_&#1082;&#1072;&#1084;&#1099;&#1096;&#1083;&#1099;\&#1075;&#1088;&#1072;&#1092;&#1080;&#1082;&#1080;.xls" TargetMode="External"/><Relationship Id="rId1" Type="http://schemas.openxmlformats.org/officeDocument/2006/relationships/themeOverride" Target="../theme/themeOverride33.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34.xml"/></Relationships>
</file>

<file path=word/charts/_rels/chart42.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35.xml"/></Relationships>
</file>

<file path=word/charts/_rels/chart43.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36.xml"/></Relationships>
</file>

<file path=word/charts/_rels/chart44.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37.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D:\&#1085;&#1080;&#1088;2018\&#1053;&#1048;&#1056;_&#1089;&#1090;&#1088;&#1072;&#1090;&#1077;&#1075;&#1080;&#1103;_&#1082;&#1072;&#1084;&#1099;&#1096;&#1083;&#1099;\&#1075;&#1088;&#1072;&#1092;&#1080;&#1082;&#1080;.xls" TargetMode="External"/><Relationship Id="rId1" Type="http://schemas.openxmlformats.org/officeDocument/2006/relationships/themeOverride" Target="../theme/themeOverride38.xml"/></Relationships>
</file>

<file path=word/charts/_rels/chart5.xml.rels><?xml version="1.0" encoding="UTF-8" standalone="yes"?>
<Relationships xmlns="http://schemas.openxmlformats.org/package/2006/relationships"><Relationship Id="rId2" Type="http://schemas.openxmlformats.org/officeDocument/2006/relationships/oleObject" Target="file:///D:\NADIN\SGEU\&#1055;&#1086;&#1083;&#1103;&#1085;&#1089;&#1082;&#1086;&#1074;&#1072;\&#1075;&#1088;&#1072;&#1092;&#1080;&#1082;&#1080;_&#1063;&#1050;_&#1050;&#1072;&#1084;&#1099;&#1096;&#1083;_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2" Type="http://schemas.openxmlformats.org/officeDocument/2006/relationships/oleObject" Target="file:///D:\NADIN\SGEU\&#1055;&#1086;&#1083;&#1103;&#1085;&#1089;&#1082;&#1086;&#1074;&#1072;\&#1052;&#1086;&#1080;%20&#1090;&#1072;&#1073;&#1083;%20&#1087;&#1086;%20&#1050;&#1072;&#1084;&#1099;&#1096;&#1083;&#1080;&#1085;&#1089;&#1082;&#1086;&#1084;&#1091;_2.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03015761467938"/>
          <c:y val="0.26791863088892032"/>
          <c:w val="0.74752946464650183"/>
          <c:h val="0.52244886599615459"/>
        </c:manualLayout>
      </c:layout>
      <c:lineChart>
        <c:grouping val="standard"/>
        <c:varyColors val="0"/>
        <c:ser>
          <c:idx val="0"/>
          <c:order val="0"/>
          <c:cat>
            <c:numRef>
              <c:f>Экология!$A$35:$A$45</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Экология!$B$35:$B$45</c:f>
              <c:numCache>
                <c:formatCode>General</c:formatCode>
                <c:ptCount val="11"/>
                <c:pt idx="0">
                  <c:v>6</c:v>
                </c:pt>
                <c:pt idx="1">
                  <c:v>7</c:v>
                </c:pt>
                <c:pt idx="2">
                  <c:v>7</c:v>
                </c:pt>
                <c:pt idx="3">
                  <c:v>7</c:v>
                </c:pt>
                <c:pt idx="4">
                  <c:v>7</c:v>
                </c:pt>
                <c:pt idx="5">
                  <c:v>5</c:v>
                </c:pt>
                <c:pt idx="6">
                  <c:v>5</c:v>
                </c:pt>
                <c:pt idx="7">
                  <c:v>5</c:v>
                </c:pt>
                <c:pt idx="8">
                  <c:v>6</c:v>
                </c:pt>
                <c:pt idx="9">
                  <c:v>7</c:v>
                </c:pt>
                <c:pt idx="10">
                  <c:v>7</c:v>
                </c:pt>
              </c:numCache>
            </c:numRef>
          </c:val>
          <c:smooth val="0"/>
        </c:ser>
        <c:dLbls>
          <c:showLegendKey val="0"/>
          <c:showVal val="0"/>
          <c:showCatName val="0"/>
          <c:showSerName val="0"/>
          <c:showPercent val="0"/>
          <c:showBubbleSize val="0"/>
        </c:dLbls>
        <c:hiLowLines/>
        <c:marker val="1"/>
        <c:smooth val="0"/>
        <c:axId val="74013696"/>
        <c:axId val="158985216"/>
      </c:lineChart>
      <c:catAx>
        <c:axId val="74013696"/>
        <c:scaling>
          <c:orientation val="minMax"/>
        </c:scaling>
        <c:delete val="0"/>
        <c:axPos val="b"/>
        <c:title>
          <c:tx>
            <c:rich>
              <a:bodyPr/>
              <a:lstStyle/>
              <a:p>
                <a:pPr>
                  <a:defRPr/>
                </a:pPr>
                <a:r>
                  <a:rPr lang="ru-RU"/>
                  <a:t>Годы</a:t>
                </a:r>
              </a:p>
            </c:rich>
          </c:tx>
          <c:overlay val="0"/>
        </c:title>
        <c:numFmt formatCode="General" sourceLinked="1"/>
        <c:majorTickMark val="none"/>
        <c:minorTickMark val="none"/>
        <c:tickLblPos val="nextTo"/>
        <c:crossAx val="158985216"/>
        <c:crosses val="autoZero"/>
        <c:auto val="1"/>
        <c:lblAlgn val="ctr"/>
        <c:lblOffset val="100"/>
        <c:noMultiLvlLbl val="0"/>
      </c:catAx>
      <c:valAx>
        <c:axId val="158985216"/>
        <c:scaling>
          <c:orientation val="minMax"/>
          <c:min val="4"/>
        </c:scaling>
        <c:delete val="0"/>
        <c:axPos val="l"/>
        <c:title>
          <c:tx>
            <c:rich>
              <a:bodyPr/>
              <a:lstStyle/>
              <a:p>
                <a:pPr>
                  <a:defRPr/>
                </a:pPr>
                <a:r>
                  <a:rPr lang="ru-RU"/>
                  <a:t>Количество обЪектов, имеющих выбросы в атмосферу, ед. </a:t>
                </a:r>
              </a:p>
            </c:rich>
          </c:tx>
          <c:overlay val="0"/>
        </c:title>
        <c:numFmt formatCode="General" sourceLinked="1"/>
        <c:majorTickMark val="out"/>
        <c:minorTickMark val="none"/>
        <c:tickLblPos val="nextTo"/>
        <c:crossAx val="74013696"/>
        <c:crosses val="autoZero"/>
        <c:crossBetween val="between"/>
      </c:valAx>
    </c:plotArea>
    <c:plotVisOnly val="1"/>
    <c:dispBlanksAs val="gap"/>
    <c:showDLblsOverMax val="0"/>
  </c:chart>
  <c:txPr>
    <a:bodyPr/>
    <a:lstStyle/>
    <a:p>
      <a:pPr>
        <a:defRPr sz="800" baseline="0">
          <a:solidFill>
            <a:sysClr val="windowText" lastClr="000000"/>
          </a:solidFill>
          <a:latin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2.8311965811965812E-2"/>
          <c:y val="0.57978904121120001"/>
          <c:w val="0.97168805262250091"/>
          <c:h val="0.37072313248459093"/>
        </c:manualLayout>
      </c:layout>
      <c:pie3DChart>
        <c:varyColors val="1"/>
        <c:ser>
          <c:idx val="0"/>
          <c:order val="0"/>
          <c:spPr>
            <a:gradFill>
              <a:gsLst>
                <a:gs pos="0">
                  <a:schemeClr val="tx2">
                    <a:lumMod val="75000"/>
                  </a:schemeClr>
                </a:gs>
                <a:gs pos="53000">
                  <a:srgbClr val="D4DEFF"/>
                </a:gs>
                <a:gs pos="83000">
                  <a:srgbClr val="D4DEFF"/>
                </a:gs>
                <a:gs pos="100000">
                  <a:srgbClr val="96AB94"/>
                </a:gs>
              </a:gsLst>
              <a:lin ang="5400000" scaled="0"/>
            </a:gradFill>
          </c:spPr>
          <c:explosion val="25"/>
          <c:dPt>
            <c:idx val="0"/>
            <c:bubble3D val="0"/>
            <c:spPr>
              <a:solidFill>
                <a:srgbClr val="C50000"/>
              </a:solidFill>
            </c:spPr>
          </c:dPt>
          <c:dPt>
            <c:idx val="1"/>
            <c:bubble3D val="0"/>
            <c:spPr>
              <a:solidFill>
                <a:srgbClr val="376092"/>
              </a:solidFill>
            </c:spPr>
          </c:dPt>
          <c:dPt>
            <c:idx val="2"/>
            <c:bubble3D val="0"/>
            <c:spPr>
              <a:solidFill>
                <a:srgbClr val="7F7F7F"/>
              </a:solidFill>
            </c:spPr>
          </c:dPt>
          <c:dPt>
            <c:idx val="3"/>
            <c:bubble3D val="0"/>
            <c:spPr>
              <a:solidFill>
                <a:srgbClr val="C50000"/>
              </a:solidFill>
            </c:spPr>
          </c:dPt>
          <c:dPt>
            <c:idx val="4"/>
            <c:bubble3D val="0"/>
            <c:spPr>
              <a:solidFill>
                <a:srgbClr val="376092"/>
              </a:solidFill>
            </c:spPr>
          </c:dPt>
          <c:dPt>
            <c:idx val="5"/>
            <c:bubble3D val="0"/>
            <c:spPr>
              <a:solidFill>
                <a:srgbClr val="7F7F7F"/>
              </a:solidFill>
            </c:spPr>
          </c:dPt>
          <c:dPt>
            <c:idx val="6"/>
            <c:bubble3D val="0"/>
            <c:spPr>
              <a:solidFill>
                <a:srgbClr val="C50000"/>
              </a:solidFill>
            </c:spPr>
          </c:dPt>
          <c:dPt>
            <c:idx val="7"/>
            <c:bubble3D val="0"/>
            <c:spPr>
              <a:solidFill>
                <a:srgbClr val="376092"/>
              </a:solidFill>
            </c:spPr>
          </c:dPt>
          <c:dPt>
            <c:idx val="8"/>
            <c:bubble3D val="0"/>
            <c:spPr>
              <a:solidFill>
                <a:srgbClr val="7F7F7F"/>
              </a:solidFill>
            </c:spPr>
          </c:dPt>
          <c:dLbls>
            <c:spPr>
              <a:noFill/>
            </c:spPr>
            <c:showLegendKey val="0"/>
            <c:showVal val="0"/>
            <c:showCatName val="0"/>
            <c:showSerName val="0"/>
            <c:showPercent val="1"/>
            <c:showBubbleSize val="0"/>
            <c:showLeaderLines val="1"/>
          </c:dLbls>
          <c:cat>
            <c:strRef>
              <c:f>ИП!$A$2:$A$10</c:f>
              <c:strCache>
                <c:ptCount val="9"/>
                <c:pt idx="0">
                  <c:v>50% опт. и розничн. торговля; ремонт автотрансп. ср-в, мотоциклов, бытовых изд-й и предм. личного пользования</c:v>
                </c:pt>
                <c:pt idx="1">
                  <c:v>15% сельское хозяйство, охота и лесное хозяйство</c:v>
                </c:pt>
                <c:pt idx="2">
                  <c:v>9% транспорт и связь</c:v>
                </c:pt>
                <c:pt idx="3">
                  <c:v>7% обрабатывающие производства</c:v>
                </c:pt>
                <c:pt idx="4">
                  <c:v>7% гостиницы и рестораны</c:v>
                </c:pt>
                <c:pt idx="5">
                  <c:v>6% предоставление прочих коммунальных, социальных и персональных услуг</c:v>
                </c:pt>
                <c:pt idx="6">
                  <c:v>3% операции с недвижимым имуществом, аренда и предоставление услуг</c:v>
                </c:pt>
                <c:pt idx="7">
                  <c:v>2% строительство</c:v>
                </c:pt>
                <c:pt idx="8">
                  <c:v>1,4% образование; финансовая деятельность; рыболовство, рыбоводство</c:v>
                </c:pt>
              </c:strCache>
            </c:strRef>
          </c:cat>
          <c:val>
            <c:numRef>
              <c:f>ИП!$B$2:$B$10</c:f>
              <c:numCache>
                <c:formatCode>General</c:formatCode>
                <c:ptCount val="9"/>
                <c:pt idx="0">
                  <c:v>105</c:v>
                </c:pt>
                <c:pt idx="1">
                  <c:v>32</c:v>
                </c:pt>
                <c:pt idx="2">
                  <c:v>19</c:v>
                </c:pt>
                <c:pt idx="3">
                  <c:v>15</c:v>
                </c:pt>
                <c:pt idx="4">
                  <c:v>14</c:v>
                </c:pt>
                <c:pt idx="5">
                  <c:v>12</c:v>
                </c:pt>
                <c:pt idx="6">
                  <c:v>7</c:v>
                </c:pt>
                <c:pt idx="7">
                  <c:v>4</c:v>
                </c:pt>
                <c:pt idx="8">
                  <c:v>3</c:v>
                </c:pt>
              </c:numCache>
            </c:numRef>
          </c:val>
        </c:ser>
        <c:dLbls>
          <c:showLegendKey val="0"/>
          <c:showVal val="0"/>
          <c:showCatName val="0"/>
          <c:showSerName val="0"/>
          <c:showPercent val="0"/>
          <c:showBubbleSize val="0"/>
          <c:showLeaderLines val="1"/>
        </c:dLbls>
      </c:pie3DChart>
      <c:spPr>
        <a:noFill/>
        <a:ln w="25398">
          <a:noFill/>
        </a:ln>
      </c:spPr>
    </c:plotArea>
    <c:legend>
      <c:legendPos val="t"/>
      <c:layout>
        <c:manualLayout>
          <c:xMode val="edge"/>
          <c:yMode val="edge"/>
          <c:x val="8.2557462743935595E-3"/>
          <c:y val="0.10288865126427099"/>
          <c:w val="0.94506001603356193"/>
          <c:h val="0.49761813723901904"/>
        </c:manualLayout>
      </c:layout>
      <c:overlay val="0"/>
    </c:legend>
    <c:plotVisOnly val="1"/>
    <c:dispBlanksAs val="zero"/>
    <c:showDLblsOverMax val="0"/>
  </c:chart>
  <c:txPr>
    <a:bodyPr/>
    <a:lstStyle/>
    <a:p>
      <a:pPr>
        <a:defRPr sz="800" baseline="0">
          <a:latin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369489032684353E-2"/>
          <c:y val="9.9702530682921703E-2"/>
          <c:w val="0.8112327741534352"/>
          <c:h val="0.75925313849141862"/>
        </c:manualLayout>
      </c:layout>
      <c:scatterChart>
        <c:scatterStyle val="lineMarker"/>
        <c:varyColors val="0"/>
        <c:ser>
          <c:idx val="0"/>
          <c:order val="0"/>
          <c:tx>
            <c:strRef>
              <c:f>Безработица!$A$2</c:f>
              <c:strCache>
                <c:ptCount val="1"/>
                <c:pt idx="0">
                  <c:v>Алексеевский</c:v>
                </c:pt>
              </c:strCache>
            </c:strRef>
          </c:tx>
          <c:spPr>
            <a:ln w="47625">
              <a:noFill/>
            </a:ln>
          </c:spPr>
          <c:marker>
            <c:symbol val="circle"/>
            <c:size val="6"/>
            <c:spPr>
              <a:solidFill>
                <a:schemeClr val="accent1">
                  <a:lumMod val="50000"/>
                </a:schemeClr>
              </a:solidFill>
              <a:ln>
                <a:noFill/>
              </a:ln>
            </c:spPr>
          </c:marker>
          <c:dLbls>
            <c:dLbl>
              <c:idx val="0"/>
              <c:layout>
                <c:manualLayout>
                  <c:x val="-9.2220483464027073E-2"/>
                  <c:y val="2.398500465063580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c:f>
              <c:numCache>
                <c:formatCode>0.0</c:formatCode>
                <c:ptCount val="1"/>
                <c:pt idx="0">
                  <c:v>0</c:v>
                </c:pt>
              </c:numCache>
            </c:numRef>
          </c:xVal>
          <c:yVal>
            <c:numRef>
              <c:f>Безработица!$B$2</c:f>
              <c:numCache>
                <c:formatCode>0.0</c:formatCode>
                <c:ptCount val="1"/>
                <c:pt idx="0">
                  <c:v>2.2999999999999998</c:v>
                </c:pt>
              </c:numCache>
            </c:numRef>
          </c:yVal>
          <c:smooth val="0"/>
        </c:ser>
        <c:ser>
          <c:idx val="1"/>
          <c:order val="1"/>
          <c:tx>
            <c:strRef>
              <c:f>Безработица!$A$3</c:f>
              <c:strCache>
                <c:ptCount val="1"/>
                <c:pt idx="0">
                  <c:v>Безенчукский</c:v>
                </c:pt>
              </c:strCache>
            </c:strRef>
          </c:tx>
          <c:spPr>
            <a:ln w="47625">
              <a:noFill/>
            </a:ln>
          </c:spPr>
          <c:marker>
            <c:symbol val="circle"/>
            <c:size val="6"/>
            <c:spPr>
              <a:solidFill>
                <a:schemeClr val="accent1">
                  <a:lumMod val="50000"/>
                </a:schemeClr>
              </a:solidFill>
              <a:ln>
                <a:noFill/>
              </a:ln>
            </c:spPr>
          </c:marker>
          <c:dLbls>
            <c:dLbl>
              <c:idx val="0"/>
              <c:layout>
                <c:manualLayout>
                  <c:x val="-7.4049344714469875E-2"/>
                  <c:y val="-3.785133546428471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Безработица!$G$3</c:f>
              <c:numCache>
                <c:formatCode>0.0</c:formatCode>
                <c:ptCount val="1"/>
                <c:pt idx="0">
                  <c:v>-6.4702138354384093</c:v>
                </c:pt>
              </c:numCache>
            </c:numRef>
          </c:xVal>
          <c:yVal>
            <c:numRef>
              <c:f>Безработица!$B$3</c:f>
              <c:numCache>
                <c:formatCode>0.0</c:formatCode>
                <c:ptCount val="1"/>
                <c:pt idx="0">
                  <c:v>0.9</c:v>
                </c:pt>
              </c:numCache>
            </c:numRef>
          </c:yVal>
          <c:smooth val="0"/>
        </c:ser>
        <c:ser>
          <c:idx val="2"/>
          <c:order val="2"/>
          <c:tx>
            <c:strRef>
              <c:f>Безработица!$A$4</c:f>
              <c:strCache>
                <c:ptCount val="1"/>
                <c:pt idx="0">
                  <c:v>Богатовский</c:v>
                </c:pt>
              </c:strCache>
            </c:strRef>
          </c:tx>
          <c:spPr>
            <a:ln w="47625">
              <a:noFill/>
            </a:ln>
          </c:spPr>
          <c:marker>
            <c:symbol val="circle"/>
            <c:size val="6"/>
            <c:spPr>
              <a:solidFill>
                <a:schemeClr val="accent1">
                  <a:lumMod val="50000"/>
                </a:schemeClr>
              </a:solidFill>
              <a:ln>
                <a:noFill/>
              </a:ln>
            </c:spPr>
          </c:marker>
          <c:dLbls>
            <c:dLbl>
              <c:idx val="0"/>
              <c:layout>
                <c:manualLayout>
                  <c:x val="-3.9495529829584181E-2"/>
                  <c:y val="-3.785133546428478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Безработица!$G$4</c:f>
              <c:numCache>
                <c:formatCode>0.0</c:formatCode>
                <c:ptCount val="1"/>
                <c:pt idx="0">
                  <c:v>-10.858645979343978</c:v>
                </c:pt>
              </c:numCache>
            </c:numRef>
          </c:xVal>
          <c:yVal>
            <c:numRef>
              <c:f>Безработица!$B$4</c:f>
              <c:numCache>
                <c:formatCode>0.0</c:formatCode>
                <c:ptCount val="1"/>
                <c:pt idx="0">
                  <c:v>1.7</c:v>
                </c:pt>
              </c:numCache>
            </c:numRef>
          </c:yVal>
          <c:smooth val="0"/>
        </c:ser>
        <c:ser>
          <c:idx val="3"/>
          <c:order val="3"/>
          <c:tx>
            <c:strRef>
              <c:f>Безработица!$A$5</c:f>
              <c:strCache>
                <c:ptCount val="1"/>
                <c:pt idx="0">
                  <c:v>Большеглушицкий</c:v>
                </c:pt>
              </c:strCache>
            </c:strRef>
          </c:tx>
          <c:spPr>
            <a:ln w="47625">
              <a:noFill/>
            </a:ln>
          </c:spPr>
          <c:marker>
            <c:symbol val="circle"/>
            <c:size val="6"/>
            <c:spPr>
              <a:solidFill>
                <a:schemeClr val="accent1">
                  <a:lumMod val="50000"/>
                </a:schemeClr>
              </a:solidFill>
              <a:ln>
                <a:noFill/>
              </a:ln>
            </c:spPr>
          </c:marker>
          <c:dLbls>
            <c:dLbl>
              <c:idx val="0"/>
              <c:layout>
                <c:manualLayout>
                  <c:x val="6.3984827382429429E-3"/>
                  <c:y val="-3.7476569766621922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Безработица!$G$5</c:f>
              <c:numCache>
                <c:formatCode>0.0</c:formatCode>
                <c:ptCount val="1"/>
                <c:pt idx="0">
                  <c:v>-3.8500286461727762</c:v>
                </c:pt>
              </c:numCache>
            </c:numRef>
          </c:xVal>
          <c:yVal>
            <c:numRef>
              <c:f>Безработица!$B$5</c:f>
              <c:numCache>
                <c:formatCode>0.0</c:formatCode>
                <c:ptCount val="1"/>
                <c:pt idx="0">
                  <c:v>3.2</c:v>
                </c:pt>
              </c:numCache>
            </c:numRef>
          </c:yVal>
          <c:smooth val="0"/>
        </c:ser>
        <c:ser>
          <c:idx val="4"/>
          <c:order val="4"/>
          <c:tx>
            <c:strRef>
              <c:f>Безработица!$A$6</c:f>
              <c:strCache>
                <c:ptCount val="1"/>
                <c:pt idx="0">
                  <c:v>Большечерниговский</c:v>
                </c:pt>
              </c:strCache>
            </c:strRef>
          </c:tx>
          <c:spPr>
            <a:ln w="47625">
              <a:noFill/>
            </a:ln>
          </c:spPr>
          <c:marker>
            <c:symbol val="circle"/>
            <c:size val="6"/>
            <c:spPr>
              <a:solidFill>
                <a:schemeClr val="accent1">
                  <a:lumMod val="50000"/>
                </a:schemeClr>
              </a:solidFill>
              <a:ln>
                <a:noFill/>
              </a:ln>
            </c:spPr>
          </c:marker>
          <c:dLbls>
            <c:dLbl>
              <c:idx val="0"/>
              <c:layout>
                <c:manualLayout>
                  <c:x val="-5.8406975560009273E-3"/>
                  <c:y val="7.1205482556574865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Безработица!$G$6</c:f>
              <c:numCache>
                <c:formatCode>0.0</c:formatCode>
                <c:ptCount val="1"/>
                <c:pt idx="0">
                  <c:v>11.678316506545784</c:v>
                </c:pt>
              </c:numCache>
            </c:numRef>
          </c:xVal>
          <c:yVal>
            <c:numRef>
              <c:f>Безработица!$B$6</c:f>
              <c:numCache>
                <c:formatCode>0.0</c:formatCode>
                <c:ptCount val="1"/>
                <c:pt idx="0">
                  <c:v>3.9</c:v>
                </c:pt>
              </c:numCache>
            </c:numRef>
          </c:yVal>
          <c:smooth val="0"/>
        </c:ser>
        <c:ser>
          <c:idx val="5"/>
          <c:order val="5"/>
          <c:tx>
            <c:strRef>
              <c:f>Безработица!$A$7</c:f>
              <c:strCache>
                <c:ptCount val="1"/>
                <c:pt idx="0">
                  <c:v>Борский</c:v>
                </c:pt>
              </c:strCache>
            </c:strRef>
          </c:tx>
          <c:spPr>
            <a:ln w="47625">
              <a:noFill/>
            </a:ln>
          </c:spPr>
          <c:marker>
            <c:symbol val="circle"/>
            <c:size val="6"/>
            <c:spPr>
              <a:solidFill>
                <a:schemeClr val="accent1">
                  <a:lumMod val="50000"/>
                </a:schemeClr>
              </a:solidFill>
              <a:ln>
                <a:noFill/>
              </a:ln>
            </c:spPr>
          </c:marker>
          <c:dLbls>
            <c:dLbl>
              <c:idx val="0"/>
              <c:layout>
                <c:manualLayout>
                  <c:x val="-0.1008615817790893"/>
                  <c:y val="1.086820523231935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Безработица!$G$7</c:f>
              <c:numCache>
                <c:formatCode>0.0</c:formatCode>
                <c:ptCount val="1"/>
                <c:pt idx="0">
                  <c:v>-3.1270693848535758</c:v>
                </c:pt>
              </c:numCache>
            </c:numRef>
          </c:xVal>
          <c:yVal>
            <c:numRef>
              <c:f>Безработица!$B$7</c:f>
              <c:numCache>
                <c:formatCode>0.0</c:formatCode>
                <c:ptCount val="1"/>
                <c:pt idx="0">
                  <c:v>2</c:v>
                </c:pt>
              </c:numCache>
            </c:numRef>
          </c:yVal>
          <c:smooth val="0"/>
        </c:ser>
        <c:ser>
          <c:idx val="6"/>
          <c:order val="6"/>
          <c:tx>
            <c:strRef>
              <c:f>Безработица!$A$8</c:f>
              <c:strCache>
                <c:ptCount val="1"/>
                <c:pt idx="0">
                  <c:v>Волжский</c:v>
                </c:pt>
              </c:strCache>
            </c:strRef>
          </c:tx>
          <c:spPr>
            <a:ln w="47625">
              <a:noFill/>
            </a:ln>
          </c:spPr>
          <c:marker>
            <c:symbol val="circle"/>
            <c:size val="6"/>
            <c:spPr>
              <a:solidFill>
                <a:schemeClr val="accent1">
                  <a:lumMod val="50000"/>
                </a:schemeClr>
              </a:solidFill>
              <a:ln>
                <a:noFill/>
              </a:ln>
            </c:spPr>
          </c:marker>
          <c:dLbls>
            <c:dLbl>
              <c:idx val="0"/>
              <c:layout>
                <c:manualLayout>
                  <c:x val="-5.1056976922646886E-2"/>
                  <c:y val="-5.284196337093187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Безработица!$G$8</c:f>
              <c:numCache>
                <c:formatCode>0.0</c:formatCode>
                <c:ptCount val="1"/>
                <c:pt idx="0">
                  <c:v>-9.1439703583930019</c:v>
                </c:pt>
              </c:numCache>
            </c:numRef>
          </c:xVal>
          <c:yVal>
            <c:numRef>
              <c:f>Безработица!$B$8</c:f>
              <c:numCache>
                <c:formatCode>0.0</c:formatCode>
                <c:ptCount val="1"/>
                <c:pt idx="0">
                  <c:v>0.30000000000000032</c:v>
                </c:pt>
              </c:numCache>
            </c:numRef>
          </c:yVal>
          <c:smooth val="0"/>
        </c:ser>
        <c:ser>
          <c:idx val="7"/>
          <c:order val="7"/>
          <c:tx>
            <c:strRef>
              <c:f>Безработица!$A$9</c:f>
              <c:strCache>
                <c:ptCount val="1"/>
                <c:pt idx="0">
                  <c:v>Елховский</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Безработица!$G$9</c:f>
              <c:numCache>
                <c:formatCode>0.0</c:formatCode>
                <c:ptCount val="1"/>
                <c:pt idx="0">
                  <c:v>-8.5539796083233508</c:v>
                </c:pt>
              </c:numCache>
            </c:numRef>
          </c:xVal>
          <c:yVal>
            <c:numRef>
              <c:f>Безработица!$B$9</c:f>
              <c:numCache>
                <c:formatCode>0.0</c:formatCode>
                <c:ptCount val="1"/>
                <c:pt idx="0">
                  <c:v>1.3</c:v>
                </c:pt>
              </c:numCache>
            </c:numRef>
          </c:yVal>
          <c:smooth val="0"/>
        </c:ser>
        <c:ser>
          <c:idx val="8"/>
          <c:order val="8"/>
          <c:tx>
            <c:strRef>
              <c:f>Безработица!$A$10</c:f>
              <c:strCache>
                <c:ptCount val="1"/>
                <c:pt idx="0">
                  <c:v>Исаклинский</c:v>
                </c:pt>
              </c:strCache>
            </c:strRef>
          </c:tx>
          <c:spPr>
            <a:ln w="47625">
              <a:noFill/>
            </a:ln>
          </c:spPr>
          <c:marker>
            <c:symbol val="circle"/>
            <c:size val="6"/>
          </c:marker>
          <c:dLbls>
            <c:dLbl>
              <c:idx val="0"/>
              <c:layout>
                <c:manualLayout>
                  <c:x val="-1.9810571226707971E-2"/>
                  <c:y val="-4.519195479098839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Безработица!$G$10</c:f>
              <c:numCache>
                <c:formatCode>0.0</c:formatCode>
                <c:ptCount val="1"/>
                <c:pt idx="0">
                  <c:v>0</c:v>
                </c:pt>
              </c:numCache>
            </c:numRef>
          </c:xVal>
          <c:yVal>
            <c:numRef>
              <c:f>Безработица!$B$10</c:f>
              <c:numCache>
                <c:formatCode>0.0</c:formatCode>
                <c:ptCount val="1"/>
                <c:pt idx="0">
                  <c:v>2.6</c:v>
                </c:pt>
              </c:numCache>
            </c:numRef>
          </c:yVal>
          <c:smooth val="0"/>
        </c:ser>
        <c:ser>
          <c:idx val="9"/>
          <c:order val="9"/>
          <c:tx>
            <c:strRef>
              <c:f>Безработица!$A$11</c:f>
              <c:strCache>
                <c:ptCount val="1"/>
                <c:pt idx="0">
                  <c:v>Камышлинский</c:v>
                </c:pt>
              </c:strCache>
            </c:strRef>
          </c:tx>
          <c:spPr>
            <a:ln w="47625">
              <a:noFill/>
            </a:ln>
          </c:spPr>
          <c:marker>
            <c:symbol val="circle"/>
            <c:size val="6"/>
            <c:spPr>
              <a:solidFill>
                <a:srgbClr val="FF0000"/>
              </a:solidFill>
              <a:ln>
                <a:noFill/>
              </a:ln>
            </c:spPr>
          </c:marker>
          <c:dLbls>
            <c:dLbl>
              <c:idx val="0"/>
              <c:layout>
                <c:manualLayout>
                  <c:x val="-2.2770401203711542E-3"/>
                  <c:y val="-3.7476569766618464E-4"/>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Безработица!$G$11</c:f>
              <c:numCache>
                <c:formatCode>0.0</c:formatCode>
                <c:ptCount val="1"/>
                <c:pt idx="0">
                  <c:v>1.5627524178942975</c:v>
                </c:pt>
              </c:numCache>
            </c:numRef>
          </c:xVal>
          <c:yVal>
            <c:numRef>
              <c:f>Безработица!$B$11</c:f>
              <c:numCache>
                <c:formatCode>0.0</c:formatCode>
                <c:ptCount val="1"/>
                <c:pt idx="0">
                  <c:v>2.2000000000000002</c:v>
                </c:pt>
              </c:numCache>
            </c:numRef>
          </c:yVal>
          <c:smooth val="0"/>
        </c:ser>
        <c:ser>
          <c:idx val="10"/>
          <c:order val="10"/>
          <c:tx>
            <c:strRef>
              <c:f>Безработица!$A$12</c:f>
              <c:strCache>
                <c:ptCount val="1"/>
                <c:pt idx="0">
                  <c:v>Кинельский </c:v>
                </c:pt>
              </c:strCache>
            </c:strRef>
          </c:tx>
          <c:spPr>
            <a:ln w="47625">
              <a:noFill/>
            </a:ln>
          </c:spPr>
          <c:marker>
            <c:symbol val="circle"/>
            <c:size val="6"/>
            <c:spPr>
              <a:solidFill>
                <a:schemeClr val="accent1">
                  <a:lumMod val="50000"/>
                </a:schemeClr>
              </a:solidFill>
              <a:ln>
                <a:noFill/>
              </a:ln>
            </c:spPr>
          </c:marker>
          <c:dLbls>
            <c:dLbl>
              <c:idx val="0"/>
              <c:layout>
                <c:manualLayout>
                  <c:x val="-3.5066417853716258E-3"/>
                  <c:y val="-1.536539360431366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Безработица!$G$12</c:f>
              <c:numCache>
                <c:formatCode>0.0</c:formatCode>
                <c:ptCount val="1"/>
                <c:pt idx="0">
                  <c:v>0</c:v>
                </c:pt>
              </c:numCache>
            </c:numRef>
          </c:xVal>
          <c:yVal>
            <c:numRef>
              <c:f>Безработица!$B$12</c:f>
              <c:numCache>
                <c:formatCode>0.0</c:formatCode>
                <c:ptCount val="1"/>
                <c:pt idx="0">
                  <c:v>1</c:v>
                </c:pt>
              </c:numCache>
            </c:numRef>
          </c:yVal>
          <c:smooth val="0"/>
        </c:ser>
        <c:ser>
          <c:idx val="11"/>
          <c:order val="11"/>
          <c:tx>
            <c:strRef>
              <c:f>Безработица!$A$13</c:f>
              <c:strCache>
                <c:ptCount val="1"/>
                <c:pt idx="0">
                  <c:v>Кинель-Черкасский</c:v>
                </c:pt>
              </c:strCache>
            </c:strRef>
          </c:tx>
          <c:spPr>
            <a:ln w="47625">
              <a:noFill/>
            </a:ln>
          </c:spPr>
          <c:marker>
            <c:symbol val="circle"/>
            <c:size val="6"/>
            <c:spPr>
              <a:solidFill>
                <a:schemeClr val="accent1">
                  <a:lumMod val="50000"/>
                </a:schemeClr>
              </a:solidFill>
              <a:ln>
                <a:noFill/>
              </a:ln>
            </c:spPr>
          </c:marker>
          <c:dLbls>
            <c:dLbl>
              <c:idx val="0"/>
              <c:layout>
                <c:manualLayout>
                  <c:x val="5.9203043129641927E-4"/>
                  <c:y val="-4.122422674328156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Безработица!$G$13</c:f>
              <c:numCache>
                <c:formatCode>0.0</c:formatCode>
                <c:ptCount val="1"/>
                <c:pt idx="0">
                  <c:v>0</c:v>
                </c:pt>
              </c:numCache>
            </c:numRef>
          </c:xVal>
          <c:yVal>
            <c:numRef>
              <c:f>Безработица!$B$13</c:f>
              <c:numCache>
                <c:formatCode>0.0</c:formatCode>
                <c:ptCount val="1"/>
                <c:pt idx="0">
                  <c:v>0.8</c:v>
                </c:pt>
              </c:numCache>
            </c:numRef>
          </c:yVal>
          <c:smooth val="0"/>
        </c:ser>
        <c:ser>
          <c:idx val="12"/>
          <c:order val="12"/>
          <c:tx>
            <c:strRef>
              <c:f>Безработица!$A$14</c:f>
              <c:strCache>
                <c:ptCount val="1"/>
                <c:pt idx="0">
                  <c:v>Клявлинский</c:v>
                </c:pt>
              </c:strCache>
            </c:strRef>
          </c:tx>
          <c:spPr>
            <a:ln w="47625">
              <a:noFill/>
            </a:ln>
          </c:spPr>
          <c:marker>
            <c:symbol val="circle"/>
            <c:size val="6"/>
            <c:spPr>
              <a:solidFill>
                <a:schemeClr val="accent1">
                  <a:lumMod val="50000"/>
                </a:schemeClr>
              </a:solidFill>
              <a:ln>
                <a:noFill/>
              </a:ln>
            </c:spPr>
          </c:marker>
          <c:dLbls>
            <c:dLbl>
              <c:idx val="0"/>
              <c:layout>
                <c:manualLayout>
                  <c:x val="-1.5085839033703947E-3"/>
                  <c:y val="-4.1224226743280185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Безработица!$G$14</c:f>
              <c:numCache>
                <c:formatCode>0.0</c:formatCode>
                <c:ptCount val="1"/>
                <c:pt idx="0">
                  <c:v>1.4287644623016875</c:v>
                </c:pt>
              </c:numCache>
            </c:numRef>
          </c:xVal>
          <c:yVal>
            <c:numRef>
              <c:f>Безработица!$B$14</c:f>
              <c:numCache>
                <c:formatCode>0.0</c:formatCode>
                <c:ptCount val="1"/>
                <c:pt idx="0">
                  <c:v>2.4</c:v>
                </c:pt>
              </c:numCache>
            </c:numRef>
          </c:yVal>
          <c:smooth val="0"/>
        </c:ser>
        <c:ser>
          <c:idx val="13"/>
          <c:order val="13"/>
          <c:tx>
            <c:strRef>
              <c:f>Безработица!$A$15</c:f>
              <c:strCache>
                <c:ptCount val="1"/>
                <c:pt idx="0">
                  <c:v>Кошкинский</c:v>
                </c:pt>
              </c:strCache>
            </c:strRef>
          </c:tx>
          <c:spPr>
            <a:ln w="47625">
              <a:noFill/>
            </a:ln>
          </c:spPr>
          <c:marker>
            <c:symbol val="circle"/>
            <c:size val="6"/>
            <c:spPr>
              <a:solidFill>
                <a:schemeClr val="accent1">
                  <a:lumMod val="50000"/>
                </a:schemeClr>
              </a:solidFill>
              <a:ln>
                <a:noFill/>
              </a:ln>
            </c:spPr>
          </c:marker>
          <c:dLbls>
            <c:dLbl>
              <c:idx val="0"/>
              <c:layout>
                <c:manualLayout>
                  <c:x val="7.3869333038812532E-5"/>
                  <c:y val="-7.8700796509898786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Безработица!$G$15</c:f>
              <c:numCache>
                <c:formatCode>0.0</c:formatCode>
                <c:ptCount val="1"/>
                <c:pt idx="0">
                  <c:v>1.9235467531193198</c:v>
                </c:pt>
              </c:numCache>
            </c:numRef>
          </c:xVal>
          <c:yVal>
            <c:numRef>
              <c:f>Безработица!$B$15</c:f>
              <c:numCache>
                <c:formatCode>0.0</c:formatCode>
                <c:ptCount val="1"/>
                <c:pt idx="0">
                  <c:v>1.8</c:v>
                </c:pt>
              </c:numCache>
            </c:numRef>
          </c:yVal>
          <c:smooth val="0"/>
        </c:ser>
        <c:ser>
          <c:idx val="14"/>
          <c:order val="14"/>
          <c:tx>
            <c:strRef>
              <c:f>Безработица!$A$16</c:f>
              <c:strCache>
                <c:ptCount val="1"/>
                <c:pt idx="0">
                  <c:v>Красноармейский</c:v>
                </c:pt>
              </c:strCache>
            </c:strRef>
          </c:tx>
          <c:spPr>
            <a:ln w="47625">
              <a:noFill/>
            </a:ln>
          </c:spPr>
          <c:marker>
            <c:symbol val="circle"/>
            <c:size val="6"/>
            <c:spPr>
              <a:solidFill>
                <a:schemeClr val="accent1">
                  <a:lumMod val="50000"/>
                </a:schemeClr>
              </a:solidFill>
              <a:ln>
                <a:noFill/>
              </a:ln>
            </c:spPr>
          </c:marker>
          <c:dLbls>
            <c:dLbl>
              <c:idx val="0"/>
              <c:layout>
                <c:manualLayout>
                  <c:x val="-1.3151251403876341E-3"/>
                  <c:y val="-4.122422674328087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Безработица!$G$16</c:f>
              <c:numCache>
                <c:formatCode>0.0</c:formatCode>
                <c:ptCount val="1"/>
                <c:pt idx="0">
                  <c:v>-1.6131853193803061</c:v>
                </c:pt>
              </c:numCache>
            </c:numRef>
          </c:xVal>
          <c:yVal>
            <c:numRef>
              <c:f>Безработица!$B$16</c:f>
              <c:numCache>
                <c:formatCode>0.0</c:formatCode>
                <c:ptCount val="1"/>
                <c:pt idx="0">
                  <c:v>2</c:v>
                </c:pt>
              </c:numCache>
            </c:numRef>
          </c:yVal>
          <c:smooth val="0"/>
        </c:ser>
        <c:ser>
          <c:idx val="15"/>
          <c:order val="15"/>
          <c:tx>
            <c:strRef>
              <c:f>Безработица!$A$17</c:f>
              <c:strCache>
                <c:ptCount val="1"/>
                <c:pt idx="0">
                  <c:v>Красноярский</c:v>
                </c:pt>
              </c:strCache>
            </c:strRef>
          </c:tx>
          <c:spPr>
            <a:ln w="47625">
              <a:noFill/>
            </a:ln>
          </c:spPr>
          <c:marker>
            <c:symbol val="circle"/>
            <c:size val="6"/>
            <c:spPr>
              <a:solidFill>
                <a:schemeClr val="accent1">
                  <a:lumMod val="50000"/>
                </a:schemeClr>
              </a:solidFill>
              <a:ln>
                <a:noFill/>
              </a:ln>
            </c:spPr>
          </c:marker>
          <c:dLbls>
            <c:dLbl>
              <c:idx val="0"/>
              <c:layout>
                <c:manualLayout>
                  <c:x val="-7.7863476563340667E-2"/>
                  <c:y val="4.084946104561400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Безработица!$G$17</c:f>
              <c:numCache>
                <c:formatCode>0.0</c:formatCode>
                <c:ptCount val="1"/>
                <c:pt idx="0">
                  <c:v>-3.4510615394370268</c:v>
                </c:pt>
              </c:numCache>
            </c:numRef>
          </c:xVal>
          <c:yVal>
            <c:numRef>
              <c:f>Безработица!$B$17</c:f>
              <c:numCache>
                <c:formatCode>0.0</c:formatCode>
                <c:ptCount val="1"/>
                <c:pt idx="0">
                  <c:v>0.9</c:v>
                </c:pt>
              </c:numCache>
            </c:numRef>
          </c:yVal>
          <c:smooth val="0"/>
        </c:ser>
        <c:ser>
          <c:idx val="16"/>
          <c:order val="16"/>
          <c:tx>
            <c:strRef>
              <c:f>Безработица!$A$18</c:f>
              <c:strCache>
                <c:ptCount val="1"/>
                <c:pt idx="0">
                  <c:v>Нефтегорский </c:v>
                </c:pt>
              </c:strCache>
            </c:strRef>
          </c:tx>
          <c:spPr>
            <a:ln w="47625">
              <a:noFill/>
            </a:ln>
          </c:spPr>
          <c:marker>
            <c:symbol val="circle"/>
            <c:size val="6"/>
            <c:spPr>
              <a:solidFill>
                <a:schemeClr val="accent1">
                  <a:lumMod val="50000"/>
                </a:schemeClr>
              </a:solidFill>
              <a:ln>
                <a:noFill/>
              </a:ln>
            </c:spPr>
          </c:marker>
          <c:dLbls>
            <c:dLbl>
              <c:idx val="0"/>
              <c:layout>
                <c:manualLayout>
                  <c:x val="-9.4506129720295113E-4"/>
                  <c:y val="-3.7476569766632092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Безработица!$G$18</c:f>
              <c:numCache>
                <c:formatCode>0.0</c:formatCode>
                <c:ptCount val="1"/>
                <c:pt idx="0">
                  <c:v>5.7264270346431383</c:v>
                </c:pt>
              </c:numCache>
            </c:numRef>
          </c:xVal>
          <c:yVal>
            <c:numRef>
              <c:f>Безработица!$B$18</c:f>
              <c:numCache>
                <c:formatCode>0.0</c:formatCode>
                <c:ptCount val="1"/>
                <c:pt idx="0">
                  <c:v>1.3</c:v>
                </c:pt>
              </c:numCache>
            </c:numRef>
          </c:yVal>
          <c:smooth val="0"/>
        </c:ser>
        <c:ser>
          <c:idx val="17"/>
          <c:order val="17"/>
          <c:tx>
            <c:strRef>
              <c:f>Безработица!$A$19</c:f>
              <c:strCache>
                <c:ptCount val="1"/>
                <c:pt idx="0">
                  <c:v>Пестравский</c:v>
                </c:pt>
              </c:strCache>
            </c:strRef>
          </c:tx>
          <c:spPr>
            <a:ln w="47625">
              <a:noFill/>
            </a:ln>
          </c:spPr>
          <c:marker>
            <c:symbol val="circle"/>
            <c:size val="6"/>
            <c:spPr>
              <a:solidFill>
                <a:schemeClr val="accent1">
                  <a:lumMod val="50000"/>
                </a:schemeClr>
              </a:solidFill>
              <a:ln>
                <a:noFill/>
              </a:ln>
            </c:spPr>
          </c:marker>
          <c:dLbls>
            <c:dLbl>
              <c:idx val="0"/>
              <c:layout>
                <c:manualLayout>
                  <c:x val="-6.5139239360744563E-3"/>
                  <c:y val="-7.8432318232294473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Безработица!$G$19</c:f>
              <c:numCache>
                <c:formatCode>0.0</c:formatCode>
                <c:ptCount val="1"/>
                <c:pt idx="0">
                  <c:v>0</c:v>
                </c:pt>
              </c:numCache>
            </c:numRef>
          </c:xVal>
          <c:yVal>
            <c:numRef>
              <c:f>Безработица!$B$19</c:f>
              <c:numCache>
                <c:formatCode>0.0</c:formatCode>
                <c:ptCount val="1"/>
                <c:pt idx="0">
                  <c:v>2.6</c:v>
                </c:pt>
              </c:numCache>
            </c:numRef>
          </c:yVal>
          <c:smooth val="0"/>
        </c:ser>
        <c:ser>
          <c:idx val="18"/>
          <c:order val="18"/>
          <c:tx>
            <c:strRef>
              <c:f>Безработица!$A$20</c:f>
              <c:strCache>
                <c:ptCount val="1"/>
                <c:pt idx="0">
                  <c:v>Похвистневский </c:v>
                </c:pt>
              </c:strCache>
            </c:strRef>
          </c:tx>
          <c:spPr>
            <a:ln w="47625">
              <a:noFill/>
            </a:ln>
          </c:spPr>
          <c:marker>
            <c:symbol val="circle"/>
            <c:size val="6"/>
            <c:spPr>
              <a:solidFill>
                <a:schemeClr val="accent1">
                  <a:lumMod val="50000"/>
                </a:schemeClr>
              </a:solidFill>
              <a:ln>
                <a:noFill/>
              </a:ln>
            </c:spPr>
          </c:marker>
          <c:dLbls>
            <c:dLbl>
              <c:idx val="0"/>
              <c:layout>
                <c:manualLayout>
                  <c:x val="-5.0635814147626898E-2"/>
                  <c:y val="4.084946104561416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Безработица!$G$20</c:f>
              <c:numCache>
                <c:formatCode>0.0</c:formatCode>
                <c:ptCount val="1"/>
                <c:pt idx="0">
                  <c:v>-5.8963971118971594</c:v>
                </c:pt>
              </c:numCache>
            </c:numRef>
          </c:xVal>
          <c:yVal>
            <c:numRef>
              <c:f>Безработица!$B$20</c:f>
              <c:numCache>
                <c:formatCode>0.0</c:formatCode>
                <c:ptCount val="1"/>
                <c:pt idx="0">
                  <c:v>1.5</c:v>
                </c:pt>
              </c:numCache>
            </c:numRef>
          </c:yVal>
          <c:smooth val="0"/>
        </c:ser>
        <c:ser>
          <c:idx val="19"/>
          <c:order val="19"/>
          <c:tx>
            <c:strRef>
              <c:f>Безработица!$A$21</c:f>
              <c:strCache>
                <c:ptCount val="1"/>
                <c:pt idx="0">
                  <c:v>Приволжский</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Безработица!$G$21</c:f>
              <c:numCache>
                <c:formatCode>0.0</c:formatCode>
                <c:ptCount val="1"/>
                <c:pt idx="0">
                  <c:v>-7.5771791884597084</c:v>
                </c:pt>
              </c:numCache>
            </c:numRef>
          </c:xVal>
          <c:yVal>
            <c:numRef>
              <c:f>Безработица!$B$21</c:f>
              <c:numCache>
                <c:formatCode>0.0</c:formatCode>
                <c:ptCount val="1"/>
                <c:pt idx="0">
                  <c:v>3</c:v>
                </c:pt>
              </c:numCache>
            </c:numRef>
          </c:yVal>
          <c:smooth val="0"/>
        </c:ser>
        <c:ser>
          <c:idx val="20"/>
          <c:order val="20"/>
          <c:tx>
            <c:strRef>
              <c:f>Безработица!$A$22</c:f>
              <c:strCache>
                <c:ptCount val="1"/>
                <c:pt idx="0">
                  <c:v>Сергиевский</c:v>
                </c:pt>
              </c:strCache>
            </c:strRef>
          </c:tx>
          <c:spPr>
            <a:ln w="47625">
              <a:noFill/>
            </a:ln>
          </c:spPr>
          <c:marker>
            <c:symbol val="circle"/>
            <c:size val="6"/>
            <c:spPr>
              <a:solidFill>
                <a:schemeClr val="accent1">
                  <a:lumMod val="50000"/>
                </a:schemeClr>
              </a:solidFill>
              <a:ln>
                <a:noFill/>
              </a:ln>
            </c:spPr>
          </c:marker>
          <c:dLbls>
            <c:dLbl>
              <c:idx val="0"/>
              <c:layout>
                <c:manualLayout>
                  <c:x val="-2.0095327298519671E-3"/>
                  <c:y val="-2.286070755763729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Безработица!$G$22</c:f>
              <c:numCache>
                <c:formatCode>0.0</c:formatCode>
                <c:ptCount val="1"/>
                <c:pt idx="0">
                  <c:v>2.501029596576787</c:v>
                </c:pt>
              </c:numCache>
            </c:numRef>
          </c:xVal>
          <c:yVal>
            <c:numRef>
              <c:f>Безработица!$B$22</c:f>
              <c:numCache>
                <c:formatCode>0.0</c:formatCode>
                <c:ptCount val="1"/>
                <c:pt idx="0">
                  <c:v>1.4</c:v>
                </c:pt>
              </c:numCache>
            </c:numRef>
          </c:yVal>
          <c:smooth val="0"/>
        </c:ser>
        <c:ser>
          <c:idx val="21"/>
          <c:order val="21"/>
          <c:tx>
            <c:strRef>
              <c:f>Безработица!$A$23</c:f>
              <c:strCache>
                <c:ptCount val="1"/>
                <c:pt idx="0">
                  <c:v>Ставропольский</c:v>
                </c:pt>
              </c:strCache>
            </c:strRef>
          </c:tx>
          <c:spPr>
            <a:ln w="47625">
              <a:noFill/>
            </a:ln>
          </c:spPr>
          <c:marker>
            <c:symbol val="circle"/>
            <c:size val="6"/>
            <c:spPr>
              <a:solidFill>
                <a:schemeClr val="accent1">
                  <a:lumMod val="50000"/>
                </a:schemeClr>
              </a:solidFill>
              <a:ln>
                <a:noFill/>
              </a:ln>
            </c:spPr>
          </c:marker>
          <c:dLbls>
            <c:dLbl>
              <c:idx val="0"/>
              <c:layout>
                <c:manualLayout>
                  <c:x val="-4.5540802407423066E-2"/>
                  <c:y val="-4.159899244094653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Безработица!$G$23</c:f>
              <c:numCache>
                <c:formatCode>0.0</c:formatCode>
                <c:ptCount val="1"/>
                <c:pt idx="0">
                  <c:v>22.390341034165971</c:v>
                </c:pt>
              </c:numCache>
            </c:numRef>
          </c:xVal>
          <c:yVal>
            <c:numRef>
              <c:f>Безработица!$B$23</c:f>
              <c:numCache>
                <c:formatCode>0.0</c:formatCode>
                <c:ptCount val="1"/>
                <c:pt idx="0">
                  <c:v>1.1000000000000001</c:v>
                </c:pt>
              </c:numCache>
            </c:numRef>
          </c:yVal>
          <c:smooth val="0"/>
        </c:ser>
        <c:ser>
          <c:idx val="22"/>
          <c:order val="22"/>
          <c:tx>
            <c:strRef>
              <c:f>Безработица!$A$24</c:f>
              <c:strCache>
                <c:ptCount val="1"/>
                <c:pt idx="0">
                  <c:v>Сызранский</c:v>
                </c:pt>
              </c:strCache>
            </c:strRef>
          </c:tx>
          <c:spPr>
            <a:ln w="47625">
              <a:noFill/>
            </a:ln>
          </c:spPr>
          <c:marker>
            <c:symbol val="circle"/>
            <c:size val="6"/>
            <c:spPr>
              <a:solidFill>
                <a:schemeClr val="accent1">
                  <a:lumMod val="50000"/>
                </a:schemeClr>
              </a:solidFill>
              <a:ln>
                <a:noFill/>
              </a:ln>
            </c:spPr>
          </c:marker>
          <c:dLbls>
            <c:dLbl>
              <c:idx val="0"/>
              <c:layout>
                <c:manualLayout>
                  <c:x val="-2.5047441324082688E-2"/>
                  <c:y val="3.7101804068952214E-2"/>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Безработица!$G$24</c:f>
              <c:numCache>
                <c:formatCode>0.0</c:formatCode>
                <c:ptCount val="1"/>
                <c:pt idx="0">
                  <c:v>0</c:v>
                </c:pt>
              </c:numCache>
            </c:numRef>
          </c:xVal>
          <c:yVal>
            <c:numRef>
              <c:f>Безработица!$B$24</c:f>
              <c:numCache>
                <c:formatCode>0.0</c:formatCode>
                <c:ptCount val="1"/>
                <c:pt idx="0">
                  <c:v>0.70000000000000062</c:v>
                </c:pt>
              </c:numCache>
            </c:numRef>
          </c:yVal>
          <c:smooth val="0"/>
        </c:ser>
        <c:ser>
          <c:idx val="23"/>
          <c:order val="23"/>
          <c:tx>
            <c:strRef>
              <c:f>Безработица!$A$25</c:f>
              <c:strCache>
                <c:ptCount val="1"/>
                <c:pt idx="0">
                  <c:v>Хворостянский</c:v>
                </c:pt>
              </c:strCache>
            </c:strRef>
          </c:tx>
          <c:spPr>
            <a:ln w="47625">
              <a:noFill/>
            </a:ln>
          </c:spPr>
          <c:marker>
            <c:symbol val="circle"/>
            <c:size val="6"/>
            <c:spPr>
              <a:solidFill>
                <a:schemeClr val="accent1">
                  <a:lumMod val="50000"/>
                </a:schemeClr>
              </a:solidFill>
              <a:ln>
                <a:noFill/>
              </a:ln>
            </c:spPr>
          </c:marker>
          <c:dLbls>
            <c:dLbl>
              <c:idx val="0"/>
              <c:layout>
                <c:manualLayout>
                  <c:x val="-0.12586348230076441"/>
                  <c:y val="-4.534664941760835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Безработица!$G$25</c:f>
              <c:numCache>
                <c:formatCode>0.0</c:formatCode>
                <c:ptCount val="1"/>
                <c:pt idx="0">
                  <c:v>-1.3515170267812082</c:v>
                </c:pt>
              </c:numCache>
            </c:numRef>
          </c:xVal>
          <c:yVal>
            <c:numRef>
              <c:f>Безработица!$B$25</c:f>
              <c:numCache>
                <c:formatCode>0.0</c:formatCode>
                <c:ptCount val="1"/>
                <c:pt idx="0">
                  <c:v>2.4</c:v>
                </c:pt>
              </c:numCache>
            </c:numRef>
          </c:yVal>
          <c:smooth val="0"/>
        </c:ser>
        <c:ser>
          <c:idx val="24"/>
          <c:order val="24"/>
          <c:tx>
            <c:strRef>
              <c:f>Безработица!$A$26</c:f>
              <c:strCache>
                <c:ptCount val="1"/>
                <c:pt idx="0">
                  <c:v>Челно-Вершинский</c:v>
                </c:pt>
              </c:strCache>
            </c:strRef>
          </c:tx>
          <c:spPr>
            <a:ln w="47625">
              <a:noFill/>
            </a:ln>
          </c:spPr>
          <c:marker>
            <c:symbol val="circle"/>
            <c:size val="6"/>
            <c:spPr>
              <a:solidFill>
                <a:schemeClr val="accent1">
                  <a:lumMod val="50000"/>
                </a:schemeClr>
              </a:solidFill>
              <a:ln>
                <a:noFill/>
              </a:ln>
            </c:spPr>
          </c:marker>
          <c:dLbls>
            <c:dLbl>
              <c:idx val="0"/>
              <c:layout>
                <c:manualLayout>
                  <c:x val="-0.11986912936026289"/>
                  <c:y val="-3.410367848762282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Безработица!$G$26</c:f>
              <c:numCache>
                <c:formatCode>0.0</c:formatCode>
                <c:ptCount val="1"/>
                <c:pt idx="0">
                  <c:v>-2.9868768149935825</c:v>
                </c:pt>
              </c:numCache>
            </c:numRef>
          </c:xVal>
          <c:yVal>
            <c:numRef>
              <c:f>Безработица!$B$26</c:f>
              <c:numCache>
                <c:formatCode>0.0</c:formatCode>
                <c:ptCount val="1"/>
                <c:pt idx="0">
                  <c:v>2.1</c:v>
                </c:pt>
              </c:numCache>
            </c:numRef>
          </c:yVal>
          <c:smooth val="0"/>
        </c:ser>
        <c:ser>
          <c:idx val="25"/>
          <c:order val="25"/>
          <c:tx>
            <c:strRef>
              <c:f>Безработица!$A$27</c:f>
              <c:strCache>
                <c:ptCount val="1"/>
                <c:pt idx="0">
                  <c:v>Шенталинский</c:v>
                </c:pt>
              </c:strCache>
            </c:strRef>
          </c:tx>
          <c:spPr>
            <a:ln w="47625">
              <a:noFill/>
            </a:ln>
          </c:spPr>
          <c:marker>
            <c:symbol val="circle"/>
            <c:size val="6"/>
            <c:spPr>
              <a:solidFill>
                <a:schemeClr val="accent1">
                  <a:lumMod val="50000"/>
                </a:schemeClr>
              </a:solidFill>
              <a:ln>
                <a:noFill/>
              </a:ln>
            </c:spPr>
          </c:marker>
          <c:dLbls>
            <c:dLbl>
              <c:idx val="0"/>
              <c:layout>
                <c:manualLayout>
                  <c:x val="-7.9115848629544613E-2"/>
                  <c:y val="-3.785133546428471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Безработица!$G$27</c:f>
              <c:numCache>
                <c:formatCode>0.0</c:formatCode>
                <c:ptCount val="1"/>
                <c:pt idx="0">
                  <c:v>-3.8500286461727762</c:v>
                </c:pt>
              </c:numCache>
            </c:numRef>
          </c:xVal>
          <c:yVal>
            <c:numRef>
              <c:f>Безработица!$B$27</c:f>
              <c:numCache>
                <c:formatCode>0.0</c:formatCode>
                <c:ptCount val="1"/>
                <c:pt idx="0">
                  <c:v>1.6</c:v>
                </c:pt>
              </c:numCache>
            </c:numRef>
          </c:yVal>
          <c:smooth val="0"/>
        </c:ser>
        <c:ser>
          <c:idx val="26"/>
          <c:order val="26"/>
          <c:tx>
            <c:strRef>
              <c:f>Безработица!$A$28</c:f>
              <c:strCache>
                <c:ptCount val="1"/>
                <c:pt idx="0">
                  <c:v>Шигонский</c:v>
                </c:pt>
              </c:strCache>
            </c:strRef>
          </c:tx>
          <c:spPr>
            <a:ln w="47625">
              <a:noFill/>
            </a:ln>
          </c:spPr>
          <c:marker>
            <c:symbol val="circle"/>
            <c:size val="6"/>
            <c:spPr>
              <a:solidFill>
                <a:schemeClr val="tx2">
                  <a:lumMod val="75000"/>
                </a:schemeClr>
              </a:solidFill>
              <a:ln>
                <a:noFill/>
              </a:ln>
            </c:spPr>
          </c:marker>
          <c:dLbls>
            <c:dLbl>
              <c:idx val="0"/>
              <c:layout>
                <c:manualLayout>
                  <c:x val="-2.1689255382779564E-3"/>
                  <c:y val="-3.7476569766625397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Безработица!$G$28</c:f>
              <c:numCache>
                <c:formatCode>0.0</c:formatCode>
                <c:ptCount val="1"/>
                <c:pt idx="0">
                  <c:v>-2.0005389940710772</c:v>
                </c:pt>
              </c:numCache>
            </c:numRef>
          </c:xVal>
          <c:yVal>
            <c:numRef>
              <c:f>Безработица!$B$28</c:f>
              <c:numCache>
                <c:formatCode>0.0</c:formatCode>
                <c:ptCount val="1"/>
                <c:pt idx="0">
                  <c:v>1.6</c:v>
                </c:pt>
              </c:numCache>
            </c:numRef>
          </c:yVal>
          <c:smooth val="0"/>
        </c:ser>
        <c:dLbls>
          <c:showLegendKey val="0"/>
          <c:showVal val="1"/>
          <c:showCatName val="0"/>
          <c:showSerName val="0"/>
          <c:showPercent val="0"/>
          <c:showBubbleSize val="0"/>
        </c:dLbls>
        <c:axId val="229992320"/>
        <c:axId val="230019072"/>
      </c:scatterChart>
      <c:valAx>
        <c:axId val="229992320"/>
        <c:scaling>
          <c:orientation val="minMax"/>
          <c:max val="23"/>
          <c:min val="-12"/>
        </c:scaling>
        <c:delete val="0"/>
        <c:axPos val="b"/>
        <c:title>
          <c:tx>
            <c:rich>
              <a:bodyPr/>
              <a:lstStyle/>
              <a:p>
                <a:pPr>
                  <a:defRPr/>
                </a:pPr>
                <a:r>
                  <a:rPr lang="ru-RU"/>
                  <a:t>Среднеговой темп прироста зарегистрированной безработицы в 2014-2016 гг., %</a:t>
                </a:r>
              </a:p>
            </c:rich>
          </c:tx>
          <c:overlay val="0"/>
        </c:title>
        <c:numFmt formatCode="0.0" sourceLinked="1"/>
        <c:majorTickMark val="out"/>
        <c:minorTickMark val="none"/>
        <c:tickLblPos val="nextTo"/>
        <c:crossAx val="230019072"/>
        <c:crosses val="autoZero"/>
        <c:crossBetween val="midCat"/>
      </c:valAx>
      <c:valAx>
        <c:axId val="230019072"/>
        <c:scaling>
          <c:orientation val="minMax"/>
          <c:max val="4"/>
        </c:scaling>
        <c:delete val="0"/>
        <c:axPos val="l"/>
        <c:title>
          <c:tx>
            <c:rich>
              <a:bodyPr rot="-5400000" vert="horz"/>
              <a:lstStyle/>
              <a:p>
                <a:pPr>
                  <a:defRPr/>
                </a:pPr>
                <a:r>
                  <a:rPr lang="ru-RU"/>
                  <a:t>Уровнь зарегистрированной безработицы</a:t>
                </a:r>
              </a:p>
            </c:rich>
          </c:tx>
          <c:overlay val="0"/>
        </c:title>
        <c:numFmt formatCode="0.0" sourceLinked="1"/>
        <c:majorTickMark val="out"/>
        <c:minorTickMark val="none"/>
        <c:tickLblPos val="low"/>
        <c:spPr>
          <a:ln>
            <a:noFill/>
          </a:ln>
        </c:spPr>
        <c:crossAx val="229992320"/>
        <c:crosses val="autoZero"/>
        <c:crossBetween val="midCat"/>
      </c:valAx>
      <c:spPr>
        <a:noFill/>
        <a:ln>
          <a:solidFill>
            <a:schemeClr val="tx1"/>
          </a:solidFill>
        </a:ln>
      </c:spPr>
    </c:plotArea>
    <c:plotVisOnly val="1"/>
    <c:dispBlanksAs val="gap"/>
    <c:showDLblsOverMax val="0"/>
  </c:chart>
  <c:spPr>
    <a:noFill/>
  </c:spPr>
  <c:txPr>
    <a:bodyPr/>
    <a:lstStyle/>
    <a:p>
      <a:pPr>
        <a:defRPr sz="80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98445974507974"/>
          <c:y val="9.951768603666257E-2"/>
          <c:w val="0.8424439199598357"/>
          <c:h val="0.79783236576163274"/>
        </c:manualLayout>
      </c:layout>
      <c:scatterChart>
        <c:scatterStyle val="lineMarker"/>
        <c:varyColors val="0"/>
        <c:ser>
          <c:idx val="0"/>
          <c:order val="0"/>
          <c:tx>
            <c:strRef>
              <c:f>'Заработная плата'!$A$4</c:f>
              <c:strCache>
                <c:ptCount val="1"/>
                <c:pt idx="0">
                  <c:v>Алексеевский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плата'!$D$4</c:f>
              <c:numCache>
                <c:formatCode>0.0</c:formatCode>
                <c:ptCount val="1"/>
                <c:pt idx="0">
                  <c:v>5.8232673200595784</c:v>
                </c:pt>
              </c:numCache>
            </c:numRef>
          </c:xVal>
          <c:yVal>
            <c:numRef>
              <c:f>'Заработная плата'!$B$4</c:f>
              <c:numCache>
                <c:formatCode>0</c:formatCode>
                <c:ptCount val="1"/>
                <c:pt idx="0">
                  <c:v>20559.400000000001</c:v>
                </c:pt>
              </c:numCache>
            </c:numRef>
          </c:yVal>
          <c:smooth val="0"/>
        </c:ser>
        <c:ser>
          <c:idx val="1"/>
          <c:order val="1"/>
          <c:tx>
            <c:strRef>
              <c:f>'Заработная плата'!$A$5</c:f>
              <c:strCache>
                <c:ptCount val="1"/>
                <c:pt idx="0">
                  <c:v>Безенчукский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плата'!$D$5</c:f>
              <c:numCache>
                <c:formatCode>0.0</c:formatCode>
                <c:ptCount val="1"/>
                <c:pt idx="0">
                  <c:v>8.7385939820359475</c:v>
                </c:pt>
              </c:numCache>
            </c:numRef>
          </c:xVal>
          <c:yVal>
            <c:numRef>
              <c:f>'Заработная плата'!$B$5</c:f>
              <c:numCache>
                <c:formatCode>0</c:formatCode>
                <c:ptCount val="1"/>
                <c:pt idx="0">
                  <c:v>26044.6</c:v>
                </c:pt>
              </c:numCache>
            </c:numRef>
          </c:yVal>
          <c:smooth val="0"/>
        </c:ser>
        <c:ser>
          <c:idx val="2"/>
          <c:order val="2"/>
          <c:tx>
            <c:strRef>
              <c:f>'Заработная плата'!$A$6</c:f>
              <c:strCache>
                <c:ptCount val="1"/>
                <c:pt idx="0">
                  <c:v>Богатовский </c:v>
                </c:pt>
              </c:strCache>
            </c:strRef>
          </c:tx>
          <c:spPr>
            <a:ln w="47625">
              <a:noFill/>
            </a:ln>
          </c:spPr>
          <c:marker>
            <c:symbol val="circle"/>
            <c:size val="6"/>
            <c:spPr>
              <a:solidFill>
                <a:srgbClr val="4F81BD">
                  <a:lumMod val="50000"/>
                </a:srgbClr>
              </a:solidFill>
              <a:ln>
                <a:noFill/>
              </a:ln>
            </c:spPr>
          </c:marker>
          <c:dLbls>
            <c:dLbl>
              <c:idx val="0"/>
              <c:layout>
                <c:manualLayout>
                  <c:x val="-6.2125305516484812E-2"/>
                  <c:y val="-3.148934763417784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плата'!$D$6</c:f>
              <c:numCache>
                <c:formatCode>0.0</c:formatCode>
                <c:ptCount val="1"/>
                <c:pt idx="0">
                  <c:v>11.780636086607382</c:v>
                </c:pt>
              </c:numCache>
            </c:numRef>
          </c:xVal>
          <c:yVal>
            <c:numRef>
              <c:f>'Заработная плата'!$B$6</c:f>
              <c:numCache>
                <c:formatCode>0</c:formatCode>
                <c:ptCount val="1"/>
                <c:pt idx="0">
                  <c:v>27740.2</c:v>
                </c:pt>
              </c:numCache>
            </c:numRef>
          </c:yVal>
          <c:smooth val="0"/>
        </c:ser>
        <c:ser>
          <c:idx val="3"/>
          <c:order val="3"/>
          <c:tx>
            <c:strRef>
              <c:f>'Заработная плата'!$A$7</c:f>
              <c:strCache>
                <c:ptCount val="1"/>
                <c:pt idx="0">
                  <c:v>Большеглушицкий </c:v>
                </c:pt>
              </c:strCache>
            </c:strRef>
          </c:tx>
          <c:spPr>
            <a:ln w="47625">
              <a:noFill/>
            </a:ln>
          </c:spPr>
          <c:marker>
            <c:symbol val="circle"/>
            <c:size val="6"/>
            <c:spPr>
              <a:solidFill>
                <a:srgbClr val="4F81BD">
                  <a:lumMod val="50000"/>
                </a:srgbClr>
              </a:solidFill>
              <a:ln>
                <a:noFill/>
              </a:ln>
            </c:spPr>
          </c:marker>
          <c:dLbls>
            <c:dLbl>
              <c:idx val="0"/>
              <c:layout>
                <c:manualLayout>
                  <c:x val="-3.8075390876860682E-2"/>
                  <c:y val="-3.816281094048593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плата'!$D$7</c:f>
              <c:numCache>
                <c:formatCode>0.0</c:formatCode>
                <c:ptCount val="1"/>
                <c:pt idx="0">
                  <c:v>7.7276778898828464</c:v>
                </c:pt>
              </c:numCache>
            </c:numRef>
          </c:xVal>
          <c:yVal>
            <c:numRef>
              <c:f>'Заработная плата'!$B$7</c:f>
              <c:numCache>
                <c:formatCode>0</c:formatCode>
                <c:ptCount val="1"/>
                <c:pt idx="0">
                  <c:v>24319.9</c:v>
                </c:pt>
              </c:numCache>
            </c:numRef>
          </c:yVal>
          <c:smooth val="0"/>
        </c:ser>
        <c:ser>
          <c:idx val="4"/>
          <c:order val="4"/>
          <c:tx>
            <c:strRef>
              <c:f>'Заработная плата'!$A$8</c:f>
              <c:strCache>
                <c:ptCount val="1"/>
                <c:pt idx="0">
                  <c:v>Большечерниговский </c:v>
                </c:pt>
              </c:strCache>
            </c:strRef>
          </c:tx>
          <c:spPr>
            <a:ln w="47625">
              <a:noFill/>
            </a:ln>
          </c:spPr>
          <c:marker>
            <c:symbol val="circle"/>
            <c:size val="6"/>
            <c:spPr>
              <a:solidFill>
                <a:srgbClr val="4F81BD">
                  <a:lumMod val="50000"/>
                </a:srgbClr>
              </a:solidFill>
              <a:ln>
                <a:noFill/>
              </a:ln>
            </c:spPr>
          </c:marker>
          <c:dLbls>
            <c:dLbl>
              <c:idx val="0"/>
              <c:layout>
                <c:manualLayout>
                  <c:x val="-6.4832140649023649E-3"/>
                  <c:y val="-2.618125819790777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плата'!$D$8</c:f>
              <c:numCache>
                <c:formatCode>0.0</c:formatCode>
                <c:ptCount val="1"/>
                <c:pt idx="0">
                  <c:v>7.5712812606021824</c:v>
                </c:pt>
              </c:numCache>
            </c:numRef>
          </c:xVal>
          <c:yVal>
            <c:numRef>
              <c:f>'Заработная плата'!$B$8</c:f>
              <c:numCache>
                <c:formatCode>0</c:formatCode>
                <c:ptCount val="1"/>
                <c:pt idx="0">
                  <c:v>22329.8</c:v>
                </c:pt>
              </c:numCache>
            </c:numRef>
          </c:yVal>
          <c:smooth val="0"/>
        </c:ser>
        <c:ser>
          <c:idx val="5"/>
          <c:order val="5"/>
          <c:tx>
            <c:strRef>
              <c:f>'Заработная плата'!$A$9</c:f>
              <c:strCache>
                <c:ptCount val="1"/>
                <c:pt idx="0">
                  <c:v>Борский </c:v>
                </c:pt>
              </c:strCache>
            </c:strRef>
          </c:tx>
          <c:spPr>
            <a:ln w="47625">
              <a:noFill/>
            </a:ln>
          </c:spPr>
          <c:marker>
            <c:symbol val="circle"/>
            <c:size val="6"/>
            <c:spPr>
              <a:solidFill>
                <a:srgbClr val="4F81BD">
                  <a:lumMod val="50000"/>
                </a:srgbClr>
              </a:solidFill>
              <a:ln>
                <a:noFill/>
              </a:ln>
            </c:spPr>
          </c:marker>
          <c:dLbls>
            <c:dLbl>
              <c:idx val="0"/>
              <c:layout>
                <c:manualLayout>
                  <c:x val="3.9682533482918812E-3"/>
                  <c:y val="-3.1539513173955465E-4"/>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'Заработная плата'!$D$9</c:f>
              <c:numCache>
                <c:formatCode>0.0</c:formatCode>
                <c:ptCount val="1"/>
                <c:pt idx="0">
                  <c:v>8.2315498828870357</c:v>
                </c:pt>
              </c:numCache>
            </c:numRef>
          </c:xVal>
          <c:yVal>
            <c:numRef>
              <c:f>'Заработная плата'!$B$9</c:f>
              <c:numCache>
                <c:formatCode>0</c:formatCode>
                <c:ptCount val="1"/>
                <c:pt idx="0">
                  <c:v>20885.5</c:v>
                </c:pt>
              </c:numCache>
            </c:numRef>
          </c:yVal>
          <c:smooth val="0"/>
        </c:ser>
        <c:ser>
          <c:idx val="6"/>
          <c:order val="6"/>
          <c:tx>
            <c:strRef>
              <c:f>'Заработная плата'!$A$10</c:f>
              <c:strCache>
                <c:ptCount val="1"/>
                <c:pt idx="0">
                  <c:v>Волжский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плата'!$D$10</c:f>
              <c:numCache>
                <c:formatCode>0.0</c:formatCode>
                <c:ptCount val="1"/>
                <c:pt idx="0">
                  <c:v>8.3132607201486195</c:v>
                </c:pt>
              </c:numCache>
            </c:numRef>
          </c:xVal>
          <c:yVal>
            <c:numRef>
              <c:f>'Заработная плата'!$B$10</c:f>
              <c:numCache>
                <c:formatCode>0</c:formatCode>
                <c:ptCount val="1"/>
                <c:pt idx="0">
                  <c:v>30470.5</c:v>
                </c:pt>
              </c:numCache>
            </c:numRef>
          </c:yVal>
          <c:smooth val="0"/>
        </c:ser>
        <c:ser>
          <c:idx val="7"/>
          <c:order val="7"/>
          <c:tx>
            <c:strRef>
              <c:f>'Заработная плата'!$A$11</c:f>
              <c:strCache>
                <c:ptCount val="1"/>
                <c:pt idx="0">
                  <c:v>Елховский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плата'!$D$11</c:f>
              <c:numCache>
                <c:formatCode>0.0</c:formatCode>
                <c:ptCount val="1"/>
                <c:pt idx="0">
                  <c:v>5.7471750010826383</c:v>
                </c:pt>
              </c:numCache>
            </c:numRef>
          </c:xVal>
          <c:yVal>
            <c:numRef>
              <c:f>'Заработная плата'!$B$11</c:f>
              <c:numCache>
                <c:formatCode>0</c:formatCode>
                <c:ptCount val="1"/>
                <c:pt idx="0">
                  <c:v>23758.6</c:v>
                </c:pt>
              </c:numCache>
            </c:numRef>
          </c:yVal>
          <c:smooth val="0"/>
        </c:ser>
        <c:ser>
          <c:idx val="8"/>
          <c:order val="8"/>
          <c:tx>
            <c:strRef>
              <c:f>'Заработная плата'!$A$12</c:f>
              <c:strCache>
                <c:ptCount val="1"/>
                <c:pt idx="0">
                  <c:v>Исаклинский </c:v>
                </c:pt>
              </c:strCache>
            </c:strRef>
          </c:tx>
          <c:spPr>
            <a:ln w="47625">
              <a:noFill/>
            </a:ln>
          </c:spPr>
          <c:marker>
            <c:symbol val="circle"/>
            <c:size val="6"/>
            <c:spPr>
              <a:solidFill>
                <a:srgbClr val="4F81BD">
                  <a:lumMod val="50000"/>
                </a:srgbClr>
              </a:solidFill>
              <a:ln>
                <a:noFill/>
              </a:ln>
            </c:spPr>
          </c:marker>
          <c:dLbls>
            <c:dLbl>
              <c:idx val="0"/>
              <c:layout>
                <c:manualLayout>
                  <c:x val="2.6735716357999652E-3"/>
                  <c:y val="2.838556185656094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плата'!$D$12</c:f>
              <c:numCache>
                <c:formatCode>0.0</c:formatCode>
                <c:ptCount val="1"/>
                <c:pt idx="0">
                  <c:v>6.1607813962574927</c:v>
                </c:pt>
              </c:numCache>
            </c:numRef>
          </c:xVal>
          <c:yVal>
            <c:numRef>
              <c:f>'Заработная плата'!$B$12</c:f>
              <c:numCache>
                <c:formatCode>0</c:formatCode>
                <c:ptCount val="1"/>
                <c:pt idx="0">
                  <c:v>19305.099999999948</c:v>
                </c:pt>
              </c:numCache>
            </c:numRef>
          </c:yVal>
          <c:smooth val="0"/>
        </c:ser>
        <c:ser>
          <c:idx val="9"/>
          <c:order val="9"/>
          <c:tx>
            <c:strRef>
              <c:f>'Заработная плата'!$A$13</c:f>
              <c:strCache>
                <c:ptCount val="1"/>
                <c:pt idx="0">
                  <c:v>Камышлинский </c:v>
                </c:pt>
              </c:strCache>
            </c:strRef>
          </c:tx>
          <c:spPr>
            <a:ln w="47625">
              <a:noFill/>
            </a:ln>
          </c:spPr>
          <c:marker>
            <c:symbol val="circle"/>
            <c:size val="6"/>
            <c:spPr>
              <a:solidFill>
                <a:srgbClr val="FF0000"/>
              </a:solidFill>
              <a:ln>
                <a:noFill/>
              </a:ln>
            </c:spPr>
          </c:marker>
          <c:dLbls>
            <c:dLbl>
              <c:idx val="0"/>
              <c:layout>
                <c:manualLayout>
                  <c:x val="-6.9573863529044294E-2"/>
                  <c:y val="1.9559269756287537E-2"/>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'Заработная плата'!$D$13</c:f>
              <c:numCache>
                <c:formatCode>0.0</c:formatCode>
                <c:ptCount val="1"/>
                <c:pt idx="0">
                  <c:v>7.0178690671149457</c:v>
                </c:pt>
              </c:numCache>
            </c:numRef>
          </c:xVal>
          <c:yVal>
            <c:numRef>
              <c:f>'Заработная плата'!$B$13</c:f>
              <c:numCache>
                <c:formatCode>0</c:formatCode>
                <c:ptCount val="1"/>
                <c:pt idx="0">
                  <c:v>21407.200000000001</c:v>
                </c:pt>
              </c:numCache>
            </c:numRef>
          </c:yVal>
          <c:smooth val="0"/>
        </c:ser>
        <c:ser>
          <c:idx val="10"/>
          <c:order val="10"/>
          <c:tx>
            <c:strRef>
              <c:f>'Заработная плата'!$A$14</c:f>
              <c:strCache>
                <c:ptCount val="1"/>
                <c:pt idx="0">
                  <c:v>Кинельский </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'Заработная плата'!$D$14</c:f>
              <c:numCache>
                <c:formatCode>0.0</c:formatCode>
                <c:ptCount val="1"/>
                <c:pt idx="0">
                  <c:v>5.9968118404630344</c:v>
                </c:pt>
              </c:numCache>
            </c:numRef>
          </c:xVal>
          <c:yVal>
            <c:numRef>
              <c:f>'Заработная плата'!$B$14</c:f>
              <c:numCache>
                <c:formatCode>0</c:formatCode>
                <c:ptCount val="1"/>
                <c:pt idx="0">
                  <c:v>35166.1</c:v>
                </c:pt>
              </c:numCache>
            </c:numRef>
          </c:yVal>
          <c:smooth val="0"/>
        </c:ser>
        <c:ser>
          <c:idx val="11"/>
          <c:order val="11"/>
          <c:tx>
            <c:strRef>
              <c:f>'Заработная плата'!$A$15</c:f>
              <c:strCache>
                <c:ptCount val="1"/>
                <c:pt idx="0">
                  <c:v>Кинель-Черкасский </c:v>
                </c:pt>
              </c:strCache>
            </c:strRef>
          </c:tx>
          <c:spPr>
            <a:ln w="47625">
              <a:noFill/>
            </a:ln>
          </c:spPr>
          <c:marker>
            <c:symbol val="circle"/>
            <c:size val="6"/>
            <c:spPr>
              <a:solidFill>
                <a:srgbClr val="4F81BD">
                  <a:lumMod val="50000"/>
                </a:srgbClr>
              </a:solidFill>
              <a:ln>
                <a:noFill/>
              </a:ln>
            </c:spPr>
          </c:marker>
          <c:dLbls>
            <c:dLbl>
              <c:idx val="0"/>
              <c:layout>
                <c:manualLayout>
                  <c:x val="-0.1145634741651867"/>
                  <c:y val="-3.500885962309040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trendline>
            <c:trendlineType val="linear"/>
            <c:dispRSqr val="0"/>
            <c:dispEq val="0"/>
          </c:trendline>
          <c:xVal>
            <c:numRef>
              <c:f>'Заработная плата'!$D$15</c:f>
              <c:numCache>
                <c:formatCode>0.0</c:formatCode>
                <c:ptCount val="1"/>
                <c:pt idx="0">
                  <c:v>7.4310425444373953</c:v>
                </c:pt>
              </c:numCache>
            </c:numRef>
          </c:xVal>
          <c:yVal>
            <c:numRef>
              <c:f>'Заработная плата'!$B$15</c:f>
              <c:numCache>
                <c:formatCode>0</c:formatCode>
                <c:ptCount val="1"/>
                <c:pt idx="0">
                  <c:v>24620.6</c:v>
                </c:pt>
              </c:numCache>
            </c:numRef>
          </c:yVal>
          <c:smooth val="0"/>
        </c:ser>
        <c:ser>
          <c:idx val="12"/>
          <c:order val="12"/>
          <c:tx>
            <c:strRef>
              <c:f>'Заработная плата'!$A$16</c:f>
              <c:strCache>
                <c:ptCount val="1"/>
                <c:pt idx="0">
                  <c:v>Клявлинский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плата'!$D$16</c:f>
              <c:numCache>
                <c:formatCode>0.0</c:formatCode>
                <c:ptCount val="1"/>
                <c:pt idx="0">
                  <c:v>10.790807800919167</c:v>
                </c:pt>
              </c:numCache>
            </c:numRef>
          </c:xVal>
          <c:yVal>
            <c:numRef>
              <c:f>'Заработная плата'!$B$16</c:f>
              <c:numCache>
                <c:formatCode>0</c:formatCode>
                <c:ptCount val="1"/>
                <c:pt idx="0">
                  <c:v>22433.4</c:v>
                </c:pt>
              </c:numCache>
            </c:numRef>
          </c:yVal>
          <c:smooth val="0"/>
        </c:ser>
        <c:ser>
          <c:idx val="13"/>
          <c:order val="13"/>
          <c:tx>
            <c:strRef>
              <c:f>'Заработная плата'!$A$17</c:f>
              <c:strCache>
                <c:ptCount val="1"/>
                <c:pt idx="0">
                  <c:v>Кошкинский </c:v>
                </c:pt>
              </c:strCache>
            </c:strRef>
          </c:tx>
          <c:spPr>
            <a:ln w="47625">
              <a:noFill/>
            </a:ln>
          </c:spPr>
          <c:marker>
            <c:symbol val="circle"/>
            <c:size val="6"/>
            <c:spPr>
              <a:solidFill>
                <a:srgbClr val="4F81BD">
                  <a:lumMod val="50000"/>
                </a:srgbClr>
              </a:solidFill>
              <a:ln>
                <a:noFill/>
              </a:ln>
            </c:spPr>
          </c:marker>
          <c:dLbls>
            <c:dLbl>
              <c:idx val="0"/>
              <c:layout>
                <c:manualLayout>
                  <c:x val="-1.9841266741459401E-3"/>
                  <c:y val="-3.4693464491350849E-3"/>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'Заработная плата'!$D$17</c:f>
              <c:numCache>
                <c:formatCode>0.0</c:formatCode>
                <c:ptCount val="1"/>
                <c:pt idx="0">
                  <c:v>7.777282098885796</c:v>
                </c:pt>
              </c:numCache>
            </c:numRef>
          </c:xVal>
          <c:yVal>
            <c:numRef>
              <c:f>'Заработная плата'!$B$17</c:f>
              <c:numCache>
                <c:formatCode>0</c:formatCode>
                <c:ptCount val="1"/>
                <c:pt idx="0">
                  <c:v>23602.6</c:v>
                </c:pt>
              </c:numCache>
            </c:numRef>
          </c:yVal>
          <c:smooth val="0"/>
        </c:ser>
        <c:ser>
          <c:idx val="14"/>
          <c:order val="14"/>
          <c:tx>
            <c:strRef>
              <c:f>'Заработная плата'!$A$18</c:f>
              <c:strCache>
                <c:ptCount val="1"/>
                <c:pt idx="0">
                  <c:v>Красноармейский </c:v>
                </c:pt>
              </c:strCache>
            </c:strRef>
          </c:tx>
          <c:spPr>
            <a:ln w="47625">
              <a:noFill/>
            </a:ln>
          </c:spPr>
          <c:marker>
            <c:symbol val="circle"/>
            <c:size val="6"/>
            <c:spPr>
              <a:solidFill>
                <a:srgbClr val="4F81BD">
                  <a:lumMod val="50000"/>
                </a:srgbClr>
              </a:solidFill>
              <a:ln>
                <a:noFill/>
              </a:ln>
            </c:spPr>
          </c:marker>
          <c:dLbls>
            <c:dLbl>
              <c:idx val="0"/>
              <c:layout>
                <c:manualLayout>
                  <c:x val="-6.3447478867262611E-2"/>
                  <c:y val="3.4695243337133606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плата'!$D$18</c:f>
              <c:numCache>
                <c:formatCode>0.0</c:formatCode>
                <c:ptCount val="1"/>
                <c:pt idx="0">
                  <c:v>9.612958716250148</c:v>
                </c:pt>
              </c:numCache>
            </c:numRef>
          </c:xVal>
          <c:yVal>
            <c:numRef>
              <c:f>'Заработная плата'!$B$18</c:f>
              <c:numCache>
                <c:formatCode>0</c:formatCode>
                <c:ptCount val="1"/>
                <c:pt idx="0">
                  <c:v>23109</c:v>
                </c:pt>
              </c:numCache>
            </c:numRef>
          </c:yVal>
          <c:smooth val="0"/>
        </c:ser>
        <c:ser>
          <c:idx val="15"/>
          <c:order val="15"/>
          <c:tx>
            <c:strRef>
              <c:f>'Заработная плата'!$A$19</c:f>
              <c:strCache>
                <c:ptCount val="1"/>
                <c:pt idx="0">
                  <c:v>Красноярский </c:v>
                </c:pt>
              </c:strCache>
            </c:strRef>
          </c:tx>
          <c:spPr>
            <a:ln w="47625">
              <a:noFill/>
            </a:ln>
          </c:spPr>
          <c:marker>
            <c:symbol val="circle"/>
            <c:size val="6"/>
            <c:spPr>
              <a:solidFill>
                <a:srgbClr val="4F81BD">
                  <a:lumMod val="50000"/>
                </a:srgbClr>
              </a:solidFill>
              <a:ln>
                <a:noFill/>
              </a:ln>
            </c:spPr>
          </c:marker>
          <c:dLbls>
            <c:dLbl>
              <c:idx val="0"/>
              <c:layout>
                <c:manualLayout>
                  <c:x val="-2.437788595814127E-2"/>
                  <c:y val="3.65957283316118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плата'!$D$19</c:f>
              <c:numCache>
                <c:formatCode>0.0</c:formatCode>
                <c:ptCount val="1"/>
                <c:pt idx="0">
                  <c:v>4.6761550251908535</c:v>
                </c:pt>
              </c:numCache>
            </c:numRef>
          </c:xVal>
          <c:yVal>
            <c:numRef>
              <c:f>'Заработная плата'!$B$19</c:f>
              <c:numCache>
                <c:formatCode>0</c:formatCode>
                <c:ptCount val="1"/>
                <c:pt idx="0">
                  <c:v>24006.400000000001</c:v>
                </c:pt>
              </c:numCache>
            </c:numRef>
          </c:yVal>
          <c:smooth val="0"/>
        </c:ser>
        <c:ser>
          <c:idx val="16"/>
          <c:order val="16"/>
          <c:tx>
            <c:strRef>
              <c:f>'Заработная плата'!$A$20</c:f>
              <c:strCache>
                <c:ptCount val="1"/>
                <c:pt idx="0">
                  <c:v>Нефтегорский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плата'!$D$20</c:f>
              <c:numCache>
                <c:formatCode>0.0</c:formatCode>
                <c:ptCount val="1"/>
                <c:pt idx="0">
                  <c:v>8.9661143207985905</c:v>
                </c:pt>
              </c:numCache>
            </c:numRef>
          </c:xVal>
          <c:yVal>
            <c:numRef>
              <c:f>'Заработная плата'!$B$20</c:f>
              <c:numCache>
                <c:formatCode>0</c:formatCode>
                <c:ptCount val="1"/>
                <c:pt idx="0">
                  <c:v>28894.400000000001</c:v>
                </c:pt>
              </c:numCache>
            </c:numRef>
          </c:yVal>
          <c:smooth val="0"/>
        </c:ser>
        <c:ser>
          <c:idx val="17"/>
          <c:order val="17"/>
          <c:tx>
            <c:strRef>
              <c:f>'Заработная плата'!$A$21</c:f>
              <c:strCache>
                <c:ptCount val="1"/>
                <c:pt idx="0">
                  <c:v>Пестравский </c:v>
                </c:pt>
              </c:strCache>
            </c:strRef>
          </c:tx>
          <c:spPr>
            <a:ln w="47625">
              <a:noFill/>
            </a:ln>
          </c:spPr>
          <c:marker>
            <c:symbol val="circle"/>
            <c:size val="6"/>
            <c:spPr>
              <a:solidFill>
                <a:srgbClr val="4F81BD">
                  <a:lumMod val="50000"/>
                </a:srgbClr>
              </a:solidFill>
              <a:ln>
                <a:noFill/>
              </a:ln>
            </c:spPr>
          </c:marker>
          <c:dLbls>
            <c:dLbl>
              <c:idx val="0"/>
              <c:layout>
                <c:manualLayout>
                  <c:x val="-9.9552570242033719E-2"/>
                  <c:y val="-2.9652078113775428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плата'!$D$21</c:f>
              <c:numCache>
                <c:formatCode>0.0</c:formatCode>
                <c:ptCount val="1"/>
                <c:pt idx="0">
                  <c:v>7.3557536619470705</c:v>
                </c:pt>
              </c:numCache>
            </c:numRef>
          </c:xVal>
          <c:yVal>
            <c:numRef>
              <c:f>'Заработная плата'!$B$21</c:f>
              <c:numCache>
                <c:formatCode>0</c:formatCode>
                <c:ptCount val="1"/>
                <c:pt idx="0">
                  <c:v>22110.6</c:v>
                </c:pt>
              </c:numCache>
            </c:numRef>
          </c:yVal>
          <c:smooth val="0"/>
        </c:ser>
        <c:ser>
          <c:idx val="18"/>
          <c:order val="18"/>
          <c:tx>
            <c:strRef>
              <c:f>'Заработная плата'!$A$22</c:f>
              <c:strCache>
                <c:ptCount val="1"/>
                <c:pt idx="0">
                  <c:v>Похвистневский </c:v>
                </c:pt>
              </c:strCache>
            </c:strRef>
          </c:tx>
          <c:spPr>
            <a:ln w="47625">
              <a:noFill/>
            </a:ln>
          </c:spPr>
          <c:marker>
            <c:symbol val="circle"/>
            <c:size val="6"/>
            <c:spPr>
              <a:solidFill>
                <a:srgbClr val="4F81BD">
                  <a:lumMod val="50000"/>
                </a:srgbClr>
              </a:solidFill>
              <a:ln>
                <a:noFill/>
              </a:ln>
            </c:spPr>
          </c:marker>
          <c:dLbls>
            <c:dLbl>
              <c:idx val="0"/>
              <c:layout>
                <c:manualLayout>
                  <c:x val="-5.9634734900907947E-3"/>
                  <c:y val="-6.6232977665306291E-3"/>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'Заработная плата'!$D$22</c:f>
              <c:numCache>
                <c:formatCode>0.0</c:formatCode>
                <c:ptCount val="1"/>
                <c:pt idx="0">
                  <c:v>7.7386374862026477</c:v>
                </c:pt>
              </c:numCache>
            </c:numRef>
          </c:xVal>
          <c:yVal>
            <c:numRef>
              <c:f>'Заработная плата'!$B$22</c:f>
              <c:numCache>
                <c:formatCode>0</c:formatCode>
                <c:ptCount val="1"/>
                <c:pt idx="0">
                  <c:v>21887.3</c:v>
                </c:pt>
              </c:numCache>
            </c:numRef>
          </c:yVal>
          <c:smooth val="0"/>
        </c:ser>
        <c:ser>
          <c:idx val="19"/>
          <c:order val="19"/>
          <c:tx>
            <c:strRef>
              <c:f>'Заработная плата'!$A$23</c:f>
              <c:strCache>
                <c:ptCount val="1"/>
                <c:pt idx="0">
                  <c:v>Приволжский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плата'!$D$23</c:f>
              <c:numCache>
                <c:formatCode>0.0</c:formatCode>
                <c:ptCount val="1"/>
                <c:pt idx="0">
                  <c:v>9.6839055573607524</c:v>
                </c:pt>
              </c:numCache>
            </c:numRef>
          </c:xVal>
          <c:yVal>
            <c:numRef>
              <c:f>'Заработная плата'!$B$23</c:f>
              <c:numCache>
                <c:formatCode>0</c:formatCode>
                <c:ptCount val="1"/>
                <c:pt idx="0">
                  <c:v>20417.400000000001</c:v>
                </c:pt>
              </c:numCache>
            </c:numRef>
          </c:yVal>
          <c:smooth val="0"/>
        </c:ser>
        <c:ser>
          <c:idx val="20"/>
          <c:order val="20"/>
          <c:tx>
            <c:strRef>
              <c:f>'Заработная плата'!$A$24</c:f>
              <c:strCache>
                <c:ptCount val="1"/>
                <c:pt idx="0">
                  <c:v>Сергиевский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плата'!$D$24</c:f>
              <c:numCache>
                <c:formatCode>0.0</c:formatCode>
                <c:ptCount val="1"/>
                <c:pt idx="0">
                  <c:v>11.516037796840029</c:v>
                </c:pt>
              </c:numCache>
            </c:numRef>
          </c:xVal>
          <c:yVal>
            <c:numRef>
              <c:f>'Заработная плата'!$B$24</c:f>
              <c:numCache>
                <c:formatCode>0</c:formatCode>
                <c:ptCount val="1"/>
                <c:pt idx="0">
                  <c:v>29842.7</c:v>
                </c:pt>
              </c:numCache>
            </c:numRef>
          </c:yVal>
          <c:smooth val="0"/>
        </c:ser>
        <c:ser>
          <c:idx val="21"/>
          <c:order val="21"/>
          <c:tx>
            <c:strRef>
              <c:f>'Заработная плата'!$A$25</c:f>
              <c:strCache>
                <c:ptCount val="1"/>
                <c:pt idx="0">
                  <c:v>Ставропольский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плата'!$D$25</c:f>
              <c:numCache>
                <c:formatCode>0.0</c:formatCode>
                <c:ptCount val="1"/>
                <c:pt idx="0">
                  <c:v>6.8546019344895015</c:v>
                </c:pt>
              </c:numCache>
            </c:numRef>
          </c:xVal>
          <c:yVal>
            <c:numRef>
              <c:f>'Заработная плата'!$B$25</c:f>
              <c:numCache>
                <c:formatCode>0</c:formatCode>
                <c:ptCount val="1"/>
                <c:pt idx="0">
                  <c:v>27857.9</c:v>
                </c:pt>
              </c:numCache>
            </c:numRef>
          </c:yVal>
          <c:smooth val="0"/>
        </c:ser>
        <c:ser>
          <c:idx val="22"/>
          <c:order val="22"/>
          <c:tx>
            <c:strRef>
              <c:f>'Заработная плата'!$A$26</c:f>
              <c:strCache>
                <c:ptCount val="1"/>
                <c:pt idx="0">
                  <c:v>Сызранский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плата'!$D$26</c:f>
              <c:numCache>
                <c:formatCode>0.0</c:formatCode>
                <c:ptCount val="1"/>
                <c:pt idx="0">
                  <c:v>6.6480361382170265</c:v>
                </c:pt>
              </c:numCache>
            </c:numRef>
          </c:xVal>
          <c:yVal>
            <c:numRef>
              <c:f>'Заработная плата'!$B$26</c:f>
              <c:numCache>
                <c:formatCode>0</c:formatCode>
                <c:ptCount val="1"/>
                <c:pt idx="0">
                  <c:v>23332.3</c:v>
                </c:pt>
              </c:numCache>
            </c:numRef>
          </c:yVal>
          <c:smooth val="0"/>
        </c:ser>
        <c:ser>
          <c:idx val="23"/>
          <c:order val="23"/>
          <c:tx>
            <c:strRef>
              <c:f>'Заработная плата'!$A$27</c:f>
              <c:strCache>
                <c:ptCount val="1"/>
                <c:pt idx="0">
                  <c:v>Хворостянский</c:v>
                </c:pt>
              </c:strCache>
            </c:strRef>
          </c:tx>
          <c:spPr>
            <a:ln w="47625">
              <a:noFill/>
            </a:ln>
          </c:spPr>
          <c:marker>
            <c:symbol val="circle"/>
            <c:size val="6"/>
            <c:spPr>
              <a:solidFill>
                <a:srgbClr val="4F81BD">
                  <a:lumMod val="50000"/>
                </a:srgbClr>
              </a:solidFill>
              <a:ln>
                <a:noFill/>
              </a:ln>
            </c:spPr>
          </c:marker>
          <c:dLbls>
            <c:dLbl>
              <c:idx val="0"/>
              <c:layout>
                <c:manualLayout>
                  <c:x val="-4.4196499781824342E-2"/>
                  <c:y val="-3.185490830569488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плата'!$D$27</c:f>
              <c:numCache>
                <c:formatCode>0.0</c:formatCode>
                <c:ptCount val="1"/>
                <c:pt idx="0">
                  <c:v>9.8046043585422087</c:v>
                </c:pt>
              </c:numCache>
            </c:numRef>
          </c:xVal>
          <c:yVal>
            <c:numRef>
              <c:f>'Заработная плата'!$B$27</c:f>
              <c:numCache>
                <c:formatCode>0</c:formatCode>
                <c:ptCount val="1"/>
                <c:pt idx="0">
                  <c:v>22985.1</c:v>
                </c:pt>
              </c:numCache>
            </c:numRef>
          </c:yVal>
          <c:smooth val="0"/>
        </c:ser>
        <c:ser>
          <c:idx val="24"/>
          <c:order val="24"/>
          <c:tx>
            <c:strRef>
              <c:f>'Заработная плата'!$A$28</c:f>
              <c:strCache>
                <c:ptCount val="1"/>
                <c:pt idx="0">
                  <c:v>Челно-Вершинский </c:v>
                </c:pt>
              </c:strCache>
            </c:strRef>
          </c:tx>
          <c:spPr>
            <a:ln w="47625">
              <a:noFill/>
            </a:ln>
          </c:spPr>
          <c:marker>
            <c:symbol val="circle"/>
            <c:size val="6"/>
            <c:spPr>
              <a:solidFill>
                <a:srgbClr val="4F81BD">
                  <a:lumMod val="50000"/>
                </a:srgbClr>
              </a:solidFill>
              <a:ln>
                <a:noFill/>
              </a:ln>
            </c:spPr>
          </c:marker>
          <c:dLbls>
            <c:dLbl>
              <c:idx val="0"/>
              <c:layout>
                <c:manualLayout>
                  <c:x val="-3.2589671198964085E-3"/>
                  <c:y val="-3.4693464491350849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плата'!$D$28</c:f>
              <c:numCache>
                <c:formatCode>0.0</c:formatCode>
                <c:ptCount val="1"/>
                <c:pt idx="0">
                  <c:v>7.7063270633451104</c:v>
                </c:pt>
              </c:numCache>
            </c:numRef>
          </c:xVal>
          <c:yVal>
            <c:numRef>
              <c:f>'Заработная плата'!$B$28</c:f>
              <c:numCache>
                <c:formatCode>0</c:formatCode>
                <c:ptCount val="1"/>
                <c:pt idx="0">
                  <c:v>21318.1</c:v>
                </c:pt>
              </c:numCache>
            </c:numRef>
          </c:yVal>
          <c:smooth val="0"/>
        </c:ser>
        <c:ser>
          <c:idx val="25"/>
          <c:order val="25"/>
          <c:tx>
            <c:strRef>
              <c:f>'Заработная плата'!$A$29</c:f>
              <c:strCache>
                <c:ptCount val="1"/>
                <c:pt idx="0">
                  <c:v>Шенталинский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плата'!$D$29</c:f>
              <c:numCache>
                <c:formatCode>0.0</c:formatCode>
                <c:ptCount val="1"/>
                <c:pt idx="0">
                  <c:v>6.4001418733043804</c:v>
                </c:pt>
              </c:numCache>
            </c:numRef>
          </c:xVal>
          <c:yVal>
            <c:numRef>
              <c:f>'Заработная плата'!$B$29</c:f>
              <c:numCache>
                <c:formatCode>0</c:formatCode>
                <c:ptCount val="1"/>
                <c:pt idx="0">
                  <c:v>21594.9</c:v>
                </c:pt>
              </c:numCache>
            </c:numRef>
          </c:yVal>
          <c:smooth val="0"/>
        </c:ser>
        <c:ser>
          <c:idx val="26"/>
          <c:order val="26"/>
          <c:tx>
            <c:strRef>
              <c:f>'Заработная плата'!$A$30</c:f>
              <c:strCache>
                <c:ptCount val="1"/>
                <c:pt idx="0">
                  <c:v>Шигонский </c:v>
                </c:pt>
              </c:strCache>
            </c:strRef>
          </c:tx>
          <c:spPr>
            <a:ln w="47625">
              <a:noFill/>
            </a:ln>
          </c:spPr>
          <c:marker>
            <c:symbol val="circle"/>
            <c:size val="6"/>
            <c:spPr>
              <a:solidFill>
                <a:schemeClr val="tx2">
                  <a:lumMod val="75000"/>
                </a:schemeClr>
              </a:solidFill>
              <a:ln>
                <a:noFill/>
              </a:ln>
            </c:spPr>
          </c:marker>
          <c:dLbls>
            <c:dLbl>
              <c:idx val="0"/>
              <c:layout>
                <c:manualLayout>
                  <c:x val="-1.9196697840576501E-3"/>
                  <c:y val="3.1556360504222799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плата'!$D$30</c:f>
              <c:numCache>
                <c:formatCode>0.0</c:formatCode>
                <c:ptCount val="1"/>
                <c:pt idx="0">
                  <c:v>6.245135130468138</c:v>
                </c:pt>
              </c:numCache>
            </c:numRef>
          </c:xVal>
          <c:yVal>
            <c:numRef>
              <c:f>'Заработная плата'!$B$30</c:f>
              <c:numCache>
                <c:formatCode>0</c:formatCode>
                <c:ptCount val="1"/>
                <c:pt idx="0">
                  <c:v>20470.7</c:v>
                </c:pt>
              </c:numCache>
            </c:numRef>
          </c:yVal>
          <c:smooth val="0"/>
        </c:ser>
        <c:dLbls>
          <c:showLegendKey val="0"/>
          <c:showVal val="1"/>
          <c:showCatName val="0"/>
          <c:showSerName val="0"/>
          <c:showPercent val="0"/>
          <c:showBubbleSize val="0"/>
        </c:dLbls>
        <c:axId val="230487168"/>
        <c:axId val="230489088"/>
      </c:scatterChart>
      <c:valAx>
        <c:axId val="230487168"/>
        <c:scaling>
          <c:orientation val="minMax"/>
          <c:max val="12"/>
          <c:min val="4.5"/>
        </c:scaling>
        <c:delete val="0"/>
        <c:axPos val="b"/>
        <c:title>
          <c:tx>
            <c:rich>
              <a:bodyPr/>
              <a:lstStyle/>
              <a:p>
                <a:pPr>
                  <a:defRPr/>
                </a:pPr>
                <a:r>
                  <a:rPr lang="ru-RU"/>
                  <a:t>Среднегодовой темп прироста заработной платы в 2014-2016 гг., %</a:t>
                </a:r>
              </a:p>
            </c:rich>
          </c:tx>
          <c:layout>
            <c:manualLayout>
              <c:xMode val="edge"/>
              <c:yMode val="edge"/>
              <c:x val="0.25556671831707728"/>
              <c:y val="0.94587639890740516"/>
            </c:manualLayout>
          </c:layout>
          <c:overlay val="0"/>
        </c:title>
        <c:numFmt formatCode="0.0" sourceLinked="1"/>
        <c:majorTickMark val="out"/>
        <c:minorTickMark val="none"/>
        <c:tickLblPos val="nextTo"/>
        <c:crossAx val="230489088"/>
        <c:crosses val="autoZero"/>
        <c:crossBetween val="midCat"/>
      </c:valAx>
      <c:valAx>
        <c:axId val="230489088"/>
        <c:scaling>
          <c:orientation val="minMax"/>
          <c:min val="19000"/>
        </c:scaling>
        <c:delete val="0"/>
        <c:axPos val="l"/>
        <c:title>
          <c:tx>
            <c:rich>
              <a:bodyPr rot="-5400000" vert="horz"/>
              <a:lstStyle/>
              <a:p>
                <a:pPr>
                  <a:defRPr/>
                </a:pPr>
                <a:r>
                  <a:rPr lang="ru-RU"/>
                  <a:t>Среднемесяная заработная плата в 2016 году , руб.</a:t>
                </a:r>
              </a:p>
            </c:rich>
          </c:tx>
          <c:layout>
            <c:manualLayout>
              <c:xMode val="edge"/>
              <c:yMode val="edge"/>
              <c:x val="8.5453337577133057E-3"/>
              <c:y val="0.18784358397227563"/>
            </c:manualLayout>
          </c:layout>
          <c:overlay val="0"/>
        </c:title>
        <c:numFmt formatCode="0" sourceLinked="1"/>
        <c:majorTickMark val="out"/>
        <c:minorTickMark val="none"/>
        <c:tickLblPos val="nextTo"/>
        <c:crossAx val="230487168"/>
        <c:crossesAt val="4"/>
        <c:crossBetween val="midCat"/>
      </c:valAx>
      <c:spPr>
        <a:noFill/>
        <a:ln>
          <a:solidFill>
            <a:schemeClr val="tx1"/>
          </a:solidFill>
        </a:ln>
      </c:spPr>
    </c:plotArea>
    <c:plotVisOnly val="1"/>
    <c:dispBlanksAs val="gap"/>
    <c:showDLblsOverMax val="0"/>
  </c:chart>
  <c:spPr>
    <a:noFill/>
  </c:spPr>
  <c:txPr>
    <a:bodyPr/>
    <a:lstStyle/>
    <a:p>
      <a:pPr>
        <a:defRPr sz="80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3840769903737"/>
          <c:y val="0.24095595645481024"/>
          <c:w val="0.75623889969874036"/>
          <c:h val="0.53156931332950474"/>
        </c:manualLayout>
      </c:layout>
      <c:lineChart>
        <c:grouping val="standard"/>
        <c:varyColors val="0"/>
        <c:ser>
          <c:idx val="0"/>
          <c:order val="0"/>
          <c:tx>
            <c:strRef>
              <c:f>Лист1!$B$15</c:f>
              <c:strCache>
                <c:ptCount val="1"/>
                <c:pt idx="0">
                  <c:v>Камышлинский р-он</c:v>
                </c:pt>
              </c:strCache>
            </c:strRef>
          </c:tx>
          <c:spPr>
            <a:ln>
              <a:solidFill>
                <a:srgbClr val="C00000"/>
              </a:solidFill>
            </a:ln>
          </c:spPr>
          <c:marker>
            <c:spPr>
              <a:solidFill>
                <a:srgbClr val="C00000"/>
              </a:solidFill>
            </c:spPr>
          </c:marker>
          <c:dLbls>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Лист1!$A$16:$A$19</c:f>
              <c:numCache>
                <c:formatCode>General</c:formatCode>
                <c:ptCount val="4"/>
                <c:pt idx="0">
                  <c:v>2014</c:v>
                </c:pt>
                <c:pt idx="1">
                  <c:v>2015</c:v>
                </c:pt>
                <c:pt idx="2">
                  <c:v>2016</c:v>
                </c:pt>
                <c:pt idx="3">
                  <c:v>2017</c:v>
                </c:pt>
              </c:numCache>
            </c:numRef>
          </c:cat>
          <c:val>
            <c:numRef>
              <c:f>Лист1!$B$16:$B$19</c:f>
              <c:numCache>
                <c:formatCode>General</c:formatCode>
                <c:ptCount val="4"/>
                <c:pt idx="0">
                  <c:v>19486.099999999948</c:v>
                </c:pt>
                <c:pt idx="1">
                  <c:v>20286.2</c:v>
                </c:pt>
                <c:pt idx="2">
                  <c:v>21407.200000000001</c:v>
                </c:pt>
                <c:pt idx="3">
                  <c:v>22670.17</c:v>
                </c:pt>
              </c:numCache>
            </c:numRef>
          </c:val>
          <c:smooth val="0"/>
        </c:ser>
        <c:ser>
          <c:idx val="1"/>
          <c:order val="1"/>
          <c:tx>
            <c:strRef>
              <c:f>Лист1!$C$15</c:f>
              <c:strCache>
                <c:ptCount val="1"/>
                <c:pt idx="0">
                  <c:v>Самарская обл.</c:v>
                </c:pt>
              </c:strCache>
            </c:strRef>
          </c:tx>
          <c:spPr>
            <a:ln>
              <a:solidFill>
                <a:schemeClr val="tx2">
                  <a:lumMod val="75000"/>
                </a:schemeClr>
              </a:solidFill>
            </a:ln>
          </c:spPr>
          <c:marker>
            <c:symbol val="square"/>
            <c:size val="5"/>
            <c:spPr>
              <a:solidFill>
                <a:schemeClr val="accent1">
                  <a:lumMod val="50000"/>
                </a:schemeClr>
              </a:solidFill>
              <a:ln>
                <a:solidFill>
                  <a:schemeClr val="accent1">
                    <a:lumMod val="75000"/>
                  </a:schemeClr>
                </a:solidFill>
              </a:ln>
            </c:spPr>
          </c:marker>
          <c:dLbls>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Лист1!$A$16:$A$19</c:f>
              <c:numCache>
                <c:formatCode>General</c:formatCode>
                <c:ptCount val="4"/>
                <c:pt idx="0">
                  <c:v>2014</c:v>
                </c:pt>
                <c:pt idx="1">
                  <c:v>2015</c:v>
                </c:pt>
                <c:pt idx="2">
                  <c:v>2016</c:v>
                </c:pt>
                <c:pt idx="3">
                  <c:v>2017</c:v>
                </c:pt>
              </c:numCache>
            </c:numRef>
          </c:cat>
          <c:val>
            <c:numRef>
              <c:f>Лист1!$C$16:$C$19</c:f>
              <c:numCache>
                <c:formatCode>General</c:formatCode>
                <c:ptCount val="4"/>
                <c:pt idx="0">
                  <c:v>25884</c:v>
                </c:pt>
                <c:pt idx="1">
                  <c:v>26849</c:v>
                </c:pt>
                <c:pt idx="2">
                  <c:v>28295</c:v>
                </c:pt>
                <c:pt idx="3">
                  <c:v>30492</c:v>
                </c:pt>
              </c:numCache>
            </c:numRef>
          </c:val>
          <c:smooth val="0"/>
        </c:ser>
        <c:ser>
          <c:idx val="2"/>
          <c:order val="2"/>
          <c:tx>
            <c:strRef>
              <c:f>Лист1!$D$15</c:f>
              <c:strCache>
                <c:ptCount val="1"/>
                <c:pt idx="0">
                  <c:v>РФ</c:v>
                </c:pt>
              </c:strCache>
            </c:strRef>
          </c:tx>
          <c:spPr>
            <a:ln>
              <a:solidFill>
                <a:schemeClr val="bg1">
                  <a:lumMod val="50000"/>
                </a:schemeClr>
              </a:solidFill>
            </a:ln>
          </c:spPr>
          <c:marker>
            <c:spPr>
              <a:solidFill>
                <a:schemeClr val="bg1">
                  <a:lumMod val="50000"/>
                </a:schemeClr>
              </a:solidFill>
              <a:ln>
                <a:solidFill>
                  <a:schemeClr val="bg1">
                    <a:lumMod val="50000"/>
                  </a:schemeClr>
                </a:solidFill>
              </a:ln>
            </c:spPr>
          </c:marker>
          <c:dLbls>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Лист1!$A$16:$A$19</c:f>
              <c:numCache>
                <c:formatCode>General</c:formatCode>
                <c:ptCount val="4"/>
                <c:pt idx="0">
                  <c:v>2014</c:v>
                </c:pt>
                <c:pt idx="1">
                  <c:v>2015</c:v>
                </c:pt>
                <c:pt idx="2">
                  <c:v>2016</c:v>
                </c:pt>
                <c:pt idx="3">
                  <c:v>2017</c:v>
                </c:pt>
              </c:numCache>
            </c:numRef>
          </c:cat>
          <c:val>
            <c:numRef>
              <c:f>Лист1!$D$16:$D$19</c:f>
              <c:numCache>
                <c:formatCode>General</c:formatCode>
                <c:ptCount val="4"/>
                <c:pt idx="0">
                  <c:v>32495</c:v>
                </c:pt>
                <c:pt idx="1">
                  <c:v>34030</c:v>
                </c:pt>
                <c:pt idx="2">
                  <c:v>36709</c:v>
                </c:pt>
                <c:pt idx="3">
                  <c:v>39167</c:v>
                </c:pt>
              </c:numCache>
            </c:numRef>
          </c:val>
          <c:smooth val="0"/>
        </c:ser>
        <c:dLbls>
          <c:showLegendKey val="0"/>
          <c:showVal val="0"/>
          <c:showCatName val="0"/>
          <c:showSerName val="0"/>
          <c:showPercent val="0"/>
          <c:showBubbleSize val="0"/>
        </c:dLbls>
        <c:marker val="1"/>
        <c:smooth val="0"/>
        <c:axId val="230230272"/>
        <c:axId val="230236160"/>
      </c:lineChart>
      <c:catAx>
        <c:axId val="230230272"/>
        <c:scaling>
          <c:orientation val="minMax"/>
        </c:scaling>
        <c:delete val="0"/>
        <c:axPos val="b"/>
        <c:numFmt formatCode="General" sourceLinked="1"/>
        <c:majorTickMark val="none"/>
        <c:minorTickMark val="none"/>
        <c:tickLblPos val="nextTo"/>
        <c:txPr>
          <a:bodyPr rot="0" vert="horz"/>
          <a:lstStyle/>
          <a:p>
            <a:pPr>
              <a:defRPr sz="800" b="0" i="0" u="none" strike="noStrike" baseline="0">
                <a:solidFill>
                  <a:srgbClr val="000000"/>
                </a:solidFill>
                <a:latin typeface="Calibri"/>
                <a:ea typeface="Calibri"/>
                <a:cs typeface="Calibri"/>
              </a:defRPr>
            </a:pPr>
            <a:endParaRPr lang="ru-RU"/>
          </a:p>
        </c:txPr>
        <c:crossAx val="230236160"/>
        <c:crosses val="autoZero"/>
        <c:auto val="1"/>
        <c:lblAlgn val="ctr"/>
        <c:lblOffset val="100"/>
        <c:noMultiLvlLbl val="0"/>
      </c:catAx>
      <c:valAx>
        <c:axId val="230236160"/>
        <c:scaling>
          <c:orientation val="minMax"/>
          <c:max val="40000"/>
          <c:min val="15000"/>
        </c:scaling>
        <c:delete val="0"/>
        <c:axPos val="l"/>
        <c:majorGridlines/>
        <c:numFmt formatCode="General" sourceLinked="1"/>
        <c:majorTickMark val="none"/>
        <c:minorTickMark val="none"/>
        <c:tickLblPos val="nextTo"/>
        <c:spPr>
          <a:ln w="9528">
            <a:noFill/>
          </a:ln>
        </c:spPr>
        <c:txPr>
          <a:bodyPr rot="0" vert="horz"/>
          <a:lstStyle/>
          <a:p>
            <a:pPr>
              <a:defRPr sz="800" b="0" i="0" u="none" strike="noStrike" baseline="0">
                <a:solidFill>
                  <a:srgbClr val="000000"/>
                </a:solidFill>
                <a:latin typeface="Calibri"/>
                <a:ea typeface="Calibri"/>
                <a:cs typeface="Calibri"/>
              </a:defRPr>
            </a:pPr>
            <a:endParaRPr lang="ru-RU"/>
          </a:p>
        </c:txPr>
        <c:crossAx val="230230272"/>
        <c:crosses val="autoZero"/>
        <c:crossBetween val="between"/>
      </c:valAx>
    </c:plotArea>
    <c:legend>
      <c:legendPos val="b"/>
      <c:layout>
        <c:manualLayout>
          <c:xMode val="edge"/>
          <c:yMode val="edge"/>
          <c:x val="0.13649732435936382"/>
          <c:y val="0.84830716160479969"/>
          <c:w val="0.79379680647119077"/>
          <c:h val="0.15169103862017283"/>
        </c:manualLayout>
      </c:layout>
      <c:overlay val="0"/>
      <c:txPr>
        <a:bodyPr/>
        <a:lstStyle/>
        <a:p>
          <a:pPr>
            <a:defRPr sz="735"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919072615923014E-2"/>
          <c:y val="0.21162626092922443"/>
          <c:w val="0.79372665021953281"/>
          <c:h val="0.56094807621664089"/>
        </c:manualLayout>
      </c:layout>
      <c:lineChart>
        <c:grouping val="standard"/>
        <c:varyColors val="0"/>
        <c:ser>
          <c:idx val="0"/>
          <c:order val="0"/>
          <c:tx>
            <c:strRef>
              <c:f>Лист1!$B$41</c:f>
              <c:strCache>
                <c:ptCount val="1"/>
                <c:pt idx="0">
                  <c:v>Камышлинский р-он</c:v>
                </c:pt>
              </c:strCache>
            </c:strRef>
          </c:tx>
          <c:spPr>
            <a:ln>
              <a:solidFill>
                <a:srgbClr val="C00000"/>
              </a:solidFill>
            </a:ln>
          </c:spPr>
          <c:marker>
            <c:spPr>
              <a:solidFill>
                <a:srgbClr val="C00000"/>
              </a:solidFill>
              <a:ln>
                <a:solidFill>
                  <a:srgbClr val="C00000"/>
                </a:solidFill>
              </a:ln>
            </c:spPr>
          </c:marker>
          <c:dLbls>
            <c:txPr>
              <a:bodyPr/>
              <a:lstStyle/>
              <a:p>
                <a:pPr>
                  <a:defRPr sz="80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Лист1!$A$42:$A$44</c:f>
              <c:numCache>
                <c:formatCode>General</c:formatCode>
                <c:ptCount val="3"/>
                <c:pt idx="0">
                  <c:v>2014</c:v>
                </c:pt>
                <c:pt idx="1">
                  <c:v>2015</c:v>
                </c:pt>
                <c:pt idx="2">
                  <c:v>2016</c:v>
                </c:pt>
              </c:numCache>
            </c:numRef>
          </c:cat>
          <c:val>
            <c:numRef>
              <c:f>Лист1!$B$42:$B$44</c:f>
              <c:numCache>
                <c:formatCode>0.00</c:formatCode>
                <c:ptCount val="3"/>
                <c:pt idx="0" formatCode="General">
                  <c:v>1.9000000000000001</c:v>
                </c:pt>
                <c:pt idx="1">
                  <c:v>1.9301914106482225</c:v>
                </c:pt>
                <c:pt idx="2">
                  <c:v>2.1653543307086607</c:v>
                </c:pt>
              </c:numCache>
            </c:numRef>
          </c:val>
          <c:smooth val="0"/>
        </c:ser>
        <c:ser>
          <c:idx val="1"/>
          <c:order val="1"/>
          <c:tx>
            <c:strRef>
              <c:f>Лист1!$C$41</c:f>
              <c:strCache>
                <c:ptCount val="1"/>
                <c:pt idx="0">
                  <c:v>Самарская обл.</c:v>
                </c:pt>
              </c:strCache>
            </c:strRef>
          </c:tx>
          <c:spPr>
            <a:ln>
              <a:solidFill>
                <a:schemeClr val="accent1">
                  <a:lumMod val="75000"/>
                </a:schemeClr>
              </a:solidFill>
            </a:ln>
          </c:spPr>
          <c:marker>
            <c:symbol val="square"/>
            <c:size val="5"/>
            <c:spPr>
              <a:solidFill>
                <a:schemeClr val="accent1">
                  <a:lumMod val="75000"/>
                </a:schemeClr>
              </a:solidFill>
              <a:ln>
                <a:solidFill>
                  <a:schemeClr val="accent1">
                    <a:lumMod val="75000"/>
                  </a:schemeClr>
                </a:solidFill>
              </a:ln>
            </c:spPr>
          </c:marker>
          <c:dLbls>
            <c:txPr>
              <a:bodyPr/>
              <a:lstStyle/>
              <a:p>
                <a:pPr>
                  <a:defRPr sz="80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Лист1!$A$42:$A$44</c:f>
              <c:numCache>
                <c:formatCode>General</c:formatCode>
                <c:ptCount val="3"/>
                <c:pt idx="0">
                  <c:v>2014</c:v>
                </c:pt>
                <c:pt idx="1">
                  <c:v>2015</c:v>
                </c:pt>
                <c:pt idx="2">
                  <c:v>2016</c:v>
                </c:pt>
              </c:numCache>
            </c:numRef>
          </c:cat>
          <c:val>
            <c:numRef>
              <c:f>Лист1!$C$42:$C$44</c:f>
              <c:numCache>
                <c:formatCode>General</c:formatCode>
                <c:ptCount val="3"/>
                <c:pt idx="0">
                  <c:v>1</c:v>
                </c:pt>
                <c:pt idx="1">
                  <c:v>1.3</c:v>
                </c:pt>
                <c:pt idx="2">
                  <c:v>1.3</c:v>
                </c:pt>
              </c:numCache>
            </c:numRef>
          </c:val>
          <c:smooth val="0"/>
        </c:ser>
        <c:ser>
          <c:idx val="2"/>
          <c:order val="2"/>
          <c:tx>
            <c:strRef>
              <c:f>Лист1!$D$41</c:f>
              <c:strCache>
                <c:ptCount val="1"/>
                <c:pt idx="0">
                  <c:v>РФ</c:v>
                </c:pt>
              </c:strCache>
            </c:strRef>
          </c:tx>
          <c:spPr>
            <a:ln>
              <a:solidFill>
                <a:schemeClr val="bg1">
                  <a:lumMod val="50000"/>
                </a:schemeClr>
              </a:solidFill>
            </a:ln>
          </c:spPr>
          <c:marker>
            <c:symbol val="square"/>
            <c:size val="5"/>
            <c:spPr>
              <a:solidFill>
                <a:schemeClr val="bg1">
                  <a:lumMod val="50000"/>
                </a:schemeClr>
              </a:solidFill>
              <a:ln>
                <a:solidFill>
                  <a:schemeClr val="bg1">
                    <a:lumMod val="50000"/>
                  </a:schemeClr>
                </a:solidFill>
              </a:ln>
            </c:spPr>
          </c:marker>
          <c:dLbls>
            <c:txPr>
              <a:bodyPr/>
              <a:lstStyle/>
              <a:p>
                <a:pPr>
                  <a:defRPr sz="80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Лист1!$A$42:$A$44</c:f>
              <c:numCache>
                <c:formatCode>General</c:formatCode>
                <c:ptCount val="3"/>
                <c:pt idx="0">
                  <c:v>2014</c:v>
                </c:pt>
                <c:pt idx="1">
                  <c:v>2015</c:v>
                </c:pt>
                <c:pt idx="2">
                  <c:v>2016</c:v>
                </c:pt>
              </c:numCache>
            </c:numRef>
          </c:cat>
          <c:val>
            <c:numRef>
              <c:f>Лист1!$D$42:$D$44</c:f>
              <c:numCache>
                <c:formatCode>General</c:formatCode>
                <c:ptCount val="3"/>
                <c:pt idx="0">
                  <c:v>1.2</c:v>
                </c:pt>
                <c:pt idx="1">
                  <c:v>1.3</c:v>
                </c:pt>
                <c:pt idx="2">
                  <c:v>1.2</c:v>
                </c:pt>
              </c:numCache>
            </c:numRef>
          </c:val>
          <c:smooth val="0"/>
        </c:ser>
        <c:dLbls>
          <c:showLegendKey val="0"/>
          <c:showVal val="0"/>
          <c:showCatName val="0"/>
          <c:showSerName val="0"/>
          <c:showPercent val="0"/>
          <c:showBubbleSize val="0"/>
        </c:dLbls>
        <c:marker val="1"/>
        <c:smooth val="0"/>
        <c:axId val="230652160"/>
        <c:axId val="231616512"/>
      </c:lineChart>
      <c:catAx>
        <c:axId val="230652160"/>
        <c:scaling>
          <c:orientation val="minMax"/>
        </c:scaling>
        <c:delete val="0"/>
        <c:axPos val="b"/>
        <c:numFmt formatCode="General" sourceLinked="1"/>
        <c:majorTickMark val="none"/>
        <c:minorTickMark val="none"/>
        <c:tickLblPos val="nextTo"/>
        <c:txPr>
          <a:bodyPr rot="0" vert="horz"/>
          <a:lstStyle/>
          <a:p>
            <a:pPr>
              <a:defRPr sz="801" b="0" i="0" u="none" strike="noStrike" baseline="0">
                <a:solidFill>
                  <a:srgbClr val="000000"/>
                </a:solidFill>
                <a:latin typeface="Calibri"/>
                <a:ea typeface="Calibri"/>
                <a:cs typeface="Calibri"/>
              </a:defRPr>
            </a:pPr>
            <a:endParaRPr lang="ru-RU"/>
          </a:p>
        </c:txPr>
        <c:crossAx val="231616512"/>
        <c:crosses val="autoZero"/>
        <c:auto val="1"/>
        <c:lblAlgn val="ctr"/>
        <c:lblOffset val="100"/>
        <c:noMultiLvlLbl val="0"/>
      </c:catAx>
      <c:valAx>
        <c:axId val="231616512"/>
        <c:scaling>
          <c:orientation val="minMax"/>
          <c:max val="2.2999999999999998"/>
          <c:min val="0.8"/>
        </c:scaling>
        <c:delete val="0"/>
        <c:axPos val="l"/>
        <c:majorGridlines/>
        <c:numFmt formatCode="General" sourceLinked="1"/>
        <c:majorTickMark val="none"/>
        <c:minorTickMark val="none"/>
        <c:tickLblPos val="nextTo"/>
        <c:spPr>
          <a:ln w="9534">
            <a:noFill/>
          </a:ln>
        </c:spPr>
        <c:txPr>
          <a:bodyPr rot="0" vert="horz"/>
          <a:lstStyle/>
          <a:p>
            <a:pPr>
              <a:defRPr sz="801" b="0" i="0" u="none" strike="noStrike" baseline="0">
                <a:solidFill>
                  <a:srgbClr val="000000"/>
                </a:solidFill>
                <a:latin typeface="Calibri"/>
                <a:ea typeface="Calibri"/>
                <a:cs typeface="Calibri"/>
              </a:defRPr>
            </a:pPr>
            <a:endParaRPr lang="ru-RU"/>
          </a:p>
        </c:txPr>
        <c:crossAx val="230652160"/>
        <c:crosses val="autoZero"/>
        <c:crossBetween val="between"/>
      </c:valAx>
    </c:plotArea>
    <c:legend>
      <c:legendPos val="b"/>
      <c:layout>
        <c:manualLayout>
          <c:xMode val="edge"/>
          <c:yMode val="edge"/>
          <c:x val="7.4946351706036834E-2"/>
          <c:y val="0.85411653543307164"/>
          <c:w val="0.81426729658792618"/>
          <c:h val="0.12155590551181121"/>
        </c:manualLayout>
      </c:layout>
      <c:overlay val="0"/>
      <c:txPr>
        <a:bodyPr/>
        <a:lstStyle/>
        <a:p>
          <a:pPr>
            <a:defRPr sz="736"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801"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33899016047713"/>
          <c:y val="7.2135830152800812E-2"/>
          <c:w val="0.74708087207335239"/>
          <c:h val="0.85634127407038962"/>
        </c:manualLayout>
      </c:layout>
      <c:barChart>
        <c:barDir val="bar"/>
        <c:grouping val="clustered"/>
        <c:varyColors val="0"/>
        <c:ser>
          <c:idx val="0"/>
          <c:order val="0"/>
          <c:invertIfNegative val="0"/>
          <c:dPt>
            <c:idx val="8"/>
            <c:invertIfNegative val="0"/>
            <c:bubble3D val="0"/>
            <c:spPr>
              <a:solidFill>
                <a:srgbClr val="C50000"/>
              </a:solidFill>
            </c:spPr>
          </c:dPt>
          <c:dLbls>
            <c:showLegendKey val="0"/>
            <c:showVal val="1"/>
            <c:showCatName val="0"/>
            <c:showSerName val="0"/>
            <c:showPercent val="0"/>
            <c:showBubbleSize val="0"/>
            <c:showLeaderLines val="0"/>
          </c:dLbls>
          <c:cat>
            <c:strRef>
              <c:f>Койкомест!$A$1:$A$26</c:f>
              <c:strCache>
                <c:ptCount val="26"/>
                <c:pt idx="0">
                  <c:v>Безенчукский </c:v>
                </c:pt>
                <c:pt idx="1">
                  <c:v>Богатовский </c:v>
                </c:pt>
                <c:pt idx="2">
                  <c:v>Большеглушицкий </c:v>
                </c:pt>
                <c:pt idx="3">
                  <c:v>Большечерниговский </c:v>
                </c:pt>
                <c:pt idx="4">
                  <c:v>Борский </c:v>
                </c:pt>
                <c:pt idx="5">
                  <c:v>Волжский </c:v>
                </c:pt>
                <c:pt idx="6">
                  <c:v>Елховский </c:v>
                </c:pt>
                <c:pt idx="7">
                  <c:v>Исаклинский </c:v>
                </c:pt>
                <c:pt idx="8">
                  <c:v>Камышлинский </c:v>
                </c:pt>
                <c:pt idx="9">
                  <c:v>Кинельский </c:v>
                </c:pt>
                <c:pt idx="10">
                  <c:v>Кинель-Черкасский </c:v>
                </c:pt>
                <c:pt idx="11">
                  <c:v>Клявлинский</c:v>
                </c:pt>
                <c:pt idx="12">
                  <c:v>Кошкинский </c:v>
                </c:pt>
                <c:pt idx="13">
                  <c:v>Красноармейский </c:v>
                </c:pt>
                <c:pt idx="14">
                  <c:v>Красноярский </c:v>
                </c:pt>
                <c:pt idx="15">
                  <c:v>Нефтегорский </c:v>
                </c:pt>
                <c:pt idx="16">
                  <c:v>Пестравский </c:v>
                </c:pt>
                <c:pt idx="17">
                  <c:v>Похвистневский </c:v>
                </c:pt>
                <c:pt idx="18">
                  <c:v>Приволжский </c:v>
                </c:pt>
                <c:pt idx="19">
                  <c:v>Сергиевский </c:v>
                </c:pt>
                <c:pt idx="20">
                  <c:v>Ставропольский </c:v>
                </c:pt>
                <c:pt idx="21">
                  <c:v>Сызранский</c:v>
                </c:pt>
                <c:pt idx="22">
                  <c:v>Хворостянский </c:v>
                </c:pt>
                <c:pt idx="23">
                  <c:v>Челно-Вершинский </c:v>
                </c:pt>
                <c:pt idx="24">
                  <c:v>Шенталинский </c:v>
                </c:pt>
                <c:pt idx="25">
                  <c:v>Шигонский </c:v>
                </c:pt>
              </c:strCache>
            </c:strRef>
          </c:cat>
          <c:val>
            <c:numRef>
              <c:f>Койкомест!$B$1:$B$26</c:f>
              <c:numCache>
                <c:formatCode>General</c:formatCode>
                <c:ptCount val="26"/>
                <c:pt idx="0">
                  <c:v>57.5</c:v>
                </c:pt>
                <c:pt idx="1">
                  <c:v>52.6</c:v>
                </c:pt>
                <c:pt idx="2">
                  <c:v>50.9</c:v>
                </c:pt>
                <c:pt idx="3">
                  <c:v>49</c:v>
                </c:pt>
                <c:pt idx="4">
                  <c:v>46.8</c:v>
                </c:pt>
                <c:pt idx="5">
                  <c:v>46.3</c:v>
                </c:pt>
                <c:pt idx="6">
                  <c:v>45.2</c:v>
                </c:pt>
                <c:pt idx="7">
                  <c:v>44</c:v>
                </c:pt>
                <c:pt idx="8">
                  <c:v>43.8</c:v>
                </c:pt>
                <c:pt idx="9">
                  <c:v>43.6</c:v>
                </c:pt>
                <c:pt idx="10">
                  <c:v>43.3</c:v>
                </c:pt>
                <c:pt idx="11">
                  <c:v>42.5</c:v>
                </c:pt>
                <c:pt idx="12">
                  <c:v>40.9</c:v>
                </c:pt>
                <c:pt idx="13">
                  <c:v>40.6</c:v>
                </c:pt>
                <c:pt idx="14">
                  <c:v>39.300000000000004</c:v>
                </c:pt>
                <c:pt idx="15">
                  <c:v>37.300000000000004</c:v>
                </c:pt>
                <c:pt idx="16">
                  <c:v>36.200000000000003</c:v>
                </c:pt>
                <c:pt idx="17">
                  <c:v>35.800000000000004</c:v>
                </c:pt>
                <c:pt idx="18">
                  <c:v>35.700000000000003</c:v>
                </c:pt>
                <c:pt idx="19">
                  <c:v>35.300000000000004</c:v>
                </c:pt>
                <c:pt idx="20">
                  <c:v>34.1</c:v>
                </c:pt>
                <c:pt idx="21">
                  <c:v>32.200000000000003</c:v>
                </c:pt>
                <c:pt idx="22">
                  <c:v>31.4</c:v>
                </c:pt>
                <c:pt idx="23">
                  <c:v>28.6</c:v>
                </c:pt>
                <c:pt idx="24">
                  <c:v>26.3</c:v>
                </c:pt>
                <c:pt idx="25">
                  <c:v>20.8</c:v>
                </c:pt>
              </c:numCache>
            </c:numRef>
          </c:val>
        </c:ser>
        <c:ser>
          <c:idx val="1"/>
          <c:order val="1"/>
          <c:spPr>
            <a:noFill/>
          </c:spPr>
          <c:invertIfNegative val="0"/>
          <c:trendline>
            <c:spPr>
              <a:ln w="19048">
                <a:prstDash val="sysDash"/>
              </a:ln>
            </c:spPr>
            <c:trendlineType val="linear"/>
            <c:dispRSqr val="0"/>
            <c:dispEq val="0"/>
          </c:trendline>
          <c:cat>
            <c:strRef>
              <c:f>Койкомест!$A$1:$A$26</c:f>
              <c:strCache>
                <c:ptCount val="26"/>
                <c:pt idx="0">
                  <c:v>Безенчукский </c:v>
                </c:pt>
                <c:pt idx="1">
                  <c:v>Богатовский </c:v>
                </c:pt>
                <c:pt idx="2">
                  <c:v>Большеглушицкий </c:v>
                </c:pt>
                <c:pt idx="3">
                  <c:v>Большечерниговский </c:v>
                </c:pt>
                <c:pt idx="4">
                  <c:v>Борский </c:v>
                </c:pt>
                <c:pt idx="5">
                  <c:v>Волжский </c:v>
                </c:pt>
                <c:pt idx="6">
                  <c:v>Елховский </c:v>
                </c:pt>
                <c:pt idx="7">
                  <c:v>Исаклинский </c:v>
                </c:pt>
                <c:pt idx="8">
                  <c:v>Камышлинский </c:v>
                </c:pt>
                <c:pt idx="9">
                  <c:v>Кинельский </c:v>
                </c:pt>
                <c:pt idx="10">
                  <c:v>Кинель-Черкасский </c:v>
                </c:pt>
                <c:pt idx="11">
                  <c:v>Клявлинский</c:v>
                </c:pt>
                <c:pt idx="12">
                  <c:v>Кошкинский </c:v>
                </c:pt>
                <c:pt idx="13">
                  <c:v>Красноармейский </c:v>
                </c:pt>
                <c:pt idx="14">
                  <c:v>Красноярский </c:v>
                </c:pt>
                <c:pt idx="15">
                  <c:v>Нефтегорский </c:v>
                </c:pt>
                <c:pt idx="16">
                  <c:v>Пестравский </c:v>
                </c:pt>
                <c:pt idx="17">
                  <c:v>Похвистневский </c:v>
                </c:pt>
                <c:pt idx="18">
                  <c:v>Приволжский </c:v>
                </c:pt>
                <c:pt idx="19">
                  <c:v>Сергиевский </c:v>
                </c:pt>
                <c:pt idx="20">
                  <c:v>Ставропольский </c:v>
                </c:pt>
                <c:pt idx="21">
                  <c:v>Сызранский</c:v>
                </c:pt>
                <c:pt idx="22">
                  <c:v>Хворостянский </c:v>
                </c:pt>
                <c:pt idx="23">
                  <c:v>Челно-Вершинский </c:v>
                </c:pt>
                <c:pt idx="24">
                  <c:v>Шенталинский </c:v>
                </c:pt>
                <c:pt idx="25">
                  <c:v>Шигонский </c:v>
                </c:pt>
              </c:strCache>
            </c:strRef>
          </c:cat>
          <c:val>
            <c:numRef>
              <c:f>Койкомест!$C$1:$C$26</c:f>
              <c:numCache>
                <c:formatCode>General</c:formatCode>
                <c:ptCount val="26"/>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pt idx="25">
                  <c:v>40</c:v>
                </c:pt>
              </c:numCache>
            </c:numRef>
          </c:val>
        </c:ser>
        <c:dLbls>
          <c:showLegendKey val="0"/>
          <c:showVal val="0"/>
          <c:showCatName val="0"/>
          <c:showSerName val="0"/>
          <c:showPercent val="0"/>
          <c:showBubbleSize val="0"/>
        </c:dLbls>
        <c:gapWidth val="150"/>
        <c:axId val="231704832"/>
        <c:axId val="231710720"/>
      </c:barChart>
      <c:catAx>
        <c:axId val="231704832"/>
        <c:scaling>
          <c:orientation val="minMax"/>
        </c:scaling>
        <c:delete val="0"/>
        <c:axPos val="l"/>
        <c:numFmt formatCode="General" sourceLinked="1"/>
        <c:majorTickMark val="none"/>
        <c:minorTickMark val="none"/>
        <c:tickLblPos val="nextTo"/>
        <c:txPr>
          <a:bodyPr/>
          <a:lstStyle/>
          <a:p>
            <a:pPr>
              <a:defRPr baseline="0"/>
            </a:pPr>
            <a:endParaRPr lang="ru-RU"/>
          </a:p>
        </c:txPr>
        <c:crossAx val="231710720"/>
        <c:crosses val="autoZero"/>
        <c:auto val="1"/>
        <c:lblAlgn val="ctr"/>
        <c:lblOffset val="100"/>
        <c:noMultiLvlLbl val="0"/>
      </c:catAx>
      <c:valAx>
        <c:axId val="231710720"/>
        <c:scaling>
          <c:orientation val="minMax"/>
        </c:scaling>
        <c:delete val="1"/>
        <c:axPos val="b"/>
        <c:numFmt formatCode="General" sourceLinked="1"/>
        <c:majorTickMark val="out"/>
        <c:minorTickMark val="none"/>
        <c:tickLblPos val="none"/>
        <c:crossAx val="231704832"/>
        <c:crosses val="autoZero"/>
        <c:crossBetween val="between"/>
      </c:valAx>
    </c:plotArea>
    <c:plotVisOnly val="1"/>
    <c:dispBlanksAs val="gap"/>
    <c:showDLblsOverMax val="0"/>
  </c:chart>
  <c:txPr>
    <a:bodyPr/>
    <a:lstStyle/>
    <a:p>
      <a:pPr>
        <a:defRPr sz="800" baseline="0">
          <a:latin typeface="Times New Roman" pitchFamily="18" charset="0"/>
        </a:defRPr>
      </a:pPr>
      <a:endParaRPr lang="ru-RU"/>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68261872687868"/>
          <c:y val="0.175629431545332"/>
          <c:w val="0.69076153567860288"/>
          <c:h val="0.72830223398856164"/>
        </c:manualLayout>
      </c:layout>
      <c:barChart>
        <c:barDir val="bar"/>
        <c:grouping val="clustered"/>
        <c:varyColors val="0"/>
        <c:ser>
          <c:idx val="0"/>
          <c:order val="0"/>
          <c:invertIfNegative val="0"/>
          <c:dPt>
            <c:idx val="17"/>
            <c:invertIfNegative val="0"/>
            <c:bubble3D val="0"/>
            <c:spPr>
              <a:solidFill>
                <a:srgbClr val="C50000"/>
              </a:solidFill>
            </c:spPr>
          </c:dPt>
          <c:dLbls>
            <c:showLegendKey val="0"/>
            <c:showVal val="1"/>
            <c:showCatName val="0"/>
            <c:showSerName val="0"/>
            <c:showPercent val="0"/>
            <c:showBubbleSize val="0"/>
            <c:showLeaderLines val="0"/>
          </c:dLbls>
          <c:cat>
            <c:strRef>
              <c:f>'Здравоохранение 2'!$A$4:$A$29</c:f>
              <c:strCache>
                <c:ptCount val="26"/>
                <c:pt idx="0">
                  <c:v>Шигонский</c:v>
                </c:pt>
                <c:pt idx="1">
                  <c:v>Сергиевский</c:v>
                </c:pt>
                <c:pt idx="2">
                  <c:v>Красноярский</c:v>
                </c:pt>
                <c:pt idx="3">
                  <c:v>Кинель-Черкасский</c:v>
                </c:pt>
                <c:pt idx="4">
                  <c:v>Богатовский</c:v>
                </c:pt>
                <c:pt idx="5">
                  <c:v>Безенчукский</c:v>
                </c:pt>
                <c:pt idx="6">
                  <c:v>Клявлинский</c:v>
                </c:pt>
                <c:pt idx="7">
                  <c:v>Пестравский</c:v>
                </c:pt>
                <c:pt idx="8">
                  <c:v>Большечерниговский</c:v>
                </c:pt>
                <c:pt idx="9">
                  <c:v>Челно-Вершинский</c:v>
                </c:pt>
                <c:pt idx="10">
                  <c:v>Похвистневский</c:v>
                </c:pt>
                <c:pt idx="11">
                  <c:v>Красноармейский</c:v>
                </c:pt>
                <c:pt idx="12">
                  <c:v>Волжский</c:v>
                </c:pt>
                <c:pt idx="13">
                  <c:v>Хворостянский</c:v>
                </c:pt>
                <c:pt idx="14">
                  <c:v>Борский</c:v>
                </c:pt>
                <c:pt idx="15">
                  <c:v>Нефтегорский</c:v>
                </c:pt>
                <c:pt idx="16">
                  <c:v>Исаклинский</c:v>
                </c:pt>
                <c:pt idx="17">
                  <c:v>Камышлинский</c:v>
                </c:pt>
                <c:pt idx="18">
                  <c:v>Большеглушицкий</c:v>
                </c:pt>
                <c:pt idx="19">
                  <c:v>Кинельский</c:v>
                </c:pt>
                <c:pt idx="20">
                  <c:v>Шенталинский</c:v>
                </c:pt>
                <c:pt idx="21">
                  <c:v>Кошкинский</c:v>
                </c:pt>
                <c:pt idx="22">
                  <c:v>Приволжский</c:v>
                </c:pt>
                <c:pt idx="23">
                  <c:v>Сызранский</c:v>
                </c:pt>
                <c:pt idx="24">
                  <c:v>Елховский</c:v>
                </c:pt>
                <c:pt idx="25">
                  <c:v>Ставропольский</c:v>
                </c:pt>
              </c:strCache>
            </c:strRef>
          </c:cat>
          <c:val>
            <c:numRef>
              <c:f>'Здравоохранение 2'!$B$4:$B$29</c:f>
              <c:numCache>
                <c:formatCode>General</c:formatCode>
                <c:ptCount val="26"/>
                <c:pt idx="0">
                  <c:v>32.4</c:v>
                </c:pt>
                <c:pt idx="1">
                  <c:v>30.4</c:v>
                </c:pt>
                <c:pt idx="2">
                  <c:v>29.6</c:v>
                </c:pt>
                <c:pt idx="3">
                  <c:v>27.6</c:v>
                </c:pt>
                <c:pt idx="4">
                  <c:v>27.3</c:v>
                </c:pt>
                <c:pt idx="5">
                  <c:v>26.4</c:v>
                </c:pt>
                <c:pt idx="6">
                  <c:v>25.9</c:v>
                </c:pt>
                <c:pt idx="7">
                  <c:v>25</c:v>
                </c:pt>
                <c:pt idx="8">
                  <c:v>23.6</c:v>
                </c:pt>
                <c:pt idx="9">
                  <c:v>23.2</c:v>
                </c:pt>
                <c:pt idx="10">
                  <c:v>23</c:v>
                </c:pt>
                <c:pt idx="11">
                  <c:v>22.6</c:v>
                </c:pt>
                <c:pt idx="12">
                  <c:v>22.5</c:v>
                </c:pt>
                <c:pt idx="13">
                  <c:v>22.4</c:v>
                </c:pt>
                <c:pt idx="14">
                  <c:v>22.1</c:v>
                </c:pt>
                <c:pt idx="15">
                  <c:v>21.02</c:v>
                </c:pt>
                <c:pt idx="16">
                  <c:v>20.7</c:v>
                </c:pt>
                <c:pt idx="17">
                  <c:v>20.3</c:v>
                </c:pt>
                <c:pt idx="18">
                  <c:v>20.2</c:v>
                </c:pt>
                <c:pt idx="19">
                  <c:v>20</c:v>
                </c:pt>
                <c:pt idx="20">
                  <c:v>19.899999999999999</c:v>
                </c:pt>
                <c:pt idx="21">
                  <c:v>17.899999999999999</c:v>
                </c:pt>
                <c:pt idx="22">
                  <c:v>17.899999999999999</c:v>
                </c:pt>
                <c:pt idx="23">
                  <c:v>17.2</c:v>
                </c:pt>
                <c:pt idx="24">
                  <c:v>15.8</c:v>
                </c:pt>
                <c:pt idx="25">
                  <c:v>15.5</c:v>
                </c:pt>
              </c:numCache>
            </c:numRef>
          </c:val>
        </c:ser>
        <c:ser>
          <c:idx val="1"/>
          <c:order val="1"/>
          <c:spPr>
            <a:noFill/>
          </c:spPr>
          <c:invertIfNegative val="0"/>
          <c:trendline>
            <c:spPr>
              <a:ln>
                <a:prstDash val="dash"/>
              </a:ln>
            </c:spPr>
            <c:trendlineType val="linear"/>
            <c:dispRSqr val="0"/>
            <c:dispEq val="0"/>
          </c:trendline>
          <c:cat>
            <c:strRef>
              <c:f>'Здравоохранение 2'!$A$4:$A$29</c:f>
              <c:strCache>
                <c:ptCount val="26"/>
                <c:pt idx="0">
                  <c:v>Шигонский</c:v>
                </c:pt>
                <c:pt idx="1">
                  <c:v>Сергиевский</c:v>
                </c:pt>
                <c:pt idx="2">
                  <c:v>Красноярский</c:v>
                </c:pt>
                <c:pt idx="3">
                  <c:v>Кинель-Черкасский</c:v>
                </c:pt>
                <c:pt idx="4">
                  <c:v>Богатовский</c:v>
                </c:pt>
                <c:pt idx="5">
                  <c:v>Безенчукский</c:v>
                </c:pt>
                <c:pt idx="6">
                  <c:v>Клявлинский</c:v>
                </c:pt>
                <c:pt idx="7">
                  <c:v>Пестравский</c:v>
                </c:pt>
                <c:pt idx="8">
                  <c:v>Большечерниговский</c:v>
                </c:pt>
                <c:pt idx="9">
                  <c:v>Челно-Вершинский</c:v>
                </c:pt>
                <c:pt idx="10">
                  <c:v>Похвистневский</c:v>
                </c:pt>
                <c:pt idx="11">
                  <c:v>Красноармейский</c:v>
                </c:pt>
                <c:pt idx="12">
                  <c:v>Волжский</c:v>
                </c:pt>
                <c:pt idx="13">
                  <c:v>Хворостянский</c:v>
                </c:pt>
                <c:pt idx="14">
                  <c:v>Борский</c:v>
                </c:pt>
                <c:pt idx="15">
                  <c:v>Нефтегорский</c:v>
                </c:pt>
                <c:pt idx="16">
                  <c:v>Исаклинский</c:v>
                </c:pt>
                <c:pt idx="17">
                  <c:v>Камышлинский</c:v>
                </c:pt>
                <c:pt idx="18">
                  <c:v>Большеглушицкий</c:v>
                </c:pt>
                <c:pt idx="19">
                  <c:v>Кинельский</c:v>
                </c:pt>
                <c:pt idx="20">
                  <c:v>Шенталинский</c:v>
                </c:pt>
                <c:pt idx="21">
                  <c:v>Кошкинский</c:v>
                </c:pt>
                <c:pt idx="22">
                  <c:v>Приволжский</c:v>
                </c:pt>
                <c:pt idx="23">
                  <c:v>Сызранский</c:v>
                </c:pt>
                <c:pt idx="24">
                  <c:v>Елховский</c:v>
                </c:pt>
                <c:pt idx="25">
                  <c:v>Ставропольский</c:v>
                </c:pt>
              </c:strCache>
            </c:strRef>
          </c:cat>
          <c:val>
            <c:numRef>
              <c:f>'Здравоохранение 2'!$C$4:$C$29</c:f>
              <c:numCache>
                <c:formatCode>General</c:formatCode>
                <c:ptCount val="26"/>
                <c:pt idx="0">
                  <c:v>22.708461538461489</c:v>
                </c:pt>
                <c:pt idx="1">
                  <c:v>22.708461538461489</c:v>
                </c:pt>
                <c:pt idx="2">
                  <c:v>22.708461538461489</c:v>
                </c:pt>
                <c:pt idx="3">
                  <c:v>22.708461538461489</c:v>
                </c:pt>
                <c:pt idx="4">
                  <c:v>22.708461538461489</c:v>
                </c:pt>
                <c:pt idx="5">
                  <c:v>22.708461538461489</c:v>
                </c:pt>
                <c:pt idx="6">
                  <c:v>22.708461538461489</c:v>
                </c:pt>
                <c:pt idx="7">
                  <c:v>22.708461538461489</c:v>
                </c:pt>
                <c:pt idx="8">
                  <c:v>22.708461538461489</c:v>
                </c:pt>
                <c:pt idx="9">
                  <c:v>22.708461538461489</c:v>
                </c:pt>
                <c:pt idx="10">
                  <c:v>22.708461538461489</c:v>
                </c:pt>
                <c:pt idx="11">
                  <c:v>22.708461538461489</c:v>
                </c:pt>
                <c:pt idx="12">
                  <c:v>22.708461538461489</c:v>
                </c:pt>
                <c:pt idx="13">
                  <c:v>22.708461538461489</c:v>
                </c:pt>
                <c:pt idx="14">
                  <c:v>22.708461538461489</c:v>
                </c:pt>
                <c:pt idx="15">
                  <c:v>22.708461538461489</c:v>
                </c:pt>
                <c:pt idx="16">
                  <c:v>22.708461538461489</c:v>
                </c:pt>
                <c:pt idx="17">
                  <c:v>22.708461538461489</c:v>
                </c:pt>
                <c:pt idx="18">
                  <c:v>22.708461538461489</c:v>
                </c:pt>
                <c:pt idx="19">
                  <c:v>22.708461538461489</c:v>
                </c:pt>
                <c:pt idx="20">
                  <c:v>22.708461538461489</c:v>
                </c:pt>
                <c:pt idx="21">
                  <c:v>22.708461538461489</c:v>
                </c:pt>
                <c:pt idx="22">
                  <c:v>22.708461538461489</c:v>
                </c:pt>
                <c:pt idx="23">
                  <c:v>22.708461538461489</c:v>
                </c:pt>
                <c:pt idx="24">
                  <c:v>22.708461538461489</c:v>
                </c:pt>
                <c:pt idx="25">
                  <c:v>22.708461538461489</c:v>
                </c:pt>
              </c:numCache>
            </c:numRef>
          </c:val>
        </c:ser>
        <c:dLbls>
          <c:showLegendKey val="0"/>
          <c:showVal val="0"/>
          <c:showCatName val="0"/>
          <c:showSerName val="0"/>
          <c:showPercent val="0"/>
          <c:showBubbleSize val="0"/>
        </c:dLbls>
        <c:gapWidth val="150"/>
        <c:axId val="231983360"/>
        <c:axId val="231985152"/>
      </c:barChart>
      <c:catAx>
        <c:axId val="231983360"/>
        <c:scaling>
          <c:orientation val="minMax"/>
        </c:scaling>
        <c:delete val="0"/>
        <c:axPos val="l"/>
        <c:majorTickMark val="none"/>
        <c:minorTickMark val="none"/>
        <c:tickLblPos val="nextTo"/>
        <c:crossAx val="231985152"/>
        <c:crosses val="autoZero"/>
        <c:auto val="1"/>
        <c:lblAlgn val="ctr"/>
        <c:lblOffset val="100"/>
        <c:tickLblSkip val="1"/>
        <c:noMultiLvlLbl val="0"/>
      </c:catAx>
      <c:valAx>
        <c:axId val="231985152"/>
        <c:scaling>
          <c:orientation val="minMax"/>
        </c:scaling>
        <c:delete val="0"/>
        <c:axPos val="b"/>
        <c:numFmt formatCode="General" sourceLinked="1"/>
        <c:majorTickMark val="out"/>
        <c:minorTickMark val="none"/>
        <c:tickLblPos val="nextTo"/>
        <c:crossAx val="231983360"/>
        <c:crosses val="autoZero"/>
        <c:crossBetween val="between"/>
      </c:valAx>
    </c:plotArea>
    <c:plotVisOnly val="1"/>
    <c:dispBlanksAs val="gap"/>
    <c:showDLblsOverMax val="0"/>
  </c:chart>
  <c:txPr>
    <a:bodyPr/>
    <a:lstStyle/>
    <a:p>
      <a:pPr>
        <a:defRPr sz="800" baseline="0">
          <a:latin typeface="Times New Roman" pitchFamily="18" charset="0"/>
        </a:defRPr>
      </a:pPr>
      <a:endParaRPr lang="ru-RU"/>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38589732183791"/>
          <c:y val="2.8833543806659794E-2"/>
          <c:w val="0.80988537980186359"/>
          <c:h val="0.85644104874359983"/>
        </c:manualLayout>
      </c:layout>
      <c:scatterChart>
        <c:scatterStyle val="lineMarker"/>
        <c:varyColors val="0"/>
        <c:ser>
          <c:idx val="0"/>
          <c:order val="0"/>
          <c:tx>
            <c:strRef>
              <c:f>Медперсонал!$A$2</c:f>
              <c:strCache>
                <c:ptCount val="1"/>
                <c:pt idx="0">
                  <c:v>Безенчукский</c:v>
                </c:pt>
              </c:strCache>
            </c:strRef>
          </c:tx>
          <c:spPr>
            <a:ln w="31856">
              <a:noFill/>
            </a:ln>
          </c:spPr>
          <c:marker>
            <c:symbol val="circle"/>
            <c:size val="4"/>
            <c:spPr>
              <a:solidFill>
                <a:schemeClr val="accent1">
                  <a:lumMod val="50000"/>
                </a:schemeClr>
              </a:solidFill>
              <a:ln>
                <a:noFill/>
              </a:ln>
            </c:spPr>
          </c:marker>
          <c:dLbls>
            <c:dLbl>
              <c:idx val="0"/>
              <c:layout>
                <c:manualLayout>
                  <c:x val="-9.559390353497256E-2"/>
                  <c:y val="-2.4247364127430841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c:f>
              <c:numCache>
                <c:formatCode>General</c:formatCode>
                <c:ptCount val="1"/>
                <c:pt idx="0">
                  <c:v>26.4</c:v>
                </c:pt>
              </c:numCache>
            </c:numRef>
          </c:xVal>
          <c:yVal>
            <c:numRef>
              <c:f>Медперсонал!$C$2</c:f>
              <c:numCache>
                <c:formatCode>General</c:formatCode>
                <c:ptCount val="1"/>
                <c:pt idx="0">
                  <c:v>80.900000000000006</c:v>
                </c:pt>
              </c:numCache>
            </c:numRef>
          </c:yVal>
          <c:smooth val="0"/>
        </c:ser>
        <c:ser>
          <c:idx val="1"/>
          <c:order val="1"/>
          <c:tx>
            <c:strRef>
              <c:f>Медперсонал!$A$3</c:f>
              <c:strCache>
                <c:ptCount val="1"/>
                <c:pt idx="0">
                  <c:v>Богатовский</c:v>
                </c:pt>
              </c:strCache>
            </c:strRef>
          </c:tx>
          <c:spPr>
            <a:ln w="31856">
              <a:noFill/>
            </a:ln>
          </c:spPr>
          <c:marker>
            <c:symbol val="circle"/>
            <c:size val="4"/>
            <c:spPr>
              <a:solidFill>
                <a:schemeClr val="accent1">
                  <a:lumMod val="50000"/>
                </a:schemeClr>
              </a:solidFill>
              <a:ln>
                <a:noFill/>
              </a:ln>
            </c:spPr>
          </c:marker>
          <c:dLbls>
            <c:dLbl>
              <c:idx val="0"/>
              <c:layout>
                <c:manualLayout>
                  <c:x val="-5.2971330075116424E-2"/>
                  <c:y val="-2.1253862383303741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Медперсонал!$B$3</c:f>
              <c:numCache>
                <c:formatCode>General</c:formatCode>
                <c:ptCount val="1"/>
                <c:pt idx="0">
                  <c:v>27.3</c:v>
                </c:pt>
              </c:numCache>
            </c:numRef>
          </c:xVal>
          <c:yVal>
            <c:numRef>
              <c:f>Медперсонал!$C$3</c:f>
              <c:numCache>
                <c:formatCode>General</c:formatCode>
                <c:ptCount val="1"/>
                <c:pt idx="0">
                  <c:v>84.5</c:v>
                </c:pt>
              </c:numCache>
            </c:numRef>
          </c:yVal>
          <c:smooth val="0"/>
        </c:ser>
        <c:ser>
          <c:idx val="2"/>
          <c:order val="2"/>
          <c:tx>
            <c:strRef>
              <c:f>Медперсонал!$A$4</c:f>
              <c:strCache>
                <c:ptCount val="1"/>
                <c:pt idx="0">
                  <c:v>Большеглушицкий</c:v>
                </c:pt>
              </c:strCache>
            </c:strRef>
          </c:tx>
          <c:spPr>
            <a:ln w="31856">
              <a:noFill/>
            </a:ln>
          </c:spPr>
          <c:marker>
            <c:symbol val="circle"/>
            <c:size val="4"/>
            <c:spPr>
              <a:solidFill>
                <a:schemeClr val="accent1">
                  <a:lumMod val="50000"/>
                </a:schemeClr>
              </a:solidFill>
              <a:ln>
                <a:noFill/>
              </a:ln>
            </c:spPr>
          </c:marker>
          <c:dLbls>
            <c:dLbl>
              <c:idx val="0"/>
              <c:layout>
                <c:manualLayout>
                  <c:x val="5.1790680764893134E-3"/>
                  <c:y val="-5.8580707753382814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Медперсонал!$B$4</c:f>
              <c:numCache>
                <c:formatCode>General</c:formatCode>
                <c:ptCount val="1"/>
                <c:pt idx="0">
                  <c:v>20.2</c:v>
                </c:pt>
              </c:numCache>
            </c:numRef>
          </c:xVal>
          <c:yVal>
            <c:numRef>
              <c:f>Медперсонал!$C$4</c:f>
              <c:numCache>
                <c:formatCode>General</c:formatCode>
                <c:ptCount val="1"/>
                <c:pt idx="0">
                  <c:v>71.099999999999994</c:v>
                </c:pt>
              </c:numCache>
            </c:numRef>
          </c:yVal>
          <c:smooth val="0"/>
        </c:ser>
        <c:ser>
          <c:idx val="3"/>
          <c:order val="3"/>
          <c:tx>
            <c:strRef>
              <c:f>Медперсонал!$A$5</c:f>
              <c:strCache>
                <c:ptCount val="1"/>
                <c:pt idx="0">
                  <c:v>Большечерниговский</c:v>
                </c:pt>
              </c:strCache>
            </c:strRef>
          </c:tx>
          <c:spPr>
            <a:ln w="31856">
              <a:noFill/>
            </a:ln>
          </c:spPr>
          <c:marker>
            <c:symbol val="circle"/>
            <c:size val="4"/>
            <c:spPr>
              <a:solidFill>
                <a:schemeClr val="accent1">
                  <a:lumMod val="50000"/>
                </a:schemeClr>
              </a:solidFill>
              <a:ln>
                <a:noFill/>
              </a:ln>
            </c:spPr>
          </c:marker>
          <c:dLbls>
            <c:dLbl>
              <c:idx val="0"/>
              <c:layout>
                <c:manualLayout>
                  <c:x val="-3.7322466689626468E-3"/>
                  <c:y val="5.2604948624942229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Медперсонал!$B$5</c:f>
              <c:numCache>
                <c:formatCode>General</c:formatCode>
                <c:ptCount val="1"/>
                <c:pt idx="0">
                  <c:v>23.6</c:v>
                </c:pt>
              </c:numCache>
            </c:numRef>
          </c:xVal>
          <c:yVal>
            <c:numRef>
              <c:f>Медперсонал!$C$5</c:f>
              <c:numCache>
                <c:formatCode>General</c:formatCode>
                <c:ptCount val="1"/>
                <c:pt idx="0">
                  <c:v>63.9</c:v>
                </c:pt>
              </c:numCache>
            </c:numRef>
          </c:yVal>
          <c:smooth val="0"/>
        </c:ser>
        <c:ser>
          <c:idx val="4"/>
          <c:order val="4"/>
          <c:tx>
            <c:strRef>
              <c:f>Медперсонал!$A$6</c:f>
              <c:strCache>
                <c:ptCount val="1"/>
                <c:pt idx="0">
                  <c:v>Борский</c:v>
                </c:pt>
              </c:strCache>
            </c:strRef>
          </c:tx>
          <c:spPr>
            <a:ln w="31856">
              <a:noFill/>
            </a:ln>
          </c:spPr>
          <c:marker>
            <c:symbol val="circle"/>
            <c:size val="4"/>
            <c:spPr>
              <a:solidFill>
                <a:schemeClr val="accent1">
                  <a:lumMod val="50000"/>
                </a:schemeClr>
              </a:solidFill>
              <a:ln>
                <a:noFill/>
              </a:ln>
            </c:spPr>
          </c:marker>
          <c:dLbls>
            <c:spPr>
              <a:noFill/>
              <a:ln w="16990">
                <a:noFill/>
              </a:ln>
            </c:spPr>
            <c:dLblPos val="t"/>
            <c:showLegendKey val="0"/>
            <c:showVal val="0"/>
            <c:showCatName val="0"/>
            <c:showSerName val="1"/>
            <c:showPercent val="0"/>
            <c:showBubbleSize val="0"/>
            <c:showLeaderLines val="0"/>
          </c:dLbls>
          <c:xVal>
            <c:numRef>
              <c:f>Медперсонал!$B$6</c:f>
              <c:numCache>
                <c:formatCode>General</c:formatCode>
                <c:ptCount val="1"/>
                <c:pt idx="0">
                  <c:v>22.1</c:v>
                </c:pt>
              </c:numCache>
            </c:numRef>
          </c:xVal>
          <c:yVal>
            <c:numRef>
              <c:f>Медперсонал!$C$6</c:f>
              <c:numCache>
                <c:formatCode>General</c:formatCode>
                <c:ptCount val="1"/>
                <c:pt idx="0">
                  <c:v>84.7</c:v>
                </c:pt>
              </c:numCache>
            </c:numRef>
          </c:yVal>
          <c:smooth val="0"/>
        </c:ser>
        <c:ser>
          <c:idx val="5"/>
          <c:order val="5"/>
          <c:tx>
            <c:strRef>
              <c:f>Медперсонал!$A$7</c:f>
              <c:strCache>
                <c:ptCount val="1"/>
                <c:pt idx="0">
                  <c:v>Волжский</c:v>
                </c:pt>
              </c:strCache>
            </c:strRef>
          </c:tx>
          <c:spPr>
            <a:ln w="31856">
              <a:noFill/>
            </a:ln>
          </c:spPr>
          <c:marker>
            <c:symbol val="circle"/>
            <c:size val="4"/>
            <c:spPr>
              <a:solidFill>
                <a:schemeClr val="accent1">
                  <a:lumMod val="50000"/>
                </a:schemeClr>
              </a:solidFill>
              <a:ln>
                <a:noFill/>
              </a:ln>
            </c:spPr>
          </c:marker>
          <c:dLbls>
            <c:dLbl>
              <c:idx val="0"/>
              <c:layout>
                <c:manualLayout>
                  <c:x val="-5.231428820345578E-2"/>
                  <c:y val="-3.0578512396694214E-2"/>
                </c:manualLayout>
              </c:layout>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Медперсонал!$B$7</c:f>
              <c:numCache>
                <c:formatCode>General</c:formatCode>
                <c:ptCount val="1"/>
                <c:pt idx="0">
                  <c:v>22.5</c:v>
                </c:pt>
              </c:numCache>
            </c:numRef>
          </c:xVal>
          <c:yVal>
            <c:numRef>
              <c:f>Медперсонал!$C$7</c:f>
              <c:numCache>
                <c:formatCode>General</c:formatCode>
                <c:ptCount val="1"/>
                <c:pt idx="0">
                  <c:v>46.2</c:v>
                </c:pt>
              </c:numCache>
            </c:numRef>
          </c:yVal>
          <c:smooth val="0"/>
        </c:ser>
        <c:ser>
          <c:idx val="6"/>
          <c:order val="6"/>
          <c:tx>
            <c:strRef>
              <c:f>Медперсонал!$A$8</c:f>
              <c:strCache>
                <c:ptCount val="1"/>
                <c:pt idx="0">
                  <c:v>Елховский</c:v>
                </c:pt>
              </c:strCache>
            </c:strRef>
          </c:tx>
          <c:spPr>
            <a:ln w="31856">
              <a:noFill/>
            </a:ln>
          </c:spPr>
          <c:marker>
            <c:symbol val="circle"/>
            <c:size val="4"/>
            <c:spPr>
              <a:solidFill>
                <a:schemeClr val="accent1">
                  <a:lumMod val="50000"/>
                </a:schemeClr>
              </a:solidFill>
            </c:spPr>
          </c:marker>
          <c:dLbls>
            <c:dLbl>
              <c:idx val="0"/>
              <c:layout>
                <c:manualLayout>
                  <c:x val="1.6812821359083224E-3"/>
                  <c:y val="5.6876533138418145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Медперсонал!$B$8</c:f>
              <c:numCache>
                <c:formatCode>General</c:formatCode>
                <c:ptCount val="1"/>
                <c:pt idx="0">
                  <c:v>15.8</c:v>
                </c:pt>
              </c:numCache>
            </c:numRef>
          </c:xVal>
          <c:yVal>
            <c:numRef>
              <c:f>Медперсонал!$C$8</c:f>
              <c:numCache>
                <c:formatCode>General</c:formatCode>
                <c:ptCount val="1"/>
                <c:pt idx="0">
                  <c:v>55.1</c:v>
                </c:pt>
              </c:numCache>
            </c:numRef>
          </c:yVal>
          <c:smooth val="0"/>
        </c:ser>
        <c:ser>
          <c:idx val="7"/>
          <c:order val="7"/>
          <c:tx>
            <c:strRef>
              <c:f>Медперсонал!$A$9</c:f>
              <c:strCache>
                <c:ptCount val="1"/>
                <c:pt idx="0">
                  <c:v>Исаклинский</c:v>
                </c:pt>
              </c:strCache>
            </c:strRef>
          </c:tx>
          <c:spPr>
            <a:ln w="31856">
              <a:noFill/>
            </a:ln>
          </c:spPr>
          <c:marker>
            <c:symbol val="circle"/>
            <c:size val="4"/>
            <c:spPr>
              <a:solidFill>
                <a:schemeClr val="accent1">
                  <a:lumMod val="50000"/>
                </a:schemeClr>
              </a:solidFill>
              <a:ln>
                <a:noFill/>
              </a:ln>
            </c:spPr>
          </c:marker>
          <c:dLbls>
            <c:dLbl>
              <c:idx val="0"/>
              <c:layout>
                <c:manualLayout>
                  <c:x val="-6.8624410676805941E-2"/>
                  <c:y val="-2.1253862383303741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Медперсонал!$B$9</c:f>
              <c:numCache>
                <c:formatCode>General</c:formatCode>
                <c:ptCount val="1"/>
                <c:pt idx="0">
                  <c:v>20.7</c:v>
                </c:pt>
              </c:numCache>
            </c:numRef>
          </c:xVal>
          <c:yVal>
            <c:numRef>
              <c:f>Медперсонал!$C$9</c:f>
              <c:numCache>
                <c:formatCode>General</c:formatCode>
                <c:ptCount val="1"/>
                <c:pt idx="0">
                  <c:v>94.8</c:v>
                </c:pt>
              </c:numCache>
            </c:numRef>
          </c:yVal>
          <c:smooth val="0"/>
        </c:ser>
        <c:ser>
          <c:idx val="8"/>
          <c:order val="8"/>
          <c:tx>
            <c:strRef>
              <c:f>Медперсонал!$A$10</c:f>
              <c:strCache>
                <c:ptCount val="1"/>
                <c:pt idx="0">
                  <c:v>Камышлинский</c:v>
                </c:pt>
              </c:strCache>
            </c:strRef>
          </c:tx>
          <c:spPr>
            <a:ln w="31856">
              <a:noFill/>
            </a:ln>
          </c:spPr>
          <c:marker>
            <c:symbol val="circle"/>
            <c:size val="4"/>
            <c:spPr>
              <a:solidFill>
                <a:schemeClr val="accent1">
                  <a:lumMod val="50000"/>
                </a:schemeClr>
              </a:solidFill>
              <a:ln>
                <a:noFill/>
              </a:ln>
            </c:spPr>
          </c:marker>
          <c:dPt>
            <c:idx val="0"/>
            <c:marker>
              <c:spPr>
                <a:solidFill>
                  <a:srgbClr val="C00000"/>
                </a:solidFill>
                <a:ln>
                  <a:noFill/>
                </a:ln>
              </c:spPr>
            </c:marker>
            <c:bubble3D val="0"/>
          </c:dPt>
          <c:dLbls>
            <c:dLbl>
              <c:idx val="0"/>
              <c:layout>
                <c:manualLayout>
                  <c:x val="-8.2699645835336066E-2"/>
                  <c:y val="-5.1447298435763636E-2"/>
                </c:manualLayout>
              </c:layout>
              <c:tx>
                <c:rich>
                  <a:bodyPr/>
                  <a:lstStyle/>
                  <a:p>
                    <a:r>
                      <a:rPr lang="ru-RU" b="1"/>
                      <a:t>К</a:t>
                    </a:r>
                    <a:r>
                      <a:rPr lang="ru-RU"/>
                      <a:t>амышлинский</a:t>
                    </a:r>
                  </a:p>
                </c:rich>
              </c:tx>
              <c:dLblPos val="r"/>
              <c:showLegendKey val="0"/>
              <c:showVal val="0"/>
              <c:showCatName val="0"/>
              <c:showSerName val="1"/>
              <c:showPercent val="0"/>
              <c:showBubbleSize val="0"/>
            </c:dLbl>
            <c:spPr>
              <a:noFill/>
              <a:ln w="16990">
                <a:noFill/>
              </a:ln>
            </c:spPr>
            <c:txPr>
              <a:bodyPr/>
              <a:lstStyle/>
              <a:p>
                <a:pPr>
                  <a:defRPr b="1"/>
                </a:pPr>
                <a:endParaRPr lang="ru-RU"/>
              </a:p>
            </c:txPr>
            <c:dLblPos val="t"/>
            <c:showLegendKey val="0"/>
            <c:showVal val="0"/>
            <c:showCatName val="0"/>
            <c:showSerName val="1"/>
            <c:showPercent val="0"/>
            <c:showBubbleSize val="0"/>
            <c:showLeaderLines val="0"/>
          </c:dLbls>
          <c:xVal>
            <c:numRef>
              <c:f>Медперсонал!$B$10</c:f>
              <c:numCache>
                <c:formatCode>General</c:formatCode>
                <c:ptCount val="1"/>
                <c:pt idx="0">
                  <c:v>20.3</c:v>
                </c:pt>
              </c:numCache>
            </c:numRef>
          </c:xVal>
          <c:yVal>
            <c:numRef>
              <c:f>Медперсонал!$C$10</c:f>
              <c:numCache>
                <c:formatCode>General</c:formatCode>
                <c:ptCount val="1"/>
                <c:pt idx="0">
                  <c:v>73.3</c:v>
                </c:pt>
              </c:numCache>
            </c:numRef>
          </c:yVal>
          <c:smooth val="0"/>
        </c:ser>
        <c:ser>
          <c:idx val="9"/>
          <c:order val="9"/>
          <c:tx>
            <c:strRef>
              <c:f>Медперсонал!$A$11</c:f>
              <c:strCache>
                <c:ptCount val="1"/>
                <c:pt idx="0">
                  <c:v>Кинельский</c:v>
                </c:pt>
              </c:strCache>
            </c:strRef>
          </c:tx>
          <c:spPr>
            <a:ln w="31856">
              <a:noFill/>
            </a:ln>
          </c:spPr>
          <c:marker>
            <c:symbol val="circle"/>
            <c:size val="4"/>
            <c:spPr>
              <a:solidFill>
                <a:schemeClr val="accent1">
                  <a:lumMod val="50000"/>
                </a:schemeClr>
              </a:solidFill>
              <a:ln>
                <a:noFill/>
              </a:ln>
            </c:spPr>
          </c:marker>
          <c:dLbls>
            <c:dLbl>
              <c:idx val="0"/>
              <c:layout>
                <c:manualLayout>
                  <c:x val="-7.4747648454315974E-2"/>
                  <c:y val="2.9127458659597903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Медперсонал!$B$11</c:f>
              <c:numCache>
                <c:formatCode>General</c:formatCode>
                <c:ptCount val="1"/>
                <c:pt idx="0">
                  <c:v>20</c:v>
                </c:pt>
              </c:numCache>
            </c:numRef>
          </c:xVal>
          <c:yVal>
            <c:numRef>
              <c:f>Медперсонал!$C$11</c:f>
              <c:numCache>
                <c:formatCode>General</c:formatCode>
                <c:ptCount val="1"/>
                <c:pt idx="0">
                  <c:v>52.9</c:v>
                </c:pt>
              </c:numCache>
            </c:numRef>
          </c:yVal>
          <c:smooth val="0"/>
        </c:ser>
        <c:ser>
          <c:idx val="10"/>
          <c:order val="10"/>
          <c:tx>
            <c:strRef>
              <c:f>Медперсонал!$A$12</c:f>
              <c:strCache>
                <c:ptCount val="1"/>
                <c:pt idx="0">
                  <c:v>Кинель-Черкасский</c:v>
                </c:pt>
              </c:strCache>
            </c:strRef>
          </c:tx>
          <c:spPr>
            <a:ln w="31856">
              <a:noFill/>
            </a:ln>
          </c:spPr>
          <c:marker>
            <c:symbol val="circle"/>
            <c:size val="4"/>
            <c:spPr>
              <a:solidFill>
                <a:schemeClr val="accent1">
                  <a:lumMod val="50000"/>
                </a:schemeClr>
              </a:solidFill>
              <a:ln>
                <a:noFill/>
              </a:ln>
            </c:spPr>
          </c:marker>
          <c:dLbls>
            <c:dLbl>
              <c:idx val="0"/>
              <c:layout>
                <c:manualLayout>
                  <c:x val="-1.5085423162729341E-3"/>
                  <c:y val="1.4172227233653183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Медперсонал!$B$12</c:f>
              <c:numCache>
                <c:formatCode>General</c:formatCode>
                <c:ptCount val="1"/>
                <c:pt idx="0">
                  <c:v>27.6</c:v>
                </c:pt>
              </c:numCache>
            </c:numRef>
          </c:xVal>
          <c:yVal>
            <c:numRef>
              <c:f>Медперсонал!$C$12</c:f>
              <c:numCache>
                <c:formatCode>General</c:formatCode>
                <c:ptCount val="1"/>
                <c:pt idx="0">
                  <c:v>101.8</c:v>
                </c:pt>
              </c:numCache>
            </c:numRef>
          </c:yVal>
          <c:smooth val="0"/>
        </c:ser>
        <c:ser>
          <c:idx val="11"/>
          <c:order val="11"/>
          <c:tx>
            <c:strRef>
              <c:f>Медперсонал!$A$13</c:f>
              <c:strCache>
                <c:ptCount val="1"/>
                <c:pt idx="0">
                  <c:v>Клявлинский</c:v>
                </c:pt>
              </c:strCache>
            </c:strRef>
          </c:tx>
          <c:spPr>
            <a:ln w="31856">
              <a:noFill/>
            </a:ln>
          </c:spPr>
          <c:marker>
            <c:symbol val="circle"/>
            <c:size val="4"/>
            <c:spPr>
              <a:solidFill>
                <a:schemeClr val="accent1">
                  <a:lumMod val="50000"/>
                </a:schemeClr>
              </a:solidFill>
              <a:ln>
                <a:noFill/>
              </a:ln>
            </c:spPr>
          </c:marker>
          <c:dLbls>
            <c:dLbl>
              <c:idx val="0"/>
              <c:layout>
                <c:manualLayout>
                  <c:x val="-7.8575904788312625E-2"/>
                  <c:y val="-3.0234367615685528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Медперсонал!$B$13</c:f>
              <c:numCache>
                <c:formatCode>General</c:formatCode>
                <c:ptCount val="1"/>
                <c:pt idx="0">
                  <c:v>25.9</c:v>
                </c:pt>
              </c:numCache>
            </c:numRef>
          </c:xVal>
          <c:yVal>
            <c:numRef>
              <c:f>Медперсонал!$C$13</c:f>
              <c:numCache>
                <c:formatCode>General</c:formatCode>
                <c:ptCount val="1"/>
                <c:pt idx="0">
                  <c:v>102.5</c:v>
                </c:pt>
              </c:numCache>
            </c:numRef>
          </c:yVal>
          <c:smooth val="0"/>
        </c:ser>
        <c:ser>
          <c:idx val="12"/>
          <c:order val="12"/>
          <c:tx>
            <c:strRef>
              <c:f>Медперсонал!$A$14</c:f>
              <c:strCache>
                <c:ptCount val="1"/>
                <c:pt idx="0">
                  <c:v>Кошкинский</c:v>
                </c:pt>
              </c:strCache>
            </c:strRef>
          </c:tx>
          <c:spPr>
            <a:ln w="31856">
              <a:noFill/>
            </a:ln>
          </c:spPr>
          <c:marker>
            <c:symbol val="circle"/>
            <c:size val="4"/>
            <c:spPr>
              <a:solidFill>
                <a:schemeClr val="accent1">
                  <a:lumMod val="50000"/>
                </a:schemeClr>
              </a:solidFill>
              <a:ln>
                <a:noFill/>
              </a:ln>
            </c:spPr>
          </c:marker>
          <c:dLbls>
            <c:dLbl>
              <c:idx val="0"/>
              <c:layout>
                <c:manualLayout>
                  <c:x val="8.0703105779887104E-5"/>
                  <c:y val="-1.2273357150921689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Медперсонал!$B$14</c:f>
              <c:numCache>
                <c:formatCode>General</c:formatCode>
                <c:ptCount val="1"/>
                <c:pt idx="0">
                  <c:v>17.899999999999999</c:v>
                </c:pt>
              </c:numCache>
            </c:numRef>
          </c:xVal>
          <c:yVal>
            <c:numRef>
              <c:f>Медперсонал!$C$14</c:f>
              <c:numCache>
                <c:formatCode>General</c:formatCode>
                <c:ptCount val="1"/>
                <c:pt idx="0">
                  <c:v>64.8</c:v>
                </c:pt>
              </c:numCache>
            </c:numRef>
          </c:yVal>
          <c:smooth val="0"/>
        </c:ser>
        <c:ser>
          <c:idx val="13"/>
          <c:order val="13"/>
          <c:tx>
            <c:strRef>
              <c:f>Медперсонал!$A$15</c:f>
              <c:strCache>
                <c:ptCount val="1"/>
                <c:pt idx="0">
                  <c:v>Красноармейский</c:v>
                </c:pt>
              </c:strCache>
            </c:strRef>
          </c:tx>
          <c:spPr>
            <a:ln w="31856">
              <a:noFill/>
            </a:ln>
          </c:spPr>
          <c:marker>
            <c:symbol val="circle"/>
            <c:size val="4"/>
            <c:spPr>
              <a:solidFill>
                <a:schemeClr val="accent1">
                  <a:lumMod val="50000"/>
                </a:schemeClr>
              </a:solidFill>
              <a:ln>
                <a:noFill/>
              </a:ln>
            </c:spPr>
          </c:marker>
          <c:dLbls>
            <c:dLbl>
              <c:idx val="0"/>
              <c:layout>
                <c:manualLayout>
                  <c:x val="1.0485541540311621E-3"/>
                  <c:y val="-1.8260360639176281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Медперсонал!$B$15</c:f>
              <c:numCache>
                <c:formatCode>General</c:formatCode>
                <c:ptCount val="1"/>
                <c:pt idx="0">
                  <c:v>22.6</c:v>
                </c:pt>
              </c:numCache>
            </c:numRef>
          </c:xVal>
          <c:yVal>
            <c:numRef>
              <c:f>Медперсонал!$C$15</c:f>
              <c:numCache>
                <c:formatCode>General</c:formatCode>
                <c:ptCount val="1"/>
                <c:pt idx="0">
                  <c:v>65.8</c:v>
                </c:pt>
              </c:numCache>
            </c:numRef>
          </c:yVal>
          <c:smooth val="0"/>
        </c:ser>
        <c:ser>
          <c:idx val="14"/>
          <c:order val="14"/>
          <c:tx>
            <c:strRef>
              <c:f>Медперсонал!$A$16</c:f>
              <c:strCache>
                <c:ptCount val="1"/>
                <c:pt idx="0">
                  <c:v>Красноярский</c:v>
                </c:pt>
              </c:strCache>
            </c:strRef>
          </c:tx>
          <c:spPr>
            <a:ln w="31856">
              <a:noFill/>
            </a:ln>
          </c:spPr>
          <c:marker>
            <c:symbol val="circle"/>
            <c:size val="4"/>
            <c:spPr>
              <a:solidFill>
                <a:schemeClr val="accent1">
                  <a:lumMod val="75000"/>
                </a:schemeClr>
              </a:solidFill>
              <a:ln>
                <a:noFill/>
              </a:ln>
            </c:spPr>
          </c:marker>
          <c:dLbls>
            <c:spPr>
              <a:noFill/>
              <a:ln w="16990">
                <a:noFill/>
              </a:ln>
            </c:spPr>
            <c:dLblPos val="t"/>
            <c:showLegendKey val="0"/>
            <c:showVal val="0"/>
            <c:showCatName val="0"/>
            <c:showSerName val="1"/>
            <c:showPercent val="0"/>
            <c:showBubbleSize val="0"/>
            <c:showLeaderLines val="0"/>
          </c:dLbls>
          <c:xVal>
            <c:numRef>
              <c:f>Медперсонал!$B$16</c:f>
              <c:numCache>
                <c:formatCode>General</c:formatCode>
                <c:ptCount val="1"/>
                <c:pt idx="0">
                  <c:v>29.6</c:v>
                </c:pt>
              </c:numCache>
            </c:numRef>
          </c:xVal>
          <c:yVal>
            <c:numRef>
              <c:f>Медперсонал!$C$16</c:f>
              <c:numCache>
                <c:formatCode>General</c:formatCode>
                <c:ptCount val="1"/>
                <c:pt idx="0">
                  <c:v>69.599999999999994</c:v>
                </c:pt>
              </c:numCache>
            </c:numRef>
          </c:yVal>
          <c:smooth val="0"/>
        </c:ser>
        <c:ser>
          <c:idx val="15"/>
          <c:order val="15"/>
          <c:tx>
            <c:strRef>
              <c:f>Медперсонал!$A$17</c:f>
              <c:strCache>
                <c:ptCount val="1"/>
                <c:pt idx="0">
                  <c:v>Нефтегорский</c:v>
                </c:pt>
              </c:strCache>
            </c:strRef>
          </c:tx>
          <c:spPr>
            <a:ln w="31856">
              <a:noFill/>
            </a:ln>
          </c:spPr>
          <c:marker>
            <c:symbol val="circle"/>
            <c:size val="4"/>
            <c:spPr>
              <a:solidFill>
                <a:schemeClr val="accent1">
                  <a:lumMod val="50000"/>
                </a:schemeClr>
              </a:solidFill>
              <a:ln>
                <a:noFill/>
              </a:ln>
            </c:spPr>
          </c:marker>
          <c:dLbls>
            <c:dLbl>
              <c:idx val="0"/>
              <c:layout>
                <c:manualLayout>
                  <c:x val="-0.14847925451434332"/>
                  <c:y val="-3.3889503957904292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Медперсонал!$B$17</c:f>
              <c:numCache>
                <c:formatCode>General</c:formatCode>
                <c:ptCount val="1"/>
                <c:pt idx="0">
                  <c:v>19.3</c:v>
                </c:pt>
              </c:numCache>
            </c:numRef>
          </c:xVal>
          <c:yVal>
            <c:numRef>
              <c:f>Медперсонал!$C$17</c:f>
              <c:numCache>
                <c:formatCode>General</c:formatCode>
                <c:ptCount val="1"/>
                <c:pt idx="0">
                  <c:v>74.099999999999994</c:v>
                </c:pt>
              </c:numCache>
            </c:numRef>
          </c:yVal>
          <c:smooth val="0"/>
        </c:ser>
        <c:ser>
          <c:idx val="16"/>
          <c:order val="16"/>
          <c:tx>
            <c:strRef>
              <c:f>Медперсонал!$A$18</c:f>
              <c:strCache>
                <c:ptCount val="1"/>
                <c:pt idx="0">
                  <c:v>Пестравский</c:v>
                </c:pt>
              </c:strCache>
            </c:strRef>
          </c:tx>
          <c:spPr>
            <a:ln w="31856">
              <a:noFill/>
            </a:ln>
          </c:spPr>
          <c:marker>
            <c:symbol val="circle"/>
            <c:size val="4"/>
            <c:spPr>
              <a:solidFill>
                <a:schemeClr val="accent1">
                  <a:lumMod val="50000"/>
                </a:schemeClr>
              </a:solidFill>
              <a:ln>
                <a:noFill/>
              </a:ln>
            </c:spPr>
          </c:marker>
          <c:dLbls>
            <c:dLbl>
              <c:idx val="0"/>
              <c:layout>
                <c:manualLayout>
                  <c:x val="-5.5128232936129534E-3"/>
                  <c:y val="-2.5110058330856428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1"/>
            <c:showCatName val="0"/>
            <c:showSerName val="0"/>
            <c:showPercent val="0"/>
            <c:showBubbleSize val="0"/>
            <c:showLeaderLines val="0"/>
          </c:dLbls>
          <c:xVal>
            <c:numRef>
              <c:f>Медперсонал!$B$18</c:f>
              <c:numCache>
                <c:formatCode>General</c:formatCode>
                <c:ptCount val="1"/>
                <c:pt idx="0">
                  <c:v>25</c:v>
                </c:pt>
              </c:numCache>
            </c:numRef>
          </c:xVal>
          <c:yVal>
            <c:numRef>
              <c:f>Медперсонал!$C$18</c:f>
              <c:numCache>
                <c:formatCode>General</c:formatCode>
                <c:ptCount val="1"/>
                <c:pt idx="0">
                  <c:v>97.8</c:v>
                </c:pt>
              </c:numCache>
            </c:numRef>
          </c:yVal>
          <c:smooth val="0"/>
        </c:ser>
        <c:ser>
          <c:idx val="17"/>
          <c:order val="17"/>
          <c:tx>
            <c:strRef>
              <c:f>Медперсонал!$A$19</c:f>
              <c:strCache>
                <c:ptCount val="1"/>
                <c:pt idx="0">
                  <c:v>Похвистневский</c:v>
                </c:pt>
              </c:strCache>
            </c:strRef>
          </c:tx>
          <c:spPr>
            <a:ln w="31856">
              <a:noFill/>
            </a:ln>
          </c:spPr>
          <c:marker>
            <c:symbol val="circle"/>
            <c:size val="4"/>
            <c:spPr>
              <a:solidFill>
                <a:schemeClr val="accent1">
                  <a:lumMod val="50000"/>
                </a:schemeClr>
              </a:solidFill>
              <a:ln>
                <a:noFill/>
              </a:ln>
            </c:spPr>
          </c:marker>
          <c:dLbls>
            <c:dLbl>
              <c:idx val="0"/>
              <c:layout>
                <c:manualLayout>
                  <c:x val="-0.10552136258107712"/>
                  <c:y val="-3.1889514800509215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Медперсонал!$B$19</c:f>
              <c:numCache>
                <c:formatCode>General</c:formatCode>
                <c:ptCount val="1"/>
                <c:pt idx="0">
                  <c:v>23</c:v>
                </c:pt>
              </c:numCache>
            </c:numRef>
          </c:xVal>
          <c:yVal>
            <c:numRef>
              <c:f>Медперсонал!$C$19</c:f>
              <c:numCache>
                <c:formatCode>General</c:formatCode>
                <c:ptCount val="1"/>
                <c:pt idx="0">
                  <c:v>103.6</c:v>
                </c:pt>
              </c:numCache>
            </c:numRef>
          </c:yVal>
          <c:smooth val="0"/>
        </c:ser>
        <c:ser>
          <c:idx val="18"/>
          <c:order val="18"/>
          <c:tx>
            <c:strRef>
              <c:f>Медперсонал!$A$20</c:f>
              <c:strCache>
                <c:ptCount val="1"/>
                <c:pt idx="0">
                  <c:v>Приволжский</c:v>
                </c:pt>
              </c:strCache>
            </c:strRef>
          </c:tx>
          <c:spPr>
            <a:ln w="31856">
              <a:noFill/>
            </a:ln>
          </c:spPr>
          <c:marker>
            <c:symbol val="circle"/>
            <c:size val="4"/>
            <c:spPr>
              <a:solidFill>
                <a:schemeClr val="accent1">
                  <a:lumMod val="50000"/>
                </a:schemeClr>
              </a:solidFill>
              <a:ln>
                <a:noFill/>
              </a:ln>
            </c:spPr>
          </c:marker>
          <c:dLbls>
            <c:dLbl>
              <c:idx val="0"/>
              <c:layout>
                <c:manualLayout>
                  <c:x val="-0.10127868502007707"/>
                  <c:y val="2.5258790582867802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Медперсонал!$B$20</c:f>
              <c:numCache>
                <c:formatCode>General</c:formatCode>
                <c:ptCount val="1"/>
                <c:pt idx="0">
                  <c:v>17.899999999999999</c:v>
                </c:pt>
              </c:numCache>
            </c:numRef>
          </c:xVal>
          <c:yVal>
            <c:numRef>
              <c:f>Медперсонал!$C$20</c:f>
              <c:numCache>
                <c:formatCode>General</c:formatCode>
                <c:ptCount val="1"/>
                <c:pt idx="0">
                  <c:v>93.9</c:v>
                </c:pt>
              </c:numCache>
            </c:numRef>
          </c:yVal>
          <c:smooth val="0"/>
        </c:ser>
        <c:ser>
          <c:idx val="19"/>
          <c:order val="19"/>
          <c:tx>
            <c:strRef>
              <c:f>Медперсонал!$A$21</c:f>
              <c:strCache>
                <c:ptCount val="1"/>
                <c:pt idx="0">
                  <c:v>Сергиевский</c:v>
                </c:pt>
              </c:strCache>
            </c:strRef>
          </c:tx>
          <c:spPr>
            <a:ln w="31856">
              <a:noFill/>
            </a:ln>
          </c:spPr>
          <c:marker>
            <c:symbol val="circle"/>
            <c:size val="4"/>
            <c:spPr>
              <a:solidFill>
                <a:schemeClr val="accent1">
                  <a:lumMod val="50000"/>
                </a:schemeClr>
              </a:solidFill>
              <a:ln>
                <a:noFill/>
              </a:ln>
            </c:spPr>
          </c:marker>
          <c:dLbls>
            <c:dLbl>
              <c:idx val="0"/>
              <c:layout>
                <c:manualLayout>
                  <c:x val="-6.5992864125867384E-2"/>
                  <c:y val="3.0674907360549567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Медперсонал!$B$21</c:f>
              <c:numCache>
                <c:formatCode>General</c:formatCode>
                <c:ptCount val="1"/>
                <c:pt idx="0">
                  <c:v>30.4</c:v>
                </c:pt>
              </c:numCache>
            </c:numRef>
          </c:xVal>
          <c:yVal>
            <c:numRef>
              <c:f>Медперсонал!$C$21</c:f>
              <c:numCache>
                <c:formatCode>General</c:formatCode>
                <c:ptCount val="1"/>
                <c:pt idx="0">
                  <c:v>110.9</c:v>
                </c:pt>
              </c:numCache>
            </c:numRef>
          </c:yVal>
          <c:smooth val="0"/>
        </c:ser>
        <c:ser>
          <c:idx val="20"/>
          <c:order val="20"/>
          <c:tx>
            <c:strRef>
              <c:f>Медперсонал!$A$22</c:f>
              <c:strCache>
                <c:ptCount val="1"/>
                <c:pt idx="0">
                  <c:v>Ставропольский</c:v>
                </c:pt>
              </c:strCache>
            </c:strRef>
          </c:tx>
          <c:spPr>
            <a:ln w="31856">
              <a:noFill/>
            </a:ln>
          </c:spPr>
          <c:marker>
            <c:symbol val="circle"/>
            <c:size val="4"/>
            <c:spPr>
              <a:solidFill>
                <a:schemeClr val="accent1">
                  <a:lumMod val="50000"/>
                </a:schemeClr>
              </a:solidFill>
              <a:ln>
                <a:noFill/>
              </a:ln>
            </c:spPr>
          </c:marker>
          <c:dLbls>
            <c:dLbl>
              <c:idx val="0"/>
              <c:layout>
                <c:manualLayout>
                  <c:x val="-5.3298660160978539E-3"/>
                  <c:y val="-1.2544256979794017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Медперсонал!$B$22</c:f>
              <c:numCache>
                <c:formatCode>General</c:formatCode>
                <c:ptCount val="1"/>
                <c:pt idx="0">
                  <c:v>15.5</c:v>
                </c:pt>
              </c:numCache>
            </c:numRef>
          </c:xVal>
          <c:yVal>
            <c:numRef>
              <c:f>Медперсонал!$C$22</c:f>
              <c:numCache>
                <c:formatCode>General</c:formatCode>
                <c:ptCount val="1"/>
                <c:pt idx="0">
                  <c:v>42.3</c:v>
                </c:pt>
              </c:numCache>
            </c:numRef>
          </c:yVal>
          <c:smooth val="0"/>
        </c:ser>
        <c:ser>
          <c:idx val="21"/>
          <c:order val="21"/>
          <c:tx>
            <c:strRef>
              <c:f>Медперсонал!$A$23</c:f>
              <c:strCache>
                <c:ptCount val="1"/>
                <c:pt idx="0">
                  <c:v>Сызранский</c:v>
                </c:pt>
              </c:strCache>
            </c:strRef>
          </c:tx>
          <c:spPr>
            <a:ln w="31856">
              <a:noFill/>
            </a:ln>
          </c:spPr>
          <c:marker>
            <c:symbol val="circle"/>
            <c:size val="4"/>
            <c:spPr>
              <a:solidFill>
                <a:schemeClr val="accent1">
                  <a:lumMod val="50000"/>
                </a:schemeClr>
              </a:solidFill>
              <a:ln>
                <a:noFill/>
              </a:ln>
            </c:spPr>
          </c:marker>
          <c:dLbls>
            <c:dLbl>
              <c:idx val="0"/>
              <c:layout>
                <c:manualLayout>
                  <c:x val="1.2414208983526258E-3"/>
                  <c:y val="3.2511314611612229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Медперсонал!$B$23</c:f>
              <c:numCache>
                <c:formatCode>General</c:formatCode>
                <c:ptCount val="1"/>
                <c:pt idx="0">
                  <c:v>17.2</c:v>
                </c:pt>
              </c:numCache>
            </c:numRef>
          </c:xVal>
          <c:yVal>
            <c:numRef>
              <c:f>Медперсонал!$C$23</c:f>
              <c:numCache>
                <c:formatCode>General</c:formatCode>
                <c:ptCount val="1"/>
                <c:pt idx="0">
                  <c:v>60.2</c:v>
                </c:pt>
              </c:numCache>
            </c:numRef>
          </c:yVal>
          <c:smooth val="0"/>
        </c:ser>
        <c:ser>
          <c:idx val="22"/>
          <c:order val="22"/>
          <c:tx>
            <c:strRef>
              <c:f>Медперсонал!$A$24</c:f>
              <c:strCache>
                <c:ptCount val="1"/>
                <c:pt idx="0">
                  <c:v>Хворостянский</c:v>
                </c:pt>
              </c:strCache>
            </c:strRef>
          </c:tx>
          <c:spPr>
            <a:ln w="31856">
              <a:noFill/>
            </a:ln>
          </c:spPr>
          <c:marker>
            <c:symbol val="circle"/>
            <c:size val="4"/>
            <c:spPr>
              <a:solidFill>
                <a:schemeClr val="accent1">
                  <a:lumMod val="50000"/>
                </a:schemeClr>
              </a:solidFill>
              <a:ln>
                <a:noFill/>
              </a:ln>
            </c:spPr>
          </c:marker>
          <c:dLbls>
            <c:dLbl>
              <c:idx val="0"/>
              <c:layout>
                <c:manualLayout>
                  <c:x val="-3.3393894524539692E-3"/>
                  <c:y val="3.6418810586499313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Медперсонал!$B$24</c:f>
              <c:numCache>
                <c:formatCode>General</c:formatCode>
                <c:ptCount val="1"/>
                <c:pt idx="0">
                  <c:v>22.4</c:v>
                </c:pt>
              </c:numCache>
            </c:numRef>
          </c:xVal>
          <c:yVal>
            <c:numRef>
              <c:f>Медперсонал!$C$24</c:f>
              <c:numCache>
                <c:formatCode>General</c:formatCode>
                <c:ptCount val="1"/>
                <c:pt idx="0">
                  <c:v>78.3</c:v>
                </c:pt>
              </c:numCache>
            </c:numRef>
          </c:yVal>
          <c:smooth val="0"/>
        </c:ser>
        <c:ser>
          <c:idx val="23"/>
          <c:order val="23"/>
          <c:tx>
            <c:strRef>
              <c:f>Медперсонал!$A$25</c:f>
              <c:strCache>
                <c:ptCount val="1"/>
                <c:pt idx="0">
                  <c:v>Челно-Вершинский</c:v>
                </c:pt>
              </c:strCache>
            </c:strRef>
          </c:tx>
          <c:spPr>
            <a:ln w="31856">
              <a:noFill/>
            </a:ln>
          </c:spPr>
          <c:marker>
            <c:symbol val="circle"/>
            <c:size val="4"/>
            <c:spPr>
              <a:solidFill>
                <a:schemeClr val="accent1">
                  <a:lumMod val="50000"/>
                </a:schemeClr>
              </a:solidFill>
              <a:ln>
                <a:noFill/>
              </a:ln>
            </c:spPr>
          </c:marker>
          <c:dLbls>
            <c:dLbl>
              <c:idx val="0"/>
              <c:layout>
                <c:manualLayout>
                  <c:x val="-7.5952601415936336E-2"/>
                  <c:y val="3.6014157135537878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1"/>
            <c:showCatName val="0"/>
            <c:showSerName val="0"/>
            <c:showPercent val="0"/>
            <c:showBubbleSize val="0"/>
            <c:showLeaderLines val="0"/>
          </c:dLbls>
          <c:xVal>
            <c:numRef>
              <c:f>Медперсонал!$B$25</c:f>
              <c:numCache>
                <c:formatCode>General</c:formatCode>
                <c:ptCount val="1"/>
                <c:pt idx="0">
                  <c:v>23.2</c:v>
                </c:pt>
              </c:numCache>
            </c:numRef>
          </c:xVal>
          <c:yVal>
            <c:numRef>
              <c:f>Медперсонал!$C$25</c:f>
              <c:numCache>
                <c:formatCode>General</c:formatCode>
                <c:ptCount val="1"/>
                <c:pt idx="0">
                  <c:v>96.9</c:v>
                </c:pt>
              </c:numCache>
            </c:numRef>
          </c:yVal>
          <c:smooth val="0"/>
        </c:ser>
        <c:ser>
          <c:idx val="24"/>
          <c:order val="24"/>
          <c:tx>
            <c:strRef>
              <c:f>Медперсонал!$A$26</c:f>
              <c:strCache>
                <c:ptCount val="1"/>
                <c:pt idx="0">
                  <c:v>Шенталинский</c:v>
                </c:pt>
              </c:strCache>
            </c:strRef>
          </c:tx>
          <c:spPr>
            <a:ln w="31856">
              <a:noFill/>
            </a:ln>
          </c:spPr>
          <c:marker>
            <c:symbol val="circle"/>
            <c:size val="4"/>
            <c:spPr>
              <a:solidFill>
                <a:srgbClr val="C00000"/>
              </a:solidFill>
              <a:ln>
                <a:noFill/>
              </a:ln>
            </c:spPr>
          </c:marker>
          <c:dPt>
            <c:idx val="0"/>
            <c:marker>
              <c:spPr>
                <a:solidFill>
                  <a:schemeClr val="tx2">
                    <a:lumMod val="75000"/>
                  </a:schemeClr>
                </a:solidFill>
                <a:ln>
                  <a:noFill/>
                </a:ln>
              </c:spPr>
            </c:marker>
            <c:bubble3D val="0"/>
          </c:dPt>
          <c:dLbls>
            <c:dLbl>
              <c:idx val="0"/>
              <c:layout>
                <c:manualLayout>
                  <c:x val="-6.849870322415047E-2"/>
                  <c:y val="-1.0128781618968026E-2"/>
                </c:manualLayout>
              </c:layout>
              <c:tx>
                <c:rich>
                  <a:bodyPr/>
                  <a:lstStyle/>
                  <a:p>
                    <a:r>
                      <a:rPr lang="ru-RU" b="0"/>
                      <a:t>Шенталинский</a:t>
                    </a:r>
                  </a:p>
                </c:rich>
              </c:tx>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Медперсонал!$B$26</c:f>
              <c:numCache>
                <c:formatCode>General</c:formatCode>
                <c:ptCount val="1"/>
                <c:pt idx="0">
                  <c:v>19.899999999999999</c:v>
                </c:pt>
              </c:numCache>
            </c:numRef>
          </c:xVal>
          <c:yVal>
            <c:numRef>
              <c:f>Медперсонал!$C$26</c:f>
              <c:numCache>
                <c:formatCode>General</c:formatCode>
                <c:ptCount val="1"/>
                <c:pt idx="0">
                  <c:v>101.9</c:v>
                </c:pt>
              </c:numCache>
            </c:numRef>
          </c:yVal>
          <c:smooth val="0"/>
        </c:ser>
        <c:ser>
          <c:idx val="25"/>
          <c:order val="25"/>
          <c:tx>
            <c:strRef>
              <c:f>Медперсонал!$A$27</c:f>
              <c:strCache>
                <c:ptCount val="1"/>
                <c:pt idx="0">
                  <c:v>Шигонский</c:v>
                </c:pt>
              </c:strCache>
            </c:strRef>
          </c:tx>
          <c:spPr>
            <a:ln w="31856">
              <a:noFill/>
            </a:ln>
          </c:spPr>
          <c:marker>
            <c:symbol val="circle"/>
            <c:size val="4"/>
            <c:spPr>
              <a:solidFill>
                <a:schemeClr val="tx1">
                  <a:lumMod val="65000"/>
                  <a:lumOff val="35000"/>
                </a:schemeClr>
              </a:solidFill>
              <a:ln>
                <a:noFill/>
              </a:ln>
            </c:spPr>
          </c:marker>
          <c:dLbls>
            <c:dLbl>
              <c:idx val="0"/>
              <c:layout>
                <c:manualLayout>
                  <c:x val="-4.5361203066405564E-2"/>
                  <c:y val="-3.3095872432512455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Медперсонал!$B$27</c:f>
              <c:numCache>
                <c:formatCode>General</c:formatCode>
                <c:ptCount val="1"/>
                <c:pt idx="0">
                  <c:v>32.4</c:v>
                </c:pt>
              </c:numCache>
            </c:numRef>
          </c:xVal>
          <c:yVal>
            <c:numRef>
              <c:f>Медперсонал!$C$27</c:f>
              <c:numCache>
                <c:formatCode>General</c:formatCode>
                <c:ptCount val="1"/>
                <c:pt idx="0">
                  <c:v>74.900000000000006</c:v>
                </c:pt>
              </c:numCache>
            </c:numRef>
          </c:yVal>
          <c:smooth val="0"/>
        </c:ser>
        <c:dLbls>
          <c:showLegendKey val="0"/>
          <c:showVal val="1"/>
          <c:showCatName val="0"/>
          <c:showSerName val="0"/>
          <c:showPercent val="0"/>
          <c:showBubbleSize val="0"/>
        </c:dLbls>
        <c:axId val="235773312"/>
        <c:axId val="237659648"/>
      </c:scatterChart>
      <c:valAx>
        <c:axId val="235773312"/>
        <c:scaling>
          <c:orientation val="minMax"/>
          <c:max val="33"/>
          <c:min val="15"/>
        </c:scaling>
        <c:delete val="0"/>
        <c:axPos val="b"/>
        <c:title>
          <c:tx>
            <c:rich>
              <a:bodyPr/>
              <a:lstStyle/>
              <a:p>
                <a:pPr>
                  <a:defRPr b="1"/>
                </a:pPr>
                <a:r>
                  <a:rPr lang="ru-RU" b="1"/>
                  <a:t>Обеспеченность населения врачами на 10 тыс. человек населения</a:t>
                </a:r>
              </a:p>
            </c:rich>
          </c:tx>
          <c:layout>
            <c:manualLayout>
              <c:xMode val="edge"/>
              <c:yMode val="edge"/>
              <c:x val="0.1549290284555567"/>
              <c:y val="0.93747698273082658"/>
            </c:manualLayout>
          </c:layout>
          <c:overlay val="0"/>
        </c:title>
        <c:numFmt formatCode="General" sourceLinked="1"/>
        <c:majorTickMark val="out"/>
        <c:minorTickMark val="none"/>
        <c:tickLblPos val="nextTo"/>
        <c:txPr>
          <a:bodyPr rot="0" vert="horz"/>
          <a:lstStyle/>
          <a:p>
            <a:pPr>
              <a:defRPr/>
            </a:pPr>
            <a:endParaRPr lang="ru-RU"/>
          </a:p>
        </c:txPr>
        <c:crossAx val="237659648"/>
        <c:crosses val="autoZero"/>
        <c:crossBetween val="midCat"/>
      </c:valAx>
      <c:valAx>
        <c:axId val="237659648"/>
        <c:scaling>
          <c:orientation val="minMax"/>
          <c:max val="112"/>
          <c:min val="40"/>
        </c:scaling>
        <c:delete val="0"/>
        <c:axPos val="l"/>
        <c:title>
          <c:tx>
            <c:rich>
              <a:bodyPr/>
              <a:lstStyle/>
              <a:p>
                <a:pPr>
                  <a:defRPr/>
                </a:pPr>
                <a:r>
                  <a:rPr lang="ru-RU"/>
                  <a:t>Обеспеченность  средним медицинским персоналом  на 10 тыс. человек населения</a:t>
                </a:r>
              </a:p>
            </c:rich>
          </c:tx>
          <c:layout>
            <c:manualLayout>
              <c:xMode val="edge"/>
              <c:yMode val="edge"/>
              <c:x val="1.5809384275773401E-3"/>
              <c:y val="9.3367266815419264E-2"/>
            </c:manualLayout>
          </c:layout>
          <c:overlay val="0"/>
        </c:title>
        <c:numFmt formatCode="General" sourceLinked="1"/>
        <c:majorTickMark val="out"/>
        <c:minorTickMark val="none"/>
        <c:tickLblPos val="nextTo"/>
        <c:crossAx val="235773312"/>
        <c:crosses val="autoZero"/>
        <c:crossBetween val="midCat"/>
      </c:valAx>
      <c:spPr>
        <a:noFill/>
        <a:ln>
          <a:solidFill>
            <a:schemeClr val="dk1">
              <a:shade val="95000"/>
              <a:satMod val="105000"/>
            </a:schemeClr>
          </a:solidFill>
        </a:ln>
      </c:spPr>
    </c:plotArea>
    <c:plotVisOnly val="1"/>
    <c:dispBlanksAs val="gap"/>
    <c:showDLblsOverMax val="0"/>
  </c:chart>
  <c:spPr>
    <a:noFill/>
  </c:spPr>
  <c:txPr>
    <a:bodyPr/>
    <a:lstStyle/>
    <a:p>
      <a:pPr>
        <a:defRPr sz="80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manualLayout>
          <c:layoutTarget val="inner"/>
          <c:xMode val="edge"/>
          <c:yMode val="edge"/>
          <c:x val="0.24237163216171784"/>
          <c:y val="0.18873798286658164"/>
          <c:w val="0.71567467856112899"/>
          <c:h val="0.739542511971232"/>
        </c:manualLayout>
      </c:layout>
      <c:barChart>
        <c:barDir val="bar"/>
        <c:grouping val="clustered"/>
        <c:varyColors val="0"/>
        <c:ser>
          <c:idx val="0"/>
          <c:order val="0"/>
          <c:spPr>
            <a:solidFill>
              <a:schemeClr val="accent1">
                <a:lumMod val="60000"/>
                <a:lumOff val="40000"/>
              </a:schemeClr>
            </a:solidFill>
          </c:spPr>
          <c:invertIfNegative val="0"/>
          <c:dPt>
            <c:idx val="3"/>
            <c:invertIfNegative val="0"/>
            <c:bubble3D val="0"/>
            <c:spPr>
              <a:solidFill>
                <a:srgbClr val="CC0000"/>
              </a:solidFill>
            </c:spPr>
          </c:dPt>
          <c:dLbls>
            <c:txPr>
              <a:bodyPr/>
              <a:lstStyle/>
              <a:p>
                <a:pPr>
                  <a:defRPr sz="8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dLbls>
          <c:cat>
            <c:strRef>
              <c:f>'Спорт 2'!$A$2:$A$28</c:f>
              <c:strCache>
                <c:ptCount val="27"/>
                <c:pt idx="0">
                  <c:v>Красноармейский</c:v>
                </c:pt>
                <c:pt idx="1">
                  <c:v>Кинельский</c:v>
                </c:pt>
                <c:pt idx="2">
                  <c:v>Исаклинский</c:v>
                </c:pt>
                <c:pt idx="3">
                  <c:v>Камышлинский</c:v>
                </c:pt>
                <c:pt idx="4">
                  <c:v>Большечерниговский</c:v>
                </c:pt>
                <c:pt idx="5">
                  <c:v>Богатовский</c:v>
                </c:pt>
                <c:pt idx="6">
                  <c:v>Челно-Вершинский</c:v>
                </c:pt>
                <c:pt idx="7">
                  <c:v>Кошкинский</c:v>
                </c:pt>
                <c:pt idx="8">
                  <c:v>Алексеевский</c:v>
                </c:pt>
                <c:pt idx="9">
                  <c:v>Шенталинский</c:v>
                </c:pt>
                <c:pt idx="10">
                  <c:v>Похвистневский</c:v>
                </c:pt>
                <c:pt idx="11">
                  <c:v>Елховский</c:v>
                </c:pt>
                <c:pt idx="12">
                  <c:v>Борский</c:v>
                </c:pt>
                <c:pt idx="13">
                  <c:v>Шигонский</c:v>
                </c:pt>
                <c:pt idx="14">
                  <c:v>Хворостянский</c:v>
                </c:pt>
                <c:pt idx="15">
                  <c:v>Кинель-Черкасский</c:v>
                </c:pt>
                <c:pt idx="16">
                  <c:v>Сергиевский</c:v>
                </c:pt>
                <c:pt idx="17">
                  <c:v>Красноярский</c:v>
                </c:pt>
                <c:pt idx="18">
                  <c:v>Большеглушицкий</c:v>
                </c:pt>
                <c:pt idx="19">
                  <c:v>Пестравский</c:v>
                </c:pt>
                <c:pt idx="20">
                  <c:v>Приволжский</c:v>
                </c:pt>
                <c:pt idx="21">
                  <c:v>Клявлинский</c:v>
                </c:pt>
                <c:pt idx="22">
                  <c:v>Безенчукский</c:v>
                </c:pt>
                <c:pt idx="23">
                  <c:v>Сызранский</c:v>
                </c:pt>
                <c:pt idx="24">
                  <c:v>Нефтегорский</c:v>
                </c:pt>
                <c:pt idx="25">
                  <c:v>Ставропольский</c:v>
                </c:pt>
                <c:pt idx="26">
                  <c:v>Волжский</c:v>
                </c:pt>
              </c:strCache>
            </c:strRef>
          </c:cat>
          <c:val>
            <c:numRef>
              <c:f>'Спорт 2'!$B$2:$B$28</c:f>
              <c:numCache>
                <c:formatCode>0.0</c:formatCode>
                <c:ptCount val="27"/>
                <c:pt idx="0">
                  <c:v>88.4</c:v>
                </c:pt>
                <c:pt idx="1">
                  <c:v>87.5</c:v>
                </c:pt>
                <c:pt idx="2">
                  <c:v>78.279580530273051</c:v>
                </c:pt>
                <c:pt idx="3">
                  <c:v>66.2</c:v>
                </c:pt>
                <c:pt idx="4">
                  <c:v>65.526081663232816</c:v>
                </c:pt>
                <c:pt idx="5">
                  <c:v>62.174667437825228</c:v>
                </c:pt>
                <c:pt idx="6">
                  <c:v>60.233537650241395</c:v>
                </c:pt>
                <c:pt idx="7">
                  <c:v>58.5</c:v>
                </c:pt>
                <c:pt idx="8">
                  <c:v>55.814501795494834</c:v>
                </c:pt>
                <c:pt idx="9">
                  <c:v>55.745183902496009</c:v>
                </c:pt>
                <c:pt idx="10">
                  <c:v>52.874572171813064</c:v>
                </c:pt>
                <c:pt idx="11">
                  <c:v>51.334533693076395</c:v>
                </c:pt>
                <c:pt idx="12">
                  <c:v>50.523694586122915</c:v>
                </c:pt>
                <c:pt idx="13">
                  <c:v>49.856239520202507</c:v>
                </c:pt>
                <c:pt idx="14">
                  <c:v>48.703652444409386</c:v>
                </c:pt>
                <c:pt idx="15">
                  <c:v>41.7</c:v>
                </c:pt>
                <c:pt idx="16">
                  <c:v>39.652981641326726</c:v>
                </c:pt>
                <c:pt idx="17">
                  <c:v>39</c:v>
                </c:pt>
                <c:pt idx="18">
                  <c:v>38.936061721278755</c:v>
                </c:pt>
                <c:pt idx="19">
                  <c:v>36.140268646775162</c:v>
                </c:pt>
                <c:pt idx="20">
                  <c:v>34.287017901715025</c:v>
                </c:pt>
                <c:pt idx="21">
                  <c:v>33.200000000000003</c:v>
                </c:pt>
                <c:pt idx="22">
                  <c:v>30.623149742499027</c:v>
                </c:pt>
                <c:pt idx="23">
                  <c:v>30.030530692202692</c:v>
                </c:pt>
                <c:pt idx="24">
                  <c:v>23.56077459566513</c:v>
                </c:pt>
                <c:pt idx="25">
                  <c:v>21.500224402906319</c:v>
                </c:pt>
                <c:pt idx="26">
                  <c:v>21.200813110762152</c:v>
                </c:pt>
              </c:numCache>
            </c:numRef>
          </c:val>
        </c:ser>
        <c:ser>
          <c:idx val="1"/>
          <c:order val="1"/>
          <c:tx>
            <c:v>1</c:v>
          </c:tx>
          <c:spPr>
            <a:noFill/>
            <a:ln>
              <a:noFill/>
            </a:ln>
          </c:spPr>
          <c:invertIfNegative val="0"/>
          <c:trendline>
            <c:spPr>
              <a:ln>
                <a:prstDash val="sysDash"/>
              </a:ln>
            </c:spPr>
            <c:trendlineType val="linear"/>
            <c:dispRSqr val="0"/>
            <c:dispEq val="0"/>
          </c:trendline>
          <c:val>
            <c:numRef>
              <c:f>'Спорт 2'!$C$2:$C$28</c:f>
              <c:numCache>
                <c:formatCode>General</c:formatCode>
                <c:ptCount val="27"/>
                <c:pt idx="0">
                  <c:v>39.700000000000003</c:v>
                </c:pt>
                <c:pt idx="1">
                  <c:v>39.700000000000003</c:v>
                </c:pt>
                <c:pt idx="2">
                  <c:v>39.700000000000003</c:v>
                </c:pt>
                <c:pt idx="3">
                  <c:v>39.700000000000003</c:v>
                </c:pt>
                <c:pt idx="4">
                  <c:v>39.700000000000003</c:v>
                </c:pt>
                <c:pt idx="5">
                  <c:v>39.700000000000003</c:v>
                </c:pt>
                <c:pt idx="6">
                  <c:v>39.700000000000003</c:v>
                </c:pt>
                <c:pt idx="7">
                  <c:v>39.700000000000003</c:v>
                </c:pt>
                <c:pt idx="8">
                  <c:v>39.700000000000003</c:v>
                </c:pt>
                <c:pt idx="9">
                  <c:v>39.700000000000003</c:v>
                </c:pt>
                <c:pt idx="10">
                  <c:v>39.700000000000003</c:v>
                </c:pt>
                <c:pt idx="11">
                  <c:v>39.700000000000003</c:v>
                </c:pt>
                <c:pt idx="12">
                  <c:v>39.700000000000003</c:v>
                </c:pt>
                <c:pt idx="13">
                  <c:v>39.700000000000003</c:v>
                </c:pt>
                <c:pt idx="14">
                  <c:v>39.700000000000003</c:v>
                </c:pt>
                <c:pt idx="15">
                  <c:v>39.700000000000003</c:v>
                </c:pt>
                <c:pt idx="16">
                  <c:v>39.700000000000003</c:v>
                </c:pt>
                <c:pt idx="17">
                  <c:v>39.700000000000003</c:v>
                </c:pt>
                <c:pt idx="18">
                  <c:v>39.700000000000003</c:v>
                </c:pt>
                <c:pt idx="19">
                  <c:v>39.700000000000003</c:v>
                </c:pt>
                <c:pt idx="20">
                  <c:v>39.700000000000003</c:v>
                </c:pt>
                <c:pt idx="21">
                  <c:v>39.700000000000003</c:v>
                </c:pt>
                <c:pt idx="22">
                  <c:v>39.700000000000003</c:v>
                </c:pt>
                <c:pt idx="23">
                  <c:v>39.700000000000003</c:v>
                </c:pt>
                <c:pt idx="24">
                  <c:v>39.700000000000003</c:v>
                </c:pt>
                <c:pt idx="25">
                  <c:v>39.700000000000003</c:v>
                </c:pt>
                <c:pt idx="26">
                  <c:v>39.700000000000003</c:v>
                </c:pt>
              </c:numCache>
            </c:numRef>
          </c:val>
        </c:ser>
        <c:dLbls>
          <c:showLegendKey val="0"/>
          <c:showVal val="0"/>
          <c:showCatName val="0"/>
          <c:showSerName val="0"/>
          <c:showPercent val="0"/>
          <c:showBubbleSize val="0"/>
        </c:dLbls>
        <c:gapWidth val="150"/>
        <c:axId val="239407872"/>
        <c:axId val="239409408"/>
      </c:barChart>
      <c:catAx>
        <c:axId val="239407872"/>
        <c:scaling>
          <c:orientation val="minMax"/>
        </c:scaling>
        <c:delete val="0"/>
        <c:axPos val="l"/>
        <c:numFmt formatCode="General" sourceLinked="1"/>
        <c:majorTickMark val="out"/>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39409408"/>
        <c:crosses val="autoZero"/>
        <c:auto val="1"/>
        <c:lblAlgn val="ctr"/>
        <c:lblOffset val="100"/>
        <c:noMultiLvlLbl val="0"/>
      </c:catAx>
      <c:valAx>
        <c:axId val="239409408"/>
        <c:scaling>
          <c:orientation val="minMax"/>
        </c:scaling>
        <c:delete val="1"/>
        <c:axPos val="b"/>
        <c:numFmt formatCode="0.0" sourceLinked="1"/>
        <c:majorTickMark val="out"/>
        <c:minorTickMark val="none"/>
        <c:tickLblPos val="none"/>
        <c:crossAx val="239407872"/>
        <c:crosses val="autoZero"/>
        <c:crossBetween val="between"/>
      </c:valAx>
      <c:spPr>
        <a:noFill/>
        <a:ln w="25415">
          <a:noFill/>
        </a:ln>
      </c:spPr>
    </c:plotArea>
    <c:plotVisOnly val="1"/>
    <c:dispBlanksAs val="gap"/>
    <c:showDLblsOverMax val="0"/>
  </c:chart>
  <c:spPr>
    <a:noFill/>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manualLayout>
          <c:layoutTarget val="inner"/>
          <c:xMode val="edge"/>
          <c:yMode val="edge"/>
          <c:x val="0.23472259522371774"/>
          <c:y val="9.4598061187050275E-2"/>
          <c:w val="0.73540639962230359"/>
          <c:h val="0.85054481570190377"/>
        </c:manualLayout>
      </c:layout>
      <c:barChart>
        <c:barDir val="bar"/>
        <c:grouping val="clustered"/>
        <c:varyColors val="0"/>
        <c:ser>
          <c:idx val="0"/>
          <c:order val="0"/>
          <c:spPr>
            <a:solidFill>
              <a:schemeClr val="tx2">
                <a:lumMod val="40000"/>
                <a:lumOff val="60000"/>
              </a:schemeClr>
            </a:solidFill>
          </c:spPr>
          <c:invertIfNegative val="0"/>
          <c:dPt>
            <c:idx val="19"/>
            <c:invertIfNegative val="0"/>
            <c:bubble3D val="0"/>
            <c:spPr>
              <a:solidFill>
                <a:srgbClr val="C00000"/>
              </a:solidFill>
            </c:spPr>
          </c:dPt>
          <c:dPt>
            <c:idx val="25"/>
            <c:invertIfNegative val="0"/>
            <c:bubble3D val="0"/>
            <c:spPr>
              <a:solidFill>
                <a:schemeClr val="accent1">
                  <a:lumMod val="60000"/>
                  <a:lumOff val="40000"/>
                </a:schemeClr>
              </a:solidFill>
            </c:spPr>
          </c:dPt>
          <c:dLbls>
            <c:showLegendKey val="0"/>
            <c:showVal val="1"/>
            <c:showCatName val="0"/>
            <c:showSerName val="0"/>
            <c:showPercent val="0"/>
            <c:showBubbleSize val="0"/>
            <c:showLeaderLines val="0"/>
          </c:dLbls>
          <c:cat>
            <c:strRef>
              <c:f>'Спорт 1'!$A$2:$A$28</c:f>
              <c:strCache>
                <c:ptCount val="27"/>
                <c:pt idx="0">
                  <c:v>Кинель-Черкасский</c:v>
                </c:pt>
                <c:pt idx="1">
                  <c:v>Хворостянский</c:v>
                </c:pt>
                <c:pt idx="2">
                  <c:v>Нефтегорский</c:v>
                </c:pt>
                <c:pt idx="3">
                  <c:v>Челно-Вершинский</c:v>
                </c:pt>
                <c:pt idx="4">
                  <c:v>Ставропольский</c:v>
                </c:pt>
                <c:pt idx="5">
                  <c:v>Сызранский</c:v>
                </c:pt>
                <c:pt idx="6">
                  <c:v>Кинельский</c:v>
                </c:pt>
                <c:pt idx="7">
                  <c:v>Кошкинский</c:v>
                </c:pt>
                <c:pt idx="8">
                  <c:v>Безенчукский</c:v>
                </c:pt>
                <c:pt idx="9">
                  <c:v>Приволжский</c:v>
                </c:pt>
                <c:pt idx="10">
                  <c:v>Пестравский</c:v>
                </c:pt>
                <c:pt idx="11">
                  <c:v>Большечерниговский</c:v>
                </c:pt>
                <c:pt idx="12">
                  <c:v>Похвистневский</c:v>
                </c:pt>
                <c:pt idx="13">
                  <c:v>Большеглушицкий</c:v>
                </c:pt>
                <c:pt idx="14">
                  <c:v>Красноярский</c:v>
                </c:pt>
                <c:pt idx="15">
                  <c:v>Богатовский</c:v>
                </c:pt>
                <c:pt idx="16">
                  <c:v>Шенталинский</c:v>
                </c:pt>
                <c:pt idx="17">
                  <c:v>Сергиевский</c:v>
                </c:pt>
                <c:pt idx="18">
                  <c:v>Борский</c:v>
                </c:pt>
                <c:pt idx="19">
                  <c:v>Камышлинский</c:v>
                </c:pt>
                <c:pt idx="20">
                  <c:v>Клявлинский</c:v>
                </c:pt>
                <c:pt idx="21">
                  <c:v>Волжский</c:v>
                </c:pt>
                <c:pt idx="22">
                  <c:v>Алексеевский</c:v>
                </c:pt>
                <c:pt idx="23">
                  <c:v>Исаклинский</c:v>
                </c:pt>
                <c:pt idx="24">
                  <c:v>Красноармейский</c:v>
                </c:pt>
                <c:pt idx="25">
                  <c:v>Шигонский</c:v>
                </c:pt>
                <c:pt idx="26">
                  <c:v>Елховский</c:v>
                </c:pt>
              </c:strCache>
            </c:strRef>
          </c:cat>
          <c:val>
            <c:numRef>
              <c:f>'Спорт 1'!$B$2:$B$28</c:f>
              <c:numCache>
                <c:formatCode>0.0%</c:formatCode>
                <c:ptCount val="27"/>
                <c:pt idx="0">
                  <c:v>0.39575386829795051</c:v>
                </c:pt>
                <c:pt idx="1">
                  <c:v>0.3900220691500052</c:v>
                </c:pt>
                <c:pt idx="2">
                  <c:v>0.38403053920789054</c:v>
                </c:pt>
                <c:pt idx="3">
                  <c:v>0.37609991484530231</c:v>
                </c:pt>
                <c:pt idx="4">
                  <c:v>0.36072910859195934</c:v>
                </c:pt>
                <c:pt idx="5">
                  <c:v>0.35886700559661638</c:v>
                </c:pt>
                <c:pt idx="6">
                  <c:v>0.35693282801881882</c:v>
                </c:pt>
                <c:pt idx="7">
                  <c:v>0.35456799542246914</c:v>
                </c:pt>
                <c:pt idx="8">
                  <c:v>0.35318876871437077</c:v>
                </c:pt>
                <c:pt idx="9">
                  <c:v>0.35089630133878025</c:v>
                </c:pt>
                <c:pt idx="10">
                  <c:v>0.34903640256959312</c:v>
                </c:pt>
                <c:pt idx="11">
                  <c:v>0.34900379221091932</c:v>
                </c:pt>
                <c:pt idx="12">
                  <c:v>0.34853357095811865</c:v>
                </c:pt>
                <c:pt idx="13">
                  <c:v>0.34768866060845643</c:v>
                </c:pt>
                <c:pt idx="14">
                  <c:v>0.34655616659616201</c:v>
                </c:pt>
                <c:pt idx="15">
                  <c:v>0.34502210702851088</c:v>
                </c:pt>
                <c:pt idx="16">
                  <c:v>0.34137573453162806</c:v>
                </c:pt>
                <c:pt idx="17">
                  <c:v>0.34110074933640344</c:v>
                </c:pt>
                <c:pt idx="18">
                  <c:v>0.33788103921833568</c:v>
                </c:pt>
                <c:pt idx="19">
                  <c:v>0.3368599660644796</c:v>
                </c:pt>
                <c:pt idx="20">
                  <c:v>0.32257596634999086</c:v>
                </c:pt>
                <c:pt idx="21">
                  <c:v>0.31965254379047586</c:v>
                </c:pt>
                <c:pt idx="22">
                  <c:v>0.31616274729376742</c:v>
                </c:pt>
                <c:pt idx="23">
                  <c:v>0.31371049949031632</c:v>
                </c:pt>
                <c:pt idx="24">
                  <c:v>0.29700000000000032</c:v>
                </c:pt>
                <c:pt idx="25">
                  <c:v>0.29415268002165756</c:v>
                </c:pt>
                <c:pt idx="26">
                  <c:v>0.21388325445120629</c:v>
                </c:pt>
              </c:numCache>
            </c:numRef>
          </c:val>
        </c:ser>
        <c:ser>
          <c:idx val="1"/>
          <c:order val="1"/>
          <c:tx>
            <c:v>2</c:v>
          </c:tx>
          <c:spPr>
            <a:noFill/>
            <a:ln>
              <a:noFill/>
            </a:ln>
          </c:spPr>
          <c:invertIfNegative val="0"/>
          <c:trendline>
            <c:spPr>
              <a:ln>
                <a:prstDash val="sysDash"/>
              </a:ln>
            </c:spPr>
            <c:trendlineType val="linear"/>
            <c:dispRSqr val="0"/>
            <c:dispEq val="0"/>
          </c:trendline>
          <c:val>
            <c:numRef>
              <c:f>'Спорт 1'!$C$2:$C$28</c:f>
              <c:numCache>
                <c:formatCode>0.00%</c:formatCode>
                <c:ptCount val="27"/>
                <c:pt idx="0">
                  <c:v>0.34700000000000031</c:v>
                </c:pt>
                <c:pt idx="1">
                  <c:v>0.34700000000000031</c:v>
                </c:pt>
                <c:pt idx="2">
                  <c:v>0.34700000000000031</c:v>
                </c:pt>
                <c:pt idx="3">
                  <c:v>0.34700000000000031</c:v>
                </c:pt>
                <c:pt idx="4">
                  <c:v>0.34700000000000031</c:v>
                </c:pt>
                <c:pt idx="5">
                  <c:v>0.34700000000000031</c:v>
                </c:pt>
                <c:pt idx="6">
                  <c:v>0.34700000000000031</c:v>
                </c:pt>
                <c:pt idx="7">
                  <c:v>0.34700000000000031</c:v>
                </c:pt>
                <c:pt idx="8">
                  <c:v>0.34700000000000031</c:v>
                </c:pt>
                <c:pt idx="9">
                  <c:v>0.34700000000000031</c:v>
                </c:pt>
                <c:pt idx="10">
                  <c:v>0.34700000000000031</c:v>
                </c:pt>
                <c:pt idx="11">
                  <c:v>0.34700000000000031</c:v>
                </c:pt>
                <c:pt idx="12">
                  <c:v>0.34700000000000031</c:v>
                </c:pt>
                <c:pt idx="13">
                  <c:v>0.34700000000000031</c:v>
                </c:pt>
                <c:pt idx="14">
                  <c:v>0.34700000000000031</c:v>
                </c:pt>
                <c:pt idx="15">
                  <c:v>0.34700000000000031</c:v>
                </c:pt>
                <c:pt idx="16">
                  <c:v>0.34700000000000031</c:v>
                </c:pt>
                <c:pt idx="17">
                  <c:v>0.34700000000000031</c:v>
                </c:pt>
                <c:pt idx="18">
                  <c:v>0.34700000000000031</c:v>
                </c:pt>
                <c:pt idx="19">
                  <c:v>0.34700000000000031</c:v>
                </c:pt>
                <c:pt idx="20">
                  <c:v>0.34700000000000031</c:v>
                </c:pt>
                <c:pt idx="21">
                  <c:v>0.34700000000000031</c:v>
                </c:pt>
                <c:pt idx="22">
                  <c:v>0.34700000000000031</c:v>
                </c:pt>
                <c:pt idx="23">
                  <c:v>0.34700000000000031</c:v>
                </c:pt>
                <c:pt idx="24">
                  <c:v>0.34700000000000031</c:v>
                </c:pt>
                <c:pt idx="25">
                  <c:v>0.34700000000000031</c:v>
                </c:pt>
                <c:pt idx="26">
                  <c:v>0.34700000000000031</c:v>
                </c:pt>
              </c:numCache>
            </c:numRef>
          </c:val>
        </c:ser>
        <c:dLbls>
          <c:showLegendKey val="0"/>
          <c:showVal val="0"/>
          <c:showCatName val="0"/>
          <c:showSerName val="0"/>
          <c:showPercent val="0"/>
          <c:showBubbleSize val="0"/>
        </c:dLbls>
        <c:gapWidth val="150"/>
        <c:axId val="239756800"/>
        <c:axId val="239758336"/>
      </c:barChart>
      <c:catAx>
        <c:axId val="239756800"/>
        <c:scaling>
          <c:orientation val="minMax"/>
        </c:scaling>
        <c:delete val="0"/>
        <c:axPos val="l"/>
        <c:numFmt formatCode="General" sourceLinked="1"/>
        <c:majorTickMark val="out"/>
        <c:minorTickMark val="none"/>
        <c:tickLblPos val="nextTo"/>
        <c:crossAx val="239758336"/>
        <c:crosses val="autoZero"/>
        <c:auto val="1"/>
        <c:lblAlgn val="ctr"/>
        <c:lblOffset val="100"/>
        <c:noMultiLvlLbl val="0"/>
      </c:catAx>
      <c:valAx>
        <c:axId val="239758336"/>
        <c:scaling>
          <c:orientation val="minMax"/>
        </c:scaling>
        <c:delete val="1"/>
        <c:axPos val="b"/>
        <c:numFmt formatCode="0.0%" sourceLinked="1"/>
        <c:majorTickMark val="out"/>
        <c:minorTickMark val="none"/>
        <c:tickLblPos val="none"/>
        <c:crossAx val="239756800"/>
        <c:crosses val="autoZero"/>
        <c:crossBetween val="between"/>
      </c:valAx>
      <c:spPr>
        <a:noFill/>
        <a:ln w="25397">
          <a:noFill/>
        </a:ln>
      </c:spPr>
    </c:plotArea>
    <c:plotVisOnly val="1"/>
    <c:dispBlanksAs val="gap"/>
    <c:showDLblsOverMax val="0"/>
  </c:chart>
  <c:spPr>
    <a:noFill/>
  </c:spPr>
  <c:txPr>
    <a:bodyPr/>
    <a:lstStyle/>
    <a:p>
      <a:pPr>
        <a:defRPr sz="80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93307086614223"/>
          <c:y val="0.27980751450306834"/>
          <c:w val="0.73761212391436037"/>
          <c:h val="0.50828685327496259"/>
        </c:manualLayout>
      </c:layout>
      <c:lineChart>
        <c:grouping val="standard"/>
        <c:varyColors val="0"/>
        <c:ser>
          <c:idx val="0"/>
          <c:order val="0"/>
          <c:cat>
            <c:numRef>
              <c:f>Экология!$A$21:$A$31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Экология!$B$21:$B$31</c:f>
              <c:numCache>
                <c:formatCode>General</c:formatCode>
                <c:ptCount val="11"/>
                <c:pt idx="0">
                  <c:v>0.1</c:v>
                </c:pt>
                <c:pt idx="1">
                  <c:v>0.1</c:v>
                </c:pt>
                <c:pt idx="2">
                  <c:v>0.1</c:v>
                </c:pt>
                <c:pt idx="3">
                  <c:v>3</c:v>
                </c:pt>
                <c:pt idx="4">
                  <c:v>3.1</c:v>
                </c:pt>
                <c:pt idx="5">
                  <c:v>0.1</c:v>
                </c:pt>
                <c:pt idx="6">
                  <c:v>1.7</c:v>
                </c:pt>
                <c:pt idx="7">
                  <c:v>1.7</c:v>
                </c:pt>
                <c:pt idx="8">
                  <c:v>0.30000000000000032</c:v>
                </c:pt>
                <c:pt idx="9">
                  <c:v>0.30000000000000032</c:v>
                </c:pt>
                <c:pt idx="10">
                  <c:v>2.2000000000000002</c:v>
                </c:pt>
              </c:numCache>
            </c:numRef>
          </c:val>
          <c:smooth val="0"/>
        </c:ser>
        <c:dLbls>
          <c:showLegendKey val="0"/>
          <c:showVal val="0"/>
          <c:showCatName val="0"/>
          <c:showSerName val="0"/>
          <c:showPercent val="0"/>
          <c:showBubbleSize val="0"/>
        </c:dLbls>
        <c:hiLowLines/>
        <c:marker val="1"/>
        <c:smooth val="0"/>
        <c:axId val="258127744"/>
        <c:axId val="98635776"/>
      </c:lineChart>
      <c:catAx>
        <c:axId val="258127744"/>
        <c:scaling>
          <c:orientation val="minMax"/>
        </c:scaling>
        <c:delete val="0"/>
        <c:axPos val="b"/>
        <c:title>
          <c:tx>
            <c:rich>
              <a:bodyPr/>
              <a:lstStyle/>
              <a:p>
                <a:pPr>
                  <a:defRPr sz="800" b="1" i="0" u="none" strike="noStrike" baseline="0">
                    <a:solidFill>
                      <a:srgbClr val="000000"/>
                    </a:solidFill>
                    <a:latin typeface="Calibri"/>
                    <a:ea typeface="Calibri"/>
                    <a:cs typeface="Calibri"/>
                  </a:defRPr>
                </a:pPr>
                <a:r>
                  <a:rPr lang="ru-RU"/>
                  <a:t>Годы</a:t>
                </a:r>
              </a:p>
            </c:rich>
          </c:tx>
          <c:overlay val="0"/>
        </c:title>
        <c:numFmt formatCode="General" sourceLinked="1"/>
        <c:majorTickMark val="none"/>
        <c:minorTickMark val="none"/>
        <c:tickLblPos val="nextTo"/>
        <c:crossAx val="98635776"/>
        <c:crosses val="autoZero"/>
        <c:auto val="1"/>
        <c:lblAlgn val="ctr"/>
        <c:lblOffset val="100"/>
        <c:noMultiLvlLbl val="0"/>
      </c:catAx>
      <c:valAx>
        <c:axId val="98635776"/>
        <c:scaling>
          <c:orientation val="minMax"/>
        </c:scaling>
        <c:delete val="0"/>
        <c:axPos val="l"/>
        <c:title>
          <c:tx>
            <c:rich>
              <a:bodyPr/>
              <a:lstStyle/>
              <a:p>
                <a:pPr>
                  <a:defRPr sz="800" b="1" i="0" u="none" strike="noStrike" baseline="0">
                    <a:solidFill>
                      <a:srgbClr val="000000"/>
                    </a:solidFill>
                    <a:latin typeface="Calibri"/>
                    <a:ea typeface="Calibri"/>
                    <a:cs typeface="Calibri"/>
                  </a:defRPr>
                </a:pPr>
                <a:r>
                  <a:rPr lang="ru-RU"/>
                  <a:t>Выбросы загрязняющих веществ в атмосферу, тыс. тонн
</a:t>
                </a:r>
              </a:p>
            </c:rich>
          </c:tx>
          <c:overlay val="0"/>
        </c:title>
        <c:numFmt formatCode="General" sourceLinked="1"/>
        <c:majorTickMark val="out"/>
        <c:minorTickMark val="none"/>
        <c:tickLblPos val="nextTo"/>
        <c:crossAx val="258127744"/>
        <c:crosses val="autoZero"/>
        <c:crossBetween val="between"/>
      </c:valAx>
    </c:plotArea>
    <c:plotVisOnly val="1"/>
    <c:dispBlanksAs val="gap"/>
    <c:showDLblsOverMax val="0"/>
  </c:chart>
  <c:txPr>
    <a:bodyPr/>
    <a:lstStyle/>
    <a:p>
      <a:pPr>
        <a:defRPr sz="800" baseline="0"/>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manualLayout>
          <c:layoutTarget val="inner"/>
          <c:xMode val="edge"/>
          <c:yMode val="edge"/>
          <c:x val="8.3882677480517309E-2"/>
          <c:y val="5.1080106214793315E-2"/>
          <c:w val="0.82604237979597051"/>
          <c:h val="0.77754938527420914"/>
        </c:manualLayout>
      </c:layout>
      <c:scatterChart>
        <c:scatterStyle val="lineMarker"/>
        <c:varyColors val="0"/>
        <c:ser>
          <c:idx val="0"/>
          <c:order val="0"/>
          <c:tx>
            <c:strRef>
              <c:f>культура!$A$3</c:f>
              <c:strCache>
                <c:ptCount val="1"/>
                <c:pt idx="0">
                  <c:v>Алексеевский </c:v>
                </c:pt>
              </c:strCache>
            </c:strRef>
          </c:tx>
          <c:spPr>
            <a:ln w="35719">
              <a:noFill/>
            </a:ln>
          </c:spPr>
          <c:marker>
            <c:symbol val="circle"/>
            <c:size val="4"/>
            <c:spPr>
              <a:solidFill>
                <a:schemeClr val="accent1">
                  <a:lumMod val="50000"/>
                </a:schemeClr>
              </a:solidFill>
              <a:ln>
                <a:noFill/>
              </a:ln>
            </c:spPr>
          </c:marker>
          <c:dLbls>
            <c:dLbl>
              <c:idx val="0"/>
              <c:layout>
                <c:manualLayout>
                  <c:x val="-5.7475283157653913E-2"/>
                  <c:y val="-4.9265905383360495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культура!$B$3</c:f>
              <c:numCache>
                <c:formatCode>General</c:formatCode>
                <c:ptCount val="1"/>
                <c:pt idx="0">
                  <c:v>19</c:v>
                </c:pt>
              </c:numCache>
            </c:numRef>
          </c:xVal>
          <c:yVal>
            <c:numRef>
              <c:f>культура!$C$3</c:f>
              <c:numCache>
                <c:formatCode>General</c:formatCode>
                <c:ptCount val="1"/>
                <c:pt idx="0">
                  <c:v>0</c:v>
                </c:pt>
              </c:numCache>
            </c:numRef>
          </c:yVal>
          <c:smooth val="0"/>
        </c:ser>
        <c:ser>
          <c:idx val="1"/>
          <c:order val="1"/>
          <c:tx>
            <c:strRef>
              <c:f>культура!$A$4</c:f>
              <c:strCache>
                <c:ptCount val="1"/>
                <c:pt idx="0">
                  <c:v>Безенчукский </c:v>
                </c:pt>
              </c:strCache>
            </c:strRef>
          </c:tx>
          <c:spPr>
            <a:ln w="35719">
              <a:noFill/>
            </a:ln>
          </c:spPr>
          <c:marker>
            <c:symbol val="circle"/>
            <c:size val="4"/>
            <c:spPr>
              <a:solidFill>
                <a:srgbClr val="4F81BD">
                  <a:lumMod val="50000"/>
                </a:srgbClr>
              </a:solidFill>
              <a:ln>
                <a:noFill/>
              </a:ln>
            </c:spPr>
          </c:marker>
          <c:dLbls>
            <c:dLbl>
              <c:idx val="0"/>
              <c:layout>
                <c:manualLayout>
                  <c:x val="-3.4619687539189606E-2"/>
                  <c:y val="-3.7088355003263108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культура!$B$4</c:f>
              <c:numCache>
                <c:formatCode>General</c:formatCode>
                <c:ptCount val="1"/>
                <c:pt idx="0">
                  <c:v>29</c:v>
                </c:pt>
              </c:numCache>
            </c:numRef>
          </c:xVal>
          <c:yVal>
            <c:numRef>
              <c:f>культура!$C$4</c:f>
              <c:numCache>
                <c:formatCode>General</c:formatCode>
                <c:ptCount val="1"/>
                <c:pt idx="0">
                  <c:v>0</c:v>
                </c:pt>
              </c:numCache>
            </c:numRef>
          </c:yVal>
          <c:smooth val="0"/>
        </c:ser>
        <c:ser>
          <c:idx val="2"/>
          <c:order val="2"/>
          <c:tx>
            <c:strRef>
              <c:f>культура!$A$5</c:f>
              <c:strCache>
                <c:ptCount val="1"/>
                <c:pt idx="0">
                  <c:v>Богатовский </c:v>
                </c:pt>
              </c:strCache>
            </c:strRef>
          </c:tx>
          <c:spPr>
            <a:ln w="35719">
              <a:noFill/>
            </a:ln>
          </c:spPr>
          <c:marker>
            <c:symbol val="circle"/>
            <c:size val="4"/>
            <c:spPr>
              <a:solidFill>
                <a:srgbClr val="4F81BD">
                  <a:lumMod val="50000"/>
                </a:srgbClr>
              </a:solidFill>
              <a:ln>
                <a:noFill/>
              </a:ln>
            </c:spPr>
          </c:marker>
          <c:dLbls>
            <c:dLbl>
              <c:idx val="0"/>
              <c:layout>
                <c:manualLayout>
                  <c:x val="-5.2220767846230965E-3"/>
                  <c:y val="-3.5889070146818986E-3"/>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культура!$B$5</c:f>
              <c:numCache>
                <c:formatCode>General</c:formatCode>
                <c:ptCount val="1"/>
                <c:pt idx="0">
                  <c:v>16</c:v>
                </c:pt>
              </c:numCache>
            </c:numRef>
          </c:xVal>
          <c:yVal>
            <c:numRef>
              <c:f>культура!$C$5</c:f>
              <c:numCache>
                <c:formatCode>General</c:formatCode>
                <c:ptCount val="1"/>
                <c:pt idx="0">
                  <c:v>16</c:v>
                </c:pt>
              </c:numCache>
            </c:numRef>
          </c:yVal>
          <c:smooth val="0"/>
        </c:ser>
        <c:ser>
          <c:idx val="3"/>
          <c:order val="3"/>
          <c:tx>
            <c:strRef>
              <c:f>культура!$A$6</c:f>
              <c:strCache>
                <c:ptCount val="1"/>
                <c:pt idx="0">
                  <c:v>Большеглушицкий </c:v>
                </c:pt>
              </c:strCache>
            </c:strRef>
          </c:tx>
          <c:spPr>
            <a:ln w="35719">
              <a:noFill/>
            </a:ln>
          </c:spPr>
          <c:marker>
            <c:symbol val="circle"/>
            <c:size val="4"/>
            <c:spPr>
              <a:solidFill>
                <a:srgbClr val="4F81BD">
                  <a:lumMod val="50000"/>
                </a:srgbClr>
              </a:solidFill>
              <a:ln>
                <a:noFill/>
              </a:ln>
            </c:spPr>
          </c:marker>
          <c:dLbls>
            <c:dLbl>
              <c:idx val="0"/>
              <c:layout>
                <c:manualLayout>
                  <c:x val="-5.8321490348661645E-2"/>
                  <c:y val="-8.1892332789559819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культура!$B$6</c:f>
              <c:numCache>
                <c:formatCode>General</c:formatCode>
                <c:ptCount val="1"/>
                <c:pt idx="0">
                  <c:v>17</c:v>
                </c:pt>
              </c:numCache>
            </c:numRef>
          </c:xVal>
          <c:yVal>
            <c:numRef>
              <c:f>культура!$C$6</c:f>
              <c:numCache>
                <c:formatCode>General</c:formatCode>
                <c:ptCount val="1"/>
                <c:pt idx="0">
                  <c:v>0</c:v>
                </c:pt>
              </c:numCache>
            </c:numRef>
          </c:yVal>
          <c:smooth val="0"/>
        </c:ser>
        <c:ser>
          <c:idx val="4"/>
          <c:order val="4"/>
          <c:tx>
            <c:strRef>
              <c:f>культура!$A$7</c:f>
              <c:strCache>
                <c:ptCount val="1"/>
                <c:pt idx="0">
                  <c:v>Большечерниговский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культура!$B$7</c:f>
              <c:numCache>
                <c:formatCode>General</c:formatCode>
                <c:ptCount val="1"/>
                <c:pt idx="0">
                  <c:v>29</c:v>
                </c:pt>
              </c:numCache>
            </c:numRef>
          </c:xVal>
          <c:yVal>
            <c:numRef>
              <c:f>культура!$C$7</c:f>
              <c:numCache>
                <c:formatCode>General</c:formatCode>
                <c:ptCount val="1"/>
                <c:pt idx="0">
                  <c:v>14</c:v>
                </c:pt>
              </c:numCache>
            </c:numRef>
          </c:yVal>
          <c:smooth val="0"/>
        </c:ser>
        <c:ser>
          <c:idx val="5"/>
          <c:order val="5"/>
          <c:tx>
            <c:strRef>
              <c:f>культура!$A$8</c:f>
              <c:strCache>
                <c:ptCount val="1"/>
                <c:pt idx="0">
                  <c:v>Борский </c:v>
                </c:pt>
              </c:strCache>
            </c:strRef>
          </c:tx>
          <c:spPr>
            <a:ln w="35719">
              <a:noFill/>
            </a:ln>
          </c:spPr>
          <c:marker>
            <c:symbol val="circle"/>
            <c:size val="4"/>
            <c:spPr>
              <a:solidFill>
                <a:srgbClr val="4F81BD">
                  <a:lumMod val="50000"/>
                </a:srgbClr>
              </a:solidFill>
              <a:ln>
                <a:noFill/>
              </a:ln>
            </c:spPr>
          </c:marker>
          <c:dLbls>
            <c:dLbl>
              <c:idx val="0"/>
              <c:layout>
                <c:manualLayout>
                  <c:x val="-5.3899135055024722E-2"/>
                  <c:y val="2.9037520391517132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trendline>
            <c:trendlineType val="linear"/>
            <c:dispRSqr val="0"/>
            <c:dispEq val="0"/>
          </c:trendline>
          <c:xVal>
            <c:numRef>
              <c:f>культура!$B$8</c:f>
              <c:numCache>
                <c:formatCode>General</c:formatCode>
                <c:ptCount val="1"/>
                <c:pt idx="0">
                  <c:v>26</c:v>
                </c:pt>
              </c:numCache>
            </c:numRef>
          </c:xVal>
          <c:yVal>
            <c:numRef>
              <c:f>культура!$C$8</c:f>
              <c:numCache>
                <c:formatCode>General</c:formatCode>
                <c:ptCount val="1"/>
                <c:pt idx="0">
                  <c:v>22</c:v>
                </c:pt>
              </c:numCache>
            </c:numRef>
          </c:yVal>
          <c:smooth val="0"/>
        </c:ser>
        <c:ser>
          <c:idx val="6"/>
          <c:order val="6"/>
          <c:tx>
            <c:strRef>
              <c:f>культура!$A$9</c:f>
              <c:strCache>
                <c:ptCount val="1"/>
                <c:pt idx="0">
                  <c:v>Волжский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культура!$B$9</c:f>
              <c:numCache>
                <c:formatCode>General</c:formatCode>
                <c:ptCount val="1"/>
                <c:pt idx="0">
                  <c:v>23</c:v>
                </c:pt>
              </c:numCache>
            </c:numRef>
          </c:xVal>
          <c:yVal>
            <c:numRef>
              <c:f>культура!$C$9</c:f>
              <c:numCache>
                <c:formatCode>General</c:formatCode>
                <c:ptCount val="1"/>
                <c:pt idx="0">
                  <c:v>2</c:v>
                </c:pt>
              </c:numCache>
            </c:numRef>
          </c:yVal>
          <c:smooth val="0"/>
        </c:ser>
        <c:ser>
          <c:idx val="7"/>
          <c:order val="7"/>
          <c:tx>
            <c:strRef>
              <c:f>культура!$A$10</c:f>
              <c:strCache>
                <c:ptCount val="1"/>
                <c:pt idx="0">
                  <c:v>Елховский </c:v>
                </c:pt>
              </c:strCache>
            </c:strRef>
          </c:tx>
          <c:spPr>
            <a:ln w="35719">
              <a:noFill/>
            </a:ln>
          </c:spPr>
          <c:marker>
            <c:symbol val="circle"/>
            <c:size val="4"/>
            <c:spPr>
              <a:solidFill>
                <a:srgbClr val="4F81BD">
                  <a:lumMod val="50000"/>
                </a:srgbClr>
              </a:solidFill>
              <a:ln>
                <a:noFill/>
              </a:ln>
            </c:spPr>
          </c:marker>
          <c:dLbls>
            <c:dLbl>
              <c:idx val="0"/>
              <c:tx>
                <c:rich>
                  <a:bodyPr/>
                  <a:lstStyle/>
                  <a:p>
                    <a:pPr>
                      <a:defRPr/>
                    </a:pPr>
                    <a:r>
                      <a:rPr lang="ru-RU"/>
                      <a:t>Елховский</a:t>
                    </a:r>
                    <a:endParaRPr lang="en-US"/>
                  </a:p>
                </c:rich>
              </c:tx>
              <c:spPr/>
              <c:dLblPos val="t"/>
              <c:showLegendKey val="0"/>
              <c:showVal val="0"/>
              <c:showCatName val="0"/>
              <c:showSerName val="0"/>
              <c:showPercent val="0"/>
              <c:showBubbleSize val="0"/>
            </c:dLbl>
            <c:dLblPos val="t"/>
            <c:showLegendKey val="0"/>
            <c:showVal val="1"/>
            <c:showCatName val="0"/>
            <c:showSerName val="0"/>
            <c:showPercent val="0"/>
            <c:showBubbleSize val="0"/>
            <c:showLeaderLines val="0"/>
          </c:dLbls>
          <c:xVal>
            <c:numRef>
              <c:f>культура!$B$10</c:f>
              <c:numCache>
                <c:formatCode>General</c:formatCode>
                <c:ptCount val="1"/>
                <c:pt idx="0">
                  <c:v>13</c:v>
                </c:pt>
              </c:numCache>
            </c:numRef>
          </c:xVal>
          <c:yVal>
            <c:numRef>
              <c:f>культура!$C$10</c:f>
              <c:numCache>
                <c:formatCode>General</c:formatCode>
                <c:ptCount val="1"/>
                <c:pt idx="0">
                  <c:v>10</c:v>
                </c:pt>
              </c:numCache>
            </c:numRef>
          </c:yVal>
          <c:smooth val="0"/>
        </c:ser>
        <c:ser>
          <c:idx val="8"/>
          <c:order val="8"/>
          <c:tx>
            <c:strRef>
              <c:f>культура!$A$11</c:f>
              <c:strCache>
                <c:ptCount val="1"/>
                <c:pt idx="0">
                  <c:v>Исаклинский </c:v>
                </c:pt>
              </c:strCache>
            </c:strRef>
          </c:tx>
          <c:spPr>
            <a:ln w="35719">
              <a:noFill/>
            </a:ln>
          </c:spPr>
          <c:marker>
            <c:symbol val="circle"/>
            <c:size val="4"/>
            <c:spPr>
              <a:solidFill>
                <a:srgbClr val="4F81BD">
                  <a:lumMod val="50000"/>
                </a:srgbClr>
              </a:solidFill>
              <a:ln>
                <a:noFill/>
              </a:ln>
            </c:spPr>
          </c:marker>
          <c:dLbls>
            <c:dLbl>
              <c:idx val="0"/>
              <c:layout>
                <c:manualLayout>
                  <c:x val="-9.4490683598777627E-3"/>
                  <c:y val="3.230023053664461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культура!$B$11</c:f>
              <c:numCache>
                <c:formatCode>General</c:formatCode>
                <c:ptCount val="1"/>
                <c:pt idx="0">
                  <c:v>29</c:v>
                </c:pt>
              </c:numCache>
            </c:numRef>
          </c:xVal>
          <c:yVal>
            <c:numRef>
              <c:f>культура!$C$11</c:f>
              <c:numCache>
                <c:formatCode>General</c:formatCode>
                <c:ptCount val="1"/>
                <c:pt idx="0">
                  <c:v>25</c:v>
                </c:pt>
              </c:numCache>
            </c:numRef>
          </c:yVal>
          <c:smooth val="0"/>
        </c:ser>
        <c:ser>
          <c:idx val="9"/>
          <c:order val="9"/>
          <c:tx>
            <c:strRef>
              <c:f>культура!$A$12</c:f>
              <c:strCache>
                <c:ptCount val="1"/>
                <c:pt idx="0">
                  <c:v>Камышлинский </c:v>
                </c:pt>
              </c:strCache>
            </c:strRef>
          </c:tx>
          <c:spPr>
            <a:ln w="35719">
              <a:noFill/>
            </a:ln>
          </c:spPr>
          <c:marker>
            <c:symbol val="circle"/>
            <c:size val="4"/>
            <c:spPr>
              <a:solidFill>
                <a:srgbClr val="4F81BD">
                  <a:lumMod val="50000"/>
                </a:srgbClr>
              </a:solidFill>
              <a:ln>
                <a:noFill/>
              </a:ln>
            </c:spPr>
          </c:marker>
          <c:dPt>
            <c:idx val="0"/>
            <c:marker>
              <c:spPr>
                <a:solidFill>
                  <a:srgbClr val="FF0000"/>
                </a:solidFill>
                <a:ln>
                  <a:noFill/>
                </a:ln>
              </c:spPr>
            </c:marker>
            <c:bubble3D val="0"/>
          </c:dPt>
          <c:dLbls>
            <c:dLblPos val="t"/>
            <c:showLegendKey val="0"/>
            <c:showVal val="0"/>
            <c:showCatName val="0"/>
            <c:showSerName val="1"/>
            <c:showPercent val="0"/>
            <c:showBubbleSize val="0"/>
            <c:showLeaderLines val="0"/>
          </c:dLbls>
          <c:xVal>
            <c:numRef>
              <c:f>культура!$B$12</c:f>
              <c:numCache>
                <c:formatCode>General</c:formatCode>
                <c:ptCount val="1"/>
                <c:pt idx="0">
                  <c:v>14</c:v>
                </c:pt>
              </c:numCache>
            </c:numRef>
          </c:xVal>
          <c:yVal>
            <c:numRef>
              <c:f>культура!$C$12</c:f>
              <c:numCache>
                <c:formatCode>General</c:formatCode>
                <c:ptCount val="1"/>
                <c:pt idx="0">
                  <c:v>0</c:v>
                </c:pt>
              </c:numCache>
            </c:numRef>
          </c:yVal>
          <c:smooth val="0"/>
        </c:ser>
        <c:ser>
          <c:idx val="10"/>
          <c:order val="10"/>
          <c:tx>
            <c:strRef>
              <c:f>культура!$A$13</c:f>
              <c:strCache>
                <c:ptCount val="1"/>
                <c:pt idx="0">
                  <c:v>Кинельский </c:v>
                </c:pt>
              </c:strCache>
            </c:strRef>
          </c:tx>
          <c:spPr>
            <a:ln w="35719">
              <a:noFill/>
            </a:ln>
          </c:spPr>
          <c:marker>
            <c:symbol val="circle"/>
            <c:size val="4"/>
            <c:spPr>
              <a:solidFill>
                <a:srgbClr val="4F81BD">
                  <a:lumMod val="50000"/>
                </a:srgbClr>
              </a:solidFill>
              <a:ln>
                <a:noFill/>
              </a:ln>
            </c:spPr>
          </c:marker>
          <c:dLbls>
            <c:dLbl>
              <c:idx val="0"/>
              <c:layout>
                <c:manualLayout>
                  <c:x val="-2.5601712754215116E-2"/>
                  <c:y val="-7.5367047308319821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культура!$B$13</c:f>
              <c:numCache>
                <c:formatCode>General</c:formatCode>
                <c:ptCount val="1"/>
                <c:pt idx="0">
                  <c:v>25</c:v>
                </c:pt>
              </c:numCache>
            </c:numRef>
          </c:xVal>
          <c:yVal>
            <c:numRef>
              <c:f>культура!$C$13</c:f>
              <c:numCache>
                <c:formatCode>General</c:formatCode>
                <c:ptCount val="1"/>
                <c:pt idx="0">
                  <c:v>0</c:v>
                </c:pt>
              </c:numCache>
            </c:numRef>
          </c:yVal>
          <c:smooth val="0"/>
        </c:ser>
        <c:ser>
          <c:idx val="11"/>
          <c:order val="11"/>
          <c:tx>
            <c:strRef>
              <c:f>культура!$A$14</c:f>
              <c:strCache>
                <c:ptCount val="1"/>
                <c:pt idx="0">
                  <c:v>Кинель-Черкасский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культура!$B$14</c:f>
              <c:numCache>
                <c:formatCode>General</c:formatCode>
                <c:ptCount val="1"/>
                <c:pt idx="0">
                  <c:v>28</c:v>
                </c:pt>
              </c:numCache>
            </c:numRef>
          </c:xVal>
          <c:yVal>
            <c:numRef>
              <c:f>культура!$C$14</c:f>
              <c:numCache>
                <c:formatCode>General</c:formatCode>
                <c:ptCount val="1"/>
                <c:pt idx="0">
                  <c:v>4</c:v>
                </c:pt>
              </c:numCache>
            </c:numRef>
          </c:yVal>
          <c:smooth val="0"/>
        </c:ser>
        <c:ser>
          <c:idx val="12"/>
          <c:order val="12"/>
          <c:tx>
            <c:strRef>
              <c:f>культура!$A$16</c:f>
              <c:strCache>
                <c:ptCount val="1"/>
                <c:pt idx="0">
                  <c:v>Кошкинский </c:v>
                </c:pt>
              </c:strCache>
            </c:strRef>
          </c:tx>
          <c:spPr>
            <a:ln w="35719">
              <a:noFill/>
            </a:ln>
          </c:spPr>
          <c:marker>
            <c:symbol val="circle"/>
            <c:size val="4"/>
            <c:spPr>
              <a:solidFill>
                <a:schemeClr val="accent1">
                  <a:lumMod val="50000"/>
                </a:schemeClr>
              </a:solidFill>
              <a:ln>
                <a:noFill/>
              </a:ln>
            </c:spPr>
          </c:marker>
          <c:dLbls>
            <c:dLbl>
              <c:idx val="0"/>
              <c:layout>
                <c:manualLayout>
                  <c:x val="-5.546602327332819E-2"/>
                  <c:y val="-4.6003262642740697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культура!$B$16</c:f>
              <c:numCache>
                <c:formatCode>General</c:formatCode>
                <c:ptCount val="1"/>
                <c:pt idx="0">
                  <c:v>37</c:v>
                </c:pt>
              </c:numCache>
            </c:numRef>
          </c:xVal>
          <c:yVal>
            <c:numRef>
              <c:f>культура!$C$16</c:f>
              <c:numCache>
                <c:formatCode>General</c:formatCode>
                <c:ptCount val="1"/>
                <c:pt idx="0">
                  <c:v>0</c:v>
                </c:pt>
              </c:numCache>
            </c:numRef>
          </c:yVal>
          <c:smooth val="0"/>
        </c:ser>
        <c:ser>
          <c:idx val="13"/>
          <c:order val="13"/>
          <c:tx>
            <c:strRef>
              <c:f>культура!$A$17</c:f>
              <c:strCache>
                <c:ptCount val="1"/>
                <c:pt idx="0">
                  <c:v>Красноармейский </c:v>
                </c:pt>
              </c:strCache>
            </c:strRef>
          </c:tx>
          <c:spPr>
            <a:ln w="35719">
              <a:noFill/>
            </a:ln>
          </c:spPr>
          <c:marker>
            <c:symbol val="circle"/>
            <c:size val="4"/>
            <c:spPr>
              <a:solidFill>
                <a:srgbClr val="4F81BD">
                  <a:lumMod val="50000"/>
                </a:srgbClr>
              </a:solidFill>
              <a:ln>
                <a:noFill/>
              </a:ln>
            </c:spPr>
          </c:marker>
          <c:dLbls>
            <c:dLbl>
              <c:idx val="0"/>
              <c:layout>
                <c:manualLayout>
                  <c:x val="-0.11708291725808539"/>
                  <c:y val="-2.6427406199021206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культура!$B$17</c:f>
              <c:numCache>
                <c:formatCode>General</c:formatCode>
                <c:ptCount val="1"/>
                <c:pt idx="0">
                  <c:v>23</c:v>
                </c:pt>
              </c:numCache>
            </c:numRef>
          </c:xVal>
          <c:yVal>
            <c:numRef>
              <c:f>культура!$C$17</c:f>
              <c:numCache>
                <c:formatCode>General</c:formatCode>
                <c:ptCount val="1"/>
                <c:pt idx="0">
                  <c:v>0</c:v>
                </c:pt>
              </c:numCache>
            </c:numRef>
          </c:yVal>
          <c:smooth val="0"/>
        </c:ser>
        <c:ser>
          <c:idx val="14"/>
          <c:order val="14"/>
          <c:tx>
            <c:strRef>
              <c:f>культура!$A$18</c:f>
              <c:strCache>
                <c:ptCount val="1"/>
                <c:pt idx="0">
                  <c:v>Красноярский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культура!$B$18</c:f>
              <c:numCache>
                <c:formatCode>General</c:formatCode>
                <c:ptCount val="1"/>
                <c:pt idx="0">
                  <c:v>24</c:v>
                </c:pt>
              </c:numCache>
            </c:numRef>
          </c:xVal>
          <c:yVal>
            <c:numRef>
              <c:f>культура!$C$18</c:f>
              <c:numCache>
                <c:formatCode>General</c:formatCode>
                <c:ptCount val="1"/>
                <c:pt idx="0">
                  <c:v>26</c:v>
                </c:pt>
              </c:numCache>
            </c:numRef>
          </c:yVal>
          <c:smooth val="0"/>
        </c:ser>
        <c:ser>
          <c:idx val="15"/>
          <c:order val="15"/>
          <c:tx>
            <c:strRef>
              <c:f>культура!$A$19</c:f>
              <c:strCache>
                <c:ptCount val="1"/>
                <c:pt idx="0">
                  <c:v>Нефтегорский </c:v>
                </c:pt>
              </c:strCache>
            </c:strRef>
          </c:tx>
          <c:spPr>
            <a:ln w="35719">
              <a:noFill/>
            </a:ln>
          </c:spPr>
          <c:marker>
            <c:symbol val="circle"/>
            <c:size val="4"/>
            <c:spPr>
              <a:solidFill>
                <a:schemeClr val="accent1">
                  <a:lumMod val="50000"/>
                </a:schemeClr>
              </a:solidFill>
            </c:spPr>
          </c:marker>
          <c:dLbls>
            <c:dLbl>
              <c:idx val="0"/>
              <c:layout>
                <c:manualLayout>
                  <c:x val="-0.10850595959629122"/>
                  <c:y val="7.9327369184686733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культура!$B$19</c:f>
              <c:numCache>
                <c:formatCode>General</c:formatCode>
                <c:ptCount val="1"/>
                <c:pt idx="0">
                  <c:v>16</c:v>
                </c:pt>
              </c:numCache>
            </c:numRef>
          </c:xVal>
          <c:yVal>
            <c:numRef>
              <c:f>культура!$C$19</c:f>
              <c:numCache>
                <c:formatCode>General</c:formatCode>
                <c:ptCount val="1"/>
                <c:pt idx="0">
                  <c:v>0</c:v>
                </c:pt>
              </c:numCache>
            </c:numRef>
          </c:yVal>
          <c:smooth val="0"/>
        </c:ser>
        <c:ser>
          <c:idx val="16"/>
          <c:order val="16"/>
          <c:tx>
            <c:strRef>
              <c:f>культура!$A$20</c:f>
              <c:strCache>
                <c:ptCount val="1"/>
                <c:pt idx="0">
                  <c:v>Пестравский </c:v>
                </c:pt>
              </c:strCache>
            </c:strRef>
          </c:tx>
          <c:spPr>
            <a:ln w="35719">
              <a:noFill/>
            </a:ln>
          </c:spPr>
          <c:marker>
            <c:symbol val="circle"/>
            <c:size val="4"/>
            <c:spPr>
              <a:solidFill>
                <a:srgbClr val="4F81BD">
                  <a:lumMod val="50000"/>
                </a:srgbClr>
              </a:solidFill>
              <a:ln>
                <a:noFill/>
              </a:ln>
            </c:spPr>
          </c:marker>
          <c:dLbls>
            <c:dLbl>
              <c:idx val="0"/>
              <c:layout>
                <c:manualLayout>
                  <c:x val="-1.8817852411716816E-3"/>
                  <c:y val="6.1990212071778138E-3"/>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культура!$B$20</c:f>
              <c:numCache>
                <c:formatCode>General</c:formatCode>
                <c:ptCount val="1"/>
                <c:pt idx="0">
                  <c:v>15</c:v>
                </c:pt>
              </c:numCache>
            </c:numRef>
          </c:xVal>
          <c:yVal>
            <c:numRef>
              <c:f>культура!$C$20</c:f>
              <c:numCache>
                <c:formatCode>General</c:formatCode>
                <c:ptCount val="1"/>
                <c:pt idx="0">
                  <c:v>14</c:v>
                </c:pt>
              </c:numCache>
            </c:numRef>
          </c:yVal>
          <c:smooth val="0"/>
        </c:ser>
        <c:ser>
          <c:idx val="17"/>
          <c:order val="17"/>
          <c:tx>
            <c:strRef>
              <c:f>культура!$A$21</c:f>
              <c:strCache>
                <c:ptCount val="1"/>
                <c:pt idx="0">
                  <c:v>Похвистневский </c:v>
                </c:pt>
              </c:strCache>
            </c:strRef>
          </c:tx>
          <c:spPr>
            <a:ln w="35719">
              <a:noFill/>
            </a:ln>
          </c:spPr>
          <c:marker>
            <c:symbol val="circle"/>
            <c:size val="4"/>
            <c:spPr>
              <a:solidFill>
                <a:srgbClr val="4F81BD">
                  <a:lumMod val="50000"/>
                </a:srgbClr>
              </a:solidFill>
              <a:ln>
                <a:noFill/>
              </a:ln>
            </c:spPr>
          </c:marker>
          <c:dLbls>
            <c:dLbl>
              <c:idx val="0"/>
              <c:tx>
                <c:rich>
                  <a:bodyPr/>
                  <a:lstStyle/>
                  <a:p>
                    <a:pPr>
                      <a:defRPr/>
                    </a:pPr>
                    <a:r>
                      <a:rPr lang="ru-RU"/>
                      <a:t>Похвистневский</a:t>
                    </a:r>
                    <a:endParaRPr lang="en-US"/>
                  </a:p>
                </c:rich>
              </c:tx>
              <c:spPr/>
              <c:dLblPos val="t"/>
              <c:showLegendKey val="0"/>
              <c:showVal val="0"/>
              <c:showCatName val="0"/>
              <c:showSerName val="0"/>
              <c:showPercent val="0"/>
              <c:showBubbleSize val="0"/>
            </c:dLbl>
            <c:dLblPos val="t"/>
            <c:showLegendKey val="0"/>
            <c:showVal val="1"/>
            <c:showCatName val="0"/>
            <c:showSerName val="0"/>
            <c:showPercent val="0"/>
            <c:showBubbleSize val="0"/>
            <c:showLeaderLines val="0"/>
          </c:dLbls>
          <c:xVal>
            <c:numRef>
              <c:f>культура!$B$21</c:f>
              <c:numCache>
                <c:formatCode>General</c:formatCode>
                <c:ptCount val="1"/>
                <c:pt idx="0">
                  <c:v>34</c:v>
                </c:pt>
              </c:numCache>
            </c:numRef>
          </c:xVal>
          <c:yVal>
            <c:numRef>
              <c:f>культура!$C$21</c:f>
              <c:numCache>
                <c:formatCode>General</c:formatCode>
                <c:ptCount val="1"/>
                <c:pt idx="0">
                  <c:v>0</c:v>
                </c:pt>
              </c:numCache>
            </c:numRef>
          </c:yVal>
          <c:smooth val="0"/>
        </c:ser>
        <c:ser>
          <c:idx val="18"/>
          <c:order val="18"/>
          <c:tx>
            <c:strRef>
              <c:f>культура!$A$22</c:f>
              <c:strCache>
                <c:ptCount val="1"/>
                <c:pt idx="0">
                  <c:v>Приволжский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культура!$B$22</c:f>
              <c:numCache>
                <c:formatCode>General</c:formatCode>
                <c:ptCount val="1"/>
                <c:pt idx="0">
                  <c:v>18</c:v>
                </c:pt>
              </c:numCache>
            </c:numRef>
          </c:xVal>
          <c:yVal>
            <c:numRef>
              <c:f>культура!$C$22</c:f>
              <c:numCache>
                <c:formatCode>General</c:formatCode>
                <c:ptCount val="1"/>
                <c:pt idx="0">
                  <c:v>19</c:v>
                </c:pt>
              </c:numCache>
            </c:numRef>
          </c:yVal>
          <c:smooth val="0"/>
        </c:ser>
        <c:ser>
          <c:idx val="19"/>
          <c:order val="19"/>
          <c:tx>
            <c:strRef>
              <c:f>культура!$A$23</c:f>
              <c:strCache>
                <c:ptCount val="1"/>
                <c:pt idx="0">
                  <c:v>Сергиевский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культура!$B$23</c:f>
              <c:numCache>
                <c:formatCode>General</c:formatCode>
                <c:ptCount val="1"/>
                <c:pt idx="0">
                  <c:v>31</c:v>
                </c:pt>
              </c:numCache>
            </c:numRef>
          </c:xVal>
          <c:yVal>
            <c:numRef>
              <c:f>культура!$C$23</c:f>
              <c:numCache>
                <c:formatCode>General</c:formatCode>
                <c:ptCount val="1"/>
                <c:pt idx="0">
                  <c:v>32</c:v>
                </c:pt>
              </c:numCache>
            </c:numRef>
          </c:yVal>
          <c:smooth val="0"/>
        </c:ser>
        <c:ser>
          <c:idx val="20"/>
          <c:order val="20"/>
          <c:tx>
            <c:strRef>
              <c:f>культура!$A$24</c:f>
              <c:strCache>
                <c:ptCount val="1"/>
                <c:pt idx="0">
                  <c:v>Ставропольский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культура!$B$24</c:f>
              <c:numCache>
                <c:formatCode>General</c:formatCode>
                <c:ptCount val="1"/>
                <c:pt idx="0">
                  <c:v>34</c:v>
                </c:pt>
              </c:numCache>
            </c:numRef>
          </c:xVal>
          <c:yVal>
            <c:numRef>
              <c:f>культура!$C$24</c:f>
              <c:numCache>
                <c:formatCode>General</c:formatCode>
                <c:ptCount val="1"/>
                <c:pt idx="0">
                  <c:v>35</c:v>
                </c:pt>
              </c:numCache>
            </c:numRef>
          </c:yVal>
          <c:smooth val="0"/>
        </c:ser>
        <c:ser>
          <c:idx val="21"/>
          <c:order val="21"/>
          <c:tx>
            <c:strRef>
              <c:f>культура!$A$26</c:f>
              <c:strCache>
                <c:ptCount val="1"/>
                <c:pt idx="0">
                  <c:v>Хворостянский </c:v>
                </c:pt>
              </c:strCache>
            </c:strRef>
          </c:tx>
          <c:spPr>
            <a:ln w="35719">
              <a:noFill/>
            </a:ln>
          </c:spPr>
          <c:marker>
            <c:symbol val="circle"/>
            <c:size val="4"/>
            <c:spPr>
              <a:solidFill>
                <a:srgbClr val="4F81BD">
                  <a:lumMod val="50000"/>
                </a:srgbClr>
              </a:solidFill>
              <a:ln>
                <a:noFill/>
              </a:ln>
            </c:spPr>
          </c:marker>
          <c:dLbls>
            <c:dLbl>
              <c:idx val="0"/>
              <c:layout>
                <c:manualLayout>
                  <c:x val="-2.8487219808403859E-2"/>
                  <c:y val="6.0679716628809145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культура!$B$26</c:f>
              <c:numCache>
                <c:formatCode>General</c:formatCode>
                <c:ptCount val="1"/>
                <c:pt idx="0">
                  <c:v>19</c:v>
                </c:pt>
              </c:numCache>
            </c:numRef>
          </c:xVal>
          <c:yVal>
            <c:numRef>
              <c:f>культура!$C$26</c:f>
              <c:numCache>
                <c:formatCode>General</c:formatCode>
                <c:ptCount val="1"/>
                <c:pt idx="0">
                  <c:v>0</c:v>
                </c:pt>
              </c:numCache>
            </c:numRef>
          </c:yVal>
          <c:smooth val="0"/>
        </c:ser>
        <c:ser>
          <c:idx val="22"/>
          <c:order val="22"/>
          <c:tx>
            <c:strRef>
              <c:f>культура!$A$27</c:f>
              <c:strCache>
                <c:ptCount val="1"/>
                <c:pt idx="0">
                  <c:v>Челно-Вершинский </c:v>
                </c:pt>
              </c:strCache>
            </c:strRef>
          </c:tx>
          <c:spPr>
            <a:ln w="35719">
              <a:noFill/>
            </a:ln>
          </c:spPr>
          <c:marker>
            <c:symbol val="circle"/>
            <c:size val="4"/>
            <c:spPr>
              <a:solidFill>
                <a:srgbClr val="4F81BD">
                  <a:lumMod val="50000"/>
                </a:srgbClr>
              </a:solidFill>
              <a:ln>
                <a:noFill/>
              </a:ln>
            </c:spPr>
          </c:marker>
          <c:dLbls>
            <c:dLbl>
              <c:idx val="0"/>
              <c:layout>
                <c:manualLayout>
                  <c:x val="-9.4603465859007571E-2"/>
                  <c:y val="-2.9690048939641112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культура!$B$27</c:f>
              <c:numCache>
                <c:formatCode>General</c:formatCode>
                <c:ptCount val="1"/>
                <c:pt idx="0">
                  <c:v>23</c:v>
                </c:pt>
              </c:numCache>
            </c:numRef>
          </c:xVal>
          <c:yVal>
            <c:numRef>
              <c:f>культура!$C$27</c:f>
              <c:numCache>
                <c:formatCode>General</c:formatCode>
                <c:ptCount val="1"/>
                <c:pt idx="0">
                  <c:v>22</c:v>
                </c:pt>
              </c:numCache>
            </c:numRef>
          </c:yVal>
          <c:smooth val="0"/>
        </c:ser>
        <c:ser>
          <c:idx val="23"/>
          <c:order val="23"/>
          <c:tx>
            <c:strRef>
              <c:f>культура!$A$28</c:f>
              <c:strCache>
                <c:ptCount val="1"/>
                <c:pt idx="0">
                  <c:v>Шенталинский </c:v>
                </c:pt>
              </c:strCache>
            </c:strRef>
          </c:tx>
          <c:spPr>
            <a:ln w="35719">
              <a:noFill/>
            </a:ln>
          </c:spPr>
          <c:marker>
            <c:symbol val="circle"/>
            <c:size val="4"/>
            <c:spPr>
              <a:solidFill>
                <a:srgbClr val="4F81BD">
                  <a:lumMod val="50000"/>
                </a:srgbClr>
              </a:solidFill>
              <a:ln>
                <a:noFill/>
              </a:ln>
            </c:spPr>
          </c:marker>
          <c:dLbls>
            <c:dLbl>
              <c:idx val="0"/>
              <c:layout>
                <c:manualLayout>
                  <c:x val="-3.2995467420017507E-2"/>
                  <c:y val="6.1510075812069499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культура!$B$28</c:f>
              <c:numCache>
                <c:formatCode>General</c:formatCode>
                <c:ptCount val="1"/>
                <c:pt idx="0">
                  <c:v>29</c:v>
                </c:pt>
              </c:numCache>
            </c:numRef>
          </c:xVal>
          <c:yVal>
            <c:numRef>
              <c:f>культура!$C$28</c:f>
              <c:numCache>
                <c:formatCode>General</c:formatCode>
                <c:ptCount val="1"/>
                <c:pt idx="0">
                  <c:v>0</c:v>
                </c:pt>
              </c:numCache>
            </c:numRef>
          </c:yVal>
          <c:smooth val="0"/>
        </c:ser>
        <c:ser>
          <c:idx val="24"/>
          <c:order val="24"/>
          <c:tx>
            <c:strRef>
              <c:f>культура!$A$29</c:f>
              <c:strCache>
                <c:ptCount val="1"/>
                <c:pt idx="0">
                  <c:v>Шигонский </c:v>
                </c:pt>
              </c:strCache>
            </c:strRef>
          </c:tx>
          <c:spPr>
            <a:ln w="35719">
              <a:noFill/>
            </a:ln>
          </c:spPr>
          <c:marker>
            <c:symbol val="circle"/>
            <c:size val="4"/>
            <c:spPr>
              <a:solidFill>
                <a:srgbClr val="FF0000"/>
              </a:solidFill>
              <a:ln>
                <a:noFill/>
              </a:ln>
            </c:spPr>
          </c:marker>
          <c:dPt>
            <c:idx val="0"/>
            <c:marker>
              <c:spPr>
                <a:solidFill>
                  <a:schemeClr val="tx2">
                    <a:lumMod val="75000"/>
                  </a:schemeClr>
                </a:solidFill>
                <a:ln>
                  <a:noFill/>
                </a:ln>
              </c:spPr>
            </c:marker>
            <c:bubble3D val="0"/>
          </c:dPt>
          <c:dLbls>
            <c:dLbl>
              <c:idx val="0"/>
              <c:layout>
                <c:manualLayout>
                  <c:x val="-6.2768881965849871E-2"/>
                  <c:y val="2.4214553542811438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культура!$B$27</c:f>
              <c:numCache>
                <c:formatCode>General</c:formatCode>
                <c:ptCount val="1"/>
                <c:pt idx="0">
                  <c:v>23</c:v>
                </c:pt>
              </c:numCache>
            </c:numRef>
          </c:xVal>
          <c:yVal>
            <c:numRef>
              <c:f>культура!$C$29</c:f>
              <c:numCache>
                <c:formatCode>General</c:formatCode>
                <c:ptCount val="1"/>
                <c:pt idx="0">
                  <c:v>20</c:v>
                </c:pt>
              </c:numCache>
            </c:numRef>
          </c:yVal>
          <c:smooth val="0"/>
        </c:ser>
        <c:ser>
          <c:idx val="25"/>
          <c:order val="25"/>
          <c:tx>
            <c:strRef>
              <c:f>культура!$A$15</c:f>
              <c:strCache>
                <c:ptCount val="1"/>
                <c:pt idx="0">
                  <c:v>Клявлинский</c:v>
                </c:pt>
              </c:strCache>
            </c:strRef>
          </c:tx>
          <c:spPr>
            <a:ln w="35719">
              <a:noFill/>
            </a:ln>
          </c:spPr>
          <c:marker>
            <c:symbol val="circle"/>
            <c:size val="4"/>
            <c:spPr>
              <a:solidFill>
                <a:schemeClr val="accent1">
                  <a:lumMod val="50000"/>
                </a:schemeClr>
              </a:solidFill>
              <a:ln>
                <a:noFill/>
              </a:ln>
            </c:spPr>
          </c:marker>
          <c:dLbls>
            <c:dLbl>
              <c:idx val="0"/>
              <c:layout>
                <c:manualLayout>
                  <c:x val="-4.2512515446693849E-2"/>
                  <c:y val="-4.1109298531810771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культура!$B$15</c:f>
              <c:numCache>
                <c:formatCode>General</c:formatCode>
                <c:ptCount val="1"/>
                <c:pt idx="0">
                  <c:v>25</c:v>
                </c:pt>
              </c:numCache>
            </c:numRef>
          </c:xVal>
          <c:yVal>
            <c:numRef>
              <c:f>культура!$C$15</c:f>
              <c:numCache>
                <c:formatCode>General</c:formatCode>
                <c:ptCount val="1"/>
                <c:pt idx="0">
                  <c:v>0</c:v>
                </c:pt>
              </c:numCache>
            </c:numRef>
          </c:yVal>
          <c:smooth val="0"/>
        </c:ser>
        <c:dLbls>
          <c:showLegendKey val="0"/>
          <c:showVal val="0"/>
          <c:showCatName val="0"/>
          <c:showSerName val="0"/>
          <c:showPercent val="0"/>
          <c:showBubbleSize val="0"/>
        </c:dLbls>
        <c:axId val="251299712"/>
        <c:axId val="251318272"/>
      </c:scatterChart>
      <c:valAx>
        <c:axId val="251299712"/>
        <c:scaling>
          <c:orientation val="minMax"/>
          <c:min val="13"/>
        </c:scaling>
        <c:delete val="0"/>
        <c:axPos val="b"/>
        <c:title>
          <c:tx>
            <c:rich>
              <a:bodyPr/>
              <a:lstStyle/>
              <a:p>
                <a:pPr>
                  <a:defRPr sz="750" b="1" i="0" u="none" strike="noStrike" baseline="0">
                    <a:solidFill>
                      <a:srgbClr val="000000"/>
                    </a:solidFill>
                    <a:latin typeface="Times New Roman"/>
                    <a:ea typeface="Times New Roman"/>
                    <a:cs typeface="Times New Roman"/>
                  </a:defRPr>
                </a:pPr>
                <a:r>
                  <a:rPr lang="ru-RU"/>
                  <a:t>Число учреждений культурно-досугового типа</a:t>
                </a:r>
              </a:p>
            </c:rich>
          </c:tx>
          <c:overlay val="0"/>
        </c:title>
        <c:numFmt formatCode="General" sourceLinked="1"/>
        <c:majorTickMark val="out"/>
        <c:minorTickMark val="none"/>
        <c:tickLblPos val="nextTo"/>
        <c:txPr>
          <a:bodyPr rot="0" vert="horz"/>
          <a:lstStyle/>
          <a:p>
            <a:pPr>
              <a:defRPr sz="750" b="0" i="0" u="none" strike="noStrike" baseline="0">
                <a:solidFill>
                  <a:srgbClr val="000000"/>
                </a:solidFill>
                <a:latin typeface="Times New Roman"/>
                <a:ea typeface="Times New Roman"/>
                <a:cs typeface="Times New Roman"/>
              </a:defRPr>
            </a:pPr>
            <a:endParaRPr lang="ru-RU"/>
          </a:p>
        </c:txPr>
        <c:crossAx val="251318272"/>
        <c:crosses val="autoZero"/>
        <c:crossBetween val="midCat"/>
      </c:valAx>
      <c:valAx>
        <c:axId val="251318272"/>
        <c:scaling>
          <c:orientation val="minMax"/>
          <c:min val="0"/>
        </c:scaling>
        <c:delete val="0"/>
        <c:axPos val="l"/>
        <c:title>
          <c:tx>
            <c:rich>
              <a:bodyPr/>
              <a:lstStyle/>
              <a:p>
                <a:pPr>
                  <a:defRPr sz="750" b="1" i="0" u="none" strike="noStrike" baseline="0">
                    <a:solidFill>
                      <a:srgbClr val="000000"/>
                    </a:solidFill>
                    <a:latin typeface="Times New Roman"/>
                    <a:ea typeface="Times New Roman"/>
                    <a:cs typeface="Times New Roman"/>
                  </a:defRPr>
                </a:pPr>
                <a:r>
                  <a:rPr lang="ru-RU"/>
                  <a:t>Число общедоступных  библиотек</a:t>
                </a:r>
              </a:p>
            </c:rich>
          </c:tx>
          <c:overlay val="0"/>
        </c:title>
        <c:numFmt formatCode="General" sourceLinked="1"/>
        <c:majorTickMark val="out"/>
        <c:minorTickMark val="none"/>
        <c:tickLblPos val="nextTo"/>
        <c:crossAx val="251299712"/>
        <c:crosses val="autoZero"/>
        <c:crossBetween val="midCat"/>
      </c:valAx>
      <c:spPr>
        <a:noFill/>
        <a:ln>
          <a:solidFill>
            <a:schemeClr val="dk1">
              <a:shade val="95000"/>
              <a:satMod val="105000"/>
            </a:schemeClr>
          </a:solidFill>
        </a:ln>
      </c:spPr>
    </c:plotArea>
    <c:plotVisOnly val="1"/>
    <c:dispBlanksAs val="gap"/>
    <c:showDLblsOverMax val="0"/>
  </c:chart>
  <c:spPr>
    <a:noFill/>
  </c:spPr>
  <c:txPr>
    <a:bodyPr/>
    <a:lstStyle/>
    <a:p>
      <a:pPr>
        <a:defRPr sz="75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26749781277414"/>
          <c:y val="0"/>
          <c:w val="0.47189334053580134"/>
          <c:h val="0.98578762512840834"/>
        </c:manualLayout>
      </c:layout>
      <c:pieChart>
        <c:varyColors val="1"/>
        <c:ser>
          <c:idx val="0"/>
          <c:order val="0"/>
          <c:spPr>
            <a:solidFill>
              <a:schemeClr val="accent1"/>
            </a:solidFill>
          </c:spPr>
          <c:explosion val="2"/>
          <c:dPt>
            <c:idx val="0"/>
            <c:bubble3D val="0"/>
            <c:spPr>
              <a:solidFill>
                <a:srgbClr val="376092"/>
              </a:solidFill>
            </c:spPr>
          </c:dPt>
          <c:dPt>
            <c:idx val="1"/>
            <c:bubble3D val="0"/>
            <c:spPr>
              <a:solidFill>
                <a:srgbClr val="C50000"/>
              </a:solidFill>
            </c:spPr>
          </c:dPt>
          <c:dPt>
            <c:idx val="2"/>
            <c:bubble3D val="0"/>
            <c:spPr>
              <a:solidFill>
                <a:srgbClr val="7F7F7F"/>
              </a:solidFill>
            </c:spPr>
          </c:dPt>
          <c:dLbls>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dLbls>
          <c:cat>
            <c:strRef>
              <c:f>Молодежь!$D$13:$D$15</c:f>
              <c:strCache>
                <c:ptCount val="3"/>
                <c:pt idx="0">
                  <c:v>От 0 до 13 лет</c:v>
                </c:pt>
                <c:pt idx="1">
                  <c:v>От 14-29 лет </c:v>
                </c:pt>
                <c:pt idx="2">
                  <c:v>Больше 30 лет</c:v>
                </c:pt>
              </c:strCache>
            </c:strRef>
          </c:cat>
          <c:val>
            <c:numRef>
              <c:f>Молодежь!$E$13:$E$15</c:f>
              <c:numCache>
                <c:formatCode>General</c:formatCode>
                <c:ptCount val="3"/>
                <c:pt idx="0">
                  <c:v>1784</c:v>
                </c:pt>
                <c:pt idx="1">
                  <c:v>2107</c:v>
                </c:pt>
                <c:pt idx="2">
                  <c:v>6957</c:v>
                </c:pt>
              </c:numCache>
            </c:numRef>
          </c:val>
        </c:ser>
        <c:dLbls>
          <c:showLegendKey val="0"/>
          <c:showVal val="0"/>
          <c:showCatName val="0"/>
          <c:showSerName val="0"/>
          <c:showPercent val="0"/>
          <c:showBubbleSize val="0"/>
          <c:showLeaderLines val="1"/>
        </c:dLbls>
        <c:firstSliceAng val="0"/>
      </c:pieChart>
      <c:spPr>
        <a:noFill/>
        <a:ln w="25413">
          <a:noFill/>
        </a:ln>
      </c:spPr>
    </c:plotArea>
    <c:legend>
      <c:legendPos val="r"/>
      <c:overlay val="0"/>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ln>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286753238371157"/>
          <c:y val="0.14591614820089707"/>
          <c:w val="0.65965235186340265"/>
          <c:h val="0.75330829388663678"/>
        </c:manualLayout>
      </c:layout>
      <c:barChart>
        <c:barDir val="bar"/>
        <c:grouping val="clustered"/>
        <c:varyColors val="0"/>
        <c:ser>
          <c:idx val="0"/>
          <c:order val="0"/>
          <c:invertIfNegative val="0"/>
          <c:dPt>
            <c:idx val="11"/>
            <c:invertIfNegative val="0"/>
            <c:bubble3D val="0"/>
            <c:spPr>
              <a:solidFill>
                <a:srgbClr val="FF0000"/>
              </a:solidFill>
            </c:spPr>
          </c:dPt>
          <c:cat>
            <c:strRef>
              <c:f>Правонарушения!$A$3:$A$29</c:f>
              <c:strCache>
                <c:ptCount val="27"/>
                <c:pt idx="0">
                  <c:v>Сызранский</c:v>
                </c:pt>
                <c:pt idx="1">
                  <c:v>Богатовский</c:v>
                </c:pt>
                <c:pt idx="2">
                  <c:v>Красноярский</c:v>
                </c:pt>
                <c:pt idx="3">
                  <c:v>Красноармейский</c:v>
                </c:pt>
                <c:pt idx="4">
                  <c:v>Ставропольский</c:v>
                </c:pt>
                <c:pt idx="5">
                  <c:v>Елховский</c:v>
                </c:pt>
                <c:pt idx="6">
                  <c:v>Безенчукский</c:v>
                </c:pt>
                <c:pt idx="7">
                  <c:v>Кинель-Черкасский</c:v>
                </c:pt>
                <c:pt idx="8">
                  <c:v>Хворостянский</c:v>
                </c:pt>
                <c:pt idx="9">
                  <c:v>Исаклинский</c:v>
                </c:pt>
                <c:pt idx="10">
                  <c:v>Волжский</c:v>
                </c:pt>
                <c:pt idx="11">
                  <c:v>Камышлинский</c:v>
                </c:pt>
                <c:pt idx="12">
                  <c:v>Большечерниговский</c:v>
                </c:pt>
                <c:pt idx="13">
                  <c:v>Клявлинский</c:v>
                </c:pt>
                <c:pt idx="14">
                  <c:v>Сергиевский</c:v>
                </c:pt>
                <c:pt idx="15">
                  <c:v>Похвистневский</c:v>
                </c:pt>
                <c:pt idx="16">
                  <c:v>Большеглушицкий</c:v>
                </c:pt>
                <c:pt idx="17">
                  <c:v>Шенталинский</c:v>
                </c:pt>
                <c:pt idx="18">
                  <c:v>Кошкинский</c:v>
                </c:pt>
                <c:pt idx="19">
                  <c:v>Шигонский</c:v>
                </c:pt>
                <c:pt idx="20">
                  <c:v>Челно-Вершинский</c:v>
                </c:pt>
                <c:pt idx="21">
                  <c:v>Пестравский</c:v>
                </c:pt>
                <c:pt idx="22">
                  <c:v>Кинельский</c:v>
                </c:pt>
                <c:pt idx="23">
                  <c:v>Алексеевский</c:v>
                </c:pt>
                <c:pt idx="24">
                  <c:v>Приволжский</c:v>
                </c:pt>
                <c:pt idx="25">
                  <c:v>Борский</c:v>
                </c:pt>
                <c:pt idx="26">
                  <c:v>Нефтегорский</c:v>
                </c:pt>
              </c:strCache>
            </c:strRef>
          </c:cat>
          <c:val>
            <c:numRef>
              <c:f>Правонарушения!$C$3:$C$29</c:f>
              <c:numCache>
                <c:formatCode>General</c:formatCode>
                <c:ptCount val="27"/>
                <c:pt idx="0">
                  <c:v>1830</c:v>
                </c:pt>
                <c:pt idx="1">
                  <c:v>1622</c:v>
                </c:pt>
                <c:pt idx="2">
                  <c:v>1588</c:v>
                </c:pt>
                <c:pt idx="3">
                  <c:v>1537</c:v>
                </c:pt>
                <c:pt idx="4">
                  <c:v>1532</c:v>
                </c:pt>
                <c:pt idx="5">
                  <c:v>1454</c:v>
                </c:pt>
                <c:pt idx="6">
                  <c:v>1293</c:v>
                </c:pt>
                <c:pt idx="7">
                  <c:v>1282</c:v>
                </c:pt>
                <c:pt idx="8">
                  <c:v>1273</c:v>
                </c:pt>
                <c:pt idx="9">
                  <c:v>1255</c:v>
                </c:pt>
                <c:pt idx="10">
                  <c:v>1196</c:v>
                </c:pt>
                <c:pt idx="11">
                  <c:v>1186</c:v>
                </c:pt>
                <c:pt idx="12">
                  <c:v>1140</c:v>
                </c:pt>
                <c:pt idx="13">
                  <c:v>1139</c:v>
                </c:pt>
                <c:pt idx="14">
                  <c:v>1132</c:v>
                </c:pt>
                <c:pt idx="15">
                  <c:v>1124</c:v>
                </c:pt>
                <c:pt idx="16">
                  <c:v>1112</c:v>
                </c:pt>
                <c:pt idx="17">
                  <c:v>1070</c:v>
                </c:pt>
                <c:pt idx="18">
                  <c:v>1069</c:v>
                </c:pt>
                <c:pt idx="19">
                  <c:v>1050</c:v>
                </c:pt>
                <c:pt idx="20">
                  <c:v>1031</c:v>
                </c:pt>
                <c:pt idx="21">
                  <c:v>1010</c:v>
                </c:pt>
                <c:pt idx="22">
                  <c:v>995</c:v>
                </c:pt>
                <c:pt idx="23">
                  <c:v>977</c:v>
                </c:pt>
                <c:pt idx="24">
                  <c:v>974</c:v>
                </c:pt>
                <c:pt idx="25">
                  <c:v>916</c:v>
                </c:pt>
                <c:pt idx="26">
                  <c:v>856</c:v>
                </c:pt>
              </c:numCache>
            </c:numRef>
          </c:val>
        </c:ser>
        <c:ser>
          <c:idx val="1"/>
          <c:order val="1"/>
          <c:spPr>
            <a:noFill/>
          </c:spPr>
          <c:invertIfNegative val="0"/>
          <c:trendline>
            <c:spPr>
              <a:ln>
                <a:prstDash val="sysDash"/>
              </a:ln>
            </c:spPr>
            <c:trendlineType val="linear"/>
            <c:dispRSqr val="0"/>
            <c:dispEq val="0"/>
          </c:trendline>
          <c:cat>
            <c:strRef>
              <c:f>Правонарушения!$A$3:$A$29</c:f>
              <c:strCache>
                <c:ptCount val="27"/>
                <c:pt idx="0">
                  <c:v>Сызранский</c:v>
                </c:pt>
                <c:pt idx="1">
                  <c:v>Богатовский</c:v>
                </c:pt>
                <c:pt idx="2">
                  <c:v>Красноярский</c:v>
                </c:pt>
                <c:pt idx="3">
                  <c:v>Красноармейский</c:v>
                </c:pt>
                <c:pt idx="4">
                  <c:v>Ставропольский</c:v>
                </c:pt>
                <c:pt idx="5">
                  <c:v>Елховский</c:v>
                </c:pt>
                <c:pt idx="6">
                  <c:v>Безенчукский</c:v>
                </c:pt>
                <c:pt idx="7">
                  <c:v>Кинель-Черкасский</c:v>
                </c:pt>
                <c:pt idx="8">
                  <c:v>Хворостянский</c:v>
                </c:pt>
                <c:pt idx="9">
                  <c:v>Исаклинский</c:v>
                </c:pt>
                <c:pt idx="10">
                  <c:v>Волжский</c:v>
                </c:pt>
                <c:pt idx="11">
                  <c:v>Камышлинский</c:v>
                </c:pt>
                <c:pt idx="12">
                  <c:v>Большечерниговский</c:v>
                </c:pt>
                <c:pt idx="13">
                  <c:v>Клявлинский</c:v>
                </c:pt>
                <c:pt idx="14">
                  <c:v>Сергиевский</c:v>
                </c:pt>
                <c:pt idx="15">
                  <c:v>Похвистневский</c:v>
                </c:pt>
                <c:pt idx="16">
                  <c:v>Большеглушицкий</c:v>
                </c:pt>
                <c:pt idx="17">
                  <c:v>Шенталинский</c:v>
                </c:pt>
                <c:pt idx="18">
                  <c:v>Кошкинский</c:v>
                </c:pt>
                <c:pt idx="19">
                  <c:v>Шигонский</c:v>
                </c:pt>
                <c:pt idx="20">
                  <c:v>Челно-Вершинский</c:v>
                </c:pt>
                <c:pt idx="21">
                  <c:v>Пестравский</c:v>
                </c:pt>
                <c:pt idx="22">
                  <c:v>Кинельский</c:v>
                </c:pt>
                <c:pt idx="23">
                  <c:v>Алексеевский</c:v>
                </c:pt>
                <c:pt idx="24">
                  <c:v>Приволжский</c:v>
                </c:pt>
                <c:pt idx="25">
                  <c:v>Борский</c:v>
                </c:pt>
                <c:pt idx="26">
                  <c:v>Нефтегорский</c:v>
                </c:pt>
              </c:strCache>
            </c:strRef>
          </c:cat>
          <c:val>
            <c:numRef>
              <c:f>Правонарушения!$D$3:$D$29</c:f>
              <c:numCache>
                <c:formatCode>General</c:formatCode>
                <c:ptCount val="27"/>
                <c:pt idx="0">
                  <c:v>1209</c:v>
                </c:pt>
                <c:pt idx="1">
                  <c:v>1209</c:v>
                </c:pt>
                <c:pt idx="2">
                  <c:v>1209</c:v>
                </c:pt>
                <c:pt idx="3">
                  <c:v>1209</c:v>
                </c:pt>
                <c:pt idx="4">
                  <c:v>1209</c:v>
                </c:pt>
                <c:pt idx="5">
                  <c:v>1209</c:v>
                </c:pt>
                <c:pt idx="6">
                  <c:v>1209</c:v>
                </c:pt>
                <c:pt idx="7">
                  <c:v>1209</c:v>
                </c:pt>
                <c:pt idx="8">
                  <c:v>1209</c:v>
                </c:pt>
                <c:pt idx="9">
                  <c:v>1209</c:v>
                </c:pt>
                <c:pt idx="10">
                  <c:v>1209</c:v>
                </c:pt>
                <c:pt idx="11">
                  <c:v>1209</c:v>
                </c:pt>
                <c:pt idx="12">
                  <c:v>1209</c:v>
                </c:pt>
                <c:pt idx="13">
                  <c:v>1209</c:v>
                </c:pt>
                <c:pt idx="14">
                  <c:v>1209</c:v>
                </c:pt>
                <c:pt idx="15">
                  <c:v>1209</c:v>
                </c:pt>
                <c:pt idx="16">
                  <c:v>1209</c:v>
                </c:pt>
                <c:pt idx="17">
                  <c:v>1209</c:v>
                </c:pt>
                <c:pt idx="18">
                  <c:v>1209</c:v>
                </c:pt>
                <c:pt idx="19">
                  <c:v>1209</c:v>
                </c:pt>
                <c:pt idx="20">
                  <c:v>1209</c:v>
                </c:pt>
                <c:pt idx="21">
                  <c:v>1209</c:v>
                </c:pt>
                <c:pt idx="22">
                  <c:v>1209</c:v>
                </c:pt>
                <c:pt idx="23">
                  <c:v>1209</c:v>
                </c:pt>
                <c:pt idx="24">
                  <c:v>1209</c:v>
                </c:pt>
                <c:pt idx="25">
                  <c:v>1209</c:v>
                </c:pt>
                <c:pt idx="26">
                  <c:v>1209</c:v>
                </c:pt>
              </c:numCache>
            </c:numRef>
          </c:val>
        </c:ser>
        <c:dLbls>
          <c:showLegendKey val="0"/>
          <c:showVal val="0"/>
          <c:showCatName val="0"/>
          <c:showSerName val="0"/>
          <c:showPercent val="0"/>
          <c:showBubbleSize val="0"/>
        </c:dLbls>
        <c:gapWidth val="150"/>
        <c:axId val="257510016"/>
        <c:axId val="257548672"/>
      </c:barChart>
      <c:catAx>
        <c:axId val="257510016"/>
        <c:scaling>
          <c:orientation val="minMax"/>
        </c:scaling>
        <c:delete val="0"/>
        <c:axPos val="l"/>
        <c:numFmt formatCode="General" sourceLinked="1"/>
        <c:majorTickMark val="none"/>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57548672"/>
        <c:crosses val="autoZero"/>
        <c:auto val="1"/>
        <c:lblAlgn val="ctr"/>
        <c:lblOffset val="100"/>
        <c:tickLblSkip val="1"/>
        <c:noMultiLvlLbl val="0"/>
      </c:catAx>
      <c:valAx>
        <c:axId val="257548672"/>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57510016"/>
        <c:crosses val="autoZero"/>
        <c:crossBetween val="between"/>
      </c:valAx>
    </c:plotArea>
    <c:plotVisOnly val="1"/>
    <c:dispBlanksAs val="gap"/>
    <c:showDLblsOverMax val="0"/>
  </c:chart>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26618547681601"/>
          <c:y val="0.28288203557888753"/>
          <c:w val="0.71490048118985161"/>
          <c:h val="0.5052121609798752"/>
        </c:manualLayout>
      </c:layout>
      <c:scatterChart>
        <c:scatterStyle val="lineMarker"/>
        <c:varyColors val="0"/>
        <c:ser>
          <c:idx val="0"/>
          <c:order val="0"/>
          <c:spPr>
            <a:ln w="28550">
              <a:noFill/>
            </a:ln>
          </c:spPr>
          <c:xVal>
            <c:numRef>
              <c:f>Правонарушения!$A$41:$A$51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Правонарушения!$B$41:$B$51</c:f>
              <c:numCache>
                <c:formatCode>General</c:formatCode>
                <c:ptCount val="11"/>
                <c:pt idx="0">
                  <c:v>2216</c:v>
                </c:pt>
                <c:pt idx="1">
                  <c:v>1770</c:v>
                </c:pt>
                <c:pt idx="2">
                  <c:v>1781</c:v>
                </c:pt>
                <c:pt idx="3">
                  <c:v>1456</c:v>
                </c:pt>
                <c:pt idx="4">
                  <c:v>1434</c:v>
                </c:pt>
                <c:pt idx="5">
                  <c:v>1466</c:v>
                </c:pt>
                <c:pt idx="6">
                  <c:v>1198</c:v>
                </c:pt>
                <c:pt idx="7">
                  <c:v>909</c:v>
                </c:pt>
                <c:pt idx="8">
                  <c:v>1184</c:v>
                </c:pt>
                <c:pt idx="9">
                  <c:v>1549</c:v>
                </c:pt>
                <c:pt idx="10">
                  <c:v>1186</c:v>
                </c:pt>
              </c:numCache>
            </c:numRef>
          </c:yVal>
          <c:smooth val="0"/>
        </c:ser>
        <c:dLbls>
          <c:showLegendKey val="0"/>
          <c:showVal val="0"/>
          <c:showCatName val="0"/>
          <c:showSerName val="0"/>
          <c:showPercent val="0"/>
          <c:showBubbleSize val="0"/>
        </c:dLbls>
        <c:axId val="257806336"/>
        <c:axId val="257808256"/>
      </c:scatterChart>
      <c:valAx>
        <c:axId val="257806336"/>
        <c:scaling>
          <c:orientation val="minMax"/>
          <c:max val="2016"/>
          <c:min val="2006"/>
        </c:scaling>
        <c:delete val="0"/>
        <c:axPos val="b"/>
        <c:title>
          <c:tx>
            <c:rich>
              <a:bodyPr/>
              <a:lstStyle/>
              <a:p>
                <a:pPr>
                  <a:defRPr sz="800" b="1" i="0" u="none" strike="noStrike" baseline="0">
                    <a:solidFill>
                      <a:srgbClr val="000000"/>
                    </a:solidFill>
                    <a:latin typeface="Times New Roman"/>
                    <a:ea typeface="Times New Roman"/>
                    <a:cs typeface="Times New Roman"/>
                  </a:defRPr>
                </a:pPr>
                <a:r>
                  <a:rPr lang="ru-RU"/>
                  <a:t>Годы</a:t>
                </a:r>
              </a:p>
            </c:rich>
          </c:tx>
          <c:overlay val="0"/>
        </c:title>
        <c:numFmt formatCode="General" sourceLinked="1"/>
        <c:majorTickMark val="none"/>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57808256"/>
        <c:crosses val="autoZero"/>
        <c:crossBetween val="midCat"/>
        <c:majorUnit val="1"/>
      </c:valAx>
      <c:valAx>
        <c:axId val="257808256"/>
        <c:scaling>
          <c:orientation val="minMax"/>
        </c:scaling>
        <c:delete val="0"/>
        <c:axPos val="l"/>
        <c:title>
          <c:tx>
            <c:rich>
              <a:bodyPr/>
              <a:lstStyle/>
              <a:p>
                <a:pPr>
                  <a:defRPr sz="800" b="1" i="0" u="none" strike="noStrike" baseline="0">
                    <a:solidFill>
                      <a:srgbClr val="000000"/>
                    </a:solidFill>
                    <a:latin typeface="Times New Roman"/>
                    <a:ea typeface="Times New Roman"/>
                    <a:cs typeface="Times New Roman"/>
                  </a:defRPr>
                </a:pPr>
                <a:r>
                  <a:rPr lang="ru-RU"/>
                  <a:t>Число зарегистрированных преступлений на 100 тыс. населения</a:t>
                </a:r>
              </a:p>
            </c:rich>
          </c:tx>
          <c:layout>
            <c:manualLayout>
              <c:xMode val="edge"/>
              <c:yMode val="edge"/>
              <c:x val="3.0555639143833135E-2"/>
              <c:y val="0.21417849650514159"/>
            </c:manualLayout>
          </c:layout>
          <c:overlay val="0"/>
        </c:title>
        <c:numFmt formatCode="General" sourceLinked="1"/>
        <c:majorTickMark val="none"/>
        <c:minorTickMark val="none"/>
        <c:tickLblPos val="nextTo"/>
        <c:crossAx val="257806336"/>
        <c:crosses val="autoZero"/>
        <c:crossBetween val="midCat"/>
      </c:valAx>
    </c:plotArea>
    <c:plotVisOnly val="1"/>
    <c:dispBlanksAs val="gap"/>
    <c:showDLblsOverMax val="0"/>
  </c:chart>
  <c:txPr>
    <a:bodyPr/>
    <a:lstStyle/>
    <a:p>
      <a:pPr>
        <a:defRPr sz="800" baseline="0">
          <a:solidFill>
            <a:sysClr val="windowText" lastClr="000000"/>
          </a:solidFill>
          <a:latin typeface="Times New Roman" pitchFamily="18" charset="0"/>
        </a:defRPr>
      </a:pPr>
      <a:endParaRPr lang="ru-RU"/>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824624194702963E-2"/>
          <c:y val="3.1796579962080351E-2"/>
          <c:w val="0.87205399325084365"/>
          <c:h val="0.71843444456185435"/>
        </c:manualLayout>
      </c:layout>
      <c:barChart>
        <c:barDir val="col"/>
        <c:grouping val="clustered"/>
        <c:varyColors val="0"/>
        <c:ser>
          <c:idx val="0"/>
          <c:order val="0"/>
          <c:tx>
            <c:strRef>
              <c:f>жкх!$B$7</c:f>
              <c:strCache>
                <c:ptCount val="1"/>
                <c:pt idx="0">
                  <c:v>Жилищный фонд (общая площадь жилых помещений), тыс кв. метров</c:v>
                </c:pt>
              </c:strCache>
            </c:strRef>
          </c:tx>
          <c:spPr>
            <a:solidFill>
              <a:srgbClr val="4F81BD">
                <a:lumMod val="75000"/>
              </a:srgbClr>
            </a:solidFill>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жкх!$C$6:$G$6</c:f>
              <c:numCache>
                <c:formatCode>General</c:formatCode>
                <c:ptCount val="5"/>
                <c:pt idx="0">
                  <c:v>2012</c:v>
                </c:pt>
                <c:pt idx="1">
                  <c:v>2013</c:v>
                </c:pt>
                <c:pt idx="2">
                  <c:v>2014</c:v>
                </c:pt>
                <c:pt idx="3">
                  <c:v>2015</c:v>
                </c:pt>
                <c:pt idx="4">
                  <c:v>2016</c:v>
                </c:pt>
              </c:numCache>
            </c:numRef>
          </c:cat>
          <c:val>
            <c:numRef>
              <c:f>жкх!$C$7:$G$7</c:f>
              <c:numCache>
                <c:formatCode>General</c:formatCode>
                <c:ptCount val="5"/>
                <c:pt idx="0">
                  <c:v>234</c:v>
                </c:pt>
                <c:pt idx="1">
                  <c:v>267</c:v>
                </c:pt>
                <c:pt idx="2">
                  <c:v>271.3</c:v>
                </c:pt>
                <c:pt idx="3" formatCode="0.0">
                  <c:v>274.3</c:v>
                </c:pt>
                <c:pt idx="4">
                  <c:v>276.5</c:v>
                </c:pt>
              </c:numCache>
            </c:numRef>
          </c:val>
        </c:ser>
        <c:dLbls>
          <c:showLegendKey val="0"/>
          <c:showVal val="0"/>
          <c:showCatName val="0"/>
          <c:showSerName val="0"/>
          <c:showPercent val="0"/>
          <c:showBubbleSize val="0"/>
        </c:dLbls>
        <c:gapWidth val="150"/>
        <c:axId val="258138880"/>
        <c:axId val="258140416"/>
      </c:barChart>
      <c:lineChart>
        <c:grouping val="standard"/>
        <c:varyColors val="0"/>
        <c:ser>
          <c:idx val="1"/>
          <c:order val="1"/>
          <c:tx>
            <c:strRef>
              <c:f>жкх!$B$8</c:f>
              <c:strCache>
                <c:ptCount val="1"/>
                <c:pt idx="0">
                  <c:v>Общая площадь жилых помещений, приходящаяся в среднем на одного жителя, кв. метров</c:v>
                </c:pt>
              </c:strCache>
            </c:strRef>
          </c:tx>
          <c:spPr>
            <a:ln>
              <a:solidFill>
                <a:srgbClr val="FF0000"/>
              </a:solidFill>
            </a:ln>
          </c:spPr>
          <c:marker>
            <c:spPr>
              <a:solidFill>
                <a:srgbClr val="FF0000"/>
              </a:solidFill>
            </c:spPr>
          </c:marker>
          <c:dLbls>
            <c:dLbl>
              <c:idx val="0"/>
              <c:layout>
                <c:manualLayout>
                  <c:x val="0"/>
                  <c:y val="3.4883720930232558E-2"/>
                </c:manualLayout>
              </c:layout>
              <c:dLblPos val="r"/>
              <c:showLegendKey val="0"/>
              <c:showVal val="1"/>
              <c:showCatName val="0"/>
              <c:showSerName val="0"/>
              <c:showPercent val="0"/>
              <c:showBubbleSize val="0"/>
            </c:dLbl>
            <c:dLbl>
              <c:idx val="1"/>
              <c:layout>
                <c:manualLayout>
                  <c:x val="-4.5266966784071865E-17"/>
                  <c:y val="4.2635658914728813E-2"/>
                </c:manualLayout>
              </c:layout>
              <c:dLblPos val="r"/>
              <c:showLegendKey val="0"/>
              <c:showVal val="1"/>
              <c:showCatName val="0"/>
              <c:showSerName val="0"/>
              <c:showPercent val="0"/>
              <c:showBubbleSize val="0"/>
            </c:dLbl>
            <c:dLbl>
              <c:idx val="2"/>
              <c:layout>
                <c:manualLayout>
                  <c:x val="0"/>
                  <c:y val="3.4883720930232558E-2"/>
                </c:manualLayout>
              </c:layout>
              <c:dLblPos val="r"/>
              <c:showLegendKey val="0"/>
              <c:showVal val="1"/>
              <c:showCatName val="0"/>
              <c:showSerName val="0"/>
              <c:showPercent val="0"/>
              <c:showBubbleSize val="0"/>
            </c:dLbl>
            <c:dLbl>
              <c:idx val="3"/>
              <c:layout>
                <c:manualLayout>
                  <c:x val="-9.0533933568143977E-17"/>
                  <c:y val="4.2635658914728813E-2"/>
                </c:manualLayout>
              </c:layout>
              <c:dLblPos val="r"/>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жкх!$C$6:$G$6</c:f>
              <c:numCache>
                <c:formatCode>General</c:formatCode>
                <c:ptCount val="5"/>
                <c:pt idx="0">
                  <c:v>2012</c:v>
                </c:pt>
                <c:pt idx="1">
                  <c:v>2013</c:v>
                </c:pt>
                <c:pt idx="2">
                  <c:v>2014</c:v>
                </c:pt>
                <c:pt idx="3">
                  <c:v>2015</c:v>
                </c:pt>
                <c:pt idx="4">
                  <c:v>2016</c:v>
                </c:pt>
              </c:numCache>
            </c:numRef>
          </c:cat>
          <c:val>
            <c:numRef>
              <c:f>жкх!$C$8:$G$8</c:f>
              <c:numCache>
                <c:formatCode>General</c:formatCode>
                <c:ptCount val="5"/>
                <c:pt idx="0">
                  <c:v>21</c:v>
                </c:pt>
                <c:pt idx="1">
                  <c:v>24</c:v>
                </c:pt>
                <c:pt idx="2">
                  <c:v>24.6</c:v>
                </c:pt>
                <c:pt idx="3" formatCode="0.0">
                  <c:v>25</c:v>
                </c:pt>
                <c:pt idx="4">
                  <c:v>25.5</c:v>
                </c:pt>
              </c:numCache>
            </c:numRef>
          </c:val>
          <c:smooth val="0"/>
        </c:ser>
        <c:dLbls>
          <c:showLegendKey val="0"/>
          <c:showVal val="0"/>
          <c:showCatName val="0"/>
          <c:showSerName val="0"/>
          <c:showPercent val="0"/>
          <c:showBubbleSize val="0"/>
        </c:dLbls>
        <c:marker val="1"/>
        <c:smooth val="0"/>
        <c:axId val="258605056"/>
        <c:axId val="258606592"/>
      </c:lineChart>
      <c:catAx>
        <c:axId val="258138880"/>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258140416"/>
        <c:crosses val="autoZero"/>
        <c:auto val="1"/>
        <c:lblAlgn val="ctr"/>
        <c:lblOffset val="100"/>
        <c:noMultiLvlLbl val="0"/>
      </c:catAx>
      <c:valAx>
        <c:axId val="258140416"/>
        <c:scaling>
          <c:orientation val="minMax"/>
        </c:scaling>
        <c:delete val="0"/>
        <c:axPos val="l"/>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58138880"/>
        <c:crosses val="autoZero"/>
        <c:crossBetween val="between"/>
      </c:valAx>
      <c:catAx>
        <c:axId val="258605056"/>
        <c:scaling>
          <c:orientation val="minMax"/>
        </c:scaling>
        <c:delete val="1"/>
        <c:axPos val="b"/>
        <c:numFmt formatCode="General" sourceLinked="1"/>
        <c:majorTickMark val="out"/>
        <c:minorTickMark val="none"/>
        <c:tickLblPos val="none"/>
        <c:crossAx val="258606592"/>
        <c:crosses val="autoZero"/>
        <c:auto val="1"/>
        <c:lblAlgn val="ctr"/>
        <c:lblOffset val="100"/>
        <c:noMultiLvlLbl val="0"/>
      </c:catAx>
      <c:valAx>
        <c:axId val="258606592"/>
        <c:scaling>
          <c:orientation val="minMax"/>
        </c:scaling>
        <c:delete val="0"/>
        <c:axPos val="r"/>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8605056"/>
        <c:crosses val="max"/>
        <c:crossBetween val="between"/>
      </c:valAx>
    </c:plotArea>
    <c:legend>
      <c:legendPos val="b"/>
      <c:layout>
        <c:manualLayout>
          <c:xMode val="edge"/>
          <c:yMode val="edge"/>
          <c:x val="1.7351803246816448E-2"/>
          <c:y val="0.82647536326000492"/>
          <c:w val="0.96776552930883664"/>
          <c:h val="0.16181670590145303"/>
        </c:manualLayout>
      </c:layout>
      <c:overlay val="0"/>
      <c:txPr>
        <a:bodyPr/>
        <a:lstStyle/>
        <a:p>
          <a:pPr>
            <a:defRPr sz="800" baseline="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803336476025132"/>
          <c:y val="2.2537529886724483E-2"/>
          <c:w val="0.71196663523974901"/>
          <c:h val="0.51262425732628036"/>
        </c:manualLayout>
      </c:layout>
      <c:barChart>
        <c:barDir val="col"/>
        <c:grouping val="clustered"/>
        <c:varyColors val="0"/>
        <c:ser>
          <c:idx val="0"/>
          <c:order val="0"/>
          <c:tx>
            <c:strRef>
              <c:f>жкх1!$K$4</c:f>
              <c:strCache>
                <c:ptCount val="1"/>
                <c:pt idx="0">
                  <c:v> водопровод</c:v>
                </c:pt>
              </c:strCache>
            </c:strRef>
          </c:tx>
          <c:spPr>
            <a:solidFill>
              <a:sysClr val="window" lastClr="FFFFFF">
                <a:lumMod val="50000"/>
              </a:sysClr>
            </a:solidFill>
            <a:ln>
              <a:solidFill>
                <a:schemeClr val="tx1"/>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жкх1!$L$4:$P$4</c:f>
              <c:numCache>
                <c:formatCode>General</c:formatCode>
                <c:ptCount val="5"/>
                <c:pt idx="0">
                  <c:v>28</c:v>
                </c:pt>
                <c:pt idx="1">
                  <c:v>28</c:v>
                </c:pt>
                <c:pt idx="2">
                  <c:v>47</c:v>
                </c:pt>
                <c:pt idx="3" formatCode="0.0">
                  <c:v>47.575647101713237</c:v>
                </c:pt>
                <c:pt idx="4" formatCode="0.0">
                  <c:v>48.065099457504495</c:v>
                </c:pt>
              </c:numCache>
            </c:numRef>
          </c:val>
        </c:ser>
        <c:ser>
          <c:idx val="1"/>
          <c:order val="1"/>
          <c:tx>
            <c:strRef>
              <c:f>жкх1!$K$5</c:f>
              <c:strCache>
                <c:ptCount val="1"/>
                <c:pt idx="0">
                  <c:v>канализация</c:v>
                </c:pt>
              </c:strCache>
            </c:strRef>
          </c:tx>
          <c:spPr>
            <a:solidFill>
              <a:schemeClr val="tx2">
                <a:lumMod val="20000"/>
                <a:lumOff val="80000"/>
              </a:schemeClr>
            </a:solidFill>
            <a:ln>
              <a:solidFill>
                <a:schemeClr val="tx1"/>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жкх1!$L$5:$P$5</c:f>
              <c:numCache>
                <c:formatCode>General</c:formatCode>
                <c:ptCount val="5"/>
                <c:pt idx="0">
                  <c:v>28</c:v>
                </c:pt>
                <c:pt idx="1">
                  <c:v>28</c:v>
                </c:pt>
                <c:pt idx="2">
                  <c:v>37</c:v>
                </c:pt>
                <c:pt idx="3" formatCode="0.0">
                  <c:v>37.112650382792545</c:v>
                </c:pt>
                <c:pt idx="4" formatCode="0.0">
                  <c:v>36.817359855334338</c:v>
                </c:pt>
              </c:numCache>
            </c:numRef>
          </c:val>
        </c:ser>
        <c:ser>
          <c:idx val="2"/>
          <c:order val="2"/>
          <c:tx>
            <c:strRef>
              <c:f>жкх1!$K$6</c:f>
              <c:strCache>
                <c:ptCount val="1"/>
                <c:pt idx="0">
                  <c:v>центральное отопление</c:v>
                </c:pt>
              </c:strCache>
            </c:strRef>
          </c:tx>
          <c:spPr>
            <a:solidFill>
              <a:schemeClr val="tx2">
                <a:lumMod val="60000"/>
                <a:lumOff val="40000"/>
              </a:schemeClr>
            </a:solidFill>
            <a:ln>
              <a:solidFill>
                <a:schemeClr val="tx1"/>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жкх1!$L$6:$P$6</c:f>
              <c:numCache>
                <c:formatCode>General</c:formatCode>
                <c:ptCount val="5"/>
                <c:pt idx="0">
                  <c:v>14</c:v>
                </c:pt>
                <c:pt idx="1">
                  <c:v>14</c:v>
                </c:pt>
                <c:pt idx="2">
                  <c:v>6</c:v>
                </c:pt>
                <c:pt idx="3" formatCode="0.0">
                  <c:v>5.760116660590576</c:v>
                </c:pt>
                <c:pt idx="4" formatCode="0.0">
                  <c:v>5.7142857142857055</c:v>
                </c:pt>
              </c:numCache>
            </c:numRef>
          </c:val>
        </c:ser>
        <c:ser>
          <c:idx val="3"/>
          <c:order val="3"/>
          <c:tx>
            <c:strRef>
              <c:f>жкх1!$K$7</c:f>
              <c:strCache>
                <c:ptCount val="1"/>
                <c:pt idx="0">
                  <c:v>ванна (душ)</c:v>
                </c:pt>
              </c:strCache>
            </c:strRef>
          </c:tx>
          <c:spPr>
            <a:solidFill>
              <a:srgbClr val="C00000"/>
            </a:solidFill>
            <a:ln>
              <a:solidFill>
                <a:prstClr val="black"/>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жкх1!$L$7:$P$7</c:f>
              <c:numCache>
                <c:formatCode>General</c:formatCode>
                <c:ptCount val="5"/>
                <c:pt idx="0">
                  <c:v>19.399999999999999</c:v>
                </c:pt>
                <c:pt idx="1">
                  <c:v>19.399999999999999</c:v>
                </c:pt>
                <c:pt idx="2">
                  <c:v>7.2</c:v>
                </c:pt>
                <c:pt idx="3" formatCode="0.0">
                  <c:v>7.5829383886255846</c:v>
                </c:pt>
                <c:pt idx="4" formatCode="0.0">
                  <c:v>7.5949367088607396</c:v>
                </c:pt>
              </c:numCache>
            </c:numRef>
          </c:val>
        </c:ser>
        <c:ser>
          <c:idx val="4"/>
          <c:order val="4"/>
          <c:tx>
            <c:strRef>
              <c:f>жкх1!$K$8</c:f>
              <c:strCache>
                <c:ptCount val="1"/>
                <c:pt idx="0">
                  <c:v>газ</c:v>
                </c:pt>
              </c:strCache>
            </c:strRef>
          </c:tx>
          <c:spPr>
            <a:solidFill>
              <a:sysClr val="window" lastClr="FFFFFF">
                <a:lumMod val="75000"/>
              </a:sysClr>
            </a:solidFill>
            <a:ln>
              <a:solidFill>
                <a:prstClr val="black"/>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жкх1!$L$8:$P$8</c:f>
              <c:numCache>
                <c:formatCode>General</c:formatCode>
                <c:ptCount val="5"/>
                <c:pt idx="0">
                  <c:v>93.4</c:v>
                </c:pt>
                <c:pt idx="1">
                  <c:v>93.4</c:v>
                </c:pt>
                <c:pt idx="2">
                  <c:v>98.1</c:v>
                </c:pt>
                <c:pt idx="3" formatCode="0.0">
                  <c:v>98.213634706525681</c:v>
                </c:pt>
                <c:pt idx="4" formatCode="0.0">
                  <c:v>98.300180831826054</c:v>
                </c:pt>
              </c:numCache>
            </c:numRef>
          </c:val>
        </c:ser>
        <c:ser>
          <c:idx val="5"/>
          <c:order val="5"/>
          <c:tx>
            <c:strRef>
              <c:f>жкх1!$K$9</c:f>
              <c:strCache>
                <c:ptCount val="1"/>
                <c:pt idx="0">
                  <c:v>электроплиты</c:v>
                </c:pt>
              </c:strCache>
            </c:strRef>
          </c:tx>
          <c:invertIfNegative val="0"/>
          <c:cat>
            <c:numRef>
              <c:f>жкх1!$L$3:$P$3</c:f>
              <c:numCache>
                <c:formatCode>General</c:formatCode>
                <c:ptCount val="5"/>
                <c:pt idx="0">
                  <c:v>2012</c:v>
                </c:pt>
                <c:pt idx="1">
                  <c:v>2013</c:v>
                </c:pt>
                <c:pt idx="2">
                  <c:v>2014</c:v>
                </c:pt>
                <c:pt idx="3">
                  <c:v>2015</c:v>
                </c:pt>
                <c:pt idx="4">
                  <c:v>2016</c:v>
                </c:pt>
              </c:numCache>
            </c:numRef>
          </c:cat>
          <c:val>
            <c:numRef>
              <c:f>жкх1!$L$9:$P$9</c:f>
              <c:numCache>
                <c:formatCode>General</c:formatCode>
                <c:ptCount val="5"/>
                <c:pt idx="0">
                  <c:v>0.70000000000000062</c:v>
                </c:pt>
                <c:pt idx="1">
                  <c:v>0.70000000000000062</c:v>
                </c:pt>
                <c:pt idx="2">
                  <c:v>0.70000000000000062</c:v>
                </c:pt>
                <c:pt idx="3">
                  <c:v>0.70000000000000062</c:v>
                </c:pt>
                <c:pt idx="4">
                  <c:v>0.70000000000000062</c:v>
                </c:pt>
              </c:numCache>
            </c:numRef>
          </c:val>
        </c:ser>
        <c:ser>
          <c:idx val="6"/>
          <c:order val="6"/>
          <c:tx>
            <c:strRef>
              <c:f>жкх1!$K$10</c:f>
              <c:strCache>
                <c:ptCount val="1"/>
                <c:pt idx="0">
                  <c:v>горячее водоснабжение</c:v>
                </c:pt>
              </c:strCache>
            </c:strRef>
          </c:tx>
          <c:spPr>
            <a:solidFill>
              <a:schemeClr val="accent1"/>
            </a:solidFill>
            <a:ln>
              <a:solidFill>
                <a:prstClr val="black"/>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жкх1!$L$10:$P$10</c:f>
              <c:numCache>
                <c:formatCode>General</c:formatCode>
                <c:ptCount val="5"/>
                <c:pt idx="0">
                  <c:v>23.2</c:v>
                </c:pt>
                <c:pt idx="1">
                  <c:v>23.2</c:v>
                </c:pt>
                <c:pt idx="2">
                  <c:v>9.4</c:v>
                </c:pt>
                <c:pt idx="3" formatCode="0.0">
                  <c:v>9.9890630696317881</c:v>
                </c:pt>
                <c:pt idx="4" formatCode="0.0">
                  <c:v>11.2115732368897</c:v>
                </c:pt>
              </c:numCache>
            </c:numRef>
          </c:val>
        </c:ser>
        <c:dLbls>
          <c:showLegendKey val="0"/>
          <c:showVal val="0"/>
          <c:showCatName val="0"/>
          <c:showSerName val="0"/>
          <c:showPercent val="0"/>
          <c:showBubbleSize val="0"/>
        </c:dLbls>
        <c:gapWidth val="150"/>
        <c:axId val="258652032"/>
        <c:axId val="258653568"/>
      </c:barChart>
      <c:catAx>
        <c:axId val="258652032"/>
        <c:scaling>
          <c:orientation val="minMax"/>
        </c:scaling>
        <c:delete val="0"/>
        <c:axPos val="b"/>
        <c:numFmt formatCode="General" sourceLinked="1"/>
        <c:majorTickMark val="none"/>
        <c:minorTickMark val="none"/>
        <c:tickLblPos val="nextTo"/>
        <c:crossAx val="258653568"/>
        <c:crosses val="autoZero"/>
        <c:auto val="1"/>
        <c:lblAlgn val="ctr"/>
        <c:lblOffset val="100"/>
        <c:noMultiLvlLbl val="0"/>
      </c:catAx>
      <c:valAx>
        <c:axId val="258653568"/>
        <c:scaling>
          <c:orientation val="minMax"/>
        </c:scaling>
        <c:delete val="0"/>
        <c:axPos val="l"/>
        <c:numFmt formatCode="General" sourceLinked="1"/>
        <c:majorTickMark val="none"/>
        <c:minorTickMark val="none"/>
        <c:tickLblPos val="nextTo"/>
        <c:crossAx val="258652032"/>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рейтинг!$J$3</c:f>
              <c:strCache>
                <c:ptCount val="1"/>
                <c:pt idx="0">
                  <c:v>Индекс промышленного производства по крупным и средним предприятиям, %</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рейтинг!$I$4:$I$8</c:f>
              <c:numCache>
                <c:formatCode>General</c:formatCode>
                <c:ptCount val="5"/>
                <c:pt idx="0">
                  <c:v>2013</c:v>
                </c:pt>
                <c:pt idx="1">
                  <c:v>2014</c:v>
                </c:pt>
                <c:pt idx="2">
                  <c:v>2015</c:v>
                </c:pt>
                <c:pt idx="3">
                  <c:v>2016</c:v>
                </c:pt>
                <c:pt idx="4">
                  <c:v>2017</c:v>
                </c:pt>
              </c:numCache>
            </c:numRef>
          </c:cat>
          <c:val>
            <c:numRef>
              <c:f>рейтинг!$J$4:$J$8</c:f>
              <c:numCache>
                <c:formatCode>General</c:formatCode>
                <c:ptCount val="5"/>
                <c:pt idx="0">
                  <c:v>9</c:v>
                </c:pt>
                <c:pt idx="1">
                  <c:v>4</c:v>
                </c:pt>
                <c:pt idx="2">
                  <c:v>6</c:v>
                </c:pt>
                <c:pt idx="3">
                  <c:v>14</c:v>
                </c:pt>
                <c:pt idx="4">
                  <c:v>19</c:v>
                </c:pt>
              </c:numCache>
            </c:numRef>
          </c:val>
        </c:ser>
        <c:ser>
          <c:idx val="1"/>
          <c:order val="1"/>
          <c:tx>
            <c:strRef>
              <c:f>рейтинг!$K$3</c:f>
              <c:strCache>
                <c:ptCount val="1"/>
                <c:pt idx="0">
                  <c:v>Отгружено товаров собственного производства (С, Д, Е) на душу населения, тыс. руб.</c:v>
                </c:pt>
              </c:strCache>
            </c:strRef>
          </c:tx>
          <c:spPr>
            <a:solidFill>
              <a:srgbClr val="FF0000"/>
            </a:solidFill>
            <a:ln>
              <a:solidFill>
                <a:srgbClr val="FF0000"/>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рейтинг!$I$4:$I$8</c:f>
              <c:numCache>
                <c:formatCode>General</c:formatCode>
                <c:ptCount val="5"/>
                <c:pt idx="0">
                  <c:v>2013</c:v>
                </c:pt>
                <c:pt idx="1">
                  <c:v>2014</c:v>
                </c:pt>
                <c:pt idx="2">
                  <c:v>2015</c:v>
                </c:pt>
                <c:pt idx="3">
                  <c:v>2016</c:v>
                </c:pt>
                <c:pt idx="4">
                  <c:v>2017</c:v>
                </c:pt>
              </c:numCache>
            </c:numRef>
          </c:cat>
          <c:val>
            <c:numRef>
              <c:f>рейтинг!$K$4:$K$8</c:f>
              <c:numCache>
                <c:formatCode>General</c:formatCode>
                <c:ptCount val="5"/>
                <c:pt idx="0">
                  <c:v>19</c:v>
                </c:pt>
                <c:pt idx="1">
                  <c:v>19</c:v>
                </c:pt>
                <c:pt idx="2">
                  <c:v>19</c:v>
                </c:pt>
                <c:pt idx="3">
                  <c:v>19</c:v>
                </c:pt>
                <c:pt idx="4">
                  <c:v>19</c:v>
                </c:pt>
              </c:numCache>
            </c:numRef>
          </c:val>
        </c:ser>
        <c:ser>
          <c:idx val="2"/>
          <c:order val="2"/>
          <c:tx>
            <c:strRef>
              <c:f>рейтинг!$L$3</c:f>
              <c:strCache>
                <c:ptCount val="1"/>
                <c:pt idx="0">
                  <c:v>Инвестиции в основной  капитал на душу населения, рублей</c:v>
                </c:pt>
              </c:strCache>
            </c:strRef>
          </c:tx>
          <c:spPr>
            <a:solidFill>
              <a:schemeClr val="bg1">
                <a:lumMod val="50000"/>
              </a:schemeClr>
            </a:solidFill>
            <a:ln>
              <a:solidFill>
                <a:schemeClr val="bg1">
                  <a:lumMod val="50000"/>
                </a:schemeClr>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рейтинг!$I$4:$I$8</c:f>
              <c:numCache>
                <c:formatCode>General</c:formatCode>
                <c:ptCount val="5"/>
                <c:pt idx="0">
                  <c:v>2013</c:v>
                </c:pt>
                <c:pt idx="1">
                  <c:v>2014</c:v>
                </c:pt>
                <c:pt idx="2">
                  <c:v>2015</c:v>
                </c:pt>
                <c:pt idx="3">
                  <c:v>2016</c:v>
                </c:pt>
                <c:pt idx="4">
                  <c:v>2017</c:v>
                </c:pt>
              </c:numCache>
            </c:numRef>
          </c:cat>
          <c:val>
            <c:numRef>
              <c:f>рейтинг!$L$4:$L$8</c:f>
              <c:numCache>
                <c:formatCode>General</c:formatCode>
                <c:ptCount val="5"/>
                <c:pt idx="0">
                  <c:v>12</c:v>
                </c:pt>
                <c:pt idx="1">
                  <c:v>14</c:v>
                </c:pt>
                <c:pt idx="2">
                  <c:v>10</c:v>
                </c:pt>
                <c:pt idx="3">
                  <c:v>12</c:v>
                </c:pt>
                <c:pt idx="4">
                  <c:v>7</c:v>
                </c:pt>
              </c:numCache>
            </c:numRef>
          </c:val>
        </c:ser>
        <c:ser>
          <c:idx val="3"/>
          <c:order val="3"/>
          <c:tx>
            <c:strRef>
              <c:f>рейтинг!$M$3</c:f>
              <c:strCache>
                <c:ptCount val="1"/>
                <c:pt idx="0">
                  <c:v>Бюджетная  обеспеченность за счет налоговых и неналоговых доходов на душу населения, рублей</c:v>
                </c:pt>
              </c:strCache>
            </c:strRef>
          </c:tx>
          <c:spPr>
            <a:solidFill>
              <a:schemeClr val="accent1">
                <a:lumMod val="50000"/>
              </a:schemeClr>
            </a:solidFill>
            <a:ln>
              <a:solidFill>
                <a:schemeClr val="tx2"/>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рейтинг!$I$4:$I$8</c:f>
              <c:numCache>
                <c:formatCode>General</c:formatCode>
                <c:ptCount val="5"/>
                <c:pt idx="0">
                  <c:v>2013</c:v>
                </c:pt>
                <c:pt idx="1">
                  <c:v>2014</c:v>
                </c:pt>
                <c:pt idx="2">
                  <c:v>2015</c:v>
                </c:pt>
                <c:pt idx="3">
                  <c:v>2016</c:v>
                </c:pt>
                <c:pt idx="4">
                  <c:v>2017</c:v>
                </c:pt>
              </c:numCache>
            </c:numRef>
          </c:cat>
          <c:val>
            <c:numRef>
              <c:f>рейтинг!$M$4:$M$8</c:f>
              <c:numCache>
                <c:formatCode>General</c:formatCode>
                <c:ptCount val="5"/>
                <c:pt idx="0">
                  <c:v>25</c:v>
                </c:pt>
                <c:pt idx="1">
                  <c:v>23</c:v>
                </c:pt>
                <c:pt idx="2">
                  <c:v>20</c:v>
                </c:pt>
                <c:pt idx="3">
                  <c:v>23</c:v>
                </c:pt>
                <c:pt idx="4">
                  <c:v>27</c:v>
                </c:pt>
              </c:numCache>
            </c:numRef>
          </c:val>
        </c:ser>
        <c:dLbls>
          <c:showLegendKey val="0"/>
          <c:showVal val="0"/>
          <c:showCatName val="0"/>
          <c:showSerName val="0"/>
          <c:showPercent val="0"/>
          <c:showBubbleSize val="0"/>
        </c:dLbls>
        <c:gapWidth val="271"/>
        <c:overlap val="-1"/>
        <c:axId val="258703744"/>
        <c:axId val="258705280"/>
      </c:barChart>
      <c:catAx>
        <c:axId val="258703744"/>
        <c:scaling>
          <c:orientation val="minMax"/>
        </c:scaling>
        <c:delete val="0"/>
        <c:axPos val="b"/>
        <c:numFmt formatCode="General" sourceLinked="1"/>
        <c:majorTickMark val="none"/>
        <c:minorTickMark val="none"/>
        <c:tickLblPos val="nextTo"/>
        <c:txPr>
          <a:bodyPr/>
          <a:lstStyle/>
          <a:p>
            <a:pPr>
              <a:defRPr sz="1200" baseline="0">
                <a:latin typeface="Times New Roman" pitchFamily="18" charset="0"/>
              </a:defRPr>
            </a:pPr>
            <a:endParaRPr lang="ru-RU"/>
          </a:p>
        </c:txPr>
        <c:crossAx val="258705280"/>
        <c:crosses val="autoZero"/>
        <c:auto val="1"/>
        <c:lblAlgn val="ctr"/>
        <c:lblOffset val="100"/>
        <c:noMultiLvlLbl val="0"/>
      </c:catAx>
      <c:valAx>
        <c:axId val="258705280"/>
        <c:scaling>
          <c:orientation val="minMax"/>
        </c:scaling>
        <c:delete val="1"/>
        <c:axPos val="l"/>
        <c:numFmt formatCode="General" sourceLinked="1"/>
        <c:majorTickMark val="out"/>
        <c:minorTickMark val="none"/>
        <c:tickLblPos val="none"/>
        <c:crossAx val="258703744"/>
        <c:crosses val="autoZero"/>
        <c:crossBetween val="between"/>
      </c:valAx>
    </c:plotArea>
    <c:legend>
      <c:legendPos val="b"/>
      <c:layout>
        <c:manualLayout>
          <c:xMode val="edge"/>
          <c:yMode val="edge"/>
          <c:x val="7.7248027144779283E-2"/>
          <c:y val="0.65069797968685561"/>
          <c:w val="0.84550377885868055"/>
          <c:h val="0.31732906490182927"/>
        </c:manualLayout>
      </c:layout>
      <c:overlay val="0"/>
      <c:txPr>
        <a:bodyPr/>
        <a:lstStyle/>
        <a:p>
          <a:pPr>
            <a:defRPr baseline="0">
              <a:latin typeface="Times New Roman" pitchFamily="18" charset="0"/>
            </a:defRPr>
          </a:pPr>
          <a:endParaRPr lang="ru-RU"/>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baseline="0">
                <a:solidFill>
                  <a:sysClr val="windowText" lastClr="000000"/>
                </a:solidFill>
              </a:defRPr>
            </a:pPr>
            <a:r>
              <a:rPr lang="ru-RU" sz="1200" b="1" i="0" u="none" strike="noStrike" baseline="0">
                <a:solidFill>
                  <a:sysClr val="windowText" lastClr="000000"/>
                </a:solidFill>
                <a:latin typeface="Times New Roman" pitchFamily="18" charset="0"/>
              </a:rPr>
              <a:t>Сальдированный финансовый результат по всем видам деятельности организаций Камышлинского района </a:t>
            </a:r>
          </a:p>
          <a:p>
            <a:pPr algn="ctr">
              <a:defRPr baseline="0">
                <a:solidFill>
                  <a:sysClr val="windowText" lastClr="000000"/>
                </a:solidFill>
              </a:defRPr>
            </a:pPr>
            <a:r>
              <a:rPr lang="ru-RU" sz="1200" b="1" i="0" u="none" strike="noStrike" baseline="0">
                <a:solidFill>
                  <a:sysClr val="windowText" lastClr="000000"/>
                </a:solidFill>
                <a:latin typeface="Times New Roman" pitchFamily="18" charset="0"/>
              </a:rPr>
              <a:t>в 2012 - 2016 гг., млн. рублей </a:t>
            </a:r>
            <a:endParaRPr lang="ru-RU" baseline="0">
              <a:solidFill>
                <a:sysClr val="windowText" lastClr="000000"/>
              </a:solidFill>
            </a:endParaRPr>
          </a:p>
        </c:rich>
      </c:tx>
      <c:layout>
        <c:manualLayout>
          <c:xMode val="edge"/>
          <c:yMode val="edge"/>
          <c:x val="0.1273661321531889"/>
          <c:y val="8.3857442348009847E-3"/>
        </c:manualLayout>
      </c:layout>
      <c:overlay val="0"/>
    </c:title>
    <c:autoTitleDeleted val="0"/>
    <c:plotArea>
      <c:layout/>
      <c:scatterChart>
        <c:scatterStyle val="lineMarker"/>
        <c:varyColors val="0"/>
        <c:ser>
          <c:idx val="0"/>
          <c:order val="0"/>
          <c:xVal>
            <c:numRef>
              <c:f>фин_результ!$B$5:$B$9</c:f>
              <c:numCache>
                <c:formatCode>General</c:formatCode>
                <c:ptCount val="5"/>
                <c:pt idx="0">
                  <c:v>2012</c:v>
                </c:pt>
                <c:pt idx="1">
                  <c:v>2013</c:v>
                </c:pt>
                <c:pt idx="2">
                  <c:v>2014</c:v>
                </c:pt>
                <c:pt idx="3">
                  <c:v>2015</c:v>
                </c:pt>
                <c:pt idx="4">
                  <c:v>2016</c:v>
                </c:pt>
              </c:numCache>
            </c:numRef>
          </c:xVal>
          <c:yVal>
            <c:numRef>
              <c:f>фин_результ!$C$5:$C$9</c:f>
              <c:numCache>
                <c:formatCode>General</c:formatCode>
                <c:ptCount val="5"/>
                <c:pt idx="0">
                  <c:v>8.3000000000000007</c:v>
                </c:pt>
                <c:pt idx="1">
                  <c:v>5.8</c:v>
                </c:pt>
                <c:pt idx="2">
                  <c:v>11.4</c:v>
                </c:pt>
                <c:pt idx="3">
                  <c:v>3.7</c:v>
                </c:pt>
                <c:pt idx="4">
                  <c:v>1.5</c:v>
                </c:pt>
              </c:numCache>
            </c:numRef>
          </c:yVal>
          <c:smooth val="0"/>
        </c:ser>
        <c:dLbls>
          <c:showLegendKey val="0"/>
          <c:showVal val="0"/>
          <c:showCatName val="0"/>
          <c:showSerName val="0"/>
          <c:showPercent val="0"/>
          <c:showBubbleSize val="0"/>
        </c:dLbls>
        <c:axId val="258733568"/>
        <c:axId val="258735104"/>
      </c:scatterChart>
      <c:valAx>
        <c:axId val="258733568"/>
        <c:scaling>
          <c:orientation val="minMax"/>
        </c:scaling>
        <c:delete val="0"/>
        <c:axPos val="b"/>
        <c:numFmt formatCode="#,##0" sourceLinked="0"/>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58735104"/>
        <c:crosses val="autoZero"/>
        <c:crossBetween val="midCat"/>
      </c:valAx>
      <c:valAx>
        <c:axId val="258735104"/>
        <c:scaling>
          <c:orientation val="minMax"/>
        </c:scaling>
        <c:delete val="0"/>
        <c:axPos val="l"/>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58733568"/>
        <c:crosses val="autoZero"/>
        <c:crossBetween val="midCat"/>
      </c:valAx>
    </c:plotArea>
    <c:plotVisOnly val="1"/>
    <c:dispBlanksAs val="gap"/>
    <c:showDLblsOverMax val="0"/>
  </c:chart>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20886862826359"/>
          <c:y val="0.21243908592370345"/>
          <c:w val="0.49323187622286707"/>
          <c:h val="0.71743658518233"/>
        </c:manualLayout>
      </c:layout>
      <c:radarChart>
        <c:radarStyle val="marker"/>
        <c:varyColors val="0"/>
        <c:ser>
          <c:idx val="0"/>
          <c:order val="0"/>
          <c:tx>
            <c:strRef>
              <c:f>ипп!$C$2</c:f>
              <c:strCache>
                <c:ptCount val="1"/>
                <c:pt idx="0">
                  <c:v> Камышлинский район</c:v>
                </c:pt>
              </c:strCache>
            </c:strRef>
          </c:tx>
          <c:marker>
            <c:symbol val="none"/>
          </c:marker>
          <c:dLbls>
            <c:dLbl>
              <c:idx val="0"/>
              <c:layout>
                <c:manualLayout>
                  <c:x val="2.1750951604132679E-3"/>
                  <c:y val="1.6681637945614801E-2"/>
                </c:manualLayout>
              </c:layout>
              <c:showLegendKey val="0"/>
              <c:showVal val="1"/>
              <c:showCatName val="0"/>
              <c:showSerName val="0"/>
              <c:showPercent val="0"/>
              <c:showBubbleSize val="0"/>
            </c:dLbl>
            <c:dLbl>
              <c:idx val="1"/>
              <c:layout>
                <c:manualLayout>
                  <c:x val="-3.0451337461105472E-2"/>
                  <c:y val="-2.9629629629629752E-2"/>
                </c:manualLayout>
              </c:layout>
              <c:showLegendKey val="0"/>
              <c:showVal val="1"/>
              <c:showCatName val="0"/>
              <c:showSerName val="0"/>
              <c:showPercent val="0"/>
              <c:showBubbleSize val="0"/>
            </c:dLbl>
            <c:dLbl>
              <c:idx val="2"/>
              <c:layout>
                <c:manualLayout>
                  <c:x val="8.7003806416530716E-3"/>
                  <c:y val="-5.9146198610615222E-2"/>
                </c:manualLayout>
              </c:layout>
              <c:showLegendKey val="0"/>
              <c:showVal val="1"/>
              <c:showCatName val="0"/>
              <c:showSerName val="0"/>
              <c:showPercent val="0"/>
              <c:showBubbleSize val="0"/>
            </c:dLbl>
            <c:dLbl>
              <c:idx val="3"/>
              <c:layout>
                <c:manualLayout>
                  <c:x val="0"/>
                  <c:y val="-3.9833875180877158E-2"/>
                </c:manualLayout>
              </c:layout>
              <c:showLegendKey val="0"/>
              <c:showVal val="1"/>
              <c:showCatName val="0"/>
              <c:showSerName val="0"/>
              <c:showPercent val="0"/>
              <c:showBubbleSize val="0"/>
            </c:dLbl>
            <c:dLbl>
              <c:idx val="4"/>
              <c:layout>
                <c:manualLayout>
                  <c:x val="6.5252854812398392E-3"/>
                  <c:y val="0"/>
                </c:manualLayout>
              </c:layout>
              <c:showLegendKey val="0"/>
              <c:showVal val="1"/>
              <c:showCatName val="0"/>
              <c:showSerName val="0"/>
              <c:showPercent val="0"/>
              <c:showBubbleSize val="0"/>
            </c:dLbl>
            <c:txPr>
              <a:bodyPr/>
              <a:lstStyle/>
              <a:p>
                <a:pPr>
                  <a:defRPr b="1" i="0" baseline="0">
                    <a:latin typeface="Times New Roman" pitchFamily="18" charset="0"/>
                  </a:defRPr>
                </a:pPr>
                <a:endParaRPr lang="ru-RU"/>
              </a:p>
            </c:txPr>
            <c:showLegendKey val="0"/>
            <c:showVal val="1"/>
            <c:showCatName val="0"/>
            <c:showSerName val="0"/>
            <c:showPercent val="0"/>
            <c:showBubbleSize val="0"/>
            <c:showLeaderLines val="0"/>
          </c:dLbls>
          <c:cat>
            <c:numRef>
              <c:f>ипп!$B$3:$B$7</c:f>
              <c:numCache>
                <c:formatCode>General</c:formatCode>
                <c:ptCount val="5"/>
                <c:pt idx="0">
                  <c:v>2012</c:v>
                </c:pt>
                <c:pt idx="1">
                  <c:v>2013</c:v>
                </c:pt>
                <c:pt idx="2">
                  <c:v>2014</c:v>
                </c:pt>
                <c:pt idx="3">
                  <c:v>2015</c:v>
                </c:pt>
                <c:pt idx="4">
                  <c:v>2016</c:v>
                </c:pt>
              </c:numCache>
            </c:numRef>
          </c:cat>
          <c:val>
            <c:numRef>
              <c:f>ипп!$C$3:$C$7</c:f>
              <c:numCache>
                <c:formatCode>General</c:formatCode>
                <c:ptCount val="5"/>
                <c:pt idx="0">
                  <c:v>89.5</c:v>
                </c:pt>
                <c:pt idx="1">
                  <c:v>115.3</c:v>
                </c:pt>
                <c:pt idx="2">
                  <c:v>141</c:v>
                </c:pt>
                <c:pt idx="3">
                  <c:v>117.3</c:v>
                </c:pt>
                <c:pt idx="4">
                  <c:v>102.5</c:v>
                </c:pt>
              </c:numCache>
            </c:numRef>
          </c:val>
        </c:ser>
        <c:ser>
          <c:idx val="1"/>
          <c:order val="1"/>
          <c:tx>
            <c:strRef>
              <c:f>ипп!$D$2</c:f>
              <c:strCache>
                <c:ptCount val="1"/>
                <c:pt idx="0">
                  <c:v>Самарская область</c:v>
                </c:pt>
              </c:strCache>
            </c:strRef>
          </c:tx>
          <c:spPr>
            <a:ln>
              <a:solidFill>
                <a:srgbClr val="FF0000"/>
              </a:solidFill>
            </a:ln>
          </c:spPr>
          <c:marker>
            <c:symbol val="none"/>
          </c:marker>
          <c:cat>
            <c:numRef>
              <c:f>ипп!$B$3:$B$7</c:f>
              <c:numCache>
                <c:formatCode>General</c:formatCode>
                <c:ptCount val="5"/>
                <c:pt idx="0">
                  <c:v>2012</c:v>
                </c:pt>
                <c:pt idx="1">
                  <c:v>2013</c:v>
                </c:pt>
                <c:pt idx="2">
                  <c:v>2014</c:v>
                </c:pt>
                <c:pt idx="3">
                  <c:v>2015</c:v>
                </c:pt>
                <c:pt idx="4">
                  <c:v>2016</c:v>
                </c:pt>
              </c:numCache>
            </c:numRef>
          </c:cat>
          <c:val>
            <c:numRef>
              <c:f>ипп!$D$3:$D$7</c:f>
              <c:numCache>
                <c:formatCode>General</c:formatCode>
                <c:ptCount val="5"/>
                <c:pt idx="0">
                  <c:v>102.2</c:v>
                </c:pt>
                <c:pt idx="1">
                  <c:v>101</c:v>
                </c:pt>
                <c:pt idx="2">
                  <c:v>99.4</c:v>
                </c:pt>
                <c:pt idx="3">
                  <c:v>99.4</c:v>
                </c:pt>
                <c:pt idx="4">
                  <c:v>99.1</c:v>
                </c:pt>
              </c:numCache>
            </c:numRef>
          </c:val>
        </c:ser>
        <c:dLbls>
          <c:showLegendKey val="0"/>
          <c:showVal val="0"/>
          <c:showCatName val="0"/>
          <c:showSerName val="0"/>
          <c:showPercent val="0"/>
          <c:showBubbleSize val="0"/>
        </c:dLbls>
        <c:axId val="259027328"/>
        <c:axId val="259028864"/>
      </c:radarChart>
      <c:catAx>
        <c:axId val="259027328"/>
        <c:scaling>
          <c:orientation val="minMax"/>
        </c:scaling>
        <c:delete val="0"/>
        <c:axPos val="b"/>
        <c:majorGridlines/>
        <c:numFmt formatCode="General" sourceLinked="1"/>
        <c:majorTickMark val="out"/>
        <c:minorTickMark val="none"/>
        <c:tickLblPos val="nextTo"/>
        <c:txPr>
          <a:bodyPr/>
          <a:lstStyle/>
          <a:p>
            <a:pPr>
              <a:defRPr b="1" i="0" baseline="0">
                <a:latin typeface="Times New Roman" pitchFamily="18" charset="0"/>
              </a:defRPr>
            </a:pPr>
            <a:endParaRPr lang="ru-RU"/>
          </a:p>
        </c:txPr>
        <c:crossAx val="259028864"/>
        <c:crosses val="autoZero"/>
        <c:auto val="0"/>
        <c:lblAlgn val="ctr"/>
        <c:lblOffset val="100"/>
        <c:noMultiLvlLbl val="0"/>
      </c:catAx>
      <c:valAx>
        <c:axId val="259028864"/>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59027328"/>
        <c:crosses val="autoZero"/>
        <c:crossBetween val="between"/>
      </c:valAx>
    </c:plotArea>
    <c:legend>
      <c:legendPos val="b"/>
      <c:layout>
        <c:manualLayout>
          <c:xMode val="edge"/>
          <c:yMode val="edge"/>
          <c:x val="5.5670672744854285E-3"/>
          <c:y val="0.86531030754913663"/>
          <c:w val="0.96904593582149257"/>
          <c:h val="9.7430942151339725E-2"/>
        </c:manualLayout>
      </c:layout>
      <c:overlay val="0"/>
      <c:txPr>
        <a:bodyPr/>
        <a:lstStyle/>
        <a:p>
          <a:pPr>
            <a:defRPr baseline="0">
              <a:latin typeface="Times New Roman" pitchFamily="18" charset="0"/>
            </a:defRPr>
          </a:pPr>
          <a:endParaRPr lang="ru-RU"/>
        </a:p>
      </c:txPr>
    </c:legend>
    <c:plotVisOnly val="1"/>
    <c:dispBlanksAs val="gap"/>
    <c:showDLblsOverMax val="0"/>
  </c:chart>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602115092103435E-2"/>
          <c:y val="0.22755193736376172"/>
          <c:w val="0.92782795203616064"/>
          <c:h val="0.44262051989264223"/>
        </c:manualLayout>
      </c:layout>
      <c:barChart>
        <c:barDir val="col"/>
        <c:grouping val="clustered"/>
        <c:varyColors val="0"/>
        <c:ser>
          <c:idx val="0"/>
          <c:order val="0"/>
          <c:tx>
            <c:strRef>
              <c:f>рейтинг1!$C$2</c:f>
              <c:strCache>
                <c:ptCount val="1"/>
                <c:pt idx="0">
                  <c:v>Валовой сбор зерновых и зернобобовых культур, тыс. т.</c:v>
                </c:pt>
              </c:strCache>
            </c:strRef>
          </c:tx>
          <c:invertIfNegative val="0"/>
          <c:dLbls>
            <c:showLegendKey val="0"/>
            <c:showVal val="1"/>
            <c:showCatName val="0"/>
            <c:showSerName val="0"/>
            <c:showPercent val="0"/>
            <c:showBubbleSize val="0"/>
            <c:showLeaderLines val="0"/>
          </c:dLbls>
          <c:cat>
            <c:numRef>
              <c:f>рейтинг1!$B$3:$B$7</c:f>
              <c:numCache>
                <c:formatCode>General</c:formatCode>
                <c:ptCount val="5"/>
                <c:pt idx="0">
                  <c:v>2013</c:v>
                </c:pt>
                <c:pt idx="1">
                  <c:v>2014</c:v>
                </c:pt>
                <c:pt idx="2">
                  <c:v>2015</c:v>
                </c:pt>
                <c:pt idx="3">
                  <c:v>2016</c:v>
                </c:pt>
                <c:pt idx="4">
                  <c:v>2017</c:v>
                </c:pt>
              </c:numCache>
            </c:numRef>
          </c:cat>
          <c:val>
            <c:numRef>
              <c:f>рейтинг1!$C$3:$C$7</c:f>
              <c:numCache>
                <c:formatCode>General</c:formatCode>
                <c:ptCount val="5"/>
                <c:pt idx="0">
                  <c:v>27</c:v>
                </c:pt>
                <c:pt idx="1">
                  <c:v>27</c:v>
                </c:pt>
                <c:pt idx="2">
                  <c:v>27</c:v>
                </c:pt>
                <c:pt idx="3">
                  <c:v>27</c:v>
                </c:pt>
                <c:pt idx="4">
                  <c:v>27</c:v>
                </c:pt>
              </c:numCache>
            </c:numRef>
          </c:val>
        </c:ser>
        <c:ser>
          <c:idx val="1"/>
          <c:order val="1"/>
          <c:tx>
            <c:strRef>
              <c:f>рейтинг1!$D$2</c:f>
              <c:strCache>
                <c:ptCount val="1"/>
                <c:pt idx="0">
                  <c:v>Урожайность зерновых и зернобобовых культур с 1 га убранной площади, ц/га</c:v>
                </c:pt>
              </c:strCache>
            </c:strRef>
          </c:tx>
          <c:invertIfNegative val="0"/>
          <c:dLbls>
            <c:showLegendKey val="0"/>
            <c:showVal val="1"/>
            <c:showCatName val="0"/>
            <c:showSerName val="0"/>
            <c:showPercent val="0"/>
            <c:showBubbleSize val="0"/>
            <c:showLeaderLines val="0"/>
          </c:dLbls>
          <c:cat>
            <c:numRef>
              <c:f>рейтинг1!$B$3:$B$7</c:f>
              <c:numCache>
                <c:formatCode>General</c:formatCode>
                <c:ptCount val="5"/>
                <c:pt idx="0">
                  <c:v>2013</c:v>
                </c:pt>
                <c:pt idx="1">
                  <c:v>2014</c:v>
                </c:pt>
                <c:pt idx="2">
                  <c:v>2015</c:v>
                </c:pt>
                <c:pt idx="3">
                  <c:v>2016</c:v>
                </c:pt>
                <c:pt idx="4">
                  <c:v>2017</c:v>
                </c:pt>
              </c:numCache>
            </c:numRef>
          </c:cat>
          <c:val>
            <c:numRef>
              <c:f>рейтинг1!$D$3:$D$7</c:f>
              <c:numCache>
                <c:formatCode>General</c:formatCode>
                <c:ptCount val="5"/>
                <c:pt idx="0">
                  <c:v>21</c:v>
                </c:pt>
                <c:pt idx="1">
                  <c:v>25</c:v>
                </c:pt>
                <c:pt idx="2">
                  <c:v>15</c:v>
                </c:pt>
                <c:pt idx="3">
                  <c:v>23</c:v>
                </c:pt>
                <c:pt idx="4">
                  <c:v>26</c:v>
                </c:pt>
              </c:numCache>
            </c:numRef>
          </c:val>
        </c:ser>
        <c:ser>
          <c:idx val="2"/>
          <c:order val="2"/>
          <c:tx>
            <c:strRef>
              <c:f>рейтинг1!$E$2</c:f>
              <c:strCache>
                <c:ptCount val="1"/>
                <c:pt idx="0">
                  <c:v>Произведено скота и птицы на 100 га сельскохозяйственных угодий, кг</c:v>
                </c:pt>
              </c:strCache>
            </c:strRef>
          </c:tx>
          <c:invertIfNegative val="0"/>
          <c:dLbls>
            <c:showLegendKey val="0"/>
            <c:showVal val="1"/>
            <c:showCatName val="0"/>
            <c:showSerName val="0"/>
            <c:showPercent val="0"/>
            <c:showBubbleSize val="0"/>
            <c:showLeaderLines val="0"/>
          </c:dLbls>
          <c:cat>
            <c:numRef>
              <c:f>рейтинг1!$B$3:$B$7</c:f>
              <c:numCache>
                <c:formatCode>General</c:formatCode>
                <c:ptCount val="5"/>
                <c:pt idx="0">
                  <c:v>2013</c:v>
                </c:pt>
                <c:pt idx="1">
                  <c:v>2014</c:v>
                </c:pt>
                <c:pt idx="2">
                  <c:v>2015</c:v>
                </c:pt>
                <c:pt idx="3">
                  <c:v>2016</c:v>
                </c:pt>
                <c:pt idx="4">
                  <c:v>2017</c:v>
                </c:pt>
              </c:numCache>
            </c:numRef>
          </c:cat>
          <c:val>
            <c:numRef>
              <c:f>рейтинг1!$E$3:$E$7</c:f>
              <c:numCache>
                <c:formatCode>General</c:formatCode>
                <c:ptCount val="5"/>
                <c:pt idx="0">
                  <c:v>25</c:v>
                </c:pt>
                <c:pt idx="1">
                  <c:v>26</c:v>
                </c:pt>
                <c:pt idx="2">
                  <c:v>25</c:v>
                </c:pt>
                <c:pt idx="3">
                  <c:v>27</c:v>
                </c:pt>
                <c:pt idx="4">
                  <c:v>26</c:v>
                </c:pt>
              </c:numCache>
            </c:numRef>
          </c:val>
        </c:ser>
        <c:ser>
          <c:idx val="3"/>
          <c:order val="3"/>
          <c:tx>
            <c:strRef>
              <c:f>рейтинг1!$F$2</c:f>
              <c:strCache>
                <c:ptCount val="1"/>
                <c:pt idx="0">
                  <c:v>Произведено молока на 100 га сельскохозяйственных угодий, кг</c:v>
                </c:pt>
              </c:strCache>
            </c:strRef>
          </c:tx>
          <c:invertIfNegative val="0"/>
          <c:dLbls>
            <c:showLegendKey val="0"/>
            <c:showVal val="1"/>
            <c:showCatName val="0"/>
            <c:showSerName val="0"/>
            <c:showPercent val="0"/>
            <c:showBubbleSize val="0"/>
            <c:showLeaderLines val="0"/>
          </c:dLbls>
          <c:cat>
            <c:numRef>
              <c:f>рейтинг1!$B$3:$B$7</c:f>
              <c:numCache>
                <c:formatCode>General</c:formatCode>
                <c:ptCount val="5"/>
                <c:pt idx="0">
                  <c:v>2013</c:v>
                </c:pt>
                <c:pt idx="1">
                  <c:v>2014</c:v>
                </c:pt>
                <c:pt idx="2">
                  <c:v>2015</c:v>
                </c:pt>
                <c:pt idx="3">
                  <c:v>2016</c:v>
                </c:pt>
                <c:pt idx="4">
                  <c:v>2017</c:v>
                </c:pt>
              </c:numCache>
            </c:numRef>
          </c:cat>
          <c:val>
            <c:numRef>
              <c:f>рейтинг1!$F$3:$F$7</c:f>
              <c:numCache>
                <c:formatCode>General</c:formatCode>
                <c:ptCount val="5"/>
                <c:pt idx="0">
                  <c:v>15</c:v>
                </c:pt>
                <c:pt idx="1">
                  <c:v>19</c:v>
                </c:pt>
                <c:pt idx="2">
                  <c:v>19</c:v>
                </c:pt>
                <c:pt idx="3">
                  <c:v>19</c:v>
                </c:pt>
                <c:pt idx="4">
                  <c:v>19</c:v>
                </c:pt>
              </c:numCache>
            </c:numRef>
          </c:val>
        </c:ser>
        <c:dLbls>
          <c:showLegendKey val="0"/>
          <c:showVal val="0"/>
          <c:showCatName val="0"/>
          <c:showSerName val="0"/>
          <c:showPercent val="0"/>
          <c:showBubbleSize val="0"/>
        </c:dLbls>
        <c:gapWidth val="150"/>
        <c:axId val="259098496"/>
        <c:axId val="259100032"/>
      </c:barChart>
      <c:catAx>
        <c:axId val="259098496"/>
        <c:scaling>
          <c:orientation val="minMax"/>
        </c:scaling>
        <c:delete val="0"/>
        <c:axPos val="b"/>
        <c:numFmt formatCode="General" sourceLinked="1"/>
        <c:majorTickMark val="none"/>
        <c:minorTickMark val="none"/>
        <c:tickLblPos val="nextTo"/>
        <c:crossAx val="259100032"/>
        <c:crosses val="autoZero"/>
        <c:auto val="1"/>
        <c:lblAlgn val="ctr"/>
        <c:lblOffset val="100"/>
        <c:noMultiLvlLbl val="0"/>
      </c:catAx>
      <c:valAx>
        <c:axId val="259100032"/>
        <c:scaling>
          <c:orientation val="minMax"/>
        </c:scaling>
        <c:delete val="1"/>
        <c:axPos val="l"/>
        <c:numFmt formatCode="General" sourceLinked="1"/>
        <c:majorTickMark val="out"/>
        <c:minorTickMark val="none"/>
        <c:tickLblPos val="none"/>
        <c:crossAx val="259098496"/>
        <c:crosses val="autoZero"/>
        <c:crossBetween val="between"/>
      </c:valAx>
    </c:plotArea>
    <c:legend>
      <c:legendPos val="b"/>
      <c:layout>
        <c:manualLayout>
          <c:xMode val="edge"/>
          <c:yMode val="edge"/>
          <c:x val="0.11662937684627939"/>
          <c:y val="0.72671043465411633"/>
          <c:w val="0.78771682408512766"/>
          <c:h val="0.27328940392761497"/>
        </c:manualLayout>
      </c:layout>
      <c:overlay val="0"/>
    </c:legend>
    <c:plotVisOnly val="1"/>
    <c:dispBlanksAs val="gap"/>
    <c:showDLblsOverMax val="0"/>
  </c:chart>
  <c:txPr>
    <a:bodyPr/>
    <a:lstStyle/>
    <a:p>
      <a:pPr>
        <a:defRPr sz="1000" baseline="0">
          <a:latin typeface="Times New Roman" pitchFamily="18" charset="0"/>
          <a:cs typeface="Times New Roman" pitchFamily="18" charset="0"/>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453723887016528E-2"/>
          <c:y val="0.19259043797640368"/>
          <c:w val="0.85183860931979105"/>
          <c:h val="0.66652851500591181"/>
        </c:manualLayout>
      </c:layout>
      <c:scatterChart>
        <c:scatterStyle val="lineMarker"/>
        <c:varyColors val="0"/>
        <c:ser>
          <c:idx val="0"/>
          <c:order val="0"/>
          <c:tx>
            <c:strRef>
              <c:f>Рождаемость!$A$3</c:f>
              <c:strCache>
                <c:ptCount val="1"/>
                <c:pt idx="0">
                  <c:v>Алексеевский</c:v>
                </c:pt>
              </c:strCache>
            </c:strRef>
          </c:tx>
          <c:spPr>
            <a:ln w="47625">
              <a:noFill/>
            </a:ln>
          </c:spPr>
          <c:marker>
            <c:symbol val="circle"/>
            <c:size val="6"/>
            <c:spPr>
              <a:solidFill>
                <a:srgbClr val="4F81BD">
                  <a:lumMod val="50000"/>
                </a:srgbClr>
              </a:solidFill>
              <a:ln>
                <a:noFill/>
              </a:ln>
            </c:spPr>
          </c:marker>
          <c:dLbls>
            <c:dLbl>
              <c:idx val="0"/>
              <c:layout>
                <c:manualLayout>
                  <c:x val="-7.0426065162907314E-3"/>
                  <c:y val="-2.108388519629263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Рождаемость!$D$3</c:f>
              <c:numCache>
                <c:formatCode>0.0</c:formatCode>
                <c:ptCount val="1"/>
                <c:pt idx="0">
                  <c:v>-0.76926123306574989</c:v>
                </c:pt>
              </c:numCache>
            </c:numRef>
          </c:xVal>
          <c:yVal>
            <c:numRef>
              <c:f>Рождаемость!$B$3</c:f>
              <c:numCache>
                <c:formatCode>General</c:formatCode>
                <c:ptCount val="1"/>
                <c:pt idx="0">
                  <c:v>12.8</c:v>
                </c:pt>
              </c:numCache>
            </c:numRef>
          </c:yVal>
          <c:smooth val="0"/>
        </c:ser>
        <c:ser>
          <c:idx val="1"/>
          <c:order val="1"/>
          <c:tx>
            <c:strRef>
              <c:f>Рождаемость!$A$4</c:f>
              <c:strCache>
                <c:ptCount val="1"/>
                <c:pt idx="0">
                  <c:v>Безенчукский</c:v>
                </c:pt>
              </c:strCache>
            </c:strRef>
          </c:tx>
          <c:spPr>
            <a:ln w="47625">
              <a:noFill/>
            </a:ln>
          </c:spPr>
          <c:marker>
            <c:symbol val="circle"/>
            <c:size val="6"/>
            <c:spPr>
              <a:solidFill>
                <a:srgbClr val="4F81BD">
                  <a:lumMod val="50000"/>
                </a:srgbClr>
              </a:solidFill>
              <a:ln>
                <a:noFill/>
              </a:ln>
            </c:spPr>
          </c:marker>
          <c:dLbls>
            <c:dLbl>
              <c:idx val="0"/>
              <c:layout>
                <c:manualLayout>
                  <c:x val="-3.8095238095238095E-3"/>
                  <c:y val="5.642166460979732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Рождаемость!$D$4</c:f>
              <c:numCache>
                <c:formatCode>0.0</c:formatCode>
                <c:ptCount val="1"/>
                <c:pt idx="0">
                  <c:v>-3.5356053116230211</c:v>
                </c:pt>
              </c:numCache>
            </c:numRef>
          </c:xVal>
          <c:yVal>
            <c:numRef>
              <c:f>Рождаемость!$B$4</c:f>
              <c:numCache>
                <c:formatCode>General</c:formatCode>
                <c:ptCount val="1"/>
                <c:pt idx="0">
                  <c:v>11.4</c:v>
                </c:pt>
              </c:numCache>
            </c:numRef>
          </c:yVal>
          <c:smooth val="0"/>
        </c:ser>
        <c:ser>
          <c:idx val="2"/>
          <c:order val="2"/>
          <c:tx>
            <c:strRef>
              <c:f>Рождаемость!$A$5</c:f>
              <c:strCache>
                <c:ptCount val="1"/>
                <c:pt idx="0">
                  <c:v>Богатовский </c:v>
                </c:pt>
              </c:strCache>
            </c:strRef>
          </c:tx>
          <c:spPr>
            <a:ln w="47625">
              <a:noFill/>
            </a:ln>
          </c:spPr>
          <c:marker>
            <c:symbol val="circle"/>
            <c:size val="6"/>
            <c:spPr>
              <a:solidFill>
                <a:srgbClr val="4F81BD">
                  <a:lumMod val="50000"/>
                </a:srgbClr>
              </a:solidFill>
              <a:ln>
                <a:noFill/>
              </a:ln>
            </c:spPr>
          </c:marker>
          <c:dLbls>
            <c:dLbl>
              <c:idx val="0"/>
              <c:layout>
                <c:manualLayout>
                  <c:x val="6.6540366664693098E-3"/>
                  <c:y val="-2.9695612952525052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Рождаемость!$D$5</c:f>
              <c:numCache>
                <c:formatCode>0.0</c:formatCode>
                <c:ptCount val="1"/>
                <c:pt idx="0">
                  <c:v>-0.51948988993706047</c:v>
                </c:pt>
              </c:numCache>
            </c:numRef>
          </c:xVal>
          <c:yVal>
            <c:numRef>
              <c:f>Рождаемость!$B$5</c:f>
              <c:numCache>
                <c:formatCode>General</c:formatCode>
                <c:ptCount val="1"/>
                <c:pt idx="0">
                  <c:v>12.7</c:v>
                </c:pt>
              </c:numCache>
            </c:numRef>
          </c:yVal>
          <c:smooth val="0"/>
        </c:ser>
        <c:ser>
          <c:idx val="3"/>
          <c:order val="3"/>
          <c:tx>
            <c:strRef>
              <c:f>Рождаемость!$A$6</c:f>
              <c:strCache>
                <c:ptCount val="1"/>
                <c:pt idx="0">
                  <c:v>Большеглушицкий</c:v>
                </c:pt>
              </c:strCache>
            </c:strRef>
          </c:tx>
          <c:spPr>
            <a:ln w="47625">
              <a:noFill/>
            </a:ln>
          </c:spPr>
          <c:marker>
            <c:symbol val="circle"/>
            <c:size val="6"/>
            <c:spPr>
              <a:solidFill>
                <a:srgbClr val="4F81BD">
                  <a:lumMod val="50000"/>
                </a:srgbClr>
              </a:solidFill>
              <a:ln>
                <a:noFill/>
              </a:ln>
            </c:spPr>
          </c:marker>
          <c:dLbls>
            <c:dLbl>
              <c:idx val="0"/>
              <c:layout>
                <c:manualLayout>
                  <c:x val="2.4214078503345058E-4"/>
                  <c:y val="-9.9258170853124645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Рождаемость!$D$6</c:f>
              <c:numCache>
                <c:formatCode>0.0</c:formatCode>
                <c:ptCount val="1"/>
                <c:pt idx="0">
                  <c:v>-3.2022229686390062</c:v>
                </c:pt>
              </c:numCache>
            </c:numRef>
          </c:xVal>
          <c:yVal>
            <c:numRef>
              <c:f>Рождаемость!$B$6</c:f>
              <c:numCache>
                <c:formatCode>General</c:formatCode>
                <c:ptCount val="1"/>
                <c:pt idx="0">
                  <c:v>11.7</c:v>
                </c:pt>
              </c:numCache>
            </c:numRef>
          </c:yVal>
          <c:smooth val="0"/>
        </c:ser>
        <c:ser>
          <c:idx val="4"/>
          <c:order val="4"/>
          <c:tx>
            <c:strRef>
              <c:f>Рождаемость!$A$7</c:f>
              <c:strCache>
                <c:ptCount val="1"/>
                <c:pt idx="0">
                  <c:v>Большечерниговский</c:v>
                </c:pt>
              </c:strCache>
            </c:strRef>
          </c:tx>
          <c:spPr>
            <a:ln w="47625">
              <a:noFill/>
            </a:ln>
          </c:spPr>
          <c:marker>
            <c:symbol val="circle"/>
            <c:size val="6"/>
            <c:spPr>
              <a:solidFill>
                <a:srgbClr val="4F81BD">
                  <a:lumMod val="50000"/>
                </a:srgbClr>
              </a:solidFill>
              <a:ln>
                <a:noFill/>
              </a:ln>
            </c:spPr>
          </c:marker>
          <c:dLbls>
            <c:dLbl>
              <c:idx val="0"/>
              <c:layout>
                <c:manualLayout>
                  <c:x val="-0.10144430975667212"/>
                  <c:y val="3.952855847688123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Рождаемость!$D$7</c:f>
              <c:numCache>
                <c:formatCode>0.0</c:formatCode>
                <c:ptCount val="1"/>
                <c:pt idx="0">
                  <c:v>0</c:v>
                </c:pt>
              </c:numCache>
            </c:numRef>
          </c:xVal>
          <c:yVal>
            <c:numRef>
              <c:f>Рождаемость!$B$7</c:f>
              <c:numCache>
                <c:formatCode>General</c:formatCode>
                <c:ptCount val="1"/>
                <c:pt idx="0">
                  <c:v>15.7</c:v>
                </c:pt>
              </c:numCache>
            </c:numRef>
          </c:yVal>
          <c:smooth val="0"/>
        </c:ser>
        <c:ser>
          <c:idx val="5"/>
          <c:order val="5"/>
          <c:tx>
            <c:strRef>
              <c:f>Рождаемость!$A$8</c:f>
              <c:strCache>
                <c:ptCount val="1"/>
                <c:pt idx="0">
                  <c:v>Борский</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Рождаемость!$D$8</c:f>
              <c:numCache>
                <c:formatCode>0.0</c:formatCode>
                <c:ptCount val="1"/>
                <c:pt idx="0">
                  <c:v>-2.8365940912728149</c:v>
                </c:pt>
              </c:numCache>
            </c:numRef>
          </c:xVal>
          <c:yVal>
            <c:numRef>
              <c:f>Рождаемость!$B$8</c:f>
              <c:numCache>
                <c:formatCode>General</c:formatCode>
                <c:ptCount val="1"/>
                <c:pt idx="0">
                  <c:v>12.2</c:v>
                </c:pt>
              </c:numCache>
            </c:numRef>
          </c:yVal>
          <c:smooth val="0"/>
        </c:ser>
        <c:ser>
          <c:idx val="6"/>
          <c:order val="6"/>
          <c:tx>
            <c:strRef>
              <c:f>Рождаемость!$A$9</c:f>
              <c:strCache>
                <c:ptCount val="1"/>
                <c:pt idx="0">
                  <c:v>Волжский </c:v>
                </c:pt>
              </c:strCache>
            </c:strRef>
          </c:tx>
          <c:spPr>
            <a:ln w="47625">
              <a:noFill/>
            </a:ln>
          </c:spPr>
          <c:marker>
            <c:symbol val="circle"/>
            <c:size val="6"/>
            <c:spPr>
              <a:solidFill>
                <a:schemeClr val="accent1">
                  <a:lumMod val="50000"/>
                </a:schemeClr>
              </a:solidFill>
              <a:ln>
                <a:noFill/>
              </a:ln>
            </c:spPr>
          </c:marker>
          <c:dLbls>
            <c:dLbl>
              <c:idx val="0"/>
              <c:layout>
                <c:manualLayout>
                  <c:x val="5.0125313283208477E-3"/>
                  <c:y val="-2.969561295251415E-4"/>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Рождаемость!$D$9</c:f>
              <c:numCache>
                <c:formatCode>0.0</c:formatCode>
                <c:ptCount val="1"/>
                <c:pt idx="0">
                  <c:v>-3.6067859040201138</c:v>
                </c:pt>
              </c:numCache>
            </c:numRef>
          </c:xVal>
          <c:yVal>
            <c:numRef>
              <c:f>Рождаемость!$B$9</c:f>
              <c:numCache>
                <c:formatCode>General</c:formatCode>
                <c:ptCount val="1"/>
                <c:pt idx="0">
                  <c:v>10.3</c:v>
                </c:pt>
              </c:numCache>
            </c:numRef>
          </c:yVal>
          <c:smooth val="0"/>
        </c:ser>
        <c:ser>
          <c:idx val="7"/>
          <c:order val="7"/>
          <c:tx>
            <c:strRef>
              <c:f>Рождаемость!$A$10</c:f>
              <c:strCache>
                <c:ptCount val="1"/>
                <c:pt idx="0">
                  <c:v>Елховский</c:v>
                </c:pt>
              </c:strCache>
            </c:strRef>
          </c:tx>
          <c:spPr>
            <a:ln w="47625">
              <a:noFill/>
            </a:ln>
          </c:spPr>
          <c:marker>
            <c:symbol val="circle"/>
            <c:size val="6"/>
            <c:spPr>
              <a:solidFill>
                <a:srgbClr val="4F81BD">
                  <a:lumMod val="50000"/>
                </a:srgbClr>
              </a:solidFill>
              <a:ln>
                <a:noFill/>
              </a:ln>
            </c:spPr>
          </c:marker>
          <c:dLbls>
            <c:dLbl>
              <c:idx val="0"/>
              <c:layout>
                <c:manualLayout>
                  <c:x val="-8.0832001263000063E-4"/>
                  <c:y val="-6.236078720030254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Рождаемость!$D$10</c:f>
              <c:numCache>
                <c:formatCode>0.0</c:formatCode>
                <c:ptCount val="1"/>
                <c:pt idx="0">
                  <c:v>0.27700972535929314</c:v>
                </c:pt>
              </c:numCache>
            </c:numRef>
          </c:xVal>
          <c:yVal>
            <c:numRef>
              <c:f>Рождаемость!$B$10</c:f>
              <c:numCache>
                <c:formatCode>General</c:formatCode>
                <c:ptCount val="1"/>
                <c:pt idx="0">
                  <c:v>12.1</c:v>
                </c:pt>
              </c:numCache>
            </c:numRef>
          </c:yVal>
          <c:smooth val="0"/>
        </c:ser>
        <c:ser>
          <c:idx val="8"/>
          <c:order val="8"/>
          <c:tx>
            <c:strRef>
              <c:f>Рождаемость!$A$11</c:f>
              <c:strCache>
                <c:ptCount val="1"/>
                <c:pt idx="0">
                  <c:v>Исаклинский </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Рождаемость!$D$11</c:f>
              <c:numCache>
                <c:formatCode>0.0</c:formatCode>
                <c:ptCount val="1"/>
                <c:pt idx="0">
                  <c:v>-10.279789798545298</c:v>
                </c:pt>
              </c:numCache>
            </c:numRef>
          </c:xVal>
          <c:yVal>
            <c:numRef>
              <c:f>Рождаемость!$B$11</c:f>
              <c:numCache>
                <c:formatCode>General</c:formatCode>
                <c:ptCount val="1"/>
                <c:pt idx="0">
                  <c:v>10.4</c:v>
                </c:pt>
              </c:numCache>
            </c:numRef>
          </c:yVal>
          <c:smooth val="0"/>
        </c:ser>
        <c:ser>
          <c:idx val="9"/>
          <c:order val="9"/>
          <c:tx>
            <c:strRef>
              <c:f>Рождаемость!$A$12</c:f>
              <c:strCache>
                <c:ptCount val="1"/>
                <c:pt idx="0">
                  <c:v>Камышлинский</c:v>
                </c:pt>
              </c:strCache>
            </c:strRef>
          </c:tx>
          <c:spPr>
            <a:ln w="47625">
              <a:noFill/>
            </a:ln>
          </c:spPr>
          <c:marker>
            <c:symbol val="circle"/>
            <c:size val="6"/>
            <c:spPr>
              <a:solidFill>
                <a:srgbClr val="FF0000"/>
              </a:solidFill>
              <a:ln>
                <a:noFill/>
              </a:ln>
            </c:spPr>
          </c:marker>
          <c:dLbls>
            <c:dLblPos val="t"/>
            <c:showLegendKey val="0"/>
            <c:showVal val="0"/>
            <c:showCatName val="0"/>
            <c:showSerName val="1"/>
            <c:showPercent val="0"/>
            <c:showBubbleSize val="0"/>
            <c:showLeaderLines val="0"/>
          </c:dLbls>
          <c:xVal>
            <c:numRef>
              <c:f>Рождаемость!$D$12</c:f>
              <c:numCache>
                <c:formatCode>0.0</c:formatCode>
                <c:ptCount val="1"/>
                <c:pt idx="0">
                  <c:v>-10.695475015043327</c:v>
                </c:pt>
              </c:numCache>
            </c:numRef>
          </c:xVal>
          <c:yVal>
            <c:numRef>
              <c:f>Рождаемость!$B$12</c:f>
              <c:numCache>
                <c:formatCode>General</c:formatCode>
                <c:ptCount val="1"/>
                <c:pt idx="0">
                  <c:v>9.9</c:v>
                </c:pt>
              </c:numCache>
            </c:numRef>
          </c:yVal>
          <c:smooth val="0"/>
        </c:ser>
        <c:ser>
          <c:idx val="10"/>
          <c:order val="10"/>
          <c:tx>
            <c:strRef>
              <c:f>Рождаемость!$A$13</c:f>
              <c:strCache>
                <c:ptCount val="1"/>
                <c:pt idx="0">
                  <c:v>Кинельский </c:v>
                </c:pt>
              </c:strCache>
            </c:strRef>
          </c:tx>
          <c:spPr>
            <a:ln w="47625">
              <a:noFill/>
            </a:ln>
          </c:spPr>
          <c:marker>
            <c:symbol val="circle"/>
            <c:size val="6"/>
            <c:spPr>
              <a:solidFill>
                <a:srgbClr val="4F81BD">
                  <a:lumMod val="50000"/>
                </a:srgbClr>
              </a:solidFill>
              <a:ln>
                <a:noFill/>
              </a:ln>
            </c:spPr>
          </c:marker>
          <c:dLbls>
            <c:dLbl>
              <c:idx val="0"/>
              <c:layout>
                <c:manualLayout>
                  <c:x val="-5.8198646221853424E-3"/>
                  <c:y val="-3.498938206469162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Рождаемость!$D$13</c:f>
              <c:numCache>
                <c:formatCode>0.0</c:formatCode>
                <c:ptCount val="1"/>
                <c:pt idx="0">
                  <c:v>-8.0358607872959684</c:v>
                </c:pt>
              </c:numCache>
            </c:numRef>
          </c:xVal>
          <c:yVal>
            <c:numRef>
              <c:f>Рождаемость!$B$13</c:f>
              <c:numCache>
                <c:formatCode>General</c:formatCode>
                <c:ptCount val="1"/>
                <c:pt idx="0">
                  <c:v>9.8000000000000007</c:v>
                </c:pt>
              </c:numCache>
            </c:numRef>
          </c:yVal>
          <c:smooth val="0"/>
        </c:ser>
        <c:ser>
          <c:idx val="11"/>
          <c:order val="11"/>
          <c:tx>
            <c:strRef>
              <c:f>Рождаемость!$A$14</c:f>
              <c:strCache>
                <c:ptCount val="1"/>
                <c:pt idx="0">
                  <c:v>Кинель-Черкасский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Рождаемость!$D$14</c:f>
              <c:numCache>
                <c:formatCode>0.0</c:formatCode>
                <c:ptCount val="1"/>
                <c:pt idx="0">
                  <c:v>-5.1947600007991213</c:v>
                </c:pt>
              </c:numCache>
            </c:numRef>
          </c:xVal>
          <c:yVal>
            <c:numRef>
              <c:f>Рождаемость!$B$14</c:f>
              <c:numCache>
                <c:formatCode>General</c:formatCode>
                <c:ptCount val="1"/>
                <c:pt idx="0">
                  <c:v>12.1</c:v>
                </c:pt>
              </c:numCache>
            </c:numRef>
          </c:yVal>
          <c:smooth val="0"/>
        </c:ser>
        <c:ser>
          <c:idx val="12"/>
          <c:order val="12"/>
          <c:tx>
            <c:strRef>
              <c:f>Рождаемость!$A$15</c:f>
              <c:strCache>
                <c:ptCount val="1"/>
                <c:pt idx="0">
                  <c:v>Клявлинский </c:v>
                </c:pt>
              </c:strCache>
            </c:strRef>
          </c:tx>
          <c:spPr>
            <a:ln w="47625">
              <a:noFill/>
            </a:ln>
          </c:spPr>
          <c:marker>
            <c:symbol val="circle"/>
            <c:size val="6"/>
            <c:spPr>
              <a:solidFill>
                <a:srgbClr val="4F81BD">
                  <a:lumMod val="50000"/>
                </a:srgbClr>
              </a:solidFill>
              <a:ln>
                <a:noFill/>
              </a:ln>
            </c:spPr>
          </c:marker>
          <c:dLbls>
            <c:dLbl>
              <c:idx val="0"/>
              <c:layout>
                <c:manualLayout>
                  <c:x val="8.3646123181970664E-3"/>
                  <c:y val="5.642166460979732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Рождаемость!$D$15</c:f>
              <c:numCache>
                <c:formatCode>0.0</c:formatCode>
                <c:ptCount val="1"/>
                <c:pt idx="0">
                  <c:v>-7.9999793403415964</c:v>
                </c:pt>
              </c:numCache>
            </c:numRef>
          </c:xVal>
          <c:yVal>
            <c:numRef>
              <c:f>Рождаемость!$B$15</c:f>
              <c:numCache>
                <c:formatCode>General</c:formatCode>
                <c:ptCount val="1"/>
                <c:pt idx="0">
                  <c:v>9.5</c:v>
                </c:pt>
              </c:numCache>
            </c:numRef>
          </c:yVal>
          <c:smooth val="0"/>
        </c:ser>
        <c:ser>
          <c:idx val="13"/>
          <c:order val="13"/>
          <c:tx>
            <c:strRef>
              <c:f>Рождаемость!$A$16</c:f>
              <c:strCache>
                <c:ptCount val="1"/>
                <c:pt idx="0">
                  <c:v>Кошкинский</c:v>
                </c:pt>
              </c:strCache>
            </c:strRef>
          </c:tx>
          <c:spPr>
            <a:ln w="47625">
              <a:noFill/>
            </a:ln>
          </c:spPr>
          <c:marker>
            <c:symbol val="circle"/>
            <c:size val="6"/>
            <c:spPr>
              <a:solidFill>
                <a:srgbClr val="4F81BD">
                  <a:lumMod val="50000"/>
                </a:srgbClr>
              </a:solidFill>
              <a:ln>
                <a:noFill/>
              </a:ln>
            </c:spPr>
          </c:marker>
          <c:dLbls>
            <c:dLbl>
              <c:idx val="0"/>
              <c:layout>
                <c:manualLayout>
                  <c:x val="8.1305626270492776E-5"/>
                  <c:y val="1.158128905148472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Рождаемость!$D$16</c:f>
              <c:numCache>
                <c:formatCode>0.0</c:formatCode>
                <c:ptCount val="1"/>
                <c:pt idx="0">
                  <c:v>-0.27624450122512201</c:v>
                </c:pt>
              </c:numCache>
            </c:numRef>
          </c:xVal>
          <c:yVal>
            <c:numRef>
              <c:f>Рождаемость!$B$16</c:f>
              <c:numCache>
                <c:formatCode>General</c:formatCode>
                <c:ptCount val="1"/>
                <c:pt idx="0">
                  <c:v>12</c:v>
                </c:pt>
              </c:numCache>
            </c:numRef>
          </c:yVal>
          <c:smooth val="0"/>
        </c:ser>
        <c:ser>
          <c:idx val="14"/>
          <c:order val="14"/>
          <c:tx>
            <c:strRef>
              <c:f>Рождаемость!$A$17</c:f>
              <c:strCache>
                <c:ptCount val="1"/>
                <c:pt idx="0">
                  <c:v>Красноармейский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Рождаемость!$D$18</c:f>
              <c:numCache>
                <c:formatCode>0.0</c:formatCode>
                <c:ptCount val="1"/>
                <c:pt idx="0">
                  <c:v>-5.0851191326387664</c:v>
                </c:pt>
              </c:numCache>
            </c:numRef>
          </c:xVal>
          <c:yVal>
            <c:numRef>
              <c:f>Рождаемость!$B$17</c:f>
              <c:numCache>
                <c:formatCode>General</c:formatCode>
                <c:ptCount val="1"/>
                <c:pt idx="0">
                  <c:v>14.3</c:v>
                </c:pt>
              </c:numCache>
            </c:numRef>
          </c:yVal>
          <c:smooth val="0"/>
        </c:ser>
        <c:ser>
          <c:idx val="15"/>
          <c:order val="15"/>
          <c:tx>
            <c:strRef>
              <c:f>Рождаемость!$A$18</c:f>
              <c:strCache>
                <c:ptCount val="1"/>
                <c:pt idx="0">
                  <c:v>Красноярский </c:v>
                </c:pt>
              </c:strCache>
            </c:strRef>
          </c:tx>
          <c:spPr>
            <a:ln w="47625">
              <a:noFill/>
            </a:ln>
          </c:spPr>
          <c:marker>
            <c:symbol val="circle"/>
            <c:size val="6"/>
            <c:spPr>
              <a:solidFill>
                <a:srgbClr val="4F81BD">
                  <a:lumMod val="50000"/>
                </a:srgbClr>
              </a:solidFill>
              <a:ln>
                <a:noFill/>
              </a:ln>
            </c:spPr>
          </c:marker>
          <c:dLbls>
            <c:dLbl>
              <c:idx val="0"/>
              <c:layout>
                <c:manualLayout>
                  <c:x val="-1.9162078424407572E-4"/>
                  <c:y val="-1.418468239489740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Рождаемость!$D$18</c:f>
              <c:numCache>
                <c:formatCode>0.0</c:formatCode>
                <c:ptCount val="1"/>
                <c:pt idx="0">
                  <c:v>-5.0851191326387664</c:v>
                </c:pt>
              </c:numCache>
            </c:numRef>
          </c:xVal>
          <c:yVal>
            <c:numRef>
              <c:f>Рождаемость!$B$18</c:f>
              <c:numCache>
                <c:formatCode>General</c:formatCode>
                <c:ptCount val="1"/>
                <c:pt idx="0">
                  <c:v>11.8</c:v>
                </c:pt>
              </c:numCache>
            </c:numRef>
          </c:yVal>
          <c:smooth val="0"/>
        </c:ser>
        <c:ser>
          <c:idx val="16"/>
          <c:order val="16"/>
          <c:tx>
            <c:strRef>
              <c:f>Рождаемость!$A$19</c:f>
              <c:strCache>
                <c:ptCount val="1"/>
                <c:pt idx="0">
                  <c:v>Нефтегорский </c:v>
                </c:pt>
              </c:strCache>
            </c:strRef>
          </c:tx>
          <c:spPr>
            <a:ln w="47625">
              <a:noFill/>
            </a:ln>
          </c:spPr>
          <c:marker>
            <c:symbol val="circle"/>
            <c:size val="6"/>
            <c:spPr>
              <a:solidFill>
                <a:srgbClr val="4F81BD">
                  <a:lumMod val="50000"/>
                </a:srgbClr>
              </a:solidFill>
              <a:ln>
                <a:noFill/>
              </a:ln>
            </c:spPr>
          </c:marker>
          <c:dLbls>
            <c:dLbl>
              <c:idx val="0"/>
              <c:layout>
                <c:manualLayout>
                  <c:x val="-5.8555902908231983E-2"/>
                  <c:y val="3.5902085222121488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Рождаемость!$D$19</c:f>
              <c:numCache>
                <c:formatCode>0.0</c:formatCode>
                <c:ptCount val="1"/>
                <c:pt idx="0">
                  <c:v>0</c:v>
                </c:pt>
              </c:numCache>
            </c:numRef>
          </c:xVal>
          <c:yVal>
            <c:numRef>
              <c:f>Рождаемость!$B$19</c:f>
              <c:numCache>
                <c:formatCode>General</c:formatCode>
                <c:ptCount val="1"/>
                <c:pt idx="0">
                  <c:v>11</c:v>
                </c:pt>
              </c:numCache>
            </c:numRef>
          </c:yVal>
          <c:smooth val="0"/>
        </c:ser>
        <c:ser>
          <c:idx val="17"/>
          <c:order val="17"/>
          <c:tx>
            <c:strRef>
              <c:f>Рождаемость!$A$20</c:f>
              <c:strCache>
                <c:ptCount val="1"/>
                <c:pt idx="0">
                  <c:v>Пестравский </c:v>
                </c:pt>
              </c:strCache>
            </c:strRef>
          </c:tx>
          <c:spPr>
            <a:ln w="47625">
              <a:noFill/>
            </a:ln>
          </c:spPr>
          <c:marker>
            <c:symbol val="circle"/>
            <c:size val="6"/>
            <c:spPr>
              <a:solidFill>
                <a:schemeClr val="accent1">
                  <a:lumMod val="50000"/>
                </a:schemeClr>
              </a:solidFill>
              <a:ln>
                <a:noFill/>
              </a:ln>
            </c:spPr>
          </c:marker>
          <c:dLbls>
            <c:dLbl>
              <c:idx val="0"/>
              <c:layout>
                <c:manualLayout>
                  <c:x val="-0.10427959662936837"/>
                  <c:y val="-2.888424463012128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Рождаемость!$D$20</c:f>
              <c:numCache>
                <c:formatCode>0.0</c:formatCode>
                <c:ptCount val="1"/>
                <c:pt idx="0">
                  <c:v>-1.0959786502667868</c:v>
                </c:pt>
              </c:numCache>
            </c:numRef>
          </c:xVal>
          <c:yVal>
            <c:numRef>
              <c:f>Рождаемость!$B$20</c:f>
              <c:numCache>
                <c:formatCode>General</c:formatCode>
                <c:ptCount val="1"/>
                <c:pt idx="0">
                  <c:v>11.9</c:v>
                </c:pt>
              </c:numCache>
            </c:numRef>
          </c:yVal>
          <c:smooth val="0"/>
        </c:ser>
        <c:ser>
          <c:idx val="18"/>
          <c:order val="18"/>
          <c:tx>
            <c:strRef>
              <c:f>Рождаемость!$A$21</c:f>
              <c:strCache>
                <c:ptCount val="1"/>
                <c:pt idx="0">
                  <c:v>Похвистневский</c:v>
                </c:pt>
              </c:strCache>
            </c:strRef>
          </c:tx>
          <c:spPr>
            <a:ln w="47625">
              <a:noFill/>
            </a:ln>
          </c:spPr>
          <c:marker>
            <c:symbol val="circle"/>
            <c:size val="6"/>
            <c:spPr>
              <a:solidFill>
                <a:srgbClr val="4F81BD">
                  <a:lumMod val="50000"/>
                </a:srgbClr>
              </a:solidFill>
              <a:ln>
                <a:noFill/>
              </a:ln>
            </c:spPr>
          </c:marker>
          <c:dLbls>
            <c:dLbl>
              <c:idx val="0"/>
              <c:layout>
                <c:manualLayout>
                  <c:x val="-9.3130266611410564E-2"/>
                  <c:y val="3.85834865268430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Рождаемость!$D$21</c:f>
              <c:numCache>
                <c:formatCode>0.0</c:formatCode>
                <c:ptCount val="1"/>
                <c:pt idx="0">
                  <c:v>-11.512641091512336</c:v>
                </c:pt>
              </c:numCache>
            </c:numRef>
          </c:xVal>
          <c:yVal>
            <c:numRef>
              <c:f>Рождаемость!$B$21</c:f>
              <c:numCache>
                <c:formatCode>General</c:formatCode>
                <c:ptCount val="1"/>
                <c:pt idx="0">
                  <c:v>9.7000000000000011</c:v>
                </c:pt>
              </c:numCache>
            </c:numRef>
          </c:yVal>
          <c:smooth val="0"/>
        </c:ser>
        <c:ser>
          <c:idx val="19"/>
          <c:order val="19"/>
          <c:tx>
            <c:strRef>
              <c:f>Рождаемость!$A$22</c:f>
              <c:strCache>
                <c:ptCount val="1"/>
                <c:pt idx="0">
                  <c:v>Приволжский</c:v>
                </c:pt>
              </c:strCache>
            </c:strRef>
          </c:tx>
          <c:spPr>
            <a:ln w="47625">
              <a:noFill/>
            </a:ln>
          </c:spPr>
          <c:marker>
            <c:symbol val="circle"/>
            <c:size val="6"/>
            <c:spPr>
              <a:solidFill>
                <a:srgbClr val="4F81BD">
                  <a:lumMod val="50000"/>
                </a:srgbClr>
              </a:solidFill>
              <a:ln>
                <a:noFill/>
              </a:ln>
            </c:spPr>
          </c:marker>
          <c:dLbls>
            <c:dLbl>
              <c:idx val="0"/>
              <c:layout>
                <c:manualLayout>
                  <c:x val="-7.436090225563935E-2"/>
                  <c:y val="2.642909552774709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Рождаемость!$D$22</c:f>
              <c:numCache>
                <c:formatCode>0.0</c:formatCode>
                <c:ptCount val="1"/>
                <c:pt idx="0">
                  <c:v>-9.4509187440051079</c:v>
                </c:pt>
              </c:numCache>
            </c:numRef>
          </c:xVal>
          <c:yVal>
            <c:numRef>
              <c:f>Рождаемость!$B$22</c:f>
              <c:numCache>
                <c:formatCode>General</c:formatCode>
                <c:ptCount val="1"/>
                <c:pt idx="0">
                  <c:v>9.8000000000000007</c:v>
                </c:pt>
              </c:numCache>
            </c:numRef>
          </c:yVal>
          <c:smooth val="0"/>
        </c:ser>
        <c:ser>
          <c:idx val="20"/>
          <c:order val="20"/>
          <c:tx>
            <c:strRef>
              <c:f>Рождаемость!$A$23</c:f>
              <c:strCache>
                <c:ptCount val="1"/>
                <c:pt idx="0">
                  <c:v>Сергиевский</c:v>
                </c:pt>
              </c:strCache>
            </c:strRef>
          </c:tx>
          <c:spPr>
            <a:ln w="47625">
              <a:noFill/>
            </a:ln>
          </c:spPr>
          <c:marker>
            <c:symbol val="circle"/>
            <c:size val="6"/>
            <c:spPr>
              <a:solidFill>
                <a:srgbClr val="4F81BD">
                  <a:lumMod val="50000"/>
                </a:srgbClr>
              </a:solidFill>
              <a:ln>
                <a:noFill/>
              </a:ln>
            </c:spPr>
          </c:marker>
          <c:dLbls>
            <c:dLbl>
              <c:idx val="0"/>
              <c:layout>
                <c:manualLayout>
                  <c:x val="-7.0003749531308748E-3"/>
                  <c:y val="1.319934922181126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Рождаемость!$D$23</c:f>
              <c:numCache>
                <c:formatCode>0.0</c:formatCode>
                <c:ptCount val="1"/>
                <c:pt idx="0">
                  <c:v>-4.4257907824376872</c:v>
                </c:pt>
              </c:numCache>
            </c:numRef>
          </c:xVal>
          <c:yVal>
            <c:numRef>
              <c:f>Рождаемость!$B$23</c:f>
              <c:numCache>
                <c:formatCode>General</c:formatCode>
                <c:ptCount val="1"/>
                <c:pt idx="0">
                  <c:v>11</c:v>
                </c:pt>
              </c:numCache>
            </c:numRef>
          </c:yVal>
          <c:smooth val="0"/>
        </c:ser>
        <c:ser>
          <c:idx val="21"/>
          <c:order val="21"/>
          <c:tx>
            <c:strRef>
              <c:f>Рождаемость!$A$24</c:f>
              <c:strCache>
                <c:ptCount val="1"/>
                <c:pt idx="0">
                  <c:v>Ставропольский </c:v>
                </c:pt>
              </c:strCache>
            </c:strRef>
          </c:tx>
          <c:spPr>
            <a:ln w="47625">
              <a:noFill/>
            </a:ln>
          </c:spPr>
          <c:marker>
            <c:symbol val="circle"/>
            <c:size val="6"/>
            <c:spPr>
              <a:solidFill>
                <a:srgbClr val="4F81BD">
                  <a:lumMod val="50000"/>
                </a:srgbClr>
              </a:solidFill>
              <a:ln>
                <a:noFill/>
              </a:ln>
            </c:spPr>
          </c:marker>
          <c:dLbls>
            <c:dLbl>
              <c:idx val="0"/>
              <c:layout>
                <c:manualLayout>
                  <c:x val="-6.6275926035561364E-3"/>
                  <c:y val="-5.811454837181526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Рождаемость!$D$24</c:f>
              <c:numCache>
                <c:formatCode>0.0</c:formatCode>
                <c:ptCount val="1"/>
                <c:pt idx="0">
                  <c:v>-6.1699556404279647</c:v>
                </c:pt>
              </c:numCache>
            </c:numRef>
          </c:xVal>
          <c:yVal>
            <c:numRef>
              <c:f>Рождаемость!$B$24</c:f>
              <c:numCache>
                <c:formatCode>General</c:formatCode>
                <c:ptCount val="1"/>
                <c:pt idx="0">
                  <c:v>11.4</c:v>
                </c:pt>
              </c:numCache>
            </c:numRef>
          </c:yVal>
          <c:smooth val="0"/>
        </c:ser>
        <c:ser>
          <c:idx val="22"/>
          <c:order val="22"/>
          <c:tx>
            <c:strRef>
              <c:f>Рождаемость!$A$25</c:f>
              <c:strCache>
                <c:ptCount val="1"/>
                <c:pt idx="0">
                  <c:v>Сызранский </c:v>
                </c:pt>
              </c:strCache>
            </c:strRef>
          </c:tx>
          <c:spPr>
            <a:ln w="47625">
              <a:noFill/>
            </a:ln>
          </c:spPr>
          <c:marker>
            <c:symbol val="circle"/>
            <c:size val="6"/>
            <c:spPr>
              <a:solidFill>
                <a:srgbClr val="4F81BD">
                  <a:lumMod val="50000"/>
                </a:srgbClr>
              </a:solidFill>
              <a:ln>
                <a:noFill/>
              </a:ln>
            </c:spPr>
          </c:marker>
          <c:dLbls>
            <c:dLbl>
              <c:idx val="0"/>
              <c:layout>
                <c:manualLayout>
                  <c:x val="-4.6304738223511693E-3"/>
                  <c:y val="-9.205640015282868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Рождаемость!$D$25</c:f>
              <c:numCache>
                <c:formatCode>0.0</c:formatCode>
                <c:ptCount val="1"/>
                <c:pt idx="0">
                  <c:v>-4.3534408613805455</c:v>
                </c:pt>
              </c:numCache>
            </c:numRef>
          </c:xVal>
          <c:yVal>
            <c:numRef>
              <c:f>Рождаемость!$B$25</c:f>
              <c:numCache>
                <c:formatCode>General</c:formatCode>
                <c:ptCount val="1"/>
                <c:pt idx="0">
                  <c:v>10.5</c:v>
                </c:pt>
              </c:numCache>
            </c:numRef>
          </c:yVal>
          <c:smooth val="0"/>
        </c:ser>
        <c:ser>
          <c:idx val="23"/>
          <c:order val="23"/>
          <c:tx>
            <c:strRef>
              <c:f>Рождаемость!$A$26</c:f>
              <c:strCache>
                <c:ptCount val="1"/>
                <c:pt idx="0">
                  <c:v>Хворостянский </c:v>
                </c:pt>
              </c:strCache>
            </c:strRef>
          </c:tx>
          <c:spPr>
            <a:ln w="47625">
              <a:noFill/>
            </a:ln>
          </c:spPr>
          <c:marker>
            <c:symbol val="circle"/>
            <c:size val="6"/>
            <c:spPr>
              <a:solidFill>
                <a:srgbClr val="4F81BD">
                  <a:lumMod val="50000"/>
                </a:srgbClr>
              </a:solidFill>
              <a:ln>
                <a:noFill/>
              </a:ln>
            </c:spPr>
          </c:marker>
          <c:dLbls>
            <c:dLbl>
              <c:idx val="0"/>
              <c:layout>
                <c:manualLayout>
                  <c:x val="1.8169439346396627E-3"/>
                  <c:y val="8.6117277562321112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Рождаемость!$D$26</c:f>
              <c:numCache>
                <c:formatCode>0.0</c:formatCode>
                <c:ptCount val="1"/>
                <c:pt idx="0">
                  <c:v>-0.78743425198753358</c:v>
                </c:pt>
              </c:numCache>
            </c:numRef>
          </c:xVal>
          <c:yVal>
            <c:numRef>
              <c:f>Рождаемость!$B$26</c:f>
              <c:numCache>
                <c:formatCode>General</c:formatCode>
                <c:ptCount val="1"/>
                <c:pt idx="0">
                  <c:v>12.5</c:v>
                </c:pt>
              </c:numCache>
            </c:numRef>
          </c:yVal>
          <c:smooth val="0"/>
        </c:ser>
        <c:ser>
          <c:idx val="24"/>
          <c:order val="24"/>
          <c:tx>
            <c:strRef>
              <c:f>Рождаемость!$A$27</c:f>
              <c:strCache>
                <c:ptCount val="1"/>
                <c:pt idx="0">
                  <c:v>Челно-Вершинский </c:v>
                </c:pt>
              </c:strCache>
            </c:strRef>
          </c:tx>
          <c:spPr>
            <a:ln w="47625">
              <a:noFill/>
            </a:ln>
          </c:spPr>
          <c:marker>
            <c:symbol val="circle"/>
            <c:size val="6"/>
            <c:spPr>
              <a:solidFill>
                <a:srgbClr val="4F81BD">
                  <a:lumMod val="50000"/>
                </a:srgbClr>
              </a:solidFill>
              <a:ln>
                <a:noFill/>
              </a:ln>
            </c:spPr>
          </c:marker>
          <c:dLbls>
            <c:dLbl>
              <c:idx val="0"/>
              <c:layout>
                <c:manualLayout>
                  <c:x val="3.4022063031594742E-3"/>
                  <c:y val="-2.9695612952535861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Рождаемость!$D$27</c:f>
              <c:numCache>
                <c:formatCode>0.0</c:formatCode>
                <c:ptCount val="1"/>
                <c:pt idx="0">
                  <c:v>-9.365571310611486</c:v>
                </c:pt>
              </c:numCache>
            </c:numRef>
          </c:xVal>
          <c:yVal>
            <c:numRef>
              <c:f>Рождаемость!$B$27</c:f>
              <c:numCache>
                <c:formatCode>General</c:formatCode>
                <c:ptCount val="1"/>
                <c:pt idx="0">
                  <c:v>10.200000000000001</c:v>
                </c:pt>
              </c:numCache>
            </c:numRef>
          </c:yVal>
          <c:smooth val="0"/>
        </c:ser>
        <c:ser>
          <c:idx val="25"/>
          <c:order val="25"/>
          <c:tx>
            <c:strRef>
              <c:f>Рождаемость!$A$28</c:f>
              <c:strCache>
                <c:ptCount val="1"/>
                <c:pt idx="0">
                  <c:v>Шенталинский</c:v>
                </c:pt>
              </c:strCache>
            </c:strRef>
          </c:tx>
          <c:spPr>
            <a:ln w="47625">
              <a:noFill/>
            </a:ln>
          </c:spPr>
          <c:marker>
            <c:symbol val="circle"/>
            <c:size val="6"/>
            <c:spPr>
              <a:solidFill>
                <a:srgbClr val="4F81BD">
                  <a:lumMod val="50000"/>
                </a:srgbClr>
              </a:solidFill>
              <a:ln>
                <a:noFill/>
              </a:ln>
            </c:spPr>
          </c:marker>
          <c:dLbls>
            <c:dLbl>
              <c:idx val="0"/>
              <c:layout>
                <c:manualLayout>
                  <c:x val="-8.7080299173129677E-2"/>
                  <c:y val="3.5337779413504647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Рождаемость!$D$28</c:f>
              <c:numCache>
                <c:formatCode>0.0</c:formatCode>
                <c:ptCount val="1"/>
                <c:pt idx="0">
                  <c:v>-4.0670722090412745</c:v>
                </c:pt>
              </c:numCache>
            </c:numRef>
          </c:xVal>
          <c:yVal>
            <c:numRef>
              <c:f>Рождаемость!$B$28</c:f>
              <c:numCache>
                <c:formatCode>General</c:formatCode>
                <c:ptCount val="1"/>
                <c:pt idx="0">
                  <c:v>9.8000000000000007</c:v>
                </c:pt>
              </c:numCache>
            </c:numRef>
          </c:yVal>
          <c:smooth val="0"/>
        </c:ser>
        <c:ser>
          <c:idx val="26"/>
          <c:order val="26"/>
          <c:tx>
            <c:strRef>
              <c:f>Рождаемость!$A$29</c:f>
              <c:strCache>
                <c:ptCount val="1"/>
                <c:pt idx="0">
                  <c:v>Шигонский</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Рождаемость!$D$29</c:f>
              <c:numCache>
                <c:formatCode>0.0</c:formatCode>
                <c:ptCount val="1"/>
                <c:pt idx="0">
                  <c:v>-6.9940544828743745</c:v>
                </c:pt>
              </c:numCache>
            </c:numRef>
          </c:xVal>
          <c:yVal>
            <c:numRef>
              <c:f>Рождаемость!$B$29</c:f>
              <c:numCache>
                <c:formatCode>General</c:formatCode>
                <c:ptCount val="1"/>
                <c:pt idx="0">
                  <c:v>10.7</c:v>
                </c:pt>
              </c:numCache>
            </c:numRef>
          </c:yVal>
          <c:smooth val="0"/>
        </c:ser>
        <c:dLbls>
          <c:showLegendKey val="0"/>
          <c:showVal val="1"/>
          <c:showCatName val="0"/>
          <c:showSerName val="0"/>
          <c:showPercent val="0"/>
          <c:showBubbleSize val="0"/>
        </c:dLbls>
        <c:axId val="134700416"/>
        <c:axId val="134714880"/>
      </c:scatterChart>
      <c:valAx>
        <c:axId val="134700416"/>
        <c:scaling>
          <c:orientation val="minMax"/>
          <c:max val="2"/>
          <c:min val="-12"/>
        </c:scaling>
        <c:delete val="0"/>
        <c:axPos val="b"/>
        <c:title>
          <c:tx>
            <c:rich>
              <a:bodyPr/>
              <a:lstStyle/>
              <a:p>
                <a:pPr>
                  <a:defRPr baseline="0"/>
                </a:pPr>
                <a:r>
                  <a:rPr lang="ru-RU" baseline="0"/>
                  <a:t>Среднегодовой темп снижения числа родившихся в расчете на 1000 чел. населения в 2014-2016 гг., %</a:t>
                </a:r>
              </a:p>
            </c:rich>
          </c:tx>
          <c:layout>
            <c:manualLayout>
              <c:xMode val="edge"/>
              <c:yMode val="edge"/>
              <c:x val="0.14963315953433942"/>
              <c:y val="0.89049961007270262"/>
            </c:manualLayout>
          </c:layout>
          <c:overlay val="0"/>
        </c:title>
        <c:numFmt formatCode="0.0" sourceLinked="1"/>
        <c:majorTickMark val="out"/>
        <c:minorTickMark val="none"/>
        <c:tickLblPos val="nextTo"/>
        <c:spPr>
          <a:ln>
            <a:noFill/>
          </a:ln>
        </c:spPr>
        <c:crossAx val="134714880"/>
        <c:crosses val="autoZero"/>
        <c:crossBetween val="midCat"/>
      </c:valAx>
      <c:valAx>
        <c:axId val="134714880"/>
        <c:scaling>
          <c:orientation val="minMax"/>
          <c:max val="16"/>
          <c:min val="9"/>
        </c:scaling>
        <c:delete val="0"/>
        <c:axPos val="l"/>
        <c:title>
          <c:tx>
            <c:rich>
              <a:bodyPr rot="-5400000" vert="horz"/>
              <a:lstStyle/>
              <a:p>
                <a:pPr>
                  <a:defRPr/>
                </a:pPr>
                <a:r>
                  <a:rPr lang="ru-RU"/>
                  <a:t>Число родившихся  (на 1000 чел. населения)</a:t>
                </a:r>
              </a:p>
            </c:rich>
          </c:tx>
          <c:overlay val="0"/>
        </c:title>
        <c:numFmt formatCode="General" sourceLinked="1"/>
        <c:majorTickMark val="out"/>
        <c:minorTickMark val="none"/>
        <c:tickLblPos val="low"/>
        <c:spPr>
          <a:ln>
            <a:noFill/>
          </a:ln>
        </c:spPr>
        <c:crossAx val="134700416"/>
        <c:crosses val="autoZero"/>
        <c:crossBetween val="midCat"/>
      </c:valAx>
      <c:spPr>
        <a:noFill/>
        <a:ln>
          <a:solidFill>
            <a:schemeClr val="tx1"/>
          </a:solidFill>
        </a:ln>
      </c:spPr>
    </c:plotArea>
    <c:plotVisOnly val="1"/>
    <c:dispBlanksAs val="gap"/>
    <c:showDLblsOverMax val="0"/>
  </c:chart>
  <c:spPr>
    <a:noFill/>
  </c:spPr>
  <c:txPr>
    <a:bodyPr/>
    <a:lstStyle/>
    <a:p>
      <a:pPr>
        <a:defRPr sz="700" baseline="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2712756163664"/>
          <c:y val="6.334168622376242E-2"/>
          <c:w val="0.57474183850542415"/>
          <c:h val="0.83013373763516363"/>
        </c:manualLayout>
      </c:layout>
      <c:radarChart>
        <c:radarStyle val="marker"/>
        <c:varyColors val="0"/>
        <c:ser>
          <c:idx val="0"/>
          <c:order val="0"/>
          <c:tx>
            <c:strRef>
              <c:f>сх!$D$7</c:f>
              <c:strCache>
                <c:ptCount val="1"/>
                <c:pt idx="0">
                  <c:v> Камышлинский район</c:v>
                </c:pt>
              </c:strCache>
            </c:strRef>
          </c:tx>
          <c:marker>
            <c:symbol val="none"/>
          </c:marker>
          <c:cat>
            <c:numRef>
              <c:f>сх!$C$8:$C$12</c:f>
              <c:numCache>
                <c:formatCode>General</c:formatCode>
                <c:ptCount val="5"/>
                <c:pt idx="0">
                  <c:v>2012</c:v>
                </c:pt>
                <c:pt idx="1">
                  <c:v>2013</c:v>
                </c:pt>
                <c:pt idx="2">
                  <c:v>2014</c:v>
                </c:pt>
                <c:pt idx="3">
                  <c:v>2015</c:v>
                </c:pt>
                <c:pt idx="4">
                  <c:v>2016</c:v>
                </c:pt>
              </c:numCache>
            </c:numRef>
          </c:cat>
          <c:val>
            <c:numRef>
              <c:f>сх!$D$8:$D$12</c:f>
              <c:numCache>
                <c:formatCode>General</c:formatCode>
                <c:ptCount val="5"/>
                <c:pt idx="0">
                  <c:v>101.3</c:v>
                </c:pt>
                <c:pt idx="1">
                  <c:v>103.4</c:v>
                </c:pt>
                <c:pt idx="2">
                  <c:v>105.1</c:v>
                </c:pt>
                <c:pt idx="3">
                  <c:v>102.4</c:v>
                </c:pt>
                <c:pt idx="4">
                  <c:v>101.8</c:v>
                </c:pt>
              </c:numCache>
            </c:numRef>
          </c:val>
        </c:ser>
        <c:ser>
          <c:idx val="1"/>
          <c:order val="1"/>
          <c:tx>
            <c:strRef>
              <c:f>сх!$E$7</c:f>
              <c:strCache>
                <c:ptCount val="1"/>
                <c:pt idx="0">
                  <c:v>Самарская область</c:v>
                </c:pt>
              </c:strCache>
            </c:strRef>
          </c:tx>
          <c:spPr>
            <a:ln>
              <a:solidFill>
                <a:srgbClr val="FF0000"/>
              </a:solidFill>
            </a:ln>
          </c:spPr>
          <c:marker>
            <c:symbol val="none"/>
          </c:marker>
          <c:dLbls>
            <c:dLbl>
              <c:idx val="0"/>
              <c:layout>
                <c:manualLayout>
                  <c:x val="4.9382716049383116E-2"/>
                  <c:y val="3.3229480305318734E-2"/>
                </c:manualLayout>
              </c:layout>
              <c:showLegendKey val="0"/>
              <c:showVal val="1"/>
              <c:showCatName val="0"/>
              <c:showSerName val="0"/>
              <c:showPercent val="0"/>
              <c:showBubbleSize val="0"/>
            </c:dLbl>
            <c:dLbl>
              <c:idx val="1"/>
              <c:layout>
                <c:manualLayout>
                  <c:x val="-1.7283950617284001E-2"/>
                  <c:y val="-3.7383165343483592E-2"/>
                </c:manualLayout>
              </c:layout>
              <c:showLegendKey val="0"/>
              <c:showVal val="1"/>
              <c:showCatName val="0"/>
              <c:showSerName val="0"/>
              <c:showPercent val="0"/>
              <c:showBubbleSize val="0"/>
            </c:dLbl>
            <c:dLbl>
              <c:idx val="2"/>
              <c:layout>
                <c:manualLayout>
                  <c:x val="2.9629629629629752E-2"/>
                  <c:y val="-7.4766330686967183E-2"/>
                </c:manualLayout>
              </c:layout>
              <c:showLegendKey val="0"/>
              <c:showVal val="1"/>
              <c:showCatName val="0"/>
              <c:showSerName val="0"/>
              <c:showPercent val="0"/>
              <c:showBubbleSize val="0"/>
            </c:dLbl>
            <c:dLbl>
              <c:idx val="3"/>
              <c:layout>
                <c:manualLayout>
                  <c:x val="-2.9629629629629752E-2"/>
                  <c:y val="-3.3229480305318734E-2"/>
                </c:manualLayout>
              </c:layout>
              <c:showLegendKey val="0"/>
              <c:showVal val="1"/>
              <c:showCatName val="0"/>
              <c:showSerName val="0"/>
              <c:showPercent val="0"/>
              <c:showBubbleSize val="0"/>
            </c:dLbl>
            <c:dLbl>
              <c:idx val="4"/>
              <c:layout>
                <c:manualLayout>
                  <c:x val="2.7160493827160494E-2"/>
                  <c:y val="-3.7383165343483592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сх!$C$8:$C$12</c:f>
              <c:numCache>
                <c:formatCode>General</c:formatCode>
                <c:ptCount val="5"/>
                <c:pt idx="0">
                  <c:v>2012</c:v>
                </c:pt>
                <c:pt idx="1">
                  <c:v>2013</c:v>
                </c:pt>
                <c:pt idx="2">
                  <c:v>2014</c:v>
                </c:pt>
                <c:pt idx="3">
                  <c:v>2015</c:v>
                </c:pt>
                <c:pt idx="4">
                  <c:v>2016</c:v>
                </c:pt>
              </c:numCache>
            </c:numRef>
          </c:cat>
          <c:val>
            <c:numRef>
              <c:f>сх!$E$8:$E$12</c:f>
              <c:numCache>
                <c:formatCode>General</c:formatCode>
                <c:ptCount val="5"/>
                <c:pt idx="0">
                  <c:v>107.1</c:v>
                </c:pt>
                <c:pt idx="1">
                  <c:v>106.2</c:v>
                </c:pt>
                <c:pt idx="2">
                  <c:v>103.8</c:v>
                </c:pt>
                <c:pt idx="3">
                  <c:v>93.5</c:v>
                </c:pt>
                <c:pt idx="4">
                  <c:v>115</c:v>
                </c:pt>
              </c:numCache>
            </c:numRef>
          </c:val>
        </c:ser>
        <c:dLbls>
          <c:showLegendKey val="0"/>
          <c:showVal val="0"/>
          <c:showCatName val="0"/>
          <c:showSerName val="0"/>
          <c:showPercent val="0"/>
          <c:showBubbleSize val="0"/>
        </c:dLbls>
        <c:axId val="259130496"/>
        <c:axId val="259132032"/>
      </c:radarChart>
      <c:catAx>
        <c:axId val="259130496"/>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9132032"/>
        <c:crosses val="autoZero"/>
        <c:auto val="0"/>
        <c:lblAlgn val="ctr"/>
        <c:lblOffset val="100"/>
        <c:noMultiLvlLbl val="0"/>
      </c:catAx>
      <c:valAx>
        <c:axId val="259132032"/>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59130496"/>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616463239979193E-2"/>
          <c:y val="2.8054254488680718E-2"/>
          <c:w val="0.90486386341183966"/>
          <c:h val="0.8588017174082776"/>
        </c:manualLayout>
      </c:layout>
      <c:barChart>
        <c:barDir val="col"/>
        <c:grouping val="stacked"/>
        <c:varyColors val="0"/>
        <c:ser>
          <c:idx val="0"/>
          <c:order val="0"/>
          <c:tx>
            <c:strRef>
              <c:f>сх2!$D$7</c:f>
              <c:strCache>
                <c:ptCount val="1"/>
                <c:pt idx="0">
                  <c:v>растениеводство</c:v>
                </c:pt>
              </c:strCache>
            </c:strRef>
          </c:tx>
          <c:spPr>
            <a:solidFill>
              <a:srgbClr val="C0504D"/>
            </a:solidFill>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сх2!$C$8:$C$12</c:f>
              <c:numCache>
                <c:formatCode>General</c:formatCode>
                <c:ptCount val="5"/>
                <c:pt idx="0">
                  <c:v>2012</c:v>
                </c:pt>
                <c:pt idx="1">
                  <c:v>2013</c:v>
                </c:pt>
                <c:pt idx="2">
                  <c:v>2014</c:v>
                </c:pt>
                <c:pt idx="3">
                  <c:v>2015</c:v>
                </c:pt>
                <c:pt idx="4">
                  <c:v>2016</c:v>
                </c:pt>
              </c:numCache>
            </c:numRef>
          </c:cat>
          <c:val>
            <c:numRef>
              <c:f>сх2!$D$8:$D$12</c:f>
              <c:numCache>
                <c:formatCode>General</c:formatCode>
                <c:ptCount val="5"/>
                <c:pt idx="0">
                  <c:v>181.4</c:v>
                </c:pt>
                <c:pt idx="1">
                  <c:v>275.60000000000002</c:v>
                </c:pt>
                <c:pt idx="2">
                  <c:v>284.3</c:v>
                </c:pt>
                <c:pt idx="3">
                  <c:v>317.89999999999969</c:v>
                </c:pt>
                <c:pt idx="4">
                  <c:v>366.2</c:v>
                </c:pt>
              </c:numCache>
            </c:numRef>
          </c:val>
        </c:ser>
        <c:ser>
          <c:idx val="1"/>
          <c:order val="1"/>
          <c:tx>
            <c:strRef>
              <c:f>сх2!$E$7</c:f>
              <c:strCache>
                <c:ptCount val="1"/>
                <c:pt idx="0">
                  <c:v>животноводство</c:v>
                </c:pt>
              </c:strCache>
            </c:strRef>
          </c:tx>
          <c:spPr>
            <a:solidFill>
              <a:sysClr val="window" lastClr="FFFFFF">
                <a:lumMod val="65000"/>
              </a:sysClr>
            </a:solidFill>
          </c:spPr>
          <c:invertIfNegative val="0"/>
          <c:dLbls>
            <c:dLbl>
              <c:idx val="0"/>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3"/>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4"/>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numRef>
              <c:f>сх2!$C$8:$C$12</c:f>
              <c:numCache>
                <c:formatCode>General</c:formatCode>
                <c:ptCount val="5"/>
                <c:pt idx="0">
                  <c:v>2012</c:v>
                </c:pt>
                <c:pt idx="1">
                  <c:v>2013</c:v>
                </c:pt>
                <c:pt idx="2">
                  <c:v>2014</c:v>
                </c:pt>
                <c:pt idx="3">
                  <c:v>2015</c:v>
                </c:pt>
                <c:pt idx="4">
                  <c:v>2016</c:v>
                </c:pt>
              </c:numCache>
            </c:numRef>
          </c:cat>
          <c:val>
            <c:numRef>
              <c:f>сх2!$E$8:$E$12</c:f>
              <c:numCache>
                <c:formatCode>General</c:formatCode>
                <c:ptCount val="5"/>
                <c:pt idx="0">
                  <c:v>254.2</c:v>
                </c:pt>
                <c:pt idx="1">
                  <c:v>224.3</c:v>
                </c:pt>
                <c:pt idx="2">
                  <c:v>243.5</c:v>
                </c:pt>
                <c:pt idx="3">
                  <c:v>275.60000000000002</c:v>
                </c:pt>
                <c:pt idx="4">
                  <c:v>267.89999999999969</c:v>
                </c:pt>
              </c:numCache>
            </c:numRef>
          </c:val>
        </c:ser>
        <c:dLbls>
          <c:showLegendKey val="0"/>
          <c:showVal val="0"/>
          <c:showCatName val="0"/>
          <c:showSerName val="0"/>
          <c:showPercent val="0"/>
          <c:showBubbleSize val="0"/>
        </c:dLbls>
        <c:gapWidth val="150"/>
        <c:overlap val="100"/>
        <c:axId val="259270912"/>
        <c:axId val="259280896"/>
      </c:barChart>
      <c:catAx>
        <c:axId val="25927091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9280896"/>
        <c:crosses val="autoZero"/>
        <c:auto val="1"/>
        <c:lblAlgn val="ctr"/>
        <c:lblOffset val="100"/>
        <c:noMultiLvlLbl val="0"/>
      </c:catAx>
      <c:valAx>
        <c:axId val="259280896"/>
        <c:scaling>
          <c:orientation val="minMax"/>
        </c:scaling>
        <c:delete val="0"/>
        <c:axPos val="l"/>
        <c:majorGridlines>
          <c:spPr>
            <a:ln>
              <a:solidFill>
                <a:sysClr val="window" lastClr="FFFFFF"/>
              </a:solidFill>
            </a:ln>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59270912"/>
        <c:crosses val="autoZero"/>
        <c:crossBetween val="between"/>
      </c:valAx>
    </c:plotArea>
    <c:legend>
      <c:legendPos val="b"/>
      <c:layout>
        <c:manualLayout>
          <c:xMode val="edge"/>
          <c:yMode val="edge"/>
          <c:x val="0.10132004483570962"/>
          <c:y val="5.3648647402681222E-2"/>
          <c:w val="0.47256388504053931"/>
          <c:h val="8.2768214424016634E-2"/>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266185476815402E-2"/>
          <c:y val="0.22852242306071838"/>
          <c:w val="0.89984492563429574"/>
          <c:h val="0.67864592538182811"/>
        </c:manualLayout>
      </c:layout>
      <c:barChart>
        <c:barDir val="col"/>
        <c:grouping val="clustered"/>
        <c:varyColors val="0"/>
        <c:ser>
          <c:idx val="0"/>
          <c:order val="0"/>
          <c:tx>
            <c:strRef>
              <c:f>сх5!$D$7</c:f>
              <c:strCache>
                <c:ptCount val="1"/>
                <c:pt idx="0">
                  <c:v>прибыль (убыток)</c:v>
                </c:pt>
              </c:strCache>
            </c:strRef>
          </c:tx>
          <c:spPr>
            <a:solidFill>
              <a:srgbClr val="C00000"/>
            </a:solidFill>
          </c:spPr>
          <c:invertIfNegative val="0"/>
          <c:dLbls>
            <c:showLegendKey val="0"/>
            <c:showVal val="1"/>
            <c:showCatName val="0"/>
            <c:showSerName val="0"/>
            <c:showPercent val="0"/>
            <c:showBubbleSize val="0"/>
            <c:showLeaderLines val="0"/>
          </c:dLbls>
          <c:cat>
            <c:numRef>
              <c:f>сх5!$C$8:$C$12</c:f>
              <c:numCache>
                <c:formatCode>General</c:formatCode>
                <c:ptCount val="5"/>
                <c:pt idx="0">
                  <c:v>2012</c:v>
                </c:pt>
                <c:pt idx="1">
                  <c:v>2013</c:v>
                </c:pt>
                <c:pt idx="2">
                  <c:v>2014</c:v>
                </c:pt>
                <c:pt idx="3">
                  <c:v>2015</c:v>
                </c:pt>
                <c:pt idx="4">
                  <c:v>2016</c:v>
                </c:pt>
              </c:numCache>
            </c:numRef>
          </c:cat>
          <c:val>
            <c:numRef>
              <c:f>сх5!$D$8:$D$12</c:f>
              <c:numCache>
                <c:formatCode>General</c:formatCode>
                <c:ptCount val="5"/>
                <c:pt idx="0">
                  <c:v>3746</c:v>
                </c:pt>
                <c:pt idx="1">
                  <c:v>5082</c:v>
                </c:pt>
                <c:pt idx="2">
                  <c:v>7967</c:v>
                </c:pt>
                <c:pt idx="3">
                  <c:v>2815</c:v>
                </c:pt>
                <c:pt idx="4">
                  <c:v>4902</c:v>
                </c:pt>
              </c:numCache>
            </c:numRef>
          </c:val>
        </c:ser>
        <c:dLbls>
          <c:showLegendKey val="0"/>
          <c:showVal val="0"/>
          <c:showCatName val="0"/>
          <c:showSerName val="0"/>
          <c:showPercent val="0"/>
          <c:showBubbleSize val="0"/>
        </c:dLbls>
        <c:gapWidth val="150"/>
        <c:axId val="260993024"/>
        <c:axId val="260994560"/>
      </c:barChart>
      <c:catAx>
        <c:axId val="260993024"/>
        <c:scaling>
          <c:orientation val="minMax"/>
        </c:scaling>
        <c:delete val="0"/>
        <c:axPos val="b"/>
        <c:numFmt formatCode="General" sourceLinked="1"/>
        <c:majorTickMark val="out"/>
        <c:minorTickMark val="none"/>
        <c:tickLblPos val="nextTo"/>
        <c:crossAx val="260994560"/>
        <c:crosses val="autoZero"/>
        <c:auto val="1"/>
        <c:lblAlgn val="ctr"/>
        <c:lblOffset val="100"/>
        <c:tickMarkSkip val="1"/>
        <c:noMultiLvlLbl val="0"/>
      </c:catAx>
      <c:valAx>
        <c:axId val="260994560"/>
        <c:scaling>
          <c:orientation val="minMax"/>
        </c:scaling>
        <c:delete val="0"/>
        <c:axPos val="l"/>
        <c:numFmt formatCode="General" sourceLinked="1"/>
        <c:majorTickMark val="out"/>
        <c:minorTickMark val="none"/>
        <c:tickLblPos val="nextTo"/>
        <c:crossAx val="260993024"/>
        <c:crosses val="autoZero"/>
        <c:crossBetween val="between"/>
      </c:valAx>
    </c:plotArea>
    <c:plotVisOnly val="1"/>
    <c:dispBlanksAs val="gap"/>
    <c:showDLblsOverMax val="0"/>
  </c:chart>
  <c:txPr>
    <a:bodyPr/>
    <a:lstStyle/>
    <a:p>
      <a:pPr>
        <a:defRPr baseline="0">
          <a:latin typeface="Times New Roman" pitchFamily="18" charset="0"/>
        </a:defRPr>
      </a:pPr>
      <a:endParaRPr lang="ru-RU"/>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2057116906954274"/>
          <c:y val="0.313918949039517"/>
          <c:w val="0.76507806054552485"/>
          <c:h val="0.6855187024932109"/>
        </c:manualLayout>
      </c:layout>
      <c:pieChart>
        <c:varyColors val="1"/>
        <c:ser>
          <c:idx val="0"/>
          <c:order val="0"/>
          <c:dPt>
            <c:idx val="0"/>
            <c:bubble3D val="0"/>
            <c:spPr>
              <a:solidFill>
                <a:schemeClr val="accent2">
                  <a:lumMod val="60000"/>
                  <a:lumOff val="40000"/>
                </a:schemeClr>
              </a:solidFill>
            </c:spPr>
          </c:dPt>
          <c:dPt>
            <c:idx val="2"/>
            <c:bubble3D val="0"/>
            <c:explosion val="34"/>
            <c:spPr>
              <a:solidFill>
                <a:srgbClr val="C00000"/>
              </a:solidFill>
            </c:spPr>
          </c:dPt>
          <c:dPt>
            <c:idx val="4"/>
            <c:bubble3D val="0"/>
            <c:spPr>
              <a:solidFill>
                <a:schemeClr val="accent1">
                  <a:lumMod val="75000"/>
                </a:schemeClr>
              </a:solidFill>
            </c:spPr>
          </c:dPt>
          <c:dPt>
            <c:idx val="6"/>
            <c:bubble3D val="0"/>
            <c:spPr>
              <a:solidFill>
                <a:schemeClr val="accent2">
                  <a:lumMod val="40000"/>
                  <a:lumOff val="60000"/>
                </a:schemeClr>
              </a:solidFill>
            </c:spPr>
          </c:dPt>
          <c:dPt>
            <c:idx val="7"/>
            <c:bubble3D val="0"/>
            <c:spPr>
              <a:solidFill>
                <a:schemeClr val="accent1">
                  <a:lumMod val="60000"/>
                  <a:lumOff val="40000"/>
                </a:schemeClr>
              </a:solidFill>
            </c:spPr>
          </c:dPt>
          <c:dLbls>
            <c:dLbl>
              <c:idx val="0"/>
              <c:tx>
                <c:rich>
                  <a:bodyPr/>
                  <a:lstStyle/>
                  <a:p>
                    <a:r>
                      <a:rPr lang="ru-RU"/>
                      <a:t>сельское хозяйство, охота и лесное хозяйство
</a:t>
                    </a:r>
                    <a:r>
                      <a:rPr lang="ru-RU" b="1"/>
                      <a:t>15%</a:t>
                    </a:r>
                  </a:p>
                </c:rich>
              </c:tx>
              <c:showLegendKey val="0"/>
              <c:showVal val="0"/>
              <c:showCatName val="0"/>
              <c:showSerName val="0"/>
              <c:showPercent val="0"/>
              <c:showBubbleSize val="0"/>
            </c:dLbl>
            <c:dLbl>
              <c:idx val="1"/>
              <c:tx>
                <c:rich>
                  <a:bodyPr/>
                  <a:lstStyle/>
                  <a:p>
                    <a:r>
                      <a:rPr lang="ru-RU"/>
                      <a:t>обрабатывающие производства
</a:t>
                    </a:r>
                    <a:r>
                      <a:rPr lang="ru-RU" b="1"/>
                      <a:t>7%</a:t>
                    </a:r>
                  </a:p>
                </c:rich>
              </c:tx>
              <c:showLegendKey val="0"/>
              <c:showVal val="0"/>
              <c:showCatName val="0"/>
              <c:showSerName val="0"/>
              <c:showPercent val="0"/>
              <c:showBubbleSize val="0"/>
            </c:dLbl>
            <c:dLbl>
              <c:idx val="2"/>
              <c:layout>
                <c:manualLayout>
                  <c:x val="0.21781539236744249"/>
                  <c:y val="-1.9221627842446931E-3"/>
                </c:manualLayout>
              </c:layout>
              <c:tx>
                <c:rich>
                  <a:bodyPr/>
                  <a:lstStyle/>
                  <a:p>
                    <a:r>
                      <a:rPr lang="ru-RU"/>
                      <a:t>оптовая и розничная торговля; ремонт автотранспортных средств, мотоциклов, бытовых изделий и предметов личного пользования
</a:t>
                    </a:r>
                    <a:r>
                      <a:rPr lang="ru-RU" b="1"/>
                      <a:t>50%</a:t>
                    </a:r>
                  </a:p>
                </c:rich>
              </c:tx>
              <c:dLblPos val="bestFit"/>
              <c:showLegendKey val="0"/>
              <c:showVal val="0"/>
              <c:showCatName val="0"/>
              <c:showSerName val="0"/>
              <c:showPercent val="0"/>
              <c:showBubbleSize val="0"/>
            </c:dLbl>
            <c:dLbl>
              <c:idx val="3"/>
              <c:tx>
                <c:rich>
                  <a:bodyPr/>
                  <a:lstStyle/>
                  <a:p>
                    <a:r>
                      <a:rPr lang="ru-RU"/>
                      <a:t>гостиницы и рестораны
</a:t>
                    </a:r>
                    <a:r>
                      <a:rPr lang="ru-RU" b="1"/>
                      <a:t>7%</a:t>
                    </a:r>
                  </a:p>
                </c:rich>
              </c:tx>
              <c:showLegendKey val="0"/>
              <c:showVal val="0"/>
              <c:showCatName val="0"/>
              <c:showSerName val="0"/>
              <c:showPercent val="0"/>
              <c:showBubbleSize val="0"/>
            </c:dLbl>
            <c:dLbl>
              <c:idx val="4"/>
              <c:tx>
                <c:rich>
                  <a:bodyPr/>
                  <a:lstStyle/>
                  <a:p>
                    <a:r>
                      <a:rPr lang="ru-RU"/>
                      <a:t>транспорт и связь
</a:t>
                    </a:r>
                    <a:r>
                      <a:rPr lang="ru-RU" b="1"/>
                      <a:t>9%</a:t>
                    </a:r>
                  </a:p>
                </c:rich>
              </c:tx>
              <c:showLegendKey val="0"/>
              <c:showVal val="0"/>
              <c:showCatName val="0"/>
              <c:showSerName val="0"/>
              <c:showPercent val="0"/>
              <c:showBubbleSize val="0"/>
            </c:dLbl>
            <c:dLbl>
              <c:idx val="5"/>
              <c:tx>
                <c:rich>
                  <a:bodyPr/>
                  <a:lstStyle/>
                  <a:p>
                    <a:r>
                      <a:rPr lang="ru-RU"/>
                      <a:t>предоставление прочих коммунальных, социальных и персональных услуг
</a:t>
                    </a:r>
                    <a:r>
                      <a:rPr lang="ru-RU" b="1"/>
                      <a:t>6%</a:t>
                    </a:r>
                  </a:p>
                </c:rich>
              </c:tx>
              <c:showLegendKey val="0"/>
              <c:showVal val="0"/>
              <c:showCatName val="0"/>
              <c:showSerName val="0"/>
              <c:showPercent val="0"/>
              <c:showBubbleSize val="0"/>
            </c:dLbl>
            <c:dLbl>
              <c:idx val="6"/>
              <c:layout>
                <c:manualLayout>
                  <c:x val="4.7089594150076589E-2"/>
                  <c:y val="3.017579637077741E-2"/>
                </c:manualLayout>
              </c:layout>
              <c:tx>
                <c:rich>
                  <a:bodyPr/>
                  <a:lstStyle/>
                  <a:p>
                    <a:r>
                      <a:rPr lang="ru-RU"/>
                      <a:t>рыболовство, рыбоводство; строительство; финансовая деятельность; образование
</a:t>
                    </a:r>
                    <a:r>
                      <a:rPr lang="ru-RU" b="1">
                        <a:solidFill>
                          <a:sysClr val="windowText" lastClr="000000"/>
                        </a:solidFill>
                      </a:rPr>
                      <a:t>3%</a:t>
                    </a:r>
                  </a:p>
                </c:rich>
              </c:tx>
              <c:dLblPos val="bestFit"/>
              <c:showLegendKey val="0"/>
              <c:showVal val="0"/>
              <c:showCatName val="0"/>
              <c:showSerName val="0"/>
              <c:showPercent val="0"/>
              <c:showBubbleSize val="0"/>
            </c:dLbl>
            <c:dLbl>
              <c:idx val="7"/>
              <c:layout>
                <c:manualLayout>
                  <c:x val="0.12893560179977503"/>
                  <c:y val="5.9957749183791103E-3"/>
                </c:manualLayout>
              </c:layout>
              <c:tx>
                <c:rich>
                  <a:bodyPr/>
                  <a:lstStyle/>
                  <a:p>
                    <a:r>
                      <a:rPr lang="ru-RU"/>
                      <a:t>операции с недвижимым имуществом, аренда и предоставление услуг
</a:t>
                    </a:r>
                    <a:r>
                      <a:rPr lang="ru-RU" b="1"/>
                      <a:t>3%</a:t>
                    </a:r>
                  </a:p>
                </c:rich>
              </c:tx>
              <c:dLblPos val="bestFit"/>
              <c:showLegendKey val="0"/>
              <c:showVal val="0"/>
              <c:showCatName val="0"/>
              <c:showSerName val="0"/>
              <c:showPercent val="0"/>
              <c:showBubbleSize val="0"/>
            </c:dLbl>
            <c:showLegendKey val="0"/>
            <c:showVal val="0"/>
            <c:showCatName val="1"/>
            <c:showSerName val="0"/>
            <c:showPercent val="1"/>
            <c:showBubbleSize val="0"/>
            <c:showLeaderLines val="1"/>
          </c:dLbls>
          <c:cat>
            <c:strRef>
              <c:f>мал_биз!$B$36:$B$43</c:f>
              <c:strCache>
                <c:ptCount val="8"/>
                <c:pt idx="0">
                  <c:v>сельское хозяйство, охота и лесное хозяйство</c:v>
                </c:pt>
                <c:pt idx="1">
                  <c:v>обрабатывающие производства</c:v>
                </c:pt>
                <c:pt idx="2">
                  <c:v>оптовая и розничная торговля; ремонт автотранспортных средств, мотоциклов, бытовых изделий и предметов личного пользования</c:v>
                </c:pt>
                <c:pt idx="3">
                  <c:v>гостиницы и рестораны</c:v>
                </c:pt>
                <c:pt idx="4">
                  <c:v>транспорт и связь</c:v>
                </c:pt>
                <c:pt idx="5">
                  <c:v>предоставление прочих коммунальных, социальных и персональных услуг</c:v>
                </c:pt>
                <c:pt idx="6">
                  <c:v>рыболовство, рыбоводство; строительство; финансовая деятельность; образование</c:v>
                </c:pt>
                <c:pt idx="7">
                  <c:v>операции с недвижимым имуществом, аренда и предоставление услуг</c:v>
                </c:pt>
              </c:strCache>
            </c:strRef>
          </c:cat>
          <c:val>
            <c:numRef>
              <c:f>мал_биз!$C$36:$C$43</c:f>
              <c:numCache>
                <c:formatCode>0.0</c:formatCode>
                <c:ptCount val="8"/>
                <c:pt idx="0">
                  <c:v>15.165876777251185</c:v>
                </c:pt>
                <c:pt idx="1">
                  <c:v>7.1090047393364744</c:v>
                </c:pt>
                <c:pt idx="2">
                  <c:v>49.763033175355453</c:v>
                </c:pt>
                <c:pt idx="3">
                  <c:v>6.6350710900473935</c:v>
                </c:pt>
                <c:pt idx="4">
                  <c:v>9.0047393364928947</c:v>
                </c:pt>
                <c:pt idx="5">
                  <c:v>5.6872037914692024</c:v>
                </c:pt>
                <c:pt idx="6">
                  <c:v>3.3175355450236972</c:v>
                </c:pt>
                <c:pt idx="7">
                  <c:v>3.3175355450236972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688226471691048E-2"/>
          <c:y val="2.605720447527226E-2"/>
          <c:w val="0.8834538807649015"/>
          <c:h val="0.89647866809931254"/>
        </c:manualLayout>
      </c:layout>
      <c:barChart>
        <c:barDir val="col"/>
        <c:grouping val="clustered"/>
        <c:varyColors val="0"/>
        <c:ser>
          <c:idx val="0"/>
          <c:order val="0"/>
          <c:tx>
            <c:strRef>
              <c:f>мал_биз1!$C$2</c:f>
              <c:strCache>
                <c:ptCount val="1"/>
                <c:pt idx="0">
                  <c:v>Число субъектов малого и среднего предпринимательства в расчете на 10 тыс. человек населения</c:v>
                </c:pt>
              </c:strCache>
            </c:strRef>
          </c:tx>
          <c:spPr>
            <a:solidFill>
              <a:srgbClr val="4F81BD">
                <a:lumMod val="75000"/>
              </a:srgbClr>
            </a:solidFill>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мал_биз1!$B$3:$B$7</c:f>
              <c:numCache>
                <c:formatCode>General</c:formatCode>
                <c:ptCount val="5"/>
                <c:pt idx="0">
                  <c:v>2012</c:v>
                </c:pt>
                <c:pt idx="1">
                  <c:v>2013</c:v>
                </c:pt>
                <c:pt idx="2">
                  <c:v>2014</c:v>
                </c:pt>
                <c:pt idx="3">
                  <c:v>2015</c:v>
                </c:pt>
                <c:pt idx="4">
                  <c:v>2016</c:v>
                </c:pt>
              </c:numCache>
            </c:numRef>
          </c:cat>
          <c:val>
            <c:numRef>
              <c:f>мал_биз1!$C$3:$C$7</c:f>
              <c:numCache>
                <c:formatCode>General</c:formatCode>
                <c:ptCount val="5"/>
                <c:pt idx="0">
                  <c:v>292</c:v>
                </c:pt>
                <c:pt idx="1">
                  <c:v>221</c:v>
                </c:pt>
                <c:pt idx="2">
                  <c:v>251</c:v>
                </c:pt>
                <c:pt idx="3">
                  <c:v>248</c:v>
                </c:pt>
                <c:pt idx="4">
                  <c:v>252</c:v>
                </c:pt>
              </c:numCache>
            </c:numRef>
          </c:val>
        </c:ser>
        <c:dLbls>
          <c:showLegendKey val="0"/>
          <c:showVal val="0"/>
          <c:showCatName val="0"/>
          <c:showSerName val="0"/>
          <c:showPercent val="0"/>
          <c:showBubbleSize val="0"/>
        </c:dLbls>
        <c:gapWidth val="150"/>
        <c:axId val="261355008"/>
        <c:axId val="261356544"/>
      </c:barChart>
      <c:catAx>
        <c:axId val="261355008"/>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61356544"/>
        <c:crosses val="autoZero"/>
        <c:auto val="1"/>
        <c:lblAlgn val="ctr"/>
        <c:lblOffset val="100"/>
        <c:noMultiLvlLbl val="0"/>
      </c:catAx>
      <c:valAx>
        <c:axId val="261356544"/>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1355008"/>
        <c:crosses val="autoZero"/>
        <c:crossBetween val="between"/>
      </c:valAx>
    </c:plotArea>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856238010676223E-2"/>
          <c:y val="3.0516442531794776E-2"/>
          <c:w val="0.92027964858823064"/>
          <c:h val="0.89702477939712377"/>
        </c:manualLayout>
      </c:layout>
      <c:barChart>
        <c:barDir val="col"/>
        <c:grouping val="clustered"/>
        <c:varyColors val="0"/>
        <c:ser>
          <c:idx val="0"/>
          <c:order val="0"/>
          <c:tx>
            <c:strRef>
              <c:f>мал_биз1!$G$2</c:f>
              <c:strCache>
                <c:ptCount val="1"/>
                <c:pt idx="0">
                  <c:v>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c:v>
                </c:pt>
              </c:strCache>
            </c:strRef>
          </c:tx>
          <c:spPr>
            <a:solidFill>
              <a:sysClr val="window" lastClr="FFFFFF">
                <a:lumMod val="65000"/>
              </a:sysClr>
            </a:solidFill>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мал_биз1!$F$3:$F$7</c:f>
              <c:numCache>
                <c:formatCode>General</c:formatCode>
                <c:ptCount val="5"/>
                <c:pt idx="0">
                  <c:v>2012</c:v>
                </c:pt>
                <c:pt idx="1">
                  <c:v>2013</c:v>
                </c:pt>
                <c:pt idx="2">
                  <c:v>2014</c:v>
                </c:pt>
                <c:pt idx="3">
                  <c:v>2015</c:v>
                </c:pt>
                <c:pt idx="4">
                  <c:v>2016</c:v>
                </c:pt>
              </c:numCache>
            </c:numRef>
          </c:cat>
          <c:val>
            <c:numRef>
              <c:f>мал_биз1!$G$3:$G$7</c:f>
              <c:numCache>
                <c:formatCode>General</c:formatCode>
                <c:ptCount val="5"/>
                <c:pt idx="0">
                  <c:v>63.5</c:v>
                </c:pt>
                <c:pt idx="1">
                  <c:v>26.4</c:v>
                </c:pt>
                <c:pt idx="2">
                  <c:v>26</c:v>
                </c:pt>
                <c:pt idx="3">
                  <c:v>28</c:v>
                </c:pt>
                <c:pt idx="4">
                  <c:v>29.3</c:v>
                </c:pt>
              </c:numCache>
            </c:numRef>
          </c:val>
        </c:ser>
        <c:dLbls>
          <c:showLegendKey val="0"/>
          <c:showVal val="0"/>
          <c:showCatName val="0"/>
          <c:showSerName val="0"/>
          <c:showPercent val="0"/>
          <c:showBubbleSize val="0"/>
        </c:dLbls>
        <c:gapWidth val="150"/>
        <c:axId val="261368448"/>
        <c:axId val="261394816"/>
      </c:barChart>
      <c:catAx>
        <c:axId val="261368448"/>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261394816"/>
        <c:crosses val="autoZero"/>
        <c:auto val="1"/>
        <c:lblAlgn val="ctr"/>
        <c:lblOffset val="100"/>
        <c:tickMarkSkip val="1"/>
        <c:noMultiLvlLbl val="0"/>
      </c:catAx>
      <c:valAx>
        <c:axId val="261394816"/>
        <c:scaling>
          <c:orientation val="minMax"/>
        </c:scaling>
        <c:delete val="0"/>
        <c:axPos val="l"/>
        <c:numFmt formatCode="General" sourceLinked="1"/>
        <c:majorTickMark val="none"/>
        <c:minorTickMark val="none"/>
        <c:tickLblPos val="nextTo"/>
        <c:txPr>
          <a:bodyPr rot="0"/>
          <a:lstStyle/>
          <a:p>
            <a:pPr>
              <a:defRPr>
                <a:latin typeface="Times New Roman" pitchFamily="18" charset="0"/>
                <a:cs typeface="Times New Roman" pitchFamily="18" charset="0"/>
              </a:defRPr>
            </a:pPr>
            <a:endParaRPr lang="ru-RU"/>
          </a:p>
        </c:txPr>
        <c:crossAx val="261368448"/>
        <c:crosses val="autoZero"/>
        <c:crossBetween val="between"/>
      </c:valAx>
    </c:plotArea>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63215709147474"/>
          <c:y val="2.0248023730761434E-3"/>
          <c:w val="0.86836784290852564"/>
          <c:h val="0.56276952067382269"/>
        </c:manualLayout>
      </c:layout>
      <c:barChart>
        <c:barDir val="col"/>
        <c:grouping val="clustered"/>
        <c:varyColors val="0"/>
        <c:ser>
          <c:idx val="0"/>
          <c:order val="0"/>
          <c:spPr>
            <a:solidFill>
              <a:schemeClr val="accent1">
                <a:lumMod val="75000"/>
              </a:schemeClr>
            </a:solidFill>
          </c:spPr>
          <c:invertIfNegative val="0"/>
          <c:dLbls>
            <c:showLegendKey val="0"/>
            <c:showVal val="1"/>
            <c:showCatName val="0"/>
            <c:showSerName val="0"/>
            <c:showPercent val="0"/>
            <c:showBubbleSize val="0"/>
            <c:showLeaderLines val="0"/>
          </c:dLbls>
          <c:cat>
            <c:strRef>
              <c:f>быт_обслуж!$C$7:$J$7</c:f>
              <c:strCache>
                <c:ptCount val="8"/>
                <c:pt idx="0">
                  <c:v>Автозаправочные станции</c:v>
                </c:pt>
                <c:pt idx="1">
                  <c:v>Магазины</c:v>
                </c:pt>
                <c:pt idx="2">
                  <c:v>Павильоны</c:v>
                </c:pt>
                <c:pt idx="3">
                  <c:v>Палатки</c:v>
                </c:pt>
                <c:pt idx="4">
                  <c:v>Аптеки и  аптечные магазины</c:v>
                </c:pt>
                <c:pt idx="5">
                  <c:v>Аптечные киоски и пункты</c:v>
                </c:pt>
                <c:pt idx="6">
                  <c:v>Общедоступные столовые, закусочные</c:v>
                </c:pt>
                <c:pt idx="7">
                  <c:v>Рестораны, кафе, бары</c:v>
                </c:pt>
              </c:strCache>
            </c:strRef>
          </c:cat>
          <c:val>
            <c:numRef>
              <c:f>быт_обслуж!$C$8:$J$8</c:f>
              <c:numCache>
                <c:formatCode>General</c:formatCode>
                <c:ptCount val="8"/>
                <c:pt idx="0">
                  <c:v>4</c:v>
                </c:pt>
                <c:pt idx="1">
                  <c:v>54</c:v>
                </c:pt>
                <c:pt idx="2">
                  <c:v>17</c:v>
                </c:pt>
                <c:pt idx="3">
                  <c:v>1</c:v>
                </c:pt>
                <c:pt idx="4">
                  <c:v>5</c:v>
                </c:pt>
                <c:pt idx="5">
                  <c:v>1</c:v>
                </c:pt>
                <c:pt idx="6">
                  <c:v>23</c:v>
                </c:pt>
                <c:pt idx="7">
                  <c:v>4</c:v>
                </c:pt>
              </c:numCache>
            </c:numRef>
          </c:val>
        </c:ser>
        <c:dLbls>
          <c:showLegendKey val="0"/>
          <c:showVal val="0"/>
          <c:showCatName val="0"/>
          <c:showSerName val="0"/>
          <c:showPercent val="0"/>
          <c:showBubbleSize val="0"/>
        </c:dLbls>
        <c:gapWidth val="150"/>
        <c:axId val="261427200"/>
        <c:axId val="261428736"/>
      </c:barChart>
      <c:catAx>
        <c:axId val="261427200"/>
        <c:scaling>
          <c:orientation val="minMax"/>
        </c:scaling>
        <c:delete val="0"/>
        <c:axPos val="b"/>
        <c:numFmt formatCode="General" sourceLinked="1"/>
        <c:majorTickMark val="out"/>
        <c:minorTickMark val="none"/>
        <c:tickLblPos val="nextTo"/>
        <c:crossAx val="261428736"/>
        <c:crosses val="autoZero"/>
        <c:auto val="1"/>
        <c:lblAlgn val="ctr"/>
        <c:lblOffset val="100"/>
        <c:noMultiLvlLbl val="0"/>
      </c:catAx>
      <c:valAx>
        <c:axId val="261428736"/>
        <c:scaling>
          <c:orientation val="minMax"/>
        </c:scaling>
        <c:delete val="1"/>
        <c:axPos val="l"/>
        <c:numFmt formatCode="General" sourceLinked="1"/>
        <c:majorTickMark val="out"/>
        <c:minorTickMark val="none"/>
        <c:tickLblPos val="none"/>
        <c:crossAx val="261427200"/>
        <c:crosses val="autoZero"/>
        <c:crossBetween val="between"/>
      </c:valAx>
    </c:plotArea>
    <c:plotVisOnly val="1"/>
    <c:dispBlanksAs val="gap"/>
    <c:showDLblsOverMax val="0"/>
  </c:chart>
  <c:spPr>
    <a:ln>
      <a:noFill/>
    </a:ln>
  </c:spPr>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82746009207963"/>
          <c:y val="0.1577138426934937"/>
          <c:w val="0.7153270270746358"/>
          <c:h val="0.80243489585005556"/>
        </c:manualLayout>
      </c:layout>
      <c:barChart>
        <c:barDir val="bar"/>
        <c:grouping val="clustered"/>
        <c:varyColors val="0"/>
        <c:ser>
          <c:idx val="0"/>
          <c:order val="0"/>
          <c:spPr>
            <a:solidFill>
              <a:schemeClr val="accent1">
                <a:lumMod val="60000"/>
                <a:lumOff val="40000"/>
              </a:schemeClr>
            </a:solidFill>
          </c:spPr>
          <c:invertIfNegative val="0"/>
          <c:dPt>
            <c:idx val="12"/>
            <c:invertIfNegative val="0"/>
            <c:bubble3D val="0"/>
            <c:spPr>
              <a:solidFill>
                <a:schemeClr val="tx2">
                  <a:lumMod val="40000"/>
                  <a:lumOff val="60000"/>
                </a:schemeClr>
              </a:solidFill>
              <a:ln>
                <a:solidFill>
                  <a:schemeClr val="tx2">
                    <a:lumMod val="60000"/>
                    <a:lumOff val="40000"/>
                  </a:schemeClr>
                </a:solidFill>
              </a:ln>
            </c:spPr>
          </c:dPt>
          <c:dPt>
            <c:idx val="16"/>
            <c:invertIfNegative val="0"/>
            <c:bubble3D val="0"/>
            <c:spPr>
              <a:solidFill>
                <a:srgbClr val="C00000"/>
              </a:solidFill>
              <a:ln>
                <a:solidFill>
                  <a:srgbClr val="FF0000"/>
                </a:solidFill>
              </a:ln>
            </c:spPr>
          </c:dPt>
          <c:dLbls>
            <c:txPr>
              <a:bodyPr/>
              <a:lstStyle/>
              <a:p>
                <a:pPr>
                  <a:defRPr>
                    <a:solidFill>
                      <a:sysClr val="windowText" lastClr="000000"/>
                    </a:solidFill>
                  </a:defRPr>
                </a:pPr>
                <a:endParaRPr lang="ru-RU"/>
              </a:p>
            </c:txPr>
            <c:dLblPos val="outEnd"/>
            <c:showLegendKey val="0"/>
            <c:showVal val="1"/>
            <c:showCatName val="0"/>
            <c:showSerName val="0"/>
            <c:showPercent val="0"/>
            <c:showBubbleSize val="0"/>
            <c:showLeaderLines val="0"/>
          </c:dLbls>
          <c:cat>
            <c:strRef>
              <c:f>'Дети 5-18'!$A$4:$A$30</c:f>
              <c:strCache>
                <c:ptCount val="27"/>
                <c:pt idx="0">
                  <c:v>Похвистневский</c:v>
                </c:pt>
                <c:pt idx="1">
                  <c:v>Хворостянский</c:v>
                </c:pt>
                <c:pt idx="2">
                  <c:v>Кинельский</c:v>
                </c:pt>
                <c:pt idx="3">
                  <c:v>Алексеевский</c:v>
                </c:pt>
                <c:pt idx="4">
                  <c:v>Сызранский</c:v>
                </c:pt>
                <c:pt idx="5">
                  <c:v>Челно-Вершинский</c:v>
                </c:pt>
                <c:pt idx="6">
                  <c:v>Елховский</c:v>
                </c:pt>
                <c:pt idx="7">
                  <c:v>Красноармейский</c:v>
                </c:pt>
                <c:pt idx="8">
                  <c:v>Шигонский</c:v>
                </c:pt>
                <c:pt idx="9">
                  <c:v>Шенталинский</c:v>
                </c:pt>
                <c:pt idx="10">
                  <c:v>Борский</c:v>
                </c:pt>
                <c:pt idx="11">
                  <c:v>Кинель-Черкасский</c:v>
                </c:pt>
                <c:pt idx="12">
                  <c:v>Пестравский</c:v>
                </c:pt>
                <c:pt idx="13">
                  <c:v>Исаклинский</c:v>
                </c:pt>
                <c:pt idx="14">
                  <c:v>Большеглушицкий</c:v>
                </c:pt>
                <c:pt idx="15">
                  <c:v>Клявлинский</c:v>
                </c:pt>
                <c:pt idx="16">
                  <c:v>Камышлинский</c:v>
                </c:pt>
                <c:pt idx="17">
                  <c:v>Нефтегорский</c:v>
                </c:pt>
                <c:pt idx="18">
                  <c:v>Большечерниговский</c:v>
                </c:pt>
                <c:pt idx="19">
                  <c:v>Приволжский</c:v>
                </c:pt>
                <c:pt idx="20">
                  <c:v>Богатовский</c:v>
                </c:pt>
                <c:pt idx="21">
                  <c:v>Сергиевский</c:v>
                </c:pt>
                <c:pt idx="22">
                  <c:v>Волжский</c:v>
                </c:pt>
                <c:pt idx="23">
                  <c:v>Безенчукский</c:v>
                </c:pt>
                <c:pt idx="24">
                  <c:v>Кошкинский</c:v>
                </c:pt>
                <c:pt idx="25">
                  <c:v>Красноярский</c:v>
                </c:pt>
                <c:pt idx="26">
                  <c:v>Ставропольский</c:v>
                </c:pt>
              </c:strCache>
            </c:strRef>
          </c:cat>
          <c:val>
            <c:numRef>
              <c:f>'Дети 5-18'!$B$4:$B$30</c:f>
              <c:numCache>
                <c:formatCode>General</c:formatCode>
                <c:ptCount val="27"/>
                <c:pt idx="0">
                  <c:v>19025.3</c:v>
                </c:pt>
                <c:pt idx="1">
                  <c:v>25562.799999999996</c:v>
                </c:pt>
                <c:pt idx="2">
                  <c:v>28614.799999999996</c:v>
                </c:pt>
                <c:pt idx="3">
                  <c:v>36254.400000000001</c:v>
                </c:pt>
                <c:pt idx="4">
                  <c:v>36629.699999999997</c:v>
                </c:pt>
                <c:pt idx="5">
                  <c:v>38144</c:v>
                </c:pt>
                <c:pt idx="6">
                  <c:v>40038.300000000003</c:v>
                </c:pt>
                <c:pt idx="7">
                  <c:v>40980</c:v>
                </c:pt>
                <c:pt idx="8">
                  <c:v>43774.1</c:v>
                </c:pt>
                <c:pt idx="9">
                  <c:v>44966.9</c:v>
                </c:pt>
                <c:pt idx="10">
                  <c:v>46644.7</c:v>
                </c:pt>
                <c:pt idx="11">
                  <c:v>46739.6</c:v>
                </c:pt>
                <c:pt idx="12">
                  <c:v>46825.1</c:v>
                </c:pt>
                <c:pt idx="13">
                  <c:v>48386.7</c:v>
                </c:pt>
                <c:pt idx="14">
                  <c:v>48845.8</c:v>
                </c:pt>
                <c:pt idx="15">
                  <c:v>51126.3</c:v>
                </c:pt>
                <c:pt idx="16">
                  <c:v>52070.5</c:v>
                </c:pt>
                <c:pt idx="17">
                  <c:v>54171.7</c:v>
                </c:pt>
                <c:pt idx="18">
                  <c:v>56759.5</c:v>
                </c:pt>
                <c:pt idx="19">
                  <c:v>57231</c:v>
                </c:pt>
                <c:pt idx="20">
                  <c:v>68092.899999999994</c:v>
                </c:pt>
                <c:pt idx="21">
                  <c:v>68124.800000000003</c:v>
                </c:pt>
                <c:pt idx="22">
                  <c:v>72918.7</c:v>
                </c:pt>
                <c:pt idx="23">
                  <c:v>73766.2</c:v>
                </c:pt>
                <c:pt idx="24">
                  <c:v>75100</c:v>
                </c:pt>
                <c:pt idx="25">
                  <c:v>86575.3</c:v>
                </c:pt>
                <c:pt idx="26">
                  <c:v>91184.6</c:v>
                </c:pt>
              </c:numCache>
            </c:numRef>
          </c:val>
        </c:ser>
        <c:ser>
          <c:idx val="1"/>
          <c:order val="1"/>
          <c:tx>
            <c:v>1</c:v>
          </c:tx>
          <c:spPr>
            <a:noFill/>
            <a:ln>
              <a:noFill/>
            </a:ln>
          </c:spPr>
          <c:invertIfNegative val="0"/>
          <c:dLbls>
            <c:delete val="1"/>
          </c:dLbls>
          <c:trendline>
            <c:spPr>
              <a:ln>
                <a:prstDash val="sysDash"/>
              </a:ln>
            </c:spPr>
            <c:trendlineType val="linear"/>
            <c:dispRSqr val="0"/>
            <c:dispEq val="0"/>
          </c:trendline>
          <c:val>
            <c:numRef>
              <c:f>'Дети 5-18'!$C$4:$C$30</c:f>
              <c:numCache>
                <c:formatCode>General</c:formatCode>
                <c:ptCount val="27"/>
                <c:pt idx="0">
                  <c:v>51798.285185185174</c:v>
                </c:pt>
                <c:pt idx="1">
                  <c:v>51798.285185185174</c:v>
                </c:pt>
                <c:pt idx="2">
                  <c:v>51798.285185185174</c:v>
                </c:pt>
                <c:pt idx="3">
                  <c:v>51798.285185185174</c:v>
                </c:pt>
                <c:pt idx="4">
                  <c:v>51798.285185185174</c:v>
                </c:pt>
                <c:pt idx="5">
                  <c:v>51798.285185185174</c:v>
                </c:pt>
                <c:pt idx="6">
                  <c:v>51798.285185185174</c:v>
                </c:pt>
                <c:pt idx="7">
                  <c:v>51798.285185185174</c:v>
                </c:pt>
                <c:pt idx="8">
                  <c:v>51798.285185185174</c:v>
                </c:pt>
                <c:pt idx="9">
                  <c:v>51798.285185185174</c:v>
                </c:pt>
                <c:pt idx="10">
                  <c:v>51798.285185185174</c:v>
                </c:pt>
                <c:pt idx="11">
                  <c:v>51798.285185185174</c:v>
                </c:pt>
                <c:pt idx="12">
                  <c:v>51798.285185185174</c:v>
                </c:pt>
                <c:pt idx="13">
                  <c:v>51798.285185185174</c:v>
                </c:pt>
                <c:pt idx="14">
                  <c:v>51798.285185185174</c:v>
                </c:pt>
                <c:pt idx="15">
                  <c:v>51798.285185185174</c:v>
                </c:pt>
                <c:pt idx="16">
                  <c:v>51798.285185185174</c:v>
                </c:pt>
                <c:pt idx="17">
                  <c:v>51798.285185185174</c:v>
                </c:pt>
                <c:pt idx="18">
                  <c:v>51798.285185185174</c:v>
                </c:pt>
                <c:pt idx="19">
                  <c:v>51798.285185185174</c:v>
                </c:pt>
                <c:pt idx="20">
                  <c:v>51798.285185185174</c:v>
                </c:pt>
                <c:pt idx="21">
                  <c:v>51798.285185185174</c:v>
                </c:pt>
                <c:pt idx="22">
                  <c:v>51798.285185185174</c:v>
                </c:pt>
                <c:pt idx="23">
                  <c:v>51798.285185185174</c:v>
                </c:pt>
                <c:pt idx="24">
                  <c:v>51798.285185185174</c:v>
                </c:pt>
                <c:pt idx="25">
                  <c:v>51798.285185185174</c:v>
                </c:pt>
                <c:pt idx="26">
                  <c:v>51798.285185185174</c:v>
                </c:pt>
              </c:numCache>
            </c:numRef>
          </c:val>
        </c:ser>
        <c:dLbls>
          <c:showLegendKey val="0"/>
          <c:showVal val="1"/>
          <c:showCatName val="0"/>
          <c:showSerName val="0"/>
          <c:showPercent val="0"/>
          <c:showBubbleSize val="0"/>
        </c:dLbls>
        <c:gapWidth val="150"/>
        <c:axId val="261480448"/>
        <c:axId val="261481984"/>
      </c:barChart>
      <c:catAx>
        <c:axId val="261480448"/>
        <c:scaling>
          <c:orientation val="minMax"/>
        </c:scaling>
        <c:delete val="0"/>
        <c:axPos val="l"/>
        <c:numFmt formatCode="General" sourceLinked="1"/>
        <c:majorTickMark val="out"/>
        <c:minorTickMark val="none"/>
        <c:tickLblPos val="nextTo"/>
        <c:txPr>
          <a:bodyPr/>
          <a:lstStyle/>
          <a:p>
            <a:pPr>
              <a:defRPr>
                <a:solidFill>
                  <a:sysClr val="windowText" lastClr="000000"/>
                </a:solidFill>
              </a:defRPr>
            </a:pPr>
            <a:endParaRPr lang="ru-RU"/>
          </a:p>
        </c:txPr>
        <c:crossAx val="261481984"/>
        <c:crosses val="autoZero"/>
        <c:auto val="1"/>
        <c:lblAlgn val="ctr"/>
        <c:lblOffset val="100"/>
        <c:noMultiLvlLbl val="0"/>
      </c:catAx>
      <c:valAx>
        <c:axId val="261481984"/>
        <c:scaling>
          <c:orientation val="minMax"/>
        </c:scaling>
        <c:delete val="1"/>
        <c:axPos val="b"/>
        <c:numFmt formatCode="General" sourceLinked="1"/>
        <c:majorTickMark val="out"/>
        <c:minorTickMark val="none"/>
        <c:tickLblPos val="none"/>
        <c:crossAx val="261480448"/>
        <c:crosses val="autoZero"/>
        <c:crossBetween val="between"/>
      </c:valAx>
      <c:spPr>
        <a:noFill/>
        <a:ln w="25400">
          <a:noFill/>
        </a:ln>
      </c:spPr>
    </c:plotArea>
    <c:plotVisOnly val="1"/>
    <c:dispBlanksAs val="gap"/>
    <c:showDLblsOverMax val="0"/>
  </c:chart>
  <c:spPr>
    <a:noFill/>
  </c:spPr>
  <c:txPr>
    <a:bodyPr/>
    <a:lstStyle/>
    <a:p>
      <a:pPr>
        <a:defRPr sz="800">
          <a:solidFill>
            <a:schemeClr val="accent1">
              <a:lumMod val="50000"/>
            </a:schemeClr>
          </a:solidFill>
          <a:latin typeface="Times New Roman" pitchFamily="18" charset="0"/>
          <a:cs typeface="Times New Roman" pitchFamily="18" charset="0"/>
        </a:defRPr>
      </a:pPr>
      <a:endParaRPr lang="ru-RU"/>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lgn="ctr">
              <a:defRPr/>
            </a:pPr>
            <a:r>
              <a:rPr lang="ru-RU"/>
              <a:t>Камышлинский район занимает 1 место по обороту общественного питания на душу населения в 2016 году по ым м Самасрской </a:t>
            </a:r>
          </a:p>
        </c:rich>
      </c:tx>
      <c:layout>
        <c:manualLayout>
          <c:xMode val="edge"/>
          <c:yMode val="edge"/>
          <c:x val="0.10627640510453452"/>
          <c:y val="0"/>
        </c:manualLayout>
      </c:layout>
      <c:overlay val="0"/>
    </c:title>
    <c:autoTitleDeleted val="0"/>
    <c:plotArea>
      <c:layout>
        <c:manualLayout>
          <c:layoutTarget val="inner"/>
          <c:xMode val="edge"/>
          <c:yMode val="edge"/>
          <c:x val="0.24723842252769346"/>
          <c:y val="0.16230139048115941"/>
          <c:w val="0.72793944372061403"/>
          <c:h val="0.81742919735839614"/>
        </c:manualLayout>
      </c:layout>
      <c:barChart>
        <c:barDir val="bar"/>
        <c:grouping val="clustered"/>
        <c:varyColors val="0"/>
        <c:ser>
          <c:idx val="0"/>
          <c:order val="0"/>
          <c:tx>
            <c:strRef>
              <c:f>Возраст!$B$2</c:f>
              <c:strCache>
                <c:ptCount val="1"/>
                <c:pt idx="0">
                  <c:v>До 17 лет</c:v>
                </c:pt>
              </c:strCache>
            </c:strRef>
          </c:tx>
          <c:invertIfNegative val="0"/>
          <c:dPt>
            <c:idx val="26"/>
            <c:invertIfNegative val="0"/>
            <c:bubble3D val="0"/>
            <c:spPr>
              <a:solidFill>
                <a:srgbClr val="C00000"/>
              </a:solidFill>
              <a:ln>
                <a:solidFill>
                  <a:srgbClr val="FF0000"/>
                </a:solidFill>
              </a:ln>
            </c:spPr>
          </c:dPt>
          <c:dLbls>
            <c:dLbl>
              <c:idx val="2"/>
              <c:layout>
                <c:manualLayout>
                  <c:x val="-3.595780535049265E-4"/>
                  <c:y val="0"/>
                </c:manualLayout>
              </c:layout>
              <c:dLblPos val="outEnd"/>
              <c:showLegendKey val="0"/>
              <c:showVal val="1"/>
              <c:showCatName val="0"/>
              <c:showSerName val="0"/>
              <c:showPercent val="0"/>
              <c:showBubbleSize val="0"/>
            </c:dLbl>
            <c:dLbl>
              <c:idx val="3"/>
              <c:layout>
                <c:manualLayout>
                  <c:x val="2.5873308106098493E-3"/>
                  <c:y val="0"/>
                </c:manualLayout>
              </c:layout>
              <c:dLblPos val="outEnd"/>
              <c:showLegendKey val="0"/>
              <c:showVal val="1"/>
              <c:showCatName val="0"/>
              <c:showSerName val="0"/>
              <c:showPercent val="0"/>
              <c:showBubbleSize val="0"/>
            </c:dLbl>
            <c:dLbl>
              <c:idx val="4"/>
              <c:layout>
                <c:manualLayout>
                  <c:x val="7.8497880072683334E-3"/>
                  <c:y val="0"/>
                </c:manualLayout>
              </c:layout>
              <c:dLblPos val="outEnd"/>
              <c:showLegendKey val="0"/>
              <c:showVal val="1"/>
              <c:showCatName val="0"/>
              <c:showSerName val="0"/>
              <c:showPercent val="0"/>
              <c:showBubbleSize val="0"/>
            </c:dLbl>
            <c:dLbl>
              <c:idx val="5"/>
              <c:layout>
                <c:manualLayout>
                  <c:x val="1.5590671120413081E-2"/>
                  <c:y val="0"/>
                </c:manualLayout>
              </c:layout>
              <c:dLblPos val="outEnd"/>
              <c:showLegendKey val="0"/>
              <c:showVal val="1"/>
              <c:showCatName val="0"/>
              <c:showSerName val="0"/>
              <c:showPercent val="0"/>
              <c:showBubbleSize val="0"/>
            </c:dLbl>
            <c:dLbl>
              <c:idx val="6"/>
              <c:layout>
                <c:manualLayout>
                  <c:x val="5.956905805662366E-3"/>
                  <c:y val="0"/>
                </c:manualLayout>
              </c:layout>
              <c:dLblPos val="outEnd"/>
              <c:showLegendKey val="0"/>
              <c:showVal val="1"/>
              <c:showCatName val="0"/>
              <c:showSerName val="0"/>
              <c:showPercent val="0"/>
              <c:showBubbleSize val="0"/>
            </c:dLbl>
            <c:dLbl>
              <c:idx val="7"/>
              <c:layout>
                <c:manualLayout>
                  <c:x val="2.260376249617722E-3"/>
                  <c:y val="0"/>
                </c:manualLayout>
              </c:layout>
              <c:dLblPos val="outEnd"/>
              <c:showLegendKey val="0"/>
              <c:showVal val="1"/>
              <c:showCatName val="0"/>
              <c:showSerName val="0"/>
              <c:showPercent val="0"/>
              <c:showBubbleSize val="0"/>
            </c:dLbl>
            <c:dLbl>
              <c:idx val="8"/>
              <c:layout>
                <c:manualLayout>
                  <c:x val="1.9101534623480662E-3"/>
                  <c:y val="8.7578600628457038E-17"/>
                </c:manualLayout>
              </c:layout>
              <c:dLblPos val="outEnd"/>
              <c:showLegendKey val="0"/>
              <c:showVal val="1"/>
              <c:showCatName val="0"/>
              <c:showSerName val="0"/>
              <c:showPercent val="0"/>
              <c:showBubbleSize val="0"/>
            </c:dLbl>
            <c:dLbl>
              <c:idx val="9"/>
              <c:layout>
                <c:manualLayout>
                  <c:x val="-2.4832234889146229E-3"/>
                  <c:y val="0"/>
                </c:manualLayout>
              </c:layout>
              <c:dLblPos val="outEnd"/>
              <c:showLegendKey val="0"/>
              <c:showVal val="1"/>
              <c:showCatName val="0"/>
              <c:showSerName val="0"/>
              <c:showPercent val="0"/>
              <c:showBubbleSize val="0"/>
            </c:dLbl>
            <c:dLbl>
              <c:idx val="10"/>
              <c:layout>
                <c:manualLayout>
                  <c:x val="-1.1082632188112821E-2"/>
                  <c:y val="0"/>
                </c:manualLayout>
              </c:layout>
              <c:dLblPos val="outEnd"/>
              <c:showLegendKey val="0"/>
              <c:showVal val="1"/>
              <c:showCatName val="0"/>
              <c:showSerName val="0"/>
              <c:showPercent val="0"/>
              <c:showBubbleSize val="0"/>
            </c:dLbl>
            <c:dLbl>
              <c:idx val="11"/>
              <c:layout>
                <c:manualLayout>
                  <c:x val="-6.8293443517580192E-4"/>
                  <c:y val="0"/>
                </c:manualLayout>
              </c:layout>
              <c:dLblPos val="outEnd"/>
              <c:showLegendKey val="0"/>
              <c:showVal val="1"/>
              <c:showCatName val="0"/>
              <c:showSerName val="0"/>
              <c:showPercent val="0"/>
              <c:showBubbleSize val="0"/>
            </c:dLbl>
            <c:dLbl>
              <c:idx val="12"/>
              <c:layout>
                <c:manualLayout>
                  <c:x val="-1.1807545382036768E-2"/>
                  <c:y val="-2.388534882107024E-3"/>
                </c:manualLayout>
              </c:layout>
              <c:dLblPos val="outEnd"/>
              <c:showLegendKey val="0"/>
              <c:showVal val="1"/>
              <c:showCatName val="0"/>
              <c:showSerName val="0"/>
              <c:showPercent val="0"/>
              <c:showBubbleSize val="0"/>
            </c:dLbl>
            <c:dLbl>
              <c:idx val="13"/>
              <c:layout>
                <c:manualLayout>
                  <c:x val="-1.270828960545964E-2"/>
                  <c:y val="0"/>
                </c:manualLayout>
              </c:layout>
              <c:dLblPos val="outEnd"/>
              <c:showLegendKey val="0"/>
              <c:showVal val="1"/>
              <c:showCatName val="0"/>
              <c:showSerName val="0"/>
              <c:showPercent val="0"/>
              <c:showBubbleSize val="0"/>
            </c:dLbl>
            <c:dLbl>
              <c:idx val="14"/>
              <c:layout>
                <c:manualLayout>
                  <c:x val="-1.2881721848744561E-2"/>
                  <c:y val="0"/>
                </c:manualLayout>
              </c:layout>
              <c:dLblPos val="outEnd"/>
              <c:showLegendKey val="0"/>
              <c:showVal val="1"/>
              <c:showCatName val="0"/>
              <c:showSerName val="0"/>
              <c:showPercent val="0"/>
              <c:showBubbleSize val="0"/>
            </c:dLbl>
            <c:dLbl>
              <c:idx val="15"/>
              <c:layout>
                <c:manualLayout>
                  <c:x val="-2.1814801710334591E-2"/>
                  <c:y val="0"/>
                </c:manualLayout>
              </c:layout>
              <c:dLblPos val="outEnd"/>
              <c:showLegendKey val="0"/>
              <c:showVal val="1"/>
              <c:showCatName val="0"/>
              <c:showSerName val="0"/>
              <c:showPercent val="0"/>
              <c:showBubbleSize val="0"/>
            </c:dLbl>
            <c:dLbl>
              <c:idx val="16"/>
              <c:layout>
                <c:manualLayout>
                  <c:x val="-8.4075058020641746E-3"/>
                  <c:y val="-2.388534882107024E-3"/>
                </c:manualLayout>
              </c:layout>
              <c:dLblPos val="outEnd"/>
              <c:showLegendKey val="0"/>
              <c:showVal val="1"/>
              <c:showCatName val="0"/>
              <c:showSerName val="0"/>
              <c:showPercent val="0"/>
              <c:showBubbleSize val="0"/>
            </c:dLbl>
            <c:dLbl>
              <c:idx val="17"/>
              <c:layout>
                <c:manualLayout>
                  <c:x val="-6.1715971718310841E-3"/>
                  <c:y val="-2.388534882107024E-3"/>
                </c:manualLayout>
              </c:layout>
              <c:dLblPos val="outEnd"/>
              <c:showLegendKey val="0"/>
              <c:showVal val="1"/>
              <c:showCatName val="0"/>
              <c:showSerName val="0"/>
              <c:showPercent val="0"/>
              <c:showBubbleSize val="0"/>
            </c:dLbl>
            <c:dLbl>
              <c:idx val="18"/>
              <c:layout>
                <c:manualLayout>
                  <c:x val="-5.411661699180275E-4"/>
                  <c:y val="-4.3789300314228581E-17"/>
                </c:manualLayout>
              </c:layout>
              <c:dLblPos val="outEnd"/>
              <c:showLegendKey val="0"/>
              <c:showVal val="1"/>
              <c:showCatName val="0"/>
              <c:showSerName val="0"/>
              <c:showPercent val="0"/>
              <c:showBubbleSize val="0"/>
            </c:dLbl>
            <c:dLbl>
              <c:idx val="19"/>
              <c:layout>
                <c:manualLayout>
                  <c:x val="-3.7082836084941229E-3"/>
                  <c:y val="0"/>
                </c:manualLayout>
              </c:layout>
              <c:dLblPos val="outEnd"/>
              <c:showLegendKey val="0"/>
              <c:showVal val="1"/>
              <c:showCatName val="0"/>
              <c:showSerName val="0"/>
              <c:showPercent val="0"/>
              <c:showBubbleSize val="0"/>
            </c:dLbl>
            <c:dLbl>
              <c:idx val="20"/>
              <c:layout>
                <c:manualLayout>
                  <c:x val="-3.7646550845272402E-3"/>
                  <c:y val="0"/>
                </c:manualLayout>
              </c:layout>
              <c:dLblPos val="outEnd"/>
              <c:showLegendKey val="0"/>
              <c:showVal val="1"/>
              <c:showCatName val="0"/>
              <c:showSerName val="0"/>
              <c:showPercent val="0"/>
              <c:showBubbleSize val="0"/>
            </c:dLbl>
            <c:dLbl>
              <c:idx val="21"/>
              <c:layout>
                <c:manualLayout>
                  <c:x val="-2.3604056347488168E-3"/>
                  <c:y val="0"/>
                </c:manualLayout>
              </c:layout>
              <c:dLblPos val="outEnd"/>
              <c:showLegendKey val="0"/>
              <c:showVal val="1"/>
              <c:showCatName val="0"/>
              <c:showSerName val="0"/>
              <c:showPercent val="0"/>
              <c:showBubbleSize val="0"/>
            </c:dLbl>
            <c:dLbl>
              <c:idx val="22"/>
              <c:layout>
                <c:manualLayout>
                  <c:x val="-1.6231626796840797E-2"/>
                  <c:y val="0"/>
                </c:manualLayout>
              </c:layout>
              <c:dLblPos val="outEnd"/>
              <c:showLegendKey val="0"/>
              <c:showVal val="1"/>
              <c:showCatName val="0"/>
              <c:showSerName val="0"/>
              <c:showPercent val="0"/>
              <c:showBubbleSize val="0"/>
            </c:dLbl>
            <c:dLbl>
              <c:idx val="23"/>
              <c:layout>
                <c:manualLayout>
                  <c:x val="-4.3842615636487938E-3"/>
                  <c:y val="0"/>
                </c:manualLayout>
              </c:layout>
              <c:dLblPos val="outEnd"/>
              <c:showLegendKey val="0"/>
              <c:showVal val="1"/>
              <c:showCatName val="0"/>
              <c:showSerName val="0"/>
              <c:showPercent val="0"/>
              <c:showBubbleSize val="0"/>
            </c:dLbl>
            <c:dLbl>
              <c:idx val="24"/>
              <c:layout>
                <c:manualLayout>
                  <c:x val="-1.1630994716673363E-2"/>
                  <c:y val="0"/>
                </c:manualLayout>
              </c:layout>
              <c:dLblPos val="outEnd"/>
              <c:showLegendKey val="0"/>
              <c:showVal val="1"/>
              <c:showCatName val="0"/>
              <c:showSerName val="0"/>
              <c:showPercent val="0"/>
              <c:showBubbleSize val="0"/>
            </c:dLbl>
            <c:dLbl>
              <c:idx val="25"/>
              <c:layout>
                <c:manualLayout>
                  <c:x val="-1.0817086554203574E-2"/>
                  <c:y val="-2.1894650157114321E-17"/>
                </c:manualLayout>
              </c:layout>
              <c:dLblPos val="outEnd"/>
              <c:showLegendKey val="0"/>
              <c:showVal val="1"/>
              <c:showCatName val="0"/>
              <c:showSerName val="0"/>
              <c:showPercent val="0"/>
              <c:showBubbleSize val="0"/>
            </c:dLbl>
            <c:dLbl>
              <c:idx val="26"/>
              <c:layout>
                <c:manualLayout>
                  <c:x val="-7.5041229138056425E-3"/>
                  <c:y val="-2.388534882107024E-3"/>
                </c:manualLayout>
              </c:layout>
              <c:dLblPos val="outEnd"/>
              <c:showLegendKey val="0"/>
              <c:showVal val="1"/>
              <c:showCatName val="0"/>
              <c:showSerName val="0"/>
              <c:showPercent val="0"/>
              <c:showBubbleSize val="0"/>
            </c:dLbl>
            <c:txPr>
              <a:bodyPr/>
              <a:lstStyle/>
              <a:p>
                <a:pPr>
                  <a:defRPr sz="1000" b="0">
                    <a:solidFill>
                      <a:sysClr val="windowText" lastClr="000000"/>
                    </a:solidFill>
                  </a:defRPr>
                </a:pPr>
                <a:endParaRPr lang="ru-RU"/>
              </a:p>
            </c:txPr>
            <c:dLblPos val="inBase"/>
            <c:showLegendKey val="0"/>
            <c:showVal val="1"/>
            <c:showCatName val="0"/>
            <c:showSerName val="0"/>
            <c:showPercent val="0"/>
            <c:showBubbleSize val="0"/>
            <c:showLeaderLines val="0"/>
          </c:dLbls>
          <c:cat>
            <c:strRef>
              <c:f>Возраст!$A$3:$A$29</c:f>
              <c:strCache>
                <c:ptCount val="27"/>
                <c:pt idx="0">
                  <c:v>Пестравский</c:v>
                </c:pt>
                <c:pt idx="1">
                  <c:v>Сызранский</c:v>
                </c:pt>
                <c:pt idx="2">
                  <c:v>Борский</c:v>
                </c:pt>
                <c:pt idx="3">
                  <c:v>Большеглушицкий</c:v>
                </c:pt>
                <c:pt idx="4">
                  <c:v>Алексеевский</c:v>
                </c:pt>
                <c:pt idx="5">
                  <c:v>Хворостянский</c:v>
                </c:pt>
                <c:pt idx="6">
                  <c:v>Красноярский</c:v>
                </c:pt>
                <c:pt idx="7">
                  <c:v>Похвистневский</c:v>
                </c:pt>
                <c:pt idx="8">
                  <c:v>Безенчукский</c:v>
                </c:pt>
                <c:pt idx="9">
                  <c:v>Челно-Вершинский</c:v>
                </c:pt>
                <c:pt idx="10">
                  <c:v>Большечерниговский</c:v>
                </c:pt>
                <c:pt idx="11">
                  <c:v>Приволжский</c:v>
                </c:pt>
                <c:pt idx="12">
                  <c:v>Нефтегорский</c:v>
                </c:pt>
                <c:pt idx="13">
                  <c:v>Сергиевский</c:v>
                </c:pt>
                <c:pt idx="14">
                  <c:v>Шенталинский</c:v>
                </c:pt>
                <c:pt idx="15">
                  <c:v>Исаклинский</c:v>
                </c:pt>
                <c:pt idx="16">
                  <c:v>Кинельский</c:v>
                </c:pt>
                <c:pt idx="17">
                  <c:v>Шигонский</c:v>
                </c:pt>
                <c:pt idx="18">
                  <c:v>Кинель-Черкасский</c:v>
                </c:pt>
                <c:pt idx="19">
                  <c:v>Клявлинский</c:v>
                </c:pt>
                <c:pt idx="20">
                  <c:v>Елховский</c:v>
                </c:pt>
                <c:pt idx="21">
                  <c:v>Красноармейский</c:v>
                </c:pt>
                <c:pt idx="22">
                  <c:v>Волжский</c:v>
                </c:pt>
                <c:pt idx="23">
                  <c:v>Кошкинский</c:v>
                </c:pt>
                <c:pt idx="24">
                  <c:v>Ставропольский</c:v>
                </c:pt>
                <c:pt idx="25">
                  <c:v>Богатовский</c:v>
                </c:pt>
                <c:pt idx="26">
                  <c:v>Камышлинский</c:v>
                </c:pt>
              </c:strCache>
            </c:strRef>
          </c:cat>
          <c:val>
            <c:numRef>
              <c:f>Возраст!$B$3:$B$29</c:f>
              <c:numCache>
                <c:formatCode>General</c:formatCode>
                <c:ptCount val="27"/>
                <c:pt idx="0">
                  <c:v>238.6</c:v>
                </c:pt>
                <c:pt idx="1">
                  <c:v>391.3</c:v>
                </c:pt>
                <c:pt idx="2">
                  <c:v>422.3</c:v>
                </c:pt>
                <c:pt idx="3">
                  <c:v>424</c:v>
                </c:pt>
                <c:pt idx="4">
                  <c:v>490.2</c:v>
                </c:pt>
                <c:pt idx="5">
                  <c:v>566.1</c:v>
                </c:pt>
                <c:pt idx="6">
                  <c:v>730.6</c:v>
                </c:pt>
                <c:pt idx="7">
                  <c:v>741.7</c:v>
                </c:pt>
                <c:pt idx="8">
                  <c:v>799.7</c:v>
                </c:pt>
                <c:pt idx="9">
                  <c:v>822.7</c:v>
                </c:pt>
                <c:pt idx="10">
                  <c:v>865.5</c:v>
                </c:pt>
                <c:pt idx="11">
                  <c:v>896</c:v>
                </c:pt>
                <c:pt idx="12">
                  <c:v>929.9</c:v>
                </c:pt>
                <c:pt idx="13">
                  <c:v>997.3</c:v>
                </c:pt>
                <c:pt idx="14">
                  <c:v>1104.3</c:v>
                </c:pt>
                <c:pt idx="15">
                  <c:v>1152.8</c:v>
                </c:pt>
                <c:pt idx="16">
                  <c:v>1288</c:v>
                </c:pt>
                <c:pt idx="17">
                  <c:v>1457.9</c:v>
                </c:pt>
                <c:pt idx="18">
                  <c:v>1465.8</c:v>
                </c:pt>
                <c:pt idx="19">
                  <c:v>1571.9</c:v>
                </c:pt>
                <c:pt idx="20">
                  <c:v>1937</c:v>
                </c:pt>
                <c:pt idx="21">
                  <c:v>2381.1999999999998</c:v>
                </c:pt>
                <c:pt idx="22">
                  <c:v>2982.2</c:v>
                </c:pt>
                <c:pt idx="23">
                  <c:v>3040</c:v>
                </c:pt>
                <c:pt idx="24">
                  <c:v>4100.1000000000004</c:v>
                </c:pt>
                <c:pt idx="25">
                  <c:v>4346.3</c:v>
                </c:pt>
                <c:pt idx="26">
                  <c:v>10480.1</c:v>
                </c:pt>
              </c:numCache>
            </c:numRef>
          </c:val>
        </c:ser>
        <c:dLbls>
          <c:showLegendKey val="0"/>
          <c:showVal val="1"/>
          <c:showCatName val="0"/>
          <c:showSerName val="0"/>
          <c:showPercent val="0"/>
          <c:showBubbleSize val="0"/>
        </c:dLbls>
        <c:gapWidth val="150"/>
        <c:axId val="262820992"/>
        <c:axId val="262959488"/>
      </c:barChart>
      <c:catAx>
        <c:axId val="262820992"/>
        <c:scaling>
          <c:orientation val="minMax"/>
        </c:scaling>
        <c:delete val="0"/>
        <c:axPos val="l"/>
        <c:numFmt formatCode="General" sourceLinked="1"/>
        <c:majorTickMark val="out"/>
        <c:minorTickMark val="none"/>
        <c:tickLblPos val="nextTo"/>
        <c:txPr>
          <a:bodyPr/>
          <a:lstStyle/>
          <a:p>
            <a:pPr>
              <a:defRPr sz="800">
                <a:solidFill>
                  <a:sysClr val="windowText" lastClr="000000"/>
                </a:solidFill>
              </a:defRPr>
            </a:pPr>
            <a:endParaRPr lang="ru-RU"/>
          </a:p>
        </c:txPr>
        <c:crossAx val="262959488"/>
        <c:crosses val="autoZero"/>
        <c:auto val="1"/>
        <c:lblAlgn val="ctr"/>
        <c:lblOffset val="100"/>
        <c:noMultiLvlLbl val="0"/>
      </c:catAx>
      <c:valAx>
        <c:axId val="262959488"/>
        <c:scaling>
          <c:orientation val="minMax"/>
        </c:scaling>
        <c:delete val="1"/>
        <c:axPos val="b"/>
        <c:numFmt formatCode="General" sourceLinked="1"/>
        <c:majorTickMark val="out"/>
        <c:minorTickMark val="none"/>
        <c:tickLblPos val="none"/>
        <c:crossAx val="262820992"/>
        <c:crosses val="autoZero"/>
        <c:crossBetween val="between"/>
      </c:valAx>
      <c:spPr>
        <a:noFill/>
        <a:ln w="25400">
          <a:noFill/>
        </a:ln>
      </c:spPr>
    </c:plotArea>
    <c:plotVisOnly val="1"/>
    <c:dispBlanksAs val="gap"/>
    <c:showDLblsOverMax val="0"/>
  </c:chart>
  <c:spPr>
    <a:noFill/>
  </c:spPr>
  <c:txPr>
    <a:bodyPr/>
    <a:lstStyle/>
    <a:p>
      <a:pPr>
        <a:defRPr sz="800">
          <a:solidFill>
            <a:schemeClr val="accent1">
              <a:lumMod val="50000"/>
            </a:schemeClr>
          </a:solidFill>
          <a:latin typeface="Times New Roman" pitchFamily="18" charset="0"/>
          <a:cs typeface="Times New Roman" pitchFamily="18" charset="0"/>
        </a:defRPr>
      </a:pPr>
      <a:endParaRPr lang="ru-RU"/>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34955265070131"/>
          <c:y val="1.0982172273675764E-2"/>
          <c:w val="0.86665044734930086"/>
          <c:h val="0.57306099083406559"/>
        </c:manualLayout>
      </c:layout>
      <c:barChart>
        <c:barDir val="col"/>
        <c:grouping val="clustered"/>
        <c:varyColors val="0"/>
        <c:ser>
          <c:idx val="0"/>
          <c:order val="0"/>
          <c:spPr>
            <a:solidFill>
              <a:srgbClr val="4F81BD">
                <a:lumMod val="75000"/>
              </a:srgbClr>
            </a:solidFill>
            <a:ln>
              <a:solidFill>
                <a:schemeClr val="tx2"/>
              </a:solidFill>
            </a:ln>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быт_обслуж!$C$17:$H$17</c:f>
              <c:strCache>
                <c:ptCount val="6"/>
                <c:pt idx="0">
                  <c:v>Ремонт и пошив одежды</c:v>
                </c:pt>
                <c:pt idx="1">
                  <c:v>Техобслуживание транспорта</c:v>
                </c:pt>
                <c:pt idx="2">
                  <c:v>Ремонт и изготовление мебели</c:v>
                </c:pt>
                <c:pt idx="3">
                  <c:v>Парикмахерские </c:v>
                </c:pt>
                <c:pt idx="4">
                  <c:v>Фотоателье</c:v>
                </c:pt>
                <c:pt idx="5">
                  <c:v>Ритуальные услуги</c:v>
                </c:pt>
              </c:strCache>
            </c:strRef>
          </c:cat>
          <c:val>
            <c:numRef>
              <c:f>быт_обслуж!$C$18:$H$18</c:f>
              <c:numCache>
                <c:formatCode>General</c:formatCode>
                <c:ptCount val="6"/>
                <c:pt idx="0">
                  <c:v>2</c:v>
                </c:pt>
                <c:pt idx="1">
                  <c:v>3</c:v>
                </c:pt>
                <c:pt idx="2">
                  <c:v>6</c:v>
                </c:pt>
                <c:pt idx="3">
                  <c:v>6</c:v>
                </c:pt>
                <c:pt idx="4">
                  <c:v>1</c:v>
                </c:pt>
                <c:pt idx="5">
                  <c:v>1</c:v>
                </c:pt>
              </c:numCache>
            </c:numRef>
          </c:val>
        </c:ser>
        <c:dLbls>
          <c:showLegendKey val="0"/>
          <c:showVal val="0"/>
          <c:showCatName val="0"/>
          <c:showSerName val="0"/>
          <c:showPercent val="0"/>
          <c:showBubbleSize val="0"/>
        </c:dLbls>
        <c:gapWidth val="150"/>
        <c:axId val="262988160"/>
        <c:axId val="262989696"/>
      </c:barChart>
      <c:catAx>
        <c:axId val="262988160"/>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62989696"/>
        <c:crosses val="autoZero"/>
        <c:auto val="1"/>
        <c:lblAlgn val="ctr"/>
        <c:lblOffset val="100"/>
        <c:noMultiLvlLbl val="0"/>
      </c:catAx>
      <c:valAx>
        <c:axId val="262989696"/>
        <c:scaling>
          <c:orientation val="minMax"/>
        </c:scaling>
        <c:delete val="1"/>
        <c:axPos val="l"/>
        <c:numFmt formatCode="General" sourceLinked="1"/>
        <c:majorTickMark val="out"/>
        <c:minorTickMark val="none"/>
        <c:tickLblPos val="none"/>
        <c:crossAx val="262988160"/>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83564729242019"/>
          <c:y val="0.18462567793276455"/>
          <c:w val="0.8217216160492119"/>
          <c:h val="0.66468494263770073"/>
        </c:manualLayout>
      </c:layout>
      <c:scatterChart>
        <c:scatterStyle val="lineMarker"/>
        <c:varyColors val="0"/>
        <c:ser>
          <c:idx val="0"/>
          <c:order val="0"/>
          <c:tx>
            <c:strRef>
              <c:f>Смертность!$A$3</c:f>
              <c:strCache>
                <c:ptCount val="1"/>
                <c:pt idx="0">
                  <c:v>Алексеевский</c:v>
                </c:pt>
              </c:strCache>
            </c:strRef>
          </c:tx>
          <c:spPr>
            <a:ln w="47625">
              <a:noFill/>
            </a:ln>
          </c:spPr>
          <c:marker>
            <c:symbol val="circle"/>
            <c:size val="6"/>
            <c:spPr>
              <a:solidFill>
                <a:srgbClr val="4F81BD">
                  <a:lumMod val="50000"/>
                </a:srgbClr>
              </a:solidFill>
              <a:ln>
                <a:noFill/>
              </a:ln>
            </c:spPr>
          </c:marker>
          <c:dLbls>
            <c:dLbl>
              <c:idx val="0"/>
              <c:layout>
                <c:manualLayout>
                  <c:x val="-6.3585326405030354E-2"/>
                  <c:y val="2.243084929260922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Смертность!$C$3</c:f>
              <c:numCache>
                <c:formatCode>0.0</c:formatCode>
                <c:ptCount val="1"/>
                <c:pt idx="0">
                  <c:v>-5.9646376020279606</c:v>
                </c:pt>
              </c:numCache>
            </c:numRef>
          </c:xVal>
          <c:yVal>
            <c:numRef>
              <c:f>Смертность!$B$3</c:f>
              <c:numCache>
                <c:formatCode>General</c:formatCode>
                <c:ptCount val="1"/>
                <c:pt idx="0">
                  <c:v>15.3</c:v>
                </c:pt>
              </c:numCache>
            </c:numRef>
          </c:yVal>
          <c:smooth val="0"/>
        </c:ser>
        <c:ser>
          <c:idx val="1"/>
          <c:order val="1"/>
          <c:tx>
            <c:strRef>
              <c:f>Смертность!$A$4</c:f>
              <c:strCache>
                <c:ptCount val="1"/>
                <c:pt idx="0">
                  <c:v>Безенчукский</c:v>
                </c:pt>
              </c:strCache>
            </c:strRef>
          </c:tx>
          <c:spPr>
            <a:ln w="47625">
              <a:noFill/>
            </a:ln>
          </c:spPr>
          <c:marker>
            <c:symbol val="circle"/>
            <c:size val="6"/>
            <c:spPr>
              <a:solidFill>
                <a:srgbClr val="4F81BD">
                  <a:lumMod val="50000"/>
                </a:srgbClr>
              </a:solidFill>
              <a:ln>
                <a:noFill/>
              </a:ln>
            </c:spPr>
          </c:marker>
          <c:dLbls>
            <c:dLbl>
              <c:idx val="0"/>
              <c:layout>
                <c:manualLayout>
                  <c:x val="-8.8347022208304732E-2"/>
                  <c:y val="1.903448689318195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Смертность!$C$4</c:f>
              <c:numCache>
                <c:formatCode>0.0</c:formatCode>
                <c:ptCount val="1"/>
                <c:pt idx="0">
                  <c:v>-0.88500216547802757</c:v>
                </c:pt>
              </c:numCache>
            </c:numRef>
          </c:xVal>
          <c:yVal>
            <c:numRef>
              <c:f>Смертность!$B$4</c:f>
              <c:numCache>
                <c:formatCode>General</c:formatCode>
                <c:ptCount val="1"/>
                <c:pt idx="0">
                  <c:v>14.8</c:v>
                </c:pt>
              </c:numCache>
            </c:numRef>
          </c:yVal>
          <c:smooth val="0"/>
        </c:ser>
        <c:ser>
          <c:idx val="2"/>
          <c:order val="2"/>
          <c:tx>
            <c:strRef>
              <c:f>Смертность!$A$5</c:f>
              <c:strCache>
                <c:ptCount val="1"/>
                <c:pt idx="0">
                  <c:v>Богатовский </c:v>
                </c:pt>
              </c:strCache>
            </c:strRef>
          </c:tx>
          <c:spPr>
            <a:ln w="47625">
              <a:noFill/>
            </a:ln>
          </c:spPr>
          <c:marker>
            <c:symbol val="circle"/>
            <c:size val="6"/>
            <c:spPr>
              <a:solidFill>
                <a:srgbClr val="4F81BD">
                  <a:lumMod val="50000"/>
                </a:srgbClr>
              </a:solidFill>
              <a:ln>
                <a:noFill/>
              </a:ln>
            </c:spPr>
          </c:marker>
          <c:dLbls>
            <c:dLbl>
              <c:idx val="0"/>
              <c:layout>
                <c:manualLayout>
                  <c:x val="-5.9376182013291895E-2"/>
                  <c:y val="4.449983982059912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Смертность!$C$5</c:f>
              <c:numCache>
                <c:formatCode>0.0</c:formatCode>
                <c:ptCount val="1"/>
                <c:pt idx="0">
                  <c:v>-7.3263697611949974</c:v>
                </c:pt>
              </c:numCache>
            </c:numRef>
          </c:xVal>
          <c:yVal>
            <c:numRef>
              <c:f>Смертность!$B$5</c:f>
              <c:numCache>
                <c:formatCode>General</c:formatCode>
                <c:ptCount val="1"/>
                <c:pt idx="0">
                  <c:v>15.6</c:v>
                </c:pt>
              </c:numCache>
            </c:numRef>
          </c:yVal>
          <c:smooth val="0"/>
        </c:ser>
        <c:ser>
          <c:idx val="3"/>
          <c:order val="3"/>
          <c:tx>
            <c:strRef>
              <c:f>Смертность!$A$6</c:f>
              <c:strCache>
                <c:ptCount val="1"/>
                <c:pt idx="0">
                  <c:v>Большеглушицкий</c:v>
                </c:pt>
              </c:strCache>
            </c:strRef>
          </c:tx>
          <c:spPr>
            <a:ln w="47625">
              <a:noFill/>
            </a:ln>
          </c:spPr>
          <c:marker>
            <c:symbol val="circle"/>
            <c:size val="6"/>
            <c:spPr>
              <a:solidFill>
                <a:srgbClr val="4F81BD">
                  <a:lumMod val="50000"/>
                </a:srgbClr>
              </a:solidFill>
              <a:ln>
                <a:noFill/>
              </a:ln>
            </c:spPr>
          </c:marker>
          <c:dLbls>
            <c:dLbl>
              <c:idx val="0"/>
              <c:layout>
                <c:manualLayout>
                  <c:x val="-8.2553233449117649E-2"/>
                  <c:y val="2.580242813127164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Смертность!$C$6</c:f>
              <c:numCache>
                <c:formatCode>0.0</c:formatCode>
                <c:ptCount val="1"/>
                <c:pt idx="0">
                  <c:v>-3.1695761610941275</c:v>
                </c:pt>
              </c:numCache>
            </c:numRef>
          </c:xVal>
          <c:yVal>
            <c:numRef>
              <c:f>Смертность!$B$6</c:f>
              <c:numCache>
                <c:formatCode>General</c:formatCode>
                <c:ptCount val="1"/>
                <c:pt idx="0">
                  <c:v>13.8</c:v>
                </c:pt>
              </c:numCache>
            </c:numRef>
          </c:yVal>
          <c:smooth val="0"/>
        </c:ser>
        <c:ser>
          <c:idx val="4"/>
          <c:order val="4"/>
          <c:tx>
            <c:strRef>
              <c:f>Смертность!$A$7</c:f>
              <c:strCache>
                <c:ptCount val="1"/>
                <c:pt idx="0">
                  <c:v>Большечерниговский</c:v>
                </c:pt>
              </c:strCache>
            </c:strRef>
          </c:tx>
          <c:spPr>
            <a:ln w="47625">
              <a:noFill/>
            </a:ln>
          </c:spPr>
          <c:marker>
            <c:symbol val="circle"/>
            <c:size val="6"/>
            <c:spPr>
              <a:solidFill>
                <a:srgbClr val="4F81BD">
                  <a:lumMod val="50000"/>
                </a:srgbClr>
              </a:solidFill>
              <a:ln>
                <a:noFill/>
              </a:ln>
            </c:spPr>
          </c:marker>
          <c:dLbls>
            <c:dLbl>
              <c:idx val="0"/>
              <c:layout>
                <c:manualLayout>
                  <c:x val="-1.2319729954815661E-3"/>
                  <c:y val="-5.793104706620728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Смертность!$C$7</c:f>
              <c:numCache>
                <c:formatCode>0.0</c:formatCode>
                <c:ptCount val="1"/>
                <c:pt idx="0">
                  <c:v>0.66227095601129993</c:v>
                </c:pt>
              </c:numCache>
            </c:numRef>
          </c:xVal>
          <c:yVal>
            <c:numRef>
              <c:f>Смертность!$B$7</c:f>
              <c:numCache>
                <c:formatCode>General</c:formatCode>
                <c:ptCount val="1"/>
                <c:pt idx="0">
                  <c:v>15.3</c:v>
                </c:pt>
              </c:numCache>
            </c:numRef>
          </c:yVal>
          <c:smooth val="0"/>
        </c:ser>
        <c:ser>
          <c:idx val="5"/>
          <c:order val="5"/>
          <c:tx>
            <c:strRef>
              <c:f>Смертность!$A$8</c:f>
              <c:strCache>
                <c:ptCount val="1"/>
                <c:pt idx="0">
                  <c:v>Борский</c:v>
                </c:pt>
              </c:strCache>
            </c:strRef>
          </c:tx>
          <c:spPr>
            <a:ln w="47625">
              <a:noFill/>
            </a:ln>
          </c:spPr>
          <c:marker>
            <c:symbol val="circle"/>
            <c:size val="6"/>
            <c:spPr>
              <a:solidFill>
                <a:srgbClr val="4F81BD">
                  <a:lumMod val="50000"/>
                </a:srgbClr>
              </a:solidFill>
              <a:ln>
                <a:noFill/>
              </a:ln>
            </c:spPr>
          </c:marker>
          <c:dLbls>
            <c:dLbl>
              <c:idx val="0"/>
              <c:layout>
                <c:manualLayout>
                  <c:x val="-5.6774967325075198E-2"/>
                  <c:y val="-4.248906706251802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Смертность!$C$8</c:f>
              <c:numCache>
                <c:formatCode>0.0</c:formatCode>
                <c:ptCount val="1"/>
                <c:pt idx="0">
                  <c:v>-1.3515170267811987</c:v>
                </c:pt>
              </c:numCache>
            </c:numRef>
          </c:xVal>
          <c:yVal>
            <c:numRef>
              <c:f>Смертность!$B$8</c:f>
              <c:numCache>
                <c:formatCode>General</c:formatCode>
                <c:ptCount val="1"/>
                <c:pt idx="0">
                  <c:v>16.8</c:v>
                </c:pt>
              </c:numCache>
            </c:numRef>
          </c:yVal>
          <c:smooth val="0"/>
        </c:ser>
        <c:ser>
          <c:idx val="6"/>
          <c:order val="6"/>
          <c:tx>
            <c:strRef>
              <c:f>Смертность!$A$9</c:f>
              <c:strCache>
                <c:ptCount val="1"/>
                <c:pt idx="0">
                  <c:v>Волжский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Смертность!$C$9</c:f>
              <c:numCache>
                <c:formatCode>0.0</c:formatCode>
                <c:ptCount val="1"/>
                <c:pt idx="0">
                  <c:v>-4.3534408613805455</c:v>
                </c:pt>
              </c:numCache>
            </c:numRef>
          </c:xVal>
          <c:yVal>
            <c:numRef>
              <c:f>Смертность!$B$9</c:f>
              <c:numCache>
                <c:formatCode>General</c:formatCode>
                <c:ptCount val="1"/>
                <c:pt idx="0">
                  <c:v>9.8000000000000007</c:v>
                </c:pt>
              </c:numCache>
            </c:numRef>
          </c:yVal>
          <c:smooth val="0"/>
        </c:ser>
        <c:ser>
          <c:idx val="7"/>
          <c:order val="7"/>
          <c:tx>
            <c:strRef>
              <c:f>Смертность!$A$10</c:f>
              <c:strCache>
                <c:ptCount val="1"/>
                <c:pt idx="0">
                  <c:v>Елховский</c:v>
                </c:pt>
              </c:strCache>
            </c:strRef>
          </c:tx>
          <c:spPr>
            <a:ln w="47625">
              <a:noFill/>
            </a:ln>
          </c:spPr>
          <c:marker>
            <c:symbol val="circle"/>
            <c:size val="6"/>
            <c:spPr>
              <a:noFill/>
              <a:ln>
                <a:noFill/>
              </a:ln>
            </c:spPr>
          </c:marker>
          <c:dLbls>
            <c:dLbl>
              <c:idx val="0"/>
              <c:layout>
                <c:manualLayout>
                  <c:x val="-5.2483662698568634E-2"/>
                  <c:y val="4.263009865166639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Смертность!$C$10</c:f>
              <c:numCache>
                <c:formatCode>0.0</c:formatCode>
                <c:ptCount val="1"/>
                <c:pt idx="0">
                  <c:v>-0.20000053386986849</c:v>
                </c:pt>
              </c:numCache>
            </c:numRef>
          </c:xVal>
          <c:yVal>
            <c:numRef>
              <c:f>Смертность!$B$10</c:f>
              <c:numCache>
                <c:formatCode>General</c:formatCode>
                <c:ptCount val="1"/>
                <c:pt idx="0">
                  <c:v>16.600000000000001</c:v>
                </c:pt>
              </c:numCache>
            </c:numRef>
          </c:yVal>
          <c:smooth val="0"/>
        </c:ser>
        <c:ser>
          <c:idx val="8"/>
          <c:order val="8"/>
          <c:tx>
            <c:strRef>
              <c:f>Смертность!$A$11</c:f>
              <c:strCache>
                <c:ptCount val="1"/>
                <c:pt idx="0">
                  <c:v>Исаклинский </c:v>
                </c:pt>
              </c:strCache>
            </c:strRef>
          </c:tx>
          <c:spPr>
            <a:ln w="47625">
              <a:noFill/>
            </a:ln>
          </c:spPr>
          <c:marker>
            <c:symbol val="circle"/>
            <c:size val="6"/>
          </c:marker>
          <c:dPt>
            <c:idx val="0"/>
            <c:marker>
              <c:spPr>
                <a:solidFill>
                  <a:srgbClr val="4F81BD">
                    <a:lumMod val="50000"/>
                  </a:srgbClr>
                </a:solidFill>
                <a:ln>
                  <a:noFill/>
                </a:ln>
              </c:spPr>
            </c:marker>
            <c:bubble3D val="0"/>
          </c:dPt>
          <c:dLbls>
            <c:dLbl>
              <c:idx val="0"/>
              <c:layout>
                <c:manualLayout>
                  <c:x val="5.1182846870529352E-3"/>
                  <c:y val="2.482759159980268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Смертность!$C$11</c:f>
              <c:numCache>
                <c:formatCode>0.0</c:formatCode>
                <c:ptCount val="1"/>
                <c:pt idx="0">
                  <c:v>0</c:v>
                </c:pt>
              </c:numCache>
            </c:numRef>
          </c:xVal>
          <c:yVal>
            <c:numRef>
              <c:f>Смертность!$B$11</c:f>
              <c:numCache>
                <c:formatCode>General</c:formatCode>
                <c:ptCount val="1"/>
                <c:pt idx="0">
                  <c:v>16</c:v>
                </c:pt>
              </c:numCache>
            </c:numRef>
          </c:yVal>
          <c:smooth val="0"/>
        </c:ser>
        <c:ser>
          <c:idx val="9"/>
          <c:order val="9"/>
          <c:tx>
            <c:strRef>
              <c:f>Смертность!$A$12</c:f>
              <c:strCache>
                <c:ptCount val="1"/>
                <c:pt idx="0">
                  <c:v>Камышлинский</c:v>
                </c:pt>
              </c:strCache>
            </c:strRef>
          </c:tx>
          <c:spPr>
            <a:ln w="47625">
              <a:noFill/>
            </a:ln>
          </c:spPr>
          <c:marker>
            <c:symbol val="circle"/>
            <c:size val="6"/>
            <c:spPr>
              <a:solidFill>
                <a:srgbClr val="FF0000"/>
              </a:solidFill>
              <a:ln>
                <a:noFill/>
              </a:ln>
            </c:spPr>
          </c:marker>
          <c:dLbls>
            <c:dLbl>
              <c:idx val="0"/>
              <c:layout>
                <c:manualLayout>
                  <c:x val="-6.7858603973387777E-2"/>
                  <c:y val="-3.451925810898888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Смертность!$C$12</c:f>
              <c:numCache>
                <c:formatCode>0.0</c:formatCode>
                <c:ptCount val="1"/>
                <c:pt idx="0">
                  <c:v>-2.0497602283710852</c:v>
                </c:pt>
              </c:numCache>
            </c:numRef>
          </c:xVal>
          <c:yVal>
            <c:numRef>
              <c:f>Смертность!$B$12</c:f>
              <c:numCache>
                <c:formatCode>General</c:formatCode>
                <c:ptCount val="1"/>
                <c:pt idx="0">
                  <c:v>15.6</c:v>
                </c:pt>
              </c:numCache>
            </c:numRef>
          </c:yVal>
          <c:smooth val="0"/>
        </c:ser>
        <c:ser>
          <c:idx val="10"/>
          <c:order val="10"/>
          <c:tx>
            <c:strRef>
              <c:f>Смертность!$A$13</c:f>
              <c:strCache>
                <c:ptCount val="1"/>
                <c:pt idx="0">
                  <c:v>Кинельский </c:v>
                </c:pt>
              </c:strCache>
            </c:strRef>
          </c:tx>
          <c:spPr>
            <a:ln w="47625">
              <a:noFill/>
            </a:ln>
          </c:spPr>
          <c:marker>
            <c:symbol val="circle"/>
            <c:size val="6"/>
            <c:spPr>
              <a:solidFill>
                <a:schemeClr val="accent1">
                  <a:lumMod val="50000"/>
                </a:schemeClr>
              </a:solidFill>
              <a:ln>
                <a:noFill/>
              </a:ln>
            </c:spPr>
          </c:marker>
          <c:dLbls>
            <c:dLbl>
              <c:idx val="0"/>
              <c:layout>
                <c:manualLayout>
                  <c:x val="2.8294573643410851E-3"/>
                  <c:y val="-4.1134305716520065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Смертность!$C$13</c:f>
              <c:numCache>
                <c:formatCode>0.0</c:formatCode>
                <c:ptCount val="1"/>
                <c:pt idx="0">
                  <c:v>-2.0413891284438535</c:v>
                </c:pt>
              </c:numCache>
            </c:numRef>
          </c:xVal>
          <c:yVal>
            <c:numRef>
              <c:f>Смертность!$B$13</c:f>
              <c:numCache>
                <c:formatCode>General</c:formatCode>
                <c:ptCount val="1"/>
                <c:pt idx="0">
                  <c:v>14.1</c:v>
                </c:pt>
              </c:numCache>
            </c:numRef>
          </c:yVal>
          <c:smooth val="0"/>
        </c:ser>
        <c:ser>
          <c:idx val="11"/>
          <c:order val="11"/>
          <c:tx>
            <c:strRef>
              <c:f>Смертность!$A$14</c:f>
              <c:strCache>
                <c:ptCount val="1"/>
                <c:pt idx="0">
                  <c:v>Кинель-Черкасский </c:v>
                </c:pt>
              </c:strCache>
            </c:strRef>
          </c:tx>
          <c:spPr>
            <a:ln w="47625">
              <a:noFill/>
            </a:ln>
          </c:spPr>
          <c:marker>
            <c:symbol val="circle"/>
            <c:size val="6"/>
            <c:spPr>
              <a:solidFill>
                <a:srgbClr val="4F81BD">
                  <a:lumMod val="50000"/>
                </a:srgbClr>
              </a:solidFill>
              <a:ln>
                <a:noFill/>
              </a:ln>
            </c:spPr>
          </c:marker>
          <c:dLbls>
            <c:dLbl>
              <c:idx val="0"/>
              <c:layout>
                <c:manualLayout>
                  <c:x val="-8.2342698971966857E-3"/>
                  <c:y val="-2.3969595214682637E-3"/>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Смертность!$C$14</c:f>
              <c:numCache>
                <c:formatCode>0.0</c:formatCode>
                <c:ptCount val="1"/>
                <c:pt idx="0">
                  <c:v>0.60977116624192762</c:v>
                </c:pt>
              </c:numCache>
            </c:numRef>
          </c:xVal>
          <c:yVal>
            <c:numRef>
              <c:f>Смертность!$B$14</c:f>
              <c:numCache>
                <c:formatCode>General</c:formatCode>
                <c:ptCount val="1"/>
                <c:pt idx="0">
                  <c:v>16.600000000000001</c:v>
                </c:pt>
              </c:numCache>
            </c:numRef>
          </c:yVal>
          <c:smooth val="0"/>
        </c:ser>
        <c:ser>
          <c:idx val="12"/>
          <c:order val="12"/>
          <c:tx>
            <c:strRef>
              <c:f>Смертность!$A$15</c:f>
              <c:strCache>
                <c:ptCount val="1"/>
                <c:pt idx="0">
                  <c:v>Клявлинский </c:v>
                </c:pt>
              </c:strCache>
            </c:strRef>
          </c:tx>
          <c:spPr>
            <a:ln w="47625">
              <a:noFill/>
            </a:ln>
          </c:spPr>
          <c:marker>
            <c:symbol val="circle"/>
            <c:size val="6"/>
            <c:spPr>
              <a:solidFill>
                <a:schemeClr val="accent1">
                  <a:lumMod val="50000"/>
                </a:schemeClr>
              </a:solidFill>
              <a:ln>
                <a:noFill/>
              </a:ln>
            </c:spPr>
          </c:marker>
          <c:dLbls>
            <c:dLbl>
              <c:idx val="0"/>
              <c:layout>
                <c:manualLayout>
                  <c:x val="-3.6248436213207956E-3"/>
                  <c:y val="-5.793104706620728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Смертность!$C$15</c:f>
              <c:numCache>
                <c:formatCode>0.0</c:formatCode>
                <c:ptCount val="1"/>
                <c:pt idx="0">
                  <c:v>-5.5888668118973985</c:v>
                </c:pt>
              </c:numCache>
            </c:numRef>
          </c:xVal>
          <c:yVal>
            <c:numRef>
              <c:f>Смертность!$B$15</c:f>
              <c:numCache>
                <c:formatCode>General</c:formatCode>
                <c:ptCount val="1"/>
                <c:pt idx="0">
                  <c:v>15.4</c:v>
                </c:pt>
              </c:numCache>
            </c:numRef>
          </c:yVal>
          <c:smooth val="0"/>
        </c:ser>
        <c:ser>
          <c:idx val="13"/>
          <c:order val="13"/>
          <c:tx>
            <c:strRef>
              <c:f>Смертность!$A$16</c:f>
              <c:strCache>
                <c:ptCount val="1"/>
                <c:pt idx="0">
                  <c:v>Кошкинский</c:v>
                </c:pt>
              </c:strCache>
            </c:strRef>
          </c:tx>
          <c:spPr>
            <a:ln w="47625">
              <a:noFill/>
            </a:ln>
          </c:spPr>
          <c:marker>
            <c:symbol val="circle"/>
            <c:size val="6"/>
            <c:spPr>
              <a:solidFill>
                <a:srgbClr val="4F81BD">
                  <a:lumMod val="50000"/>
                </a:srgbClr>
              </a:solidFill>
              <a:ln>
                <a:noFill/>
              </a:ln>
            </c:spPr>
          </c:marker>
          <c:dLbls>
            <c:dLbl>
              <c:idx val="0"/>
              <c:layout>
                <c:manualLayout>
                  <c:x val="-4.055416123086051E-3"/>
                  <c:y val="1.145740134833594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Смертность!$C$16</c:f>
              <c:numCache>
                <c:formatCode>0.0</c:formatCode>
                <c:ptCount val="1"/>
                <c:pt idx="0">
                  <c:v>-0.21834130604088425</c:v>
                </c:pt>
              </c:numCache>
            </c:numRef>
          </c:xVal>
          <c:yVal>
            <c:numRef>
              <c:f>Смертность!$B$16</c:f>
              <c:numCache>
                <c:formatCode>General</c:formatCode>
                <c:ptCount val="1"/>
                <c:pt idx="0">
                  <c:v>15.2</c:v>
                </c:pt>
              </c:numCache>
            </c:numRef>
          </c:yVal>
          <c:smooth val="0"/>
        </c:ser>
        <c:ser>
          <c:idx val="14"/>
          <c:order val="14"/>
          <c:tx>
            <c:strRef>
              <c:f>Смертность!$A$17</c:f>
              <c:strCache>
                <c:ptCount val="1"/>
                <c:pt idx="0">
                  <c:v>Красноармейский </c:v>
                </c:pt>
              </c:strCache>
            </c:strRef>
          </c:tx>
          <c:spPr>
            <a:ln w="47625">
              <a:noFill/>
            </a:ln>
          </c:spPr>
          <c:marker>
            <c:symbol val="circle"/>
            <c:size val="6"/>
            <c:spPr>
              <a:solidFill>
                <a:srgbClr val="4F81BD">
                  <a:lumMod val="50000"/>
                </a:srgbClr>
              </a:solidFill>
              <a:ln>
                <a:noFill/>
              </a:ln>
            </c:spPr>
          </c:marker>
          <c:dLbls>
            <c:dLbl>
              <c:idx val="0"/>
              <c:layout>
                <c:manualLayout>
                  <c:x val="3.1013924419419064E-3"/>
                  <c:y val="-1.406896857322147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Смертность!$C$17</c:f>
              <c:numCache>
                <c:formatCode>0.0</c:formatCode>
                <c:ptCount val="1"/>
                <c:pt idx="0">
                  <c:v>-0.58824890417834297</c:v>
                </c:pt>
              </c:numCache>
            </c:numRef>
          </c:xVal>
          <c:yVal>
            <c:numRef>
              <c:f>Смертность!$B$17</c:f>
              <c:numCache>
                <c:formatCode>General</c:formatCode>
                <c:ptCount val="1"/>
                <c:pt idx="0">
                  <c:v>16.8</c:v>
                </c:pt>
              </c:numCache>
            </c:numRef>
          </c:yVal>
          <c:smooth val="0"/>
        </c:ser>
        <c:ser>
          <c:idx val="15"/>
          <c:order val="15"/>
          <c:tx>
            <c:strRef>
              <c:f>Смертность!$A$18</c:f>
              <c:strCache>
                <c:ptCount val="1"/>
                <c:pt idx="0">
                  <c:v>Красноярский </c:v>
                </c:pt>
              </c:strCache>
            </c:strRef>
          </c:tx>
          <c:spPr>
            <a:ln w="47625">
              <a:noFill/>
            </a:ln>
          </c:spPr>
          <c:marker>
            <c:symbol val="circle"/>
            <c:size val="6"/>
            <c:spPr>
              <a:solidFill>
                <a:srgbClr val="4F81BD">
                  <a:lumMod val="50000"/>
                </a:srgbClr>
              </a:solidFill>
              <a:ln>
                <a:noFill/>
              </a:ln>
            </c:spPr>
          </c:marker>
          <c:dLbls>
            <c:dLbl>
              <c:idx val="0"/>
              <c:layout>
                <c:manualLayout>
                  <c:x val="-1.5842595878349881E-3"/>
                  <c:y val="8.5191438542805292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Смертность!$C$18</c:f>
              <c:numCache>
                <c:formatCode>0.0</c:formatCode>
                <c:ptCount val="1"/>
                <c:pt idx="0">
                  <c:v>-0.68029316900496706</c:v>
                </c:pt>
              </c:numCache>
            </c:numRef>
          </c:xVal>
          <c:yVal>
            <c:numRef>
              <c:f>Смертность!$B$18</c:f>
              <c:numCache>
                <c:formatCode>General</c:formatCode>
                <c:ptCount val="1"/>
                <c:pt idx="0">
                  <c:v>14.5</c:v>
                </c:pt>
              </c:numCache>
            </c:numRef>
          </c:yVal>
          <c:smooth val="0"/>
        </c:ser>
        <c:ser>
          <c:idx val="16"/>
          <c:order val="16"/>
          <c:tx>
            <c:strRef>
              <c:f>Смертность!$A$19</c:f>
              <c:strCache>
                <c:ptCount val="1"/>
                <c:pt idx="0">
                  <c:v>Нефтегорский </c:v>
                </c:pt>
              </c:strCache>
            </c:strRef>
          </c:tx>
          <c:spPr>
            <a:ln w="47625">
              <a:noFill/>
            </a:ln>
          </c:spPr>
          <c:marker>
            <c:symbol val="circle"/>
            <c:size val="6"/>
            <c:spPr>
              <a:solidFill>
                <a:srgbClr val="4F81BD">
                  <a:lumMod val="50000"/>
                </a:srgbClr>
              </a:solidFill>
              <a:ln>
                <a:noFill/>
              </a:ln>
            </c:spPr>
          </c:marker>
          <c:dLbls>
            <c:dLbl>
              <c:idx val="0"/>
              <c:layout>
                <c:manualLayout>
                  <c:x val="-4.7315248258181522E-2"/>
                  <c:y val="-3.372273336361310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Смертность!$C$19</c:f>
              <c:numCache>
                <c:formatCode>0.0</c:formatCode>
                <c:ptCount val="1"/>
                <c:pt idx="0">
                  <c:v>2.3818422453631727</c:v>
                </c:pt>
              </c:numCache>
            </c:numRef>
          </c:xVal>
          <c:yVal>
            <c:numRef>
              <c:f>Смертность!$B$19</c:f>
              <c:numCache>
                <c:formatCode>General</c:formatCode>
                <c:ptCount val="1"/>
                <c:pt idx="0">
                  <c:v>13.2</c:v>
                </c:pt>
              </c:numCache>
            </c:numRef>
          </c:yVal>
          <c:smooth val="0"/>
        </c:ser>
        <c:ser>
          <c:idx val="17"/>
          <c:order val="17"/>
          <c:tx>
            <c:strRef>
              <c:f>Смертность!$A$20</c:f>
              <c:strCache>
                <c:ptCount val="1"/>
                <c:pt idx="0">
                  <c:v>Пестравский </c:v>
                </c:pt>
              </c:strCache>
            </c:strRef>
          </c:tx>
          <c:spPr>
            <a:ln w="47625">
              <a:noFill/>
            </a:ln>
          </c:spPr>
          <c:marker>
            <c:symbol val="circle"/>
            <c:size val="6"/>
            <c:spPr>
              <a:solidFill>
                <a:srgbClr val="4F81BD">
                  <a:lumMod val="50000"/>
                </a:srgbClr>
              </a:solidFill>
              <a:ln>
                <a:noFill/>
              </a:ln>
            </c:spPr>
          </c:marker>
          <c:dLbls>
            <c:dLbl>
              <c:idx val="0"/>
              <c:layout>
                <c:manualLayout>
                  <c:x val="-7.2318325615475784E-2"/>
                  <c:y val="3.6103184600202562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Смертность!$C$20</c:f>
              <c:numCache>
                <c:formatCode>0.0</c:formatCode>
                <c:ptCount val="1"/>
                <c:pt idx="0">
                  <c:v>2.7518608116575511</c:v>
                </c:pt>
              </c:numCache>
            </c:numRef>
          </c:xVal>
          <c:yVal>
            <c:numRef>
              <c:f>Смертность!$B$20</c:f>
              <c:numCache>
                <c:formatCode>General</c:formatCode>
                <c:ptCount val="1"/>
                <c:pt idx="0">
                  <c:v>17.899999999999999</c:v>
                </c:pt>
              </c:numCache>
            </c:numRef>
          </c:yVal>
          <c:smooth val="0"/>
        </c:ser>
        <c:ser>
          <c:idx val="18"/>
          <c:order val="18"/>
          <c:tx>
            <c:strRef>
              <c:f>Смертность!$A$21</c:f>
              <c:strCache>
                <c:ptCount val="1"/>
                <c:pt idx="0">
                  <c:v>Похвистневский</c:v>
                </c:pt>
              </c:strCache>
            </c:strRef>
          </c:tx>
          <c:spPr>
            <a:ln w="47625">
              <a:noFill/>
            </a:ln>
          </c:spPr>
          <c:marker>
            <c:symbol val="circle"/>
            <c:size val="6"/>
            <c:spPr>
              <a:solidFill>
                <a:srgbClr val="4F81BD">
                  <a:lumMod val="50000"/>
                </a:srgbClr>
              </a:solidFill>
              <a:ln>
                <a:noFill/>
              </a:ln>
            </c:spPr>
          </c:marker>
          <c:dLbls>
            <c:dLbl>
              <c:idx val="0"/>
              <c:layout>
                <c:manualLayout>
                  <c:x val="-8.3668752402441704E-2"/>
                  <c:y val="-3.973044577365101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Смертность!$C$21</c:f>
              <c:numCache>
                <c:formatCode>0.0</c:formatCode>
                <c:ptCount val="1"/>
                <c:pt idx="0">
                  <c:v>-0.86772270246503236</c:v>
                </c:pt>
              </c:numCache>
            </c:numRef>
          </c:xVal>
          <c:yVal>
            <c:numRef>
              <c:f>Смертность!$B$21</c:f>
              <c:numCache>
                <c:formatCode>General</c:formatCode>
                <c:ptCount val="1"/>
                <c:pt idx="0">
                  <c:v>15.1</c:v>
                </c:pt>
              </c:numCache>
            </c:numRef>
          </c:yVal>
          <c:smooth val="0"/>
        </c:ser>
        <c:ser>
          <c:idx val="19"/>
          <c:order val="19"/>
          <c:tx>
            <c:strRef>
              <c:f>Смертность!$A$22</c:f>
              <c:strCache>
                <c:ptCount val="1"/>
                <c:pt idx="0">
                  <c:v>Приволжский</c:v>
                </c:pt>
              </c:strCache>
            </c:strRef>
          </c:tx>
          <c:spPr>
            <a:ln w="47625">
              <a:noFill/>
            </a:ln>
          </c:spPr>
          <c:marker>
            <c:symbol val="circle"/>
            <c:size val="6"/>
            <c:spPr>
              <a:solidFill>
                <a:srgbClr val="4F81BD">
                  <a:lumMod val="50000"/>
                </a:srgbClr>
              </a:solidFill>
              <a:ln>
                <a:noFill/>
              </a:ln>
            </c:spPr>
          </c:marker>
          <c:dLbls>
            <c:dLbl>
              <c:idx val="0"/>
              <c:layout>
                <c:manualLayout>
                  <c:x val="-1.2977262922024943E-3"/>
                  <c:y val="-1.18373091148107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Смертность!$C$22</c:f>
              <c:numCache>
                <c:formatCode>0.0</c:formatCode>
                <c:ptCount val="1"/>
                <c:pt idx="0">
                  <c:v>-0.72995303069919593</c:v>
                </c:pt>
              </c:numCache>
            </c:numRef>
          </c:xVal>
          <c:yVal>
            <c:numRef>
              <c:f>Смертность!$B$22</c:f>
              <c:numCache>
                <c:formatCode>General</c:formatCode>
                <c:ptCount val="1"/>
                <c:pt idx="0">
                  <c:v>13.5</c:v>
                </c:pt>
              </c:numCache>
            </c:numRef>
          </c:yVal>
          <c:smooth val="0"/>
        </c:ser>
        <c:ser>
          <c:idx val="20"/>
          <c:order val="20"/>
          <c:tx>
            <c:strRef>
              <c:f>Смертность!$A$23</c:f>
              <c:strCache>
                <c:ptCount val="1"/>
                <c:pt idx="0">
                  <c:v>Сергиевский</c:v>
                </c:pt>
              </c:strCache>
            </c:strRef>
          </c:tx>
          <c:spPr>
            <a:ln w="47625">
              <a:noFill/>
            </a:ln>
          </c:spPr>
          <c:marker>
            <c:symbol val="circle"/>
            <c:size val="6"/>
            <c:spPr>
              <a:solidFill>
                <a:srgbClr val="4F81BD">
                  <a:lumMod val="50000"/>
                </a:srgbClr>
              </a:solidFill>
              <a:ln>
                <a:noFill/>
              </a:ln>
            </c:spPr>
          </c:marker>
          <c:dLbls>
            <c:dLbl>
              <c:idx val="0"/>
              <c:layout>
                <c:manualLayout>
                  <c:x val="1.3325772562609388E-3"/>
                  <c:y val="-7.6081471861302779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Смертность!$C$23</c:f>
              <c:numCache>
                <c:formatCode>0.0</c:formatCode>
                <c:ptCount val="1"/>
                <c:pt idx="0">
                  <c:v>0</c:v>
                </c:pt>
              </c:numCache>
            </c:numRef>
          </c:xVal>
          <c:yVal>
            <c:numRef>
              <c:f>Смертность!$B$23</c:f>
              <c:numCache>
                <c:formatCode>General</c:formatCode>
                <c:ptCount val="1"/>
                <c:pt idx="0">
                  <c:v>14.8</c:v>
                </c:pt>
              </c:numCache>
            </c:numRef>
          </c:yVal>
          <c:smooth val="0"/>
        </c:ser>
        <c:ser>
          <c:idx val="21"/>
          <c:order val="21"/>
          <c:tx>
            <c:strRef>
              <c:f>Смертность!$A$24</c:f>
              <c:strCache>
                <c:ptCount val="1"/>
                <c:pt idx="0">
                  <c:v>Ставропольский </c:v>
                </c:pt>
              </c:strCache>
            </c:strRef>
          </c:tx>
          <c:spPr>
            <a:ln w="47625">
              <a:noFill/>
            </a:ln>
          </c:spPr>
          <c:marker>
            <c:symbol val="circle"/>
            <c:size val="6"/>
            <c:spPr>
              <a:solidFill>
                <a:srgbClr val="4F81BD">
                  <a:lumMod val="50000"/>
                </a:srgbClr>
              </a:solidFill>
              <a:ln>
                <a:noFill/>
              </a:ln>
            </c:spPr>
          </c:marker>
          <c:dLbls>
            <c:dLbl>
              <c:idx val="0"/>
              <c:layout>
                <c:manualLayout>
                  <c:x val="-5.2768451398987594E-2"/>
                  <c:y val="4.0760357482733746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Смертность!$C$24</c:f>
              <c:numCache>
                <c:formatCode>0.0</c:formatCode>
                <c:ptCount val="1"/>
                <c:pt idx="0">
                  <c:v>-2.9272278063685206</c:v>
                </c:pt>
              </c:numCache>
            </c:numRef>
          </c:xVal>
          <c:yVal>
            <c:numRef>
              <c:f>Смертность!$B$24</c:f>
              <c:numCache>
                <c:formatCode>General</c:formatCode>
                <c:ptCount val="1"/>
                <c:pt idx="0">
                  <c:v>11.8</c:v>
                </c:pt>
              </c:numCache>
            </c:numRef>
          </c:yVal>
          <c:smooth val="0"/>
        </c:ser>
        <c:ser>
          <c:idx val="22"/>
          <c:order val="22"/>
          <c:tx>
            <c:strRef>
              <c:f>Смертность!$A$25</c:f>
              <c:strCache>
                <c:ptCount val="1"/>
                <c:pt idx="0">
                  <c:v>Сызранский </c:v>
                </c:pt>
              </c:strCache>
            </c:strRef>
          </c:tx>
          <c:spPr>
            <a:ln w="47625">
              <a:noFill/>
            </a:ln>
          </c:spPr>
          <c:marker>
            <c:symbol val="circle"/>
            <c:size val="6"/>
            <c:spPr>
              <a:solidFill>
                <a:srgbClr val="4F81BD">
                  <a:lumMod val="50000"/>
                </a:srgbClr>
              </a:solidFill>
              <a:ln>
                <a:noFill/>
              </a:ln>
            </c:spPr>
          </c:marker>
          <c:dLbls>
            <c:dLbl>
              <c:idx val="0"/>
              <c:layout>
                <c:manualLayout>
                  <c:x val="-1.6584200175178703E-3"/>
                  <c:y val="-3.7394823378654788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Смертность!$C$25</c:f>
              <c:numCache>
                <c:formatCode>0.0</c:formatCode>
                <c:ptCount val="1"/>
                <c:pt idx="0">
                  <c:v>-1.6307262030967706</c:v>
                </c:pt>
              </c:numCache>
            </c:numRef>
          </c:xVal>
          <c:yVal>
            <c:numRef>
              <c:f>Смертность!$B$25</c:f>
              <c:numCache>
                <c:formatCode>General</c:formatCode>
                <c:ptCount val="1"/>
                <c:pt idx="0">
                  <c:v>17.8</c:v>
                </c:pt>
              </c:numCache>
            </c:numRef>
          </c:yVal>
          <c:smooth val="0"/>
        </c:ser>
        <c:ser>
          <c:idx val="23"/>
          <c:order val="23"/>
          <c:tx>
            <c:strRef>
              <c:f>Смертность!$A$26</c:f>
              <c:strCache>
                <c:ptCount val="1"/>
                <c:pt idx="0">
                  <c:v>Хворостянский </c:v>
                </c:pt>
              </c:strCache>
            </c:strRef>
          </c:tx>
          <c:spPr>
            <a:ln w="47625">
              <a:noFill/>
            </a:ln>
          </c:spPr>
          <c:marker>
            <c:symbol val="circle"/>
            <c:size val="6"/>
            <c:spPr>
              <a:solidFill>
                <a:srgbClr val="4F81BD">
                  <a:lumMod val="50000"/>
                </a:srgbClr>
              </a:solidFill>
              <a:ln>
                <a:noFill/>
              </a:ln>
            </c:spPr>
          </c:marker>
          <c:dLbls>
            <c:dLbl>
              <c:idx val="0"/>
              <c:layout>
                <c:manualLayout>
                  <c:x val="-8.1205321450356346E-2"/>
                  <c:y val="1.715862441675262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Смертность!$C$26</c:f>
              <c:numCache>
                <c:formatCode>0.0</c:formatCode>
                <c:ptCount val="1"/>
                <c:pt idx="0">
                  <c:v>-1.4600630094815301</c:v>
                </c:pt>
              </c:numCache>
            </c:numRef>
          </c:xVal>
          <c:yVal>
            <c:numRef>
              <c:f>Смертность!$B$26</c:f>
              <c:numCache>
                <c:formatCode>General</c:formatCode>
                <c:ptCount val="1"/>
                <c:pt idx="0">
                  <c:v>13.3</c:v>
                </c:pt>
              </c:numCache>
            </c:numRef>
          </c:yVal>
          <c:smooth val="0"/>
        </c:ser>
        <c:ser>
          <c:idx val="24"/>
          <c:order val="24"/>
          <c:tx>
            <c:strRef>
              <c:f>Смертность!$A$27</c:f>
              <c:strCache>
                <c:ptCount val="1"/>
                <c:pt idx="0">
                  <c:v>Челно-Вершинский </c:v>
                </c:pt>
              </c:strCache>
            </c:strRef>
          </c:tx>
          <c:spPr>
            <a:ln w="47625">
              <a:noFill/>
            </a:ln>
          </c:spPr>
          <c:marker>
            <c:symbol val="circle"/>
            <c:size val="6"/>
            <c:spPr>
              <a:solidFill>
                <a:srgbClr val="4F81BD">
                  <a:lumMod val="50000"/>
                </a:srgbClr>
              </a:solidFill>
              <a:ln>
                <a:noFill/>
              </a:ln>
            </c:spPr>
          </c:marker>
          <c:dLbls>
            <c:dLbl>
              <c:idx val="0"/>
              <c:layout>
                <c:manualLayout>
                  <c:x val="6.0767720384706861E-3"/>
                  <c:y val="-7.3010062016848317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Смертность!$C$27</c:f>
              <c:numCache>
                <c:formatCode>0.0</c:formatCode>
                <c:ptCount val="1"/>
                <c:pt idx="0">
                  <c:v>-5.772331572199036</c:v>
                </c:pt>
              </c:numCache>
            </c:numRef>
          </c:xVal>
          <c:yVal>
            <c:numRef>
              <c:f>Смертность!$B$27</c:f>
              <c:numCache>
                <c:formatCode>General</c:formatCode>
                <c:ptCount val="1"/>
                <c:pt idx="0">
                  <c:v>16.899999999999999</c:v>
                </c:pt>
              </c:numCache>
            </c:numRef>
          </c:yVal>
          <c:smooth val="0"/>
        </c:ser>
        <c:ser>
          <c:idx val="25"/>
          <c:order val="25"/>
          <c:tx>
            <c:strRef>
              <c:f>Смертность!$A$28</c:f>
              <c:strCache>
                <c:ptCount val="1"/>
                <c:pt idx="0">
                  <c:v>Шенталинский</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Смертность!$C$28</c:f>
              <c:numCache>
                <c:formatCode>0.0</c:formatCode>
                <c:ptCount val="1"/>
                <c:pt idx="0">
                  <c:v>2.4866716989808424</c:v>
                </c:pt>
              </c:numCache>
            </c:numRef>
          </c:xVal>
          <c:yVal>
            <c:numRef>
              <c:f>Смертность!$B$28</c:f>
              <c:numCache>
                <c:formatCode>General</c:formatCode>
                <c:ptCount val="1"/>
                <c:pt idx="0">
                  <c:v>18.3</c:v>
                </c:pt>
              </c:numCache>
            </c:numRef>
          </c:yVal>
          <c:smooth val="0"/>
        </c:ser>
        <c:ser>
          <c:idx val="26"/>
          <c:order val="26"/>
          <c:tx>
            <c:strRef>
              <c:f>Смертность!$A$29</c:f>
              <c:strCache>
                <c:ptCount val="1"/>
                <c:pt idx="0">
                  <c:v>Шигонский</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Смертность!$C$29</c:f>
              <c:numCache>
                <c:formatCode>0.0</c:formatCode>
                <c:ptCount val="1"/>
                <c:pt idx="0">
                  <c:v>-2.2616493144028027</c:v>
                </c:pt>
              </c:numCache>
            </c:numRef>
          </c:xVal>
          <c:yVal>
            <c:numRef>
              <c:f>Смертность!$B$29</c:f>
              <c:numCache>
                <c:formatCode>General</c:formatCode>
                <c:ptCount val="1"/>
                <c:pt idx="0">
                  <c:v>18.3</c:v>
                </c:pt>
              </c:numCache>
            </c:numRef>
          </c:yVal>
          <c:smooth val="0"/>
        </c:ser>
        <c:dLbls>
          <c:showLegendKey val="0"/>
          <c:showVal val="1"/>
          <c:showCatName val="0"/>
          <c:showSerName val="0"/>
          <c:showPercent val="0"/>
          <c:showBubbleSize val="0"/>
        </c:dLbls>
        <c:axId val="153032192"/>
        <c:axId val="153034112"/>
      </c:scatterChart>
      <c:valAx>
        <c:axId val="153032192"/>
        <c:scaling>
          <c:orientation val="minMax"/>
          <c:max val="3"/>
          <c:min val="-6.5"/>
        </c:scaling>
        <c:delete val="0"/>
        <c:axPos val="b"/>
        <c:title>
          <c:tx>
            <c:rich>
              <a:bodyPr/>
              <a:lstStyle/>
              <a:p>
                <a:pPr>
                  <a:defRPr/>
                </a:pPr>
                <a:r>
                  <a:rPr lang="ru-RU"/>
                  <a:t>Среднегодовой темп прироста числа умерших на 1000 чел. населения в 2014-2016 гг., %</a:t>
                </a:r>
              </a:p>
            </c:rich>
          </c:tx>
          <c:overlay val="0"/>
        </c:title>
        <c:numFmt formatCode="0.0" sourceLinked="1"/>
        <c:majorTickMark val="out"/>
        <c:minorTickMark val="none"/>
        <c:tickLblPos val="nextTo"/>
        <c:spPr>
          <a:ln>
            <a:noFill/>
          </a:ln>
        </c:spPr>
        <c:crossAx val="153034112"/>
        <c:crosses val="autoZero"/>
        <c:crossBetween val="midCat"/>
      </c:valAx>
      <c:valAx>
        <c:axId val="153034112"/>
        <c:scaling>
          <c:orientation val="minMax"/>
          <c:max val="19"/>
          <c:min val="13"/>
        </c:scaling>
        <c:delete val="0"/>
        <c:axPos val="l"/>
        <c:title>
          <c:tx>
            <c:rich>
              <a:bodyPr rot="-5400000" vert="horz"/>
              <a:lstStyle/>
              <a:p>
                <a:pPr>
                  <a:defRPr/>
                </a:pPr>
                <a:r>
                  <a:rPr lang="ru-RU"/>
                  <a:t>Число умерших (на 1000 чел. населения)</a:t>
                </a:r>
              </a:p>
            </c:rich>
          </c:tx>
          <c:overlay val="0"/>
        </c:title>
        <c:numFmt formatCode="General" sourceLinked="1"/>
        <c:majorTickMark val="out"/>
        <c:minorTickMark val="none"/>
        <c:tickLblPos val="low"/>
        <c:spPr>
          <a:ln>
            <a:noFill/>
          </a:ln>
        </c:spPr>
        <c:crossAx val="153032192"/>
        <c:crosses val="autoZero"/>
        <c:crossBetween val="midCat"/>
      </c:valAx>
      <c:spPr>
        <a:noFill/>
        <a:ln>
          <a:solidFill>
            <a:schemeClr val="tx1"/>
          </a:solidFill>
        </a:ln>
      </c:spPr>
    </c:plotArea>
    <c:plotVisOnly val="1"/>
    <c:dispBlanksAs val="gap"/>
    <c:showDLblsOverMax val="0"/>
  </c:chart>
  <c:spPr>
    <a:noFill/>
  </c:spPr>
  <c:txPr>
    <a:bodyPr/>
    <a:lstStyle/>
    <a:p>
      <a:pPr>
        <a:defRPr sz="70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a:pPr>
            <a:r>
              <a:rPr lang="ru-RU"/>
              <a:t>Камышлинский район занимает 20 место среди муниципальных районов Самарской области по </a:t>
            </a:r>
            <a:r>
              <a:rPr lang="ru-RU" sz="960" b="1" i="0" u="none" strike="noStrike" baseline="0"/>
              <a:t>вводу в действие общей площади </a:t>
            </a:r>
            <a:br>
              <a:rPr lang="ru-RU" sz="960" b="1" i="0" u="none" strike="noStrike" baseline="0"/>
            </a:br>
            <a:r>
              <a:rPr lang="ru-RU" sz="960" b="1" i="0" u="none" strike="noStrike" baseline="0"/>
              <a:t>
</a:t>
            </a:r>
            <a:endParaRPr lang="ru-RU"/>
          </a:p>
        </c:rich>
      </c:tx>
      <c:layout>
        <c:manualLayout>
          <c:xMode val="edge"/>
          <c:yMode val="edge"/>
          <c:x val="0.1101857646722071"/>
          <c:y val="2.5345968030387792E-3"/>
        </c:manualLayout>
      </c:layout>
      <c:overlay val="0"/>
    </c:title>
    <c:autoTitleDeleted val="0"/>
    <c:plotArea>
      <c:layout>
        <c:manualLayout>
          <c:layoutTarget val="inner"/>
          <c:xMode val="edge"/>
          <c:yMode val="edge"/>
          <c:x val="0.25169774115211963"/>
          <c:y val="0.12372783503778496"/>
          <c:w val="0.72713762113693159"/>
          <c:h val="0.86308506573359989"/>
        </c:manualLayout>
      </c:layout>
      <c:barChart>
        <c:barDir val="bar"/>
        <c:grouping val="clustered"/>
        <c:varyColors val="0"/>
        <c:ser>
          <c:idx val="0"/>
          <c:order val="0"/>
          <c:invertIfNegative val="0"/>
          <c:dPt>
            <c:idx val="7"/>
            <c:invertIfNegative val="0"/>
            <c:bubble3D val="0"/>
            <c:spPr>
              <a:solidFill>
                <a:schemeClr val="tx2"/>
              </a:solidFill>
              <a:ln>
                <a:solidFill>
                  <a:schemeClr val="tx2"/>
                </a:solidFill>
              </a:ln>
            </c:spPr>
          </c:dPt>
          <c:dPt>
            <c:idx val="10"/>
            <c:invertIfNegative val="0"/>
            <c:bubble3D val="0"/>
            <c:spPr>
              <a:solidFill>
                <a:schemeClr val="accent1"/>
              </a:solidFill>
              <a:ln>
                <a:solidFill>
                  <a:schemeClr val="accent1"/>
                </a:solidFill>
              </a:ln>
            </c:spPr>
          </c:dPt>
          <c:dPt>
            <c:idx val="15"/>
            <c:invertIfNegative val="0"/>
            <c:bubble3D val="0"/>
            <c:spPr>
              <a:solidFill>
                <a:srgbClr val="FF0000"/>
              </a:solidFill>
              <a:ln>
                <a:solidFill>
                  <a:srgbClr val="FF0000"/>
                </a:solidFill>
              </a:ln>
            </c:spPr>
          </c:dPt>
          <c:dPt>
            <c:idx val="16"/>
            <c:invertIfNegative val="0"/>
            <c:bubble3D val="0"/>
            <c:spPr>
              <a:solidFill>
                <a:schemeClr val="accent1"/>
              </a:solidFill>
              <a:ln>
                <a:noFill/>
              </a:ln>
            </c:spPr>
          </c:dPt>
          <c:dPt>
            <c:idx val="17"/>
            <c:invertIfNegative val="0"/>
            <c:bubble3D val="0"/>
            <c:spPr>
              <a:solidFill>
                <a:schemeClr val="accent1"/>
              </a:solidFill>
              <a:ln>
                <a:noFill/>
              </a:ln>
            </c:spPr>
          </c:dPt>
          <c:dLbls>
            <c:txPr>
              <a:bodyPr/>
              <a:lstStyle/>
              <a:p>
                <a:pPr>
                  <a:defRPr b="1">
                    <a:solidFill>
                      <a:sysClr val="windowText" lastClr="000000"/>
                    </a:solidFill>
                  </a:defRPr>
                </a:pPr>
                <a:endParaRPr lang="ru-RU"/>
              </a:p>
            </c:txPr>
            <c:dLblPos val="outEnd"/>
            <c:showLegendKey val="0"/>
            <c:showVal val="1"/>
            <c:showCatName val="0"/>
            <c:showSerName val="0"/>
            <c:showPercent val="0"/>
            <c:showBubbleSize val="0"/>
            <c:showLeaderLines val="0"/>
          </c:dLbls>
          <c:cat>
            <c:strRef>
              <c:f>'Дети 1-7 '!$A$4:$A$30</c:f>
              <c:strCache>
                <c:ptCount val="27"/>
                <c:pt idx="0">
                  <c:v>Шигонский</c:v>
                </c:pt>
                <c:pt idx="1">
                  <c:v>Приволжский</c:v>
                </c:pt>
                <c:pt idx="2">
                  <c:v>Борский</c:v>
                </c:pt>
                <c:pt idx="3">
                  <c:v>Сызранский</c:v>
                </c:pt>
                <c:pt idx="4">
                  <c:v>Шенталинский</c:v>
                </c:pt>
                <c:pt idx="5">
                  <c:v>Богатовский</c:v>
                </c:pt>
                <c:pt idx="6">
                  <c:v>Клявлинский</c:v>
                </c:pt>
                <c:pt idx="7">
                  <c:v>Красноярский</c:v>
                </c:pt>
                <c:pt idx="8">
                  <c:v>Похвистневский</c:v>
                </c:pt>
                <c:pt idx="9">
                  <c:v>Сергиевский</c:v>
                </c:pt>
                <c:pt idx="10">
                  <c:v>Елховский</c:v>
                </c:pt>
                <c:pt idx="11">
                  <c:v>Челно-Вершинский</c:v>
                </c:pt>
                <c:pt idx="12">
                  <c:v>Исаклинский</c:v>
                </c:pt>
                <c:pt idx="13">
                  <c:v>Красноармейский</c:v>
                </c:pt>
                <c:pt idx="14">
                  <c:v>Большечерниговский</c:v>
                </c:pt>
                <c:pt idx="15">
                  <c:v>Камышлинский</c:v>
                </c:pt>
                <c:pt idx="16">
                  <c:v>Ставропольский</c:v>
                </c:pt>
                <c:pt idx="17">
                  <c:v>Безенчукский</c:v>
                </c:pt>
                <c:pt idx="18">
                  <c:v>Большеглушицкий</c:v>
                </c:pt>
                <c:pt idx="19">
                  <c:v>Нефтегорский</c:v>
                </c:pt>
                <c:pt idx="20">
                  <c:v>Кинель-Черкасский</c:v>
                </c:pt>
                <c:pt idx="21">
                  <c:v>Кошкинский</c:v>
                </c:pt>
                <c:pt idx="22">
                  <c:v>Пестравский</c:v>
                </c:pt>
                <c:pt idx="23">
                  <c:v>Кинельский</c:v>
                </c:pt>
                <c:pt idx="24">
                  <c:v>Алексеевский</c:v>
                </c:pt>
                <c:pt idx="25">
                  <c:v>Волжский</c:v>
                </c:pt>
                <c:pt idx="26">
                  <c:v>Хворостянский</c:v>
                </c:pt>
              </c:strCache>
            </c:strRef>
          </c:cat>
          <c:val>
            <c:numRef>
              <c:f>'Дети 1-7 '!$B$4:$B$30</c:f>
              <c:numCache>
                <c:formatCode>0.0</c:formatCode>
                <c:ptCount val="27"/>
                <c:pt idx="0">
                  <c:v>4.3755374576356845</c:v>
                </c:pt>
                <c:pt idx="1">
                  <c:v>19.213248754736259</c:v>
                </c:pt>
                <c:pt idx="2">
                  <c:v>21.740038426196641</c:v>
                </c:pt>
                <c:pt idx="3">
                  <c:v>22.029831647138799</c:v>
                </c:pt>
                <c:pt idx="4">
                  <c:v>25.460024363659681</c:v>
                </c:pt>
                <c:pt idx="5">
                  <c:v>27.204030226700226</c:v>
                </c:pt>
                <c:pt idx="6">
                  <c:v>32.66057548070367</c:v>
                </c:pt>
                <c:pt idx="7">
                  <c:v>33.155137010550163</c:v>
                </c:pt>
                <c:pt idx="8">
                  <c:v>43.21308633950818</c:v>
                </c:pt>
                <c:pt idx="9">
                  <c:v>55.334259688127226</c:v>
                </c:pt>
                <c:pt idx="10">
                  <c:v>55.842105263157912</c:v>
                </c:pt>
                <c:pt idx="11">
                  <c:v>58.488564799469543</c:v>
                </c:pt>
                <c:pt idx="12">
                  <c:v>63.87872035651759</c:v>
                </c:pt>
                <c:pt idx="13">
                  <c:v>67.56788050714988</c:v>
                </c:pt>
                <c:pt idx="14">
                  <c:v>71.141090500281052</c:v>
                </c:pt>
                <c:pt idx="15">
                  <c:v>73.79240412979351</c:v>
                </c:pt>
                <c:pt idx="16">
                  <c:v>74.307741371898928</c:v>
                </c:pt>
                <c:pt idx="17">
                  <c:v>84.140266985455327</c:v>
                </c:pt>
                <c:pt idx="18">
                  <c:v>93.922445935868751</c:v>
                </c:pt>
                <c:pt idx="19">
                  <c:v>96.153154772604267</c:v>
                </c:pt>
                <c:pt idx="20">
                  <c:v>101.35760845133763</c:v>
                </c:pt>
                <c:pt idx="21">
                  <c:v>105.02678571428538</c:v>
                </c:pt>
                <c:pt idx="22">
                  <c:v>120.32617106124636</c:v>
                </c:pt>
                <c:pt idx="23">
                  <c:v>180.44908073052045</c:v>
                </c:pt>
                <c:pt idx="24">
                  <c:v>189.75954979536081</c:v>
                </c:pt>
                <c:pt idx="25">
                  <c:v>198.42592195999552</c:v>
                </c:pt>
                <c:pt idx="26">
                  <c:v>236.89550009335838</c:v>
                </c:pt>
              </c:numCache>
            </c:numRef>
          </c:val>
        </c:ser>
        <c:ser>
          <c:idx val="1"/>
          <c:order val="1"/>
          <c:tx>
            <c:v>1</c:v>
          </c:tx>
          <c:spPr>
            <a:noFill/>
            <a:ln>
              <a:noFill/>
            </a:ln>
          </c:spPr>
          <c:invertIfNegative val="0"/>
          <c:dLbls>
            <c:delete val="1"/>
          </c:dLbls>
          <c:trendline>
            <c:spPr>
              <a:ln>
                <a:prstDash val="sysDash"/>
              </a:ln>
            </c:spPr>
            <c:trendlineType val="linear"/>
            <c:dispRSqr val="0"/>
            <c:dispEq val="0"/>
          </c:trendline>
          <c:val>
            <c:numRef>
              <c:f>'Дети 1-7 '!$C$4:$C$30</c:f>
              <c:numCache>
                <c:formatCode>0.0</c:formatCode>
                <c:ptCount val="27"/>
                <c:pt idx="0">
                  <c:v>79.8</c:v>
                </c:pt>
                <c:pt idx="1">
                  <c:v>79.8</c:v>
                </c:pt>
                <c:pt idx="2">
                  <c:v>79.8</c:v>
                </c:pt>
                <c:pt idx="3">
                  <c:v>79.8</c:v>
                </c:pt>
                <c:pt idx="4">
                  <c:v>79.8</c:v>
                </c:pt>
                <c:pt idx="5">
                  <c:v>79.8</c:v>
                </c:pt>
                <c:pt idx="6">
                  <c:v>79.8</c:v>
                </c:pt>
                <c:pt idx="7">
                  <c:v>79.8</c:v>
                </c:pt>
                <c:pt idx="8">
                  <c:v>79.8</c:v>
                </c:pt>
                <c:pt idx="9">
                  <c:v>79.8</c:v>
                </c:pt>
                <c:pt idx="10">
                  <c:v>79.8</c:v>
                </c:pt>
                <c:pt idx="11">
                  <c:v>79.8</c:v>
                </c:pt>
                <c:pt idx="12">
                  <c:v>79.8</c:v>
                </c:pt>
                <c:pt idx="13">
                  <c:v>79.8</c:v>
                </c:pt>
                <c:pt idx="14">
                  <c:v>79.8</c:v>
                </c:pt>
                <c:pt idx="15">
                  <c:v>79.8</c:v>
                </c:pt>
                <c:pt idx="16">
                  <c:v>79.8</c:v>
                </c:pt>
                <c:pt idx="17">
                  <c:v>79.8</c:v>
                </c:pt>
                <c:pt idx="18">
                  <c:v>79.8</c:v>
                </c:pt>
                <c:pt idx="19">
                  <c:v>79.8</c:v>
                </c:pt>
                <c:pt idx="20">
                  <c:v>79.8</c:v>
                </c:pt>
                <c:pt idx="21">
                  <c:v>79.8</c:v>
                </c:pt>
                <c:pt idx="22">
                  <c:v>79.8</c:v>
                </c:pt>
                <c:pt idx="23">
                  <c:v>79.8</c:v>
                </c:pt>
                <c:pt idx="24">
                  <c:v>79.8</c:v>
                </c:pt>
                <c:pt idx="25">
                  <c:v>79.8</c:v>
                </c:pt>
                <c:pt idx="26">
                  <c:v>79.8</c:v>
                </c:pt>
              </c:numCache>
            </c:numRef>
          </c:val>
        </c:ser>
        <c:dLbls>
          <c:showLegendKey val="0"/>
          <c:showVal val="1"/>
          <c:showCatName val="0"/>
          <c:showSerName val="0"/>
          <c:showPercent val="0"/>
          <c:showBubbleSize val="0"/>
        </c:dLbls>
        <c:gapWidth val="150"/>
        <c:axId val="263099904"/>
        <c:axId val="263101440"/>
      </c:barChart>
      <c:catAx>
        <c:axId val="263099904"/>
        <c:scaling>
          <c:orientation val="minMax"/>
        </c:scaling>
        <c:delete val="0"/>
        <c:axPos val="l"/>
        <c:numFmt formatCode="General" sourceLinked="1"/>
        <c:majorTickMark val="out"/>
        <c:minorTickMark val="none"/>
        <c:tickLblPos val="nextTo"/>
        <c:txPr>
          <a:bodyPr/>
          <a:lstStyle/>
          <a:p>
            <a:pPr>
              <a:defRPr>
                <a:solidFill>
                  <a:sysClr val="windowText" lastClr="000000"/>
                </a:solidFill>
              </a:defRPr>
            </a:pPr>
            <a:endParaRPr lang="ru-RU"/>
          </a:p>
        </c:txPr>
        <c:crossAx val="263101440"/>
        <c:crosses val="autoZero"/>
        <c:auto val="1"/>
        <c:lblAlgn val="ctr"/>
        <c:lblOffset val="100"/>
        <c:noMultiLvlLbl val="0"/>
      </c:catAx>
      <c:valAx>
        <c:axId val="263101440"/>
        <c:scaling>
          <c:orientation val="minMax"/>
        </c:scaling>
        <c:delete val="1"/>
        <c:axPos val="b"/>
        <c:numFmt formatCode="0.0" sourceLinked="1"/>
        <c:majorTickMark val="out"/>
        <c:minorTickMark val="none"/>
        <c:tickLblPos val="none"/>
        <c:crossAx val="263099904"/>
        <c:crosses val="autoZero"/>
        <c:crossBetween val="between"/>
      </c:valAx>
      <c:spPr>
        <a:noFill/>
        <a:ln w="25400">
          <a:noFill/>
        </a:ln>
      </c:spPr>
    </c:plotArea>
    <c:plotVisOnly val="1"/>
    <c:dispBlanksAs val="gap"/>
    <c:showDLblsOverMax val="0"/>
  </c:chart>
  <c:spPr>
    <a:noFill/>
    <a:ln>
      <a:solidFill>
        <a:sysClr val="window" lastClr="FFFFFF">
          <a:lumMod val="50000"/>
        </a:sysClr>
      </a:solidFill>
    </a:ln>
  </c:spPr>
  <c:txPr>
    <a:bodyPr/>
    <a:lstStyle/>
    <a:p>
      <a:pPr>
        <a:defRPr sz="800">
          <a:solidFill>
            <a:schemeClr val="accent1">
              <a:lumMod val="50000"/>
            </a:schemeClr>
          </a:solidFill>
          <a:latin typeface="Times New Roman" pitchFamily="18" charset="0"/>
          <a:cs typeface="Times New Roman" pitchFamily="18" charset="0"/>
        </a:defRPr>
      </a:pPr>
      <a:endParaRPr lang="ru-RU"/>
    </a:p>
  </c:tx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lgn="ctr">
              <a:defRPr sz="1000">
                <a:latin typeface="Times New Roman" pitchFamily="18" charset="0"/>
                <a:cs typeface="Times New Roman" pitchFamily="18" charset="0"/>
              </a:defRPr>
            </a:pPr>
            <a:r>
              <a:rPr lang="ru-RU" sz="1000">
                <a:latin typeface="Times New Roman" pitchFamily="18" charset="0"/>
                <a:cs typeface="Times New Roman" pitchFamily="18" charset="0"/>
              </a:rPr>
              <a:t>Камышлинский район характеризуется</a:t>
            </a:r>
            <a:r>
              <a:rPr lang="ru-RU" sz="1000" baseline="0">
                <a:latin typeface="Times New Roman" pitchFamily="18" charset="0"/>
                <a:cs typeface="Times New Roman" pitchFamily="18" charset="0"/>
              </a:rPr>
              <a:t> устойчивыми темпами роста инвестиционных вложений в экономику (кроме 2016 г.)</a:t>
            </a:r>
            <a:endParaRPr lang="ru-RU" sz="1000">
              <a:latin typeface="Times New Roman" pitchFamily="18" charset="0"/>
              <a:cs typeface="Times New Roman" pitchFamily="18" charset="0"/>
            </a:endParaRPr>
          </a:p>
        </c:rich>
      </c:tx>
      <c:overlay val="0"/>
    </c:title>
    <c:autoTitleDeleted val="0"/>
    <c:plotArea>
      <c:layout>
        <c:manualLayout>
          <c:layoutTarget val="inner"/>
          <c:xMode val="edge"/>
          <c:yMode val="edge"/>
          <c:x val="7.8845676385046484E-2"/>
          <c:y val="0.15343301772085671"/>
          <c:w val="0.84230864722990761"/>
          <c:h val="0.61475086083752362"/>
        </c:manualLayout>
      </c:layout>
      <c:barChart>
        <c:barDir val="col"/>
        <c:grouping val="clustered"/>
        <c:varyColors val="0"/>
        <c:ser>
          <c:idx val="0"/>
          <c:order val="0"/>
          <c:tx>
            <c:strRef>
              <c:f>инвест1!$B$35</c:f>
              <c:strCache>
                <c:ptCount val="1"/>
                <c:pt idx="0">
                  <c:v>Объем инвестиций в основной капитал в расчете на душу населения (за исключением бюджетных средств), руб/чел</c:v>
                </c:pt>
              </c:strCache>
            </c:strRef>
          </c:tx>
          <c:spPr>
            <a:solidFill>
              <a:schemeClr val="bg1">
                <a:lumMod val="75000"/>
              </a:schemeClr>
            </a:solidFill>
            <a:ln>
              <a:solidFill>
                <a:schemeClr val="bg1">
                  <a:lumMod val="75000"/>
                </a:schemeClr>
              </a:solidFill>
            </a:ln>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инвест1!$C$34:$G$34</c:f>
              <c:numCache>
                <c:formatCode>General</c:formatCode>
                <c:ptCount val="5"/>
                <c:pt idx="0">
                  <c:v>2012</c:v>
                </c:pt>
                <c:pt idx="1">
                  <c:v>2013</c:v>
                </c:pt>
                <c:pt idx="2">
                  <c:v>2014</c:v>
                </c:pt>
                <c:pt idx="3">
                  <c:v>2015</c:v>
                </c:pt>
                <c:pt idx="4">
                  <c:v>2016</c:v>
                </c:pt>
              </c:numCache>
            </c:numRef>
          </c:cat>
          <c:val>
            <c:numRef>
              <c:f>инвест1!$C$35:$G$35</c:f>
              <c:numCache>
                <c:formatCode>General</c:formatCode>
                <c:ptCount val="5"/>
                <c:pt idx="0">
                  <c:v>12</c:v>
                </c:pt>
                <c:pt idx="1">
                  <c:v>793</c:v>
                </c:pt>
                <c:pt idx="2">
                  <c:v>1007</c:v>
                </c:pt>
                <c:pt idx="3">
                  <c:v>1537</c:v>
                </c:pt>
                <c:pt idx="4">
                  <c:v>4110</c:v>
                </c:pt>
              </c:numCache>
            </c:numRef>
          </c:val>
        </c:ser>
        <c:dLbls>
          <c:showLegendKey val="0"/>
          <c:showVal val="0"/>
          <c:showCatName val="0"/>
          <c:showSerName val="0"/>
          <c:showPercent val="0"/>
          <c:showBubbleSize val="0"/>
        </c:dLbls>
        <c:gapWidth val="75"/>
        <c:overlap val="40"/>
        <c:axId val="263748224"/>
        <c:axId val="263770496"/>
      </c:barChart>
      <c:lineChart>
        <c:grouping val="standard"/>
        <c:varyColors val="0"/>
        <c:ser>
          <c:idx val="1"/>
          <c:order val="1"/>
          <c:tx>
            <c:strRef>
              <c:f>инвест1!$B$36</c:f>
              <c:strCache>
                <c:ptCount val="1"/>
                <c:pt idx="0">
                  <c:v>Инвестиции в основной капитал, млн. руб.</c:v>
                </c:pt>
              </c:strCache>
            </c:strRef>
          </c:tx>
          <c:spPr>
            <a:ln>
              <a:solidFill>
                <a:srgbClr val="FF0000"/>
              </a:solidFill>
            </a:ln>
          </c:spPr>
          <c:marker>
            <c:spPr>
              <a:solidFill>
                <a:srgbClr val="FF0000"/>
              </a:solidFill>
              <a:ln>
                <a:solidFill>
                  <a:srgbClr val="FF0000"/>
                </a:solidFill>
              </a:ln>
            </c:spPr>
          </c:marker>
          <c:dLbls>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инвест1!$C$34:$G$34</c:f>
              <c:numCache>
                <c:formatCode>General</c:formatCode>
                <c:ptCount val="5"/>
                <c:pt idx="0">
                  <c:v>2012</c:v>
                </c:pt>
                <c:pt idx="1">
                  <c:v>2013</c:v>
                </c:pt>
                <c:pt idx="2">
                  <c:v>2014</c:v>
                </c:pt>
                <c:pt idx="3">
                  <c:v>2015</c:v>
                </c:pt>
                <c:pt idx="4">
                  <c:v>2016</c:v>
                </c:pt>
              </c:numCache>
            </c:numRef>
          </c:cat>
          <c:val>
            <c:numRef>
              <c:f>инвест1!$C$36:$G$36</c:f>
              <c:numCache>
                <c:formatCode>General</c:formatCode>
                <c:ptCount val="5"/>
                <c:pt idx="0">
                  <c:v>205.6</c:v>
                </c:pt>
                <c:pt idx="1">
                  <c:v>605.70000000000005</c:v>
                </c:pt>
                <c:pt idx="2">
                  <c:v>756.3</c:v>
                </c:pt>
                <c:pt idx="3">
                  <c:v>919.5</c:v>
                </c:pt>
                <c:pt idx="4">
                  <c:v>800.5</c:v>
                </c:pt>
              </c:numCache>
            </c:numRef>
          </c:val>
          <c:smooth val="0"/>
        </c:ser>
        <c:dLbls>
          <c:showLegendKey val="0"/>
          <c:showVal val="0"/>
          <c:showCatName val="0"/>
          <c:showSerName val="0"/>
          <c:showPercent val="0"/>
          <c:showBubbleSize val="0"/>
        </c:dLbls>
        <c:marker val="1"/>
        <c:smooth val="0"/>
        <c:axId val="263772032"/>
        <c:axId val="263773568"/>
      </c:lineChart>
      <c:catAx>
        <c:axId val="263748224"/>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263770496"/>
        <c:crosses val="autoZero"/>
        <c:auto val="1"/>
        <c:lblAlgn val="ctr"/>
        <c:lblOffset val="100"/>
        <c:noMultiLvlLbl val="0"/>
      </c:catAx>
      <c:valAx>
        <c:axId val="263770496"/>
        <c:scaling>
          <c:orientation val="minMax"/>
        </c:scaling>
        <c:delete val="0"/>
        <c:axPos val="l"/>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63748224"/>
        <c:crosses val="autoZero"/>
        <c:crossBetween val="between"/>
      </c:valAx>
      <c:catAx>
        <c:axId val="263772032"/>
        <c:scaling>
          <c:orientation val="minMax"/>
        </c:scaling>
        <c:delete val="1"/>
        <c:axPos val="b"/>
        <c:numFmt formatCode="General" sourceLinked="1"/>
        <c:majorTickMark val="out"/>
        <c:minorTickMark val="none"/>
        <c:tickLblPos val="none"/>
        <c:crossAx val="263773568"/>
        <c:crosses val="autoZero"/>
        <c:auto val="1"/>
        <c:lblAlgn val="ctr"/>
        <c:lblOffset val="100"/>
        <c:noMultiLvlLbl val="0"/>
      </c:catAx>
      <c:valAx>
        <c:axId val="263773568"/>
        <c:scaling>
          <c:orientation val="minMax"/>
        </c:scaling>
        <c:delete val="0"/>
        <c:axPos val="r"/>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3772032"/>
        <c:crosses val="max"/>
        <c:crossBetween val="between"/>
      </c:valAx>
    </c:plotArea>
    <c:legend>
      <c:legendPos val="b"/>
      <c:layout>
        <c:manualLayout>
          <c:xMode val="edge"/>
          <c:yMode val="edge"/>
          <c:x val="8.1275461679070227E-3"/>
          <c:y val="0.84472160255221396"/>
          <c:w val="0.97928512498048925"/>
          <c:h val="0.1552783974477884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доходы!$B$10</c:f>
              <c:strCache>
                <c:ptCount val="1"/>
                <c:pt idx="0">
                  <c:v>Доходы бюджета - всего</c:v>
                </c:pt>
              </c:strCache>
            </c:strRef>
          </c:tx>
          <c:spPr>
            <a:solidFill>
              <a:schemeClr val="bg1">
                <a:lumMod val="65000"/>
              </a:schemeClr>
            </a:solidFill>
            <a:ln>
              <a:solidFill>
                <a:schemeClr val="bg1">
                  <a:lumMod val="65000"/>
                </a:schemeClr>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доходы!$C$9:$G$9</c:f>
              <c:numCache>
                <c:formatCode>General</c:formatCode>
                <c:ptCount val="5"/>
                <c:pt idx="0">
                  <c:v>2012</c:v>
                </c:pt>
                <c:pt idx="1">
                  <c:v>2013</c:v>
                </c:pt>
                <c:pt idx="2">
                  <c:v>2014</c:v>
                </c:pt>
                <c:pt idx="3">
                  <c:v>2015</c:v>
                </c:pt>
                <c:pt idx="4">
                  <c:v>2016</c:v>
                </c:pt>
              </c:numCache>
            </c:numRef>
          </c:cat>
          <c:val>
            <c:numRef>
              <c:f>доходы!$C$10:$G$10</c:f>
              <c:numCache>
                <c:formatCode>General</c:formatCode>
                <c:ptCount val="5"/>
                <c:pt idx="0">
                  <c:v>262177</c:v>
                </c:pt>
                <c:pt idx="1">
                  <c:v>266710</c:v>
                </c:pt>
                <c:pt idx="2">
                  <c:v>336549</c:v>
                </c:pt>
                <c:pt idx="3">
                  <c:v>203862</c:v>
                </c:pt>
                <c:pt idx="4">
                  <c:v>204397</c:v>
                </c:pt>
              </c:numCache>
            </c:numRef>
          </c:val>
        </c:ser>
        <c:ser>
          <c:idx val="1"/>
          <c:order val="1"/>
          <c:tx>
            <c:strRef>
              <c:f>доходы!$B$11</c:f>
              <c:strCache>
                <c:ptCount val="1"/>
                <c:pt idx="0">
                  <c:v>Налоговые доходы</c:v>
                </c:pt>
              </c:strCache>
            </c:strRef>
          </c:tx>
          <c:spPr>
            <a:solidFill>
              <a:schemeClr val="tx2">
                <a:lumMod val="40000"/>
                <a:lumOff val="60000"/>
              </a:schemeClr>
            </a:solidFill>
            <a:ln>
              <a:solidFill>
                <a:schemeClr val="tx2">
                  <a:lumMod val="40000"/>
                  <a:lumOff val="60000"/>
                </a:schemeClr>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доходы!$C$9:$G$9</c:f>
              <c:numCache>
                <c:formatCode>General</c:formatCode>
                <c:ptCount val="5"/>
                <c:pt idx="0">
                  <c:v>2012</c:v>
                </c:pt>
                <c:pt idx="1">
                  <c:v>2013</c:v>
                </c:pt>
                <c:pt idx="2">
                  <c:v>2014</c:v>
                </c:pt>
                <c:pt idx="3">
                  <c:v>2015</c:v>
                </c:pt>
                <c:pt idx="4">
                  <c:v>2016</c:v>
                </c:pt>
              </c:numCache>
            </c:numRef>
          </c:cat>
          <c:val>
            <c:numRef>
              <c:f>доходы!$C$11:$G$11</c:f>
              <c:numCache>
                <c:formatCode>General</c:formatCode>
                <c:ptCount val="5"/>
                <c:pt idx="0">
                  <c:v>23434</c:v>
                </c:pt>
                <c:pt idx="1">
                  <c:v>26252</c:v>
                </c:pt>
                <c:pt idx="2">
                  <c:v>35115</c:v>
                </c:pt>
                <c:pt idx="3">
                  <c:v>48599</c:v>
                </c:pt>
                <c:pt idx="4">
                  <c:v>45979</c:v>
                </c:pt>
              </c:numCache>
            </c:numRef>
          </c:val>
        </c:ser>
        <c:ser>
          <c:idx val="2"/>
          <c:order val="2"/>
          <c:tx>
            <c:strRef>
              <c:f>доходы!$B$12</c:f>
              <c:strCache>
                <c:ptCount val="1"/>
                <c:pt idx="0">
                  <c:v>Неналоговые доходы</c:v>
                </c:pt>
              </c:strCache>
            </c:strRef>
          </c:tx>
          <c:spPr>
            <a:solidFill>
              <a:schemeClr val="tx2"/>
            </a:solidFill>
            <a:ln>
              <a:solidFill>
                <a:schemeClr val="tx2"/>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доходы!$C$9:$G$9</c:f>
              <c:numCache>
                <c:formatCode>General</c:formatCode>
                <c:ptCount val="5"/>
                <c:pt idx="0">
                  <c:v>2012</c:v>
                </c:pt>
                <c:pt idx="1">
                  <c:v>2013</c:v>
                </c:pt>
                <c:pt idx="2">
                  <c:v>2014</c:v>
                </c:pt>
                <c:pt idx="3">
                  <c:v>2015</c:v>
                </c:pt>
                <c:pt idx="4">
                  <c:v>2016</c:v>
                </c:pt>
              </c:numCache>
            </c:numRef>
          </c:cat>
          <c:val>
            <c:numRef>
              <c:f>доходы!$C$12:$G$12</c:f>
              <c:numCache>
                <c:formatCode>General</c:formatCode>
                <c:ptCount val="5"/>
                <c:pt idx="0">
                  <c:v>53337</c:v>
                </c:pt>
                <c:pt idx="1">
                  <c:v>14859</c:v>
                </c:pt>
                <c:pt idx="2">
                  <c:v>20534</c:v>
                </c:pt>
                <c:pt idx="3">
                  <c:v>7531</c:v>
                </c:pt>
                <c:pt idx="4">
                  <c:v>14923</c:v>
                </c:pt>
              </c:numCache>
            </c:numRef>
          </c:val>
        </c:ser>
        <c:ser>
          <c:idx val="3"/>
          <c:order val="3"/>
          <c:tx>
            <c:strRef>
              <c:f>доходы!$B$13</c:f>
              <c:strCache>
                <c:ptCount val="1"/>
                <c:pt idx="0">
                  <c:v>Безвозмездные перечисления от бюджетов других уровней</c:v>
                </c:pt>
              </c:strCache>
            </c:strRef>
          </c:tx>
          <c:spPr>
            <a:solidFill>
              <a:srgbClr val="C00000"/>
            </a:solidFill>
            <a:ln>
              <a:solidFill>
                <a:srgbClr val="FF0000"/>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доходы!$C$9:$G$9</c:f>
              <c:numCache>
                <c:formatCode>General</c:formatCode>
                <c:ptCount val="5"/>
                <c:pt idx="0">
                  <c:v>2012</c:v>
                </c:pt>
                <c:pt idx="1">
                  <c:v>2013</c:v>
                </c:pt>
                <c:pt idx="2">
                  <c:v>2014</c:v>
                </c:pt>
                <c:pt idx="3">
                  <c:v>2015</c:v>
                </c:pt>
                <c:pt idx="4">
                  <c:v>2016</c:v>
                </c:pt>
              </c:numCache>
            </c:numRef>
          </c:cat>
          <c:val>
            <c:numRef>
              <c:f>доходы!$C$13:$G$13</c:f>
              <c:numCache>
                <c:formatCode>General</c:formatCode>
                <c:ptCount val="5"/>
                <c:pt idx="0">
                  <c:v>185406</c:v>
                </c:pt>
                <c:pt idx="1">
                  <c:v>226964</c:v>
                </c:pt>
                <c:pt idx="2">
                  <c:v>279129</c:v>
                </c:pt>
                <c:pt idx="3">
                  <c:v>144031</c:v>
                </c:pt>
                <c:pt idx="4">
                  <c:v>135083</c:v>
                </c:pt>
              </c:numCache>
            </c:numRef>
          </c:val>
        </c:ser>
        <c:dLbls>
          <c:showLegendKey val="0"/>
          <c:showVal val="1"/>
          <c:showCatName val="0"/>
          <c:showSerName val="0"/>
          <c:showPercent val="0"/>
          <c:showBubbleSize val="0"/>
        </c:dLbls>
        <c:gapWidth val="150"/>
        <c:overlap val="-25"/>
        <c:axId val="263827456"/>
        <c:axId val="263828992"/>
      </c:barChart>
      <c:catAx>
        <c:axId val="263827456"/>
        <c:scaling>
          <c:orientation val="minMax"/>
        </c:scaling>
        <c:delete val="0"/>
        <c:axPos val="l"/>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63828992"/>
        <c:crosses val="autoZero"/>
        <c:auto val="1"/>
        <c:lblAlgn val="ctr"/>
        <c:lblOffset val="100"/>
        <c:noMultiLvlLbl val="0"/>
      </c:catAx>
      <c:valAx>
        <c:axId val="263828992"/>
        <c:scaling>
          <c:orientation val="minMax"/>
        </c:scaling>
        <c:delete val="1"/>
        <c:axPos val="b"/>
        <c:numFmt formatCode="General" sourceLinked="1"/>
        <c:majorTickMark val="out"/>
        <c:minorTickMark val="none"/>
        <c:tickLblPos val="none"/>
        <c:crossAx val="263827456"/>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517448409298013"/>
          <c:y val="2.8057012446165718E-2"/>
          <c:w val="0.51181589384112669"/>
          <c:h val="0.90004713602960762"/>
        </c:manualLayout>
      </c:layout>
      <c:barChart>
        <c:barDir val="bar"/>
        <c:grouping val="clustered"/>
        <c:varyColors val="0"/>
        <c:ser>
          <c:idx val="0"/>
          <c:order val="0"/>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доходы!$B$52:$B$57</c:f>
              <c:strCache>
                <c:ptCount val="6"/>
                <c:pt idx="0">
                  <c:v>налог на доходы физических лиц</c:v>
                </c:pt>
                <c:pt idx="1">
                  <c:v>налог на имущество физических лиц</c:v>
                </c:pt>
                <c:pt idx="2">
                  <c:v> земельный налог</c:v>
                </c:pt>
                <c:pt idx="3">
                  <c:v>единый налог на вмененный доход</c:v>
                </c:pt>
                <c:pt idx="4">
                  <c:v>единый сельскохозяйственный налог</c:v>
                </c:pt>
                <c:pt idx="5">
                  <c:v>прочие налоговые доходы</c:v>
                </c:pt>
              </c:strCache>
            </c:strRef>
          </c:cat>
          <c:val>
            <c:numRef>
              <c:f>доходы!$C$52:$C$57</c:f>
              <c:numCache>
                <c:formatCode>General</c:formatCode>
                <c:ptCount val="6"/>
                <c:pt idx="0">
                  <c:v>21404</c:v>
                </c:pt>
                <c:pt idx="1">
                  <c:v>625</c:v>
                </c:pt>
                <c:pt idx="2">
                  <c:v>6343</c:v>
                </c:pt>
                <c:pt idx="3">
                  <c:v>20168</c:v>
                </c:pt>
                <c:pt idx="4">
                  <c:v>188</c:v>
                </c:pt>
                <c:pt idx="5">
                  <c:v>15244</c:v>
                </c:pt>
              </c:numCache>
            </c:numRef>
          </c:val>
        </c:ser>
        <c:dLbls>
          <c:showLegendKey val="0"/>
          <c:showVal val="0"/>
          <c:showCatName val="0"/>
          <c:showSerName val="0"/>
          <c:showPercent val="0"/>
          <c:showBubbleSize val="0"/>
        </c:dLbls>
        <c:gapWidth val="75"/>
        <c:overlap val="-25"/>
        <c:axId val="264902144"/>
        <c:axId val="264903680"/>
      </c:barChart>
      <c:catAx>
        <c:axId val="264902144"/>
        <c:scaling>
          <c:orientation val="minMax"/>
        </c:scaling>
        <c:delete val="0"/>
        <c:axPos val="l"/>
        <c:numFmt formatCode="General" sourceLinked="1"/>
        <c:majorTickMark val="none"/>
        <c:minorTickMark val="none"/>
        <c:tickLblPos val="nextTo"/>
        <c:txPr>
          <a:bodyPr/>
          <a:lstStyle/>
          <a:p>
            <a:pPr>
              <a:defRPr sz="1000">
                <a:latin typeface="Times New Roman" pitchFamily="18" charset="0"/>
                <a:cs typeface="Times New Roman" pitchFamily="18" charset="0"/>
              </a:defRPr>
            </a:pPr>
            <a:endParaRPr lang="ru-RU"/>
          </a:p>
        </c:txPr>
        <c:crossAx val="264903680"/>
        <c:crosses val="autoZero"/>
        <c:auto val="1"/>
        <c:lblAlgn val="ctr"/>
        <c:lblOffset val="100"/>
        <c:noMultiLvlLbl val="0"/>
      </c:catAx>
      <c:valAx>
        <c:axId val="264903680"/>
        <c:scaling>
          <c:orientation val="minMax"/>
        </c:scaling>
        <c:delete val="1"/>
        <c:axPos val="b"/>
        <c:numFmt formatCode="General" sourceLinked="1"/>
        <c:majorTickMark val="out"/>
        <c:minorTickMark val="none"/>
        <c:tickLblPos val="none"/>
        <c:crossAx val="264902144"/>
        <c:crosses val="autoZero"/>
        <c:crossBetween val="between"/>
      </c:valAx>
    </c:plotArea>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60890295411638"/>
          <c:y val="2.1716618243140293E-2"/>
          <c:w val="0.53626610070870129"/>
          <c:h val="0.94074223869073792"/>
        </c:manualLayout>
      </c:layout>
      <c:barChart>
        <c:barDir val="bar"/>
        <c:grouping val="clustered"/>
        <c:varyColors val="0"/>
        <c:ser>
          <c:idx val="0"/>
          <c:order val="0"/>
          <c:tx>
            <c:strRef>
              <c:f>расходы!$C$19</c:f>
              <c:strCache>
                <c:ptCount val="1"/>
                <c:pt idx="0">
                  <c:v>2012</c:v>
                </c:pt>
              </c:strCache>
            </c:strRef>
          </c:tx>
          <c:invertIfNegative val="0"/>
          <c:dLbls>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расходы!$B$20:$B$29</c:f>
              <c:strCache>
                <c:ptCount val="10"/>
                <c:pt idx="0">
                  <c:v>     функционирование представительных органов муниципальных образований</c:v>
                </c:pt>
                <c:pt idx="1">
                  <c:v>     функционирование местных администраций</c:v>
                </c:pt>
                <c:pt idx="2">
                  <c:v>     национальная экономика</c:v>
                </c:pt>
                <c:pt idx="3">
                  <c:v>     жилищно-коммунальное хозяйство</c:v>
                </c:pt>
                <c:pt idx="4">
                  <c:v>     образование</c:v>
                </c:pt>
                <c:pt idx="5">
                  <c:v>     культура</c:v>
                </c:pt>
                <c:pt idx="6">
                  <c:v>     здравоохранение</c:v>
                </c:pt>
                <c:pt idx="7">
                  <c:v>     социальная политика</c:v>
                </c:pt>
                <c:pt idx="8">
                  <c:v>     физическая культура и спорт</c:v>
                </c:pt>
                <c:pt idx="9">
                  <c:v>     прочие расходы</c:v>
                </c:pt>
              </c:strCache>
            </c:strRef>
          </c:cat>
          <c:val>
            <c:numRef>
              <c:f>расходы!$C$20:$C$29</c:f>
              <c:numCache>
                <c:formatCode>General</c:formatCode>
                <c:ptCount val="10"/>
                <c:pt idx="0">
                  <c:v>1642</c:v>
                </c:pt>
                <c:pt idx="1">
                  <c:v>36468</c:v>
                </c:pt>
                <c:pt idx="2">
                  <c:v>16324</c:v>
                </c:pt>
                <c:pt idx="3">
                  <c:v>64484</c:v>
                </c:pt>
                <c:pt idx="4">
                  <c:v>20285</c:v>
                </c:pt>
                <c:pt idx="5">
                  <c:v>31456</c:v>
                </c:pt>
                <c:pt idx="6">
                  <c:v>25997</c:v>
                </c:pt>
                <c:pt idx="7">
                  <c:v>34080</c:v>
                </c:pt>
                <c:pt idx="8">
                  <c:v>0</c:v>
                </c:pt>
                <c:pt idx="9">
                  <c:v>21030</c:v>
                </c:pt>
              </c:numCache>
            </c:numRef>
          </c:val>
        </c:ser>
        <c:ser>
          <c:idx val="1"/>
          <c:order val="1"/>
          <c:tx>
            <c:strRef>
              <c:f>расходы!$D$19</c:f>
              <c:strCache>
                <c:ptCount val="1"/>
                <c:pt idx="0">
                  <c:v>2016</c:v>
                </c:pt>
              </c:strCache>
            </c:strRef>
          </c:tx>
          <c:spPr>
            <a:solidFill>
              <a:schemeClr val="bg1">
                <a:lumMod val="65000"/>
              </a:schemeClr>
            </a:solidFill>
            <a:ln>
              <a:solidFill>
                <a:schemeClr val="bg1">
                  <a:lumMod val="75000"/>
                </a:schemeClr>
              </a:solidFill>
            </a:ln>
          </c:spPr>
          <c:invertIfNegative val="0"/>
          <c:dLbls>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расходы!$B$20:$B$29</c:f>
              <c:strCache>
                <c:ptCount val="10"/>
                <c:pt idx="0">
                  <c:v>     функционирование представительных органов муниципальных образований</c:v>
                </c:pt>
                <c:pt idx="1">
                  <c:v>     функционирование местных администраций</c:v>
                </c:pt>
                <c:pt idx="2">
                  <c:v>     национальная экономика</c:v>
                </c:pt>
                <c:pt idx="3">
                  <c:v>     жилищно-коммунальное хозяйство</c:v>
                </c:pt>
                <c:pt idx="4">
                  <c:v>     образование</c:v>
                </c:pt>
                <c:pt idx="5">
                  <c:v>     культура</c:v>
                </c:pt>
                <c:pt idx="6">
                  <c:v>     здравоохранение</c:v>
                </c:pt>
                <c:pt idx="7">
                  <c:v>     социальная политика</c:v>
                </c:pt>
                <c:pt idx="8">
                  <c:v>     физическая культура и спорт</c:v>
                </c:pt>
                <c:pt idx="9">
                  <c:v>     прочие расходы</c:v>
                </c:pt>
              </c:strCache>
            </c:strRef>
          </c:cat>
          <c:val>
            <c:numRef>
              <c:f>расходы!$D$20:$D$29</c:f>
              <c:numCache>
                <c:formatCode>General</c:formatCode>
                <c:ptCount val="10"/>
                <c:pt idx="0">
                  <c:v>764</c:v>
                </c:pt>
                <c:pt idx="1">
                  <c:v>50642</c:v>
                </c:pt>
                <c:pt idx="2">
                  <c:v>40050</c:v>
                </c:pt>
                <c:pt idx="3">
                  <c:v>17998</c:v>
                </c:pt>
                <c:pt idx="4">
                  <c:v>15919</c:v>
                </c:pt>
                <c:pt idx="5">
                  <c:v>33870</c:v>
                </c:pt>
                <c:pt idx="6">
                  <c:v>0</c:v>
                </c:pt>
                <c:pt idx="7">
                  <c:v>30097</c:v>
                </c:pt>
                <c:pt idx="8">
                  <c:v>258</c:v>
                </c:pt>
                <c:pt idx="9">
                  <c:v>13015</c:v>
                </c:pt>
              </c:numCache>
            </c:numRef>
          </c:val>
        </c:ser>
        <c:dLbls>
          <c:showLegendKey val="0"/>
          <c:showVal val="0"/>
          <c:showCatName val="0"/>
          <c:showSerName val="0"/>
          <c:showPercent val="0"/>
          <c:showBubbleSize val="0"/>
        </c:dLbls>
        <c:gapWidth val="75"/>
        <c:overlap val="-25"/>
        <c:axId val="264957952"/>
        <c:axId val="264959488"/>
      </c:barChart>
      <c:catAx>
        <c:axId val="264957952"/>
        <c:scaling>
          <c:orientation val="minMax"/>
        </c:scaling>
        <c:delete val="0"/>
        <c:axPos val="l"/>
        <c:numFmt formatCode="General" sourceLinked="1"/>
        <c:majorTickMark val="none"/>
        <c:minorTickMark val="none"/>
        <c:tickLblPos val="nextTo"/>
        <c:txPr>
          <a:bodyPr/>
          <a:lstStyle/>
          <a:p>
            <a:pPr>
              <a:defRPr sz="900">
                <a:latin typeface="Times New Roman" pitchFamily="18" charset="0"/>
                <a:cs typeface="Times New Roman" pitchFamily="18" charset="0"/>
              </a:defRPr>
            </a:pPr>
            <a:endParaRPr lang="ru-RU"/>
          </a:p>
        </c:txPr>
        <c:crossAx val="264959488"/>
        <c:crosses val="autoZero"/>
        <c:auto val="1"/>
        <c:lblAlgn val="ctr"/>
        <c:lblOffset val="100"/>
        <c:noMultiLvlLbl val="0"/>
      </c:catAx>
      <c:valAx>
        <c:axId val="264959488"/>
        <c:scaling>
          <c:orientation val="minMax"/>
        </c:scaling>
        <c:delete val="1"/>
        <c:axPos val="b"/>
        <c:numFmt formatCode="General" sourceLinked="1"/>
        <c:majorTickMark val="out"/>
        <c:minorTickMark val="none"/>
        <c:tickLblPos val="none"/>
        <c:crossAx val="264957952"/>
        <c:crosses val="autoZero"/>
        <c:crossBetween val="between"/>
      </c:valAx>
    </c:plotArea>
    <c:legend>
      <c:legendPos val="b"/>
      <c:layout>
        <c:manualLayout>
          <c:xMode val="edge"/>
          <c:yMode val="edge"/>
          <c:x val="0.77809635416716671"/>
          <c:y val="3.6552249154281395E-2"/>
          <c:w val="0.17538923145664947"/>
          <c:h val="6.8395585501386719E-2"/>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a:pPr>
            <a:r>
              <a:rPr lang="ru-RU"/>
              <a:t>Камышлинский район занимает 20 место среди муниципальных районов Самарской области по </a:t>
            </a:r>
            <a:r>
              <a:rPr lang="ru-RU" sz="960" b="1" i="0" u="none" strike="noStrike" baseline="0"/>
              <a:t>вводу в действие общей площади </a:t>
            </a:r>
            <a:br>
              <a:rPr lang="ru-RU" sz="960" b="1" i="0" u="none" strike="noStrike" baseline="0"/>
            </a:br>
            <a:r>
              <a:rPr lang="ru-RU" sz="960" b="1" i="0" u="none" strike="noStrike" baseline="0"/>
              <a:t>
</a:t>
            </a:r>
            <a:endParaRPr lang="ru-RU"/>
          </a:p>
        </c:rich>
      </c:tx>
      <c:layout>
        <c:manualLayout>
          <c:xMode val="edge"/>
          <c:yMode val="edge"/>
          <c:x val="0.1101857646722071"/>
          <c:y val="2.5345968030387792E-3"/>
        </c:manualLayout>
      </c:layout>
      <c:overlay val="0"/>
    </c:title>
    <c:autoTitleDeleted val="0"/>
    <c:plotArea>
      <c:layout>
        <c:manualLayout>
          <c:layoutTarget val="inner"/>
          <c:xMode val="edge"/>
          <c:yMode val="edge"/>
          <c:x val="0.24222493555353541"/>
          <c:y val="0.15437964322256328"/>
          <c:w val="0.73713658493559542"/>
          <c:h val="0.8246125456515444"/>
        </c:manualLayout>
      </c:layout>
      <c:barChart>
        <c:barDir val="bar"/>
        <c:grouping val="clustered"/>
        <c:varyColors val="0"/>
        <c:ser>
          <c:idx val="0"/>
          <c:order val="0"/>
          <c:spPr>
            <a:solidFill>
              <a:schemeClr val="accent1"/>
            </a:solidFill>
            <a:ln>
              <a:solidFill>
                <a:schemeClr val="accent1"/>
              </a:solidFill>
            </a:ln>
          </c:spPr>
          <c:invertIfNegative val="0"/>
          <c:dPt>
            <c:idx val="16"/>
            <c:invertIfNegative val="0"/>
            <c:bubble3D val="0"/>
            <c:spPr>
              <a:solidFill>
                <a:srgbClr val="FF0000"/>
              </a:solidFill>
              <a:ln>
                <a:solidFill>
                  <a:srgbClr val="FF0000"/>
                </a:solidFill>
              </a:ln>
            </c:spPr>
          </c:dPt>
          <c:dLbls>
            <c:txPr>
              <a:bodyPr/>
              <a:lstStyle/>
              <a:p>
                <a:pPr>
                  <a:defRPr b="0">
                    <a:solidFill>
                      <a:sysClr val="windowText" lastClr="000000"/>
                    </a:solidFill>
                  </a:defRPr>
                </a:pPr>
                <a:endParaRPr lang="ru-RU"/>
              </a:p>
            </c:txPr>
            <c:dLblPos val="outEnd"/>
            <c:showLegendKey val="0"/>
            <c:showVal val="1"/>
            <c:showCatName val="0"/>
            <c:showSerName val="0"/>
            <c:showPercent val="0"/>
            <c:showBubbleSize val="0"/>
            <c:showLeaderLines val="0"/>
          </c:dLbls>
          <c:cat>
            <c:strRef>
              <c:f>'Дети 1-7 '!$A$4:$A$30</c:f>
              <c:strCache>
                <c:ptCount val="27"/>
                <c:pt idx="0">
                  <c:v>Сызранский</c:v>
                </c:pt>
                <c:pt idx="1">
                  <c:v>Ставропольский</c:v>
                </c:pt>
                <c:pt idx="2">
                  <c:v>Приволжский</c:v>
                </c:pt>
                <c:pt idx="3">
                  <c:v>Клявлинский</c:v>
                </c:pt>
                <c:pt idx="4">
                  <c:v>Нефтегорский</c:v>
                </c:pt>
                <c:pt idx="5">
                  <c:v>Челно-Вершинский</c:v>
                </c:pt>
                <c:pt idx="6">
                  <c:v>Похвистневский</c:v>
                </c:pt>
                <c:pt idx="7">
                  <c:v>Красноярский</c:v>
                </c:pt>
                <c:pt idx="8">
                  <c:v>Елховский</c:v>
                </c:pt>
                <c:pt idx="9">
                  <c:v>Богатовский</c:v>
                </c:pt>
                <c:pt idx="10">
                  <c:v>Борский</c:v>
                </c:pt>
                <c:pt idx="11">
                  <c:v>Алексеевский</c:v>
                </c:pt>
                <c:pt idx="12">
                  <c:v>Шигонский</c:v>
                </c:pt>
                <c:pt idx="13">
                  <c:v>Исаклинский</c:v>
                </c:pt>
                <c:pt idx="14">
                  <c:v>Безенчукский</c:v>
                </c:pt>
                <c:pt idx="15">
                  <c:v>Кинель-Черкасский</c:v>
                </c:pt>
                <c:pt idx="16">
                  <c:v>Камышлинский</c:v>
                </c:pt>
                <c:pt idx="17">
                  <c:v>Кошкинский</c:v>
                </c:pt>
                <c:pt idx="18">
                  <c:v>Шенталинский</c:v>
                </c:pt>
                <c:pt idx="19">
                  <c:v>Кинельский</c:v>
                </c:pt>
                <c:pt idx="20">
                  <c:v>Большеглушицкий</c:v>
                </c:pt>
                <c:pt idx="21">
                  <c:v>Красноармейский</c:v>
                </c:pt>
                <c:pt idx="22">
                  <c:v>Сергиевский</c:v>
                </c:pt>
                <c:pt idx="23">
                  <c:v>Большечерниговский</c:v>
                </c:pt>
                <c:pt idx="24">
                  <c:v>Пестравский</c:v>
                </c:pt>
                <c:pt idx="25">
                  <c:v>Хворостянский</c:v>
                </c:pt>
                <c:pt idx="26">
                  <c:v>Волжский</c:v>
                </c:pt>
              </c:strCache>
            </c:strRef>
          </c:cat>
          <c:val>
            <c:numRef>
              <c:f>'Дети 1-7 '!$B$4:$B$30</c:f>
              <c:numCache>
                <c:formatCode>General</c:formatCode>
                <c:ptCount val="27"/>
                <c:pt idx="0">
                  <c:v>12302.8</c:v>
                </c:pt>
                <c:pt idx="1">
                  <c:v>12688.8</c:v>
                </c:pt>
                <c:pt idx="2">
                  <c:v>12794.5</c:v>
                </c:pt>
                <c:pt idx="3">
                  <c:v>13446</c:v>
                </c:pt>
                <c:pt idx="4">
                  <c:v>13981</c:v>
                </c:pt>
                <c:pt idx="5">
                  <c:v>14753.9</c:v>
                </c:pt>
                <c:pt idx="6">
                  <c:v>15139</c:v>
                </c:pt>
                <c:pt idx="7">
                  <c:v>15177.3</c:v>
                </c:pt>
                <c:pt idx="8">
                  <c:v>15259.8</c:v>
                </c:pt>
                <c:pt idx="9">
                  <c:v>15476.4</c:v>
                </c:pt>
                <c:pt idx="10">
                  <c:v>15598.1</c:v>
                </c:pt>
                <c:pt idx="11">
                  <c:v>15636</c:v>
                </c:pt>
                <c:pt idx="12">
                  <c:v>16647.400000000001</c:v>
                </c:pt>
                <c:pt idx="13">
                  <c:v>16753.3</c:v>
                </c:pt>
                <c:pt idx="14">
                  <c:v>17528.900000000001</c:v>
                </c:pt>
                <c:pt idx="15">
                  <c:v>17852.8</c:v>
                </c:pt>
                <c:pt idx="16">
                  <c:v>17980.599999999937</c:v>
                </c:pt>
                <c:pt idx="17">
                  <c:v>18649</c:v>
                </c:pt>
                <c:pt idx="18">
                  <c:v>19319.900000000001</c:v>
                </c:pt>
                <c:pt idx="19">
                  <c:v>20183.599999999937</c:v>
                </c:pt>
                <c:pt idx="20">
                  <c:v>20755.7</c:v>
                </c:pt>
                <c:pt idx="21">
                  <c:v>23951</c:v>
                </c:pt>
                <c:pt idx="22">
                  <c:v>24188.1</c:v>
                </c:pt>
                <c:pt idx="23">
                  <c:v>24419.4</c:v>
                </c:pt>
                <c:pt idx="24">
                  <c:v>27748.799999999996</c:v>
                </c:pt>
                <c:pt idx="25">
                  <c:v>29184.799999999996</c:v>
                </c:pt>
                <c:pt idx="26">
                  <c:v>35783.599999999999</c:v>
                </c:pt>
              </c:numCache>
            </c:numRef>
          </c:val>
        </c:ser>
        <c:ser>
          <c:idx val="1"/>
          <c:order val="1"/>
          <c:tx>
            <c:v>1</c:v>
          </c:tx>
          <c:spPr>
            <a:noFill/>
            <a:ln>
              <a:noFill/>
            </a:ln>
          </c:spPr>
          <c:invertIfNegative val="0"/>
          <c:dLbls>
            <c:delete val="1"/>
          </c:dLbls>
          <c:trendline>
            <c:spPr>
              <a:ln>
                <a:prstDash val="sysDash"/>
              </a:ln>
            </c:spPr>
            <c:trendlineType val="linear"/>
            <c:dispRSqr val="0"/>
            <c:dispEq val="0"/>
          </c:trendline>
          <c:val>
            <c:numRef>
              <c:f>'Дети 1-7 '!$C$4:$C$30</c:f>
              <c:numCache>
                <c:formatCode>0.0</c:formatCode>
                <c:ptCount val="27"/>
                <c:pt idx="0">
                  <c:v>18637.055555555497</c:v>
                </c:pt>
                <c:pt idx="1">
                  <c:v>18637.055555555497</c:v>
                </c:pt>
                <c:pt idx="2">
                  <c:v>18637.055555555497</c:v>
                </c:pt>
                <c:pt idx="3">
                  <c:v>18637.055555555497</c:v>
                </c:pt>
                <c:pt idx="4">
                  <c:v>18637.055555555497</c:v>
                </c:pt>
                <c:pt idx="5">
                  <c:v>18637.055555555497</c:v>
                </c:pt>
                <c:pt idx="6">
                  <c:v>18637.055555555497</c:v>
                </c:pt>
                <c:pt idx="7">
                  <c:v>18637.055555555497</c:v>
                </c:pt>
                <c:pt idx="8">
                  <c:v>18637.055555555497</c:v>
                </c:pt>
                <c:pt idx="9">
                  <c:v>18637.055555555497</c:v>
                </c:pt>
                <c:pt idx="10">
                  <c:v>18637.055555555497</c:v>
                </c:pt>
                <c:pt idx="11">
                  <c:v>18637.055555555497</c:v>
                </c:pt>
                <c:pt idx="12">
                  <c:v>18637.055555555497</c:v>
                </c:pt>
                <c:pt idx="13">
                  <c:v>18637.055555555497</c:v>
                </c:pt>
                <c:pt idx="14">
                  <c:v>18637.055555555497</c:v>
                </c:pt>
                <c:pt idx="15">
                  <c:v>18637.055555555497</c:v>
                </c:pt>
                <c:pt idx="16">
                  <c:v>18637.055555555497</c:v>
                </c:pt>
                <c:pt idx="17">
                  <c:v>18637.055555555497</c:v>
                </c:pt>
                <c:pt idx="18">
                  <c:v>18637.055555555497</c:v>
                </c:pt>
                <c:pt idx="19">
                  <c:v>18637.055555555497</c:v>
                </c:pt>
                <c:pt idx="20">
                  <c:v>18637.055555555497</c:v>
                </c:pt>
                <c:pt idx="21">
                  <c:v>18637.055555555497</c:v>
                </c:pt>
                <c:pt idx="22">
                  <c:v>18637.055555555497</c:v>
                </c:pt>
                <c:pt idx="23">
                  <c:v>18637.055555555497</c:v>
                </c:pt>
                <c:pt idx="24">
                  <c:v>18637.055555555497</c:v>
                </c:pt>
                <c:pt idx="25">
                  <c:v>18637.055555555497</c:v>
                </c:pt>
                <c:pt idx="26">
                  <c:v>18637.055555555497</c:v>
                </c:pt>
              </c:numCache>
            </c:numRef>
          </c:val>
        </c:ser>
        <c:dLbls>
          <c:showLegendKey val="0"/>
          <c:showVal val="1"/>
          <c:showCatName val="0"/>
          <c:showSerName val="0"/>
          <c:showPercent val="0"/>
          <c:showBubbleSize val="0"/>
        </c:dLbls>
        <c:gapWidth val="150"/>
        <c:axId val="269430784"/>
        <c:axId val="269432320"/>
      </c:barChart>
      <c:catAx>
        <c:axId val="269430784"/>
        <c:scaling>
          <c:orientation val="minMax"/>
        </c:scaling>
        <c:delete val="0"/>
        <c:axPos val="l"/>
        <c:numFmt formatCode="General" sourceLinked="1"/>
        <c:majorTickMark val="out"/>
        <c:minorTickMark val="none"/>
        <c:tickLblPos val="nextTo"/>
        <c:txPr>
          <a:bodyPr/>
          <a:lstStyle/>
          <a:p>
            <a:pPr>
              <a:defRPr>
                <a:solidFill>
                  <a:sysClr val="windowText" lastClr="000000"/>
                </a:solidFill>
              </a:defRPr>
            </a:pPr>
            <a:endParaRPr lang="ru-RU"/>
          </a:p>
        </c:txPr>
        <c:crossAx val="269432320"/>
        <c:crosses val="autoZero"/>
        <c:auto val="1"/>
        <c:lblAlgn val="ctr"/>
        <c:lblOffset val="100"/>
        <c:noMultiLvlLbl val="0"/>
      </c:catAx>
      <c:valAx>
        <c:axId val="269432320"/>
        <c:scaling>
          <c:orientation val="minMax"/>
        </c:scaling>
        <c:delete val="1"/>
        <c:axPos val="b"/>
        <c:numFmt formatCode="General" sourceLinked="1"/>
        <c:majorTickMark val="out"/>
        <c:minorTickMark val="none"/>
        <c:tickLblPos val="none"/>
        <c:crossAx val="269430784"/>
        <c:crosses val="autoZero"/>
        <c:crossBetween val="between"/>
      </c:valAx>
      <c:spPr>
        <a:noFill/>
        <a:ln w="25400">
          <a:noFill/>
        </a:ln>
      </c:spPr>
    </c:plotArea>
    <c:plotVisOnly val="1"/>
    <c:dispBlanksAs val="gap"/>
    <c:showDLblsOverMax val="0"/>
  </c:chart>
  <c:spPr>
    <a:noFill/>
  </c:spPr>
  <c:txPr>
    <a:bodyPr/>
    <a:lstStyle/>
    <a:p>
      <a:pPr>
        <a:defRPr sz="800">
          <a:solidFill>
            <a:schemeClr val="accent1">
              <a:lumMod val="50000"/>
            </a:schemeClr>
          </a:solidFill>
          <a:latin typeface="Times New Roman" pitchFamily="18" charset="0"/>
          <a:cs typeface="Times New Roman" pitchFamily="18" charset="0"/>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6870475083225"/>
          <c:y val="0.10348650979425897"/>
          <c:w val="0.69360710155562644"/>
          <c:h val="0.8172498857748749"/>
        </c:manualLayout>
      </c:layout>
      <c:barChart>
        <c:barDir val="bar"/>
        <c:grouping val="percentStacked"/>
        <c:varyColors val="0"/>
        <c:ser>
          <c:idx val="0"/>
          <c:order val="0"/>
          <c:tx>
            <c:strRef>
              <c:f>Возраст!$B$2</c:f>
              <c:strCache>
                <c:ptCount val="1"/>
                <c:pt idx="0">
                  <c:v>До 17 лет</c:v>
                </c:pt>
              </c:strCache>
            </c:strRef>
          </c:tx>
          <c:invertIfNegative val="0"/>
          <c:dLbls>
            <c:dLblPos val="inBase"/>
            <c:showLegendKey val="0"/>
            <c:showVal val="1"/>
            <c:showCatName val="0"/>
            <c:showSerName val="0"/>
            <c:showPercent val="0"/>
            <c:showBubbleSize val="0"/>
            <c:showLeaderLines val="0"/>
          </c:dLbls>
          <c:cat>
            <c:strRef>
              <c:f>Возраст!$A$3:$A$29</c:f>
              <c:strCache>
                <c:ptCount val="27"/>
                <c:pt idx="0">
                  <c:v>Елховский</c:v>
                </c:pt>
                <c:pt idx="1">
                  <c:v>Приволжский</c:v>
                </c:pt>
                <c:pt idx="2">
                  <c:v>Кинельский </c:v>
                </c:pt>
                <c:pt idx="3">
                  <c:v>Волжский </c:v>
                </c:pt>
                <c:pt idx="4">
                  <c:v>Большеглушицкий</c:v>
                </c:pt>
                <c:pt idx="5">
                  <c:v>Хворостянский </c:v>
                </c:pt>
                <c:pt idx="6">
                  <c:v>Борский</c:v>
                </c:pt>
                <c:pt idx="7">
                  <c:v>Исаклинский </c:v>
                </c:pt>
                <c:pt idx="8">
                  <c:v>Шигонский</c:v>
                </c:pt>
                <c:pt idx="9">
                  <c:v>Шенталинский</c:v>
                </c:pt>
                <c:pt idx="10">
                  <c:v>Красноармейский </c:v>
                </c:pt>
                <c:pt idx="11">
                  <c:v>Челно-Вершинский </c:v>
                </c:pt>
                <c:pt idx="12">
                  <c:v>Нефтегорский </c:v>
                </c:pt>
                <c:pt idx="13">
                  <c:v>Большечерниговский</c:v>
                </c:pt>
                <c:pt idx="14">
                  <c:v>Кинель-Черкасский </c:v>
                </c:pt>
                <c:pt idx="15">
                  <c:v>Алексеевский</c:v>
                </c:pt>
                <c:pt idx="16">
                  <c:v>Сергиевский</c:v>
                </c:pt>
                <c:pt idx="17">
                  <c:v>Похвистневский</c:v>
                </c:pt>
                <c:pt idx="18">
                  <c:v>Ставропольский </c:v>
                </c:pt>
                <c:pt idx="19">
                  <c:v>Клявлинский </c:v>
                </c:pt>
                <c:pt idx="20">
                  <c:v>Безенчукский</c:v>
                </c:pt>
                <c:pt idx="21">
                  <c:v>Кошкинский</c:v>
                </c:pt>
                <c:pt idx="22">
                  <c:v>Красноярский </c:v>
                </c:pt>
                <c:pt idx="23">
                  <c:v>Сызранский </c:v>
                </c:pt>
                <c:pt idx="24">
                  <c:v>Пестравский </c:v>
                </c:pt>
                <c:pt idx="25">
                  <c:v>Богатовский </c:v>
                </c:pt>
                <c:pt idx="26">
                  <c:v>Камышлинский</c:v>
                </c:pt>
              </c:strCache>
            </c:strRef>
          </c:cat>
          <c:val>
            <c:numRef>
              <c:f>Возраст!$B$3:$B$29</c:f>
              <c:numCache>
                <c:formatCode>0.0</c:formatCode>
                <c:ptCount val="27"/>
                <c:pt idx="0">
                  <c:v>16.077808654227891</c:v>
                </c:pt>
                <c:pt idx="1">
                  <c:v>16.182107551949013</c:v>
                </c:pt>
                <c:pt idx="2">
                  <c:v>16.268850494357327</c:v>
                </c:pt>
                <c:pt idx="3">
                  <c:v>16.463144574501623</c:v>
                </c:pt>
                <c:pt idx="4">
                  <c:v>16.494263123476635</c:v>
                </c:pt>
                <c:pt idx="5">
                  <c:v>16.668619639090689</c:v>
                </c:pt>
                <c:pt idx="6">
                  <c:v>16.709390178089585</c:v>
                </c:pt>
                <c:pt idx="7">
                  <c:v>16.735342302536779</c:v>
                </c:pt>
                <c:pt idx="8">
                  <c:v>17.09173715029279</c:v>
                </c:pt>
                <c:pt idx="9">
                  <c:v>17.211369897320289</c:v>
                </c:pt>
                <c:pt idx="10">
                  <c:v>17.265164279696716</c:v>
                </c:pt>
                <c:pt idx="11">
                  <c:v>17.350846426398544</c:v>
                </c:pt>
                <c:pt idx="12">
                  <c:v>17.46188873490398</c:v>
                </c:pt>
                <c:pt idx="13">
                  <c:v>17.677463818056587</c:v>
                </c:pt>
                <c:pt idx="14">
                  <c:v>17.709068271425586</c:v>
                </c:pt>
                <c:pt idx="15">
                  <c:v>17.75153144418492</c:v>
                </c:pt>
                <c:pt idx="16">
                  <c:v>17.87459706769269</c:v>
                </c:pt>
                <c:pt idx="17">
                  <c:v>17.895433961588687</c:v>
                </c:pt>
                <c:pt idx="18">
                  <c:v>17.948717948717857</c:v>
                </c:pt>
                <c:pt idx="19">
                  <c:v>18.18560224335091</c:v>
                </c:pt>
                <c:pt idx="20">
                  <c:v>18.366479687234406</c:v>
                </c:pt>
                <c:pt idx="21">
                  <c:v>18.454687152081942</c:v>
                </c:pt>
                <c:pt idx="22">
                  <c:v>18.557551319648159</c:v>
                </c:pt>
                <c:pt idx="23">
                  <c:v>19.059434506635846</c:v>
                </c:pt>
                <c:pt idx="24">
                  <c:v>19.167722977644619</c:v>
                </c:pt>
                <c:pt idx="25">
                  <c:v>19.447055137844664</c:v>
                </c:pt>
                <c:pt idx="26">
                  <c:v>20.996441281138718</c:v>
                </c:pt>
              </c:numCache>
            </c:numRef>
          </c:val>
        </c:ser>
        <c:ser>
          <c:idx val="1"/>
          <c:order val="1"/>
          <c:tx>
            <c:strRef>
              <c:f>Возраст!$C$2</c:f>
              <c:strCache>
                <c:ptCount val="1"/>
                <c:pt idx="0">
                  <c:v>17-60</c:v>
                </c:pt>
              </c:strCache>
            </c:strRef>
          </c:tx>
          <c:invertIfNegative val="0"/>
          <c:dLbls>
            <c:dLblPos val="inBase"/>
            <c:showLegendKey val="0"/>
            <c:showVal val="1"/>
            <c:showCatName val="0"/>
            <c:showSerName val="0"/>
            <c:showPercent val="0"/>
            <c:showBubbleSize val="0"/>
            <c:showLeaderLines val="0"/>
          </c:dLbls>
          <c:cat>
            <c:strRef>
              <c:f>Возраст!$A$3:$A$29</c:f>
              <c:strCache>
                <c:ptCount val="27"/>
                <c:pt idx="0">
                  <c:v>Елховский</c:v>
                </c:pt>
                <c:pt idx="1">
                  <c:v>Приволжский</c:v>
                </c:pt>
                <c:pt idx="2">
                  <c:v>Кинельский </c:v>
                </c:pt>
                <c:pt idx="3">
                  <c:v>Волжский </c:v>
                </c:pt>
                <c:pt idx="4">
                  <c:v>Большеглушицкий</c:v>
                </c:pt>
                <c:pt idx="5">
                  <c:v>Хворостянский </c:v>
                </c:pt>
                <c:pt idx="6">
                  <c:v>Борский</c:v>
                </c:pt>
                <c:pt idx="7">
                  <c:v>Исаклинский </c:v>
                </c:pt>
                <c:pt idx="8">
                  <c:v>Шигонский</c:v>
                </c:pt>
                <c:pt idx="9">
                  <c:v>Шенталинский</c:v>
                </c:pt>
                <c:pt idx="10">
                  <c:v>Красноармейский </c:v>
                </c:pt>
                <c:pt idx="11">
                  <c:v>Челно-Вершинский </c:v>
                </c:pt>
                <c:pt idx="12">
                  <c:v>Нефтегорский </c:v>
                </c:pt>
                <c:pt idx="13">
                  <c:v>Большечерниговский</c:v>
                </c:pt>
                <c:pt idx="14">
                  <c:v>Кинель-Черкасский </c:v>
                </c:pt>
                <c:pt idx="15">
                  <c:v>Алексеевский</c:v>
                </c:pt>
                <c:pt idx="16">
                  <c:v>Сергиевский</c:v>
                </c:pt>
                <c:pt idx="17">
                  <c:v>Похвистневский</c:v>
                </c:pt>
                <c:pt idx="18">
                  <c:v>Ставропольский </c:v>
                </c:pt>
                <c:pt idx="19">
                  <c:v>Клявлинский </c:v>
                </c:pt>
                <c:pt idx="20">
                  <c:v>Безенчукский</c:v>
                </c:pt>
                <c:pt idx="21">
                  <c:v>Кошкинский</c:v>
                </c:pt>
                <c:pt idx="22">
                  <c:v>Красноярский </c:v>
                </c:pt>
                <c:pt idx="23">
                  <c:v>Сызранский </c:v>
                </c:pt>
                <c:pt idx="24">
                  <c:v>Пестравский </c:v>
                </c:pt>
                <c:pt idx="25">
                  <c:v>Богатовский </c:v>
                </c:pt>
                <c:pt idx="26">
                  <c:v>Камышлинский</c:v>
                </c:pt>
              </c:strCache>
            </c:strRef>
          </c:cat>
          <c:val>
            <c:numRef>
              <c:f>Возраст!$C$3:$C$29</c:f>
              <c:numCache>
                <c:formatCode>0.0</c:formatCode>
                <c:ptCount val="27"/>
                <c:pt idx="0">
                  <c:v>55.663114178398018</c:v>
                </c:pt>
                <c:pt idx="1">
                  <c:v>60.926677276904812</c:v>
                </c:pt>
                <c:pt idx="2">
                  <c:v>49.270947767901731</c:v>
                </c:pt>
                <c:pt idx="3">
                  <c:v>55.412844036697088</c:v>
                </c:pt>
                <c:pt idx="4">
                  <c:v>56.575114440282981</c:v>
                </c:pt>
                <c:pt idx="5">
                  <c:v>55.548394656667327</c:v>
                </c:pt>
                <c:pt idx="6">
                  <c:v>56.206152185644903</c:v>
                </c:pt>
                <c:pt idx="7">
                  <c:v>55.254927270019344</c:v>
                </c:pt>
                <c:pt idx="8">
                  <c:v>53.162003903708523</c:v>
                </c:pt>
                <c:pt idx="9">
                  <c:v>58.5274229902329</c:v>
                </c:pt>
                <c:pt idx="10">
                  <c:v>56.913437236731255</c:v>
                </c:pt>
                <c:pt idx="11">
                  <c:v>54.414659461006913</c:v>
                </c:pt>
                <c:pt idx="12">
                  <c:v>52.504454563452612</c:v>
                </c:pt>
                <c:pt idx="13">
                  <c:v>54.169538249483246</c:v>
                </c:pt>
                <c:pt idx="14">
                  <c:v>53.824444905581998</c:v>
                </c:pt>
                <c:pt idx="15">
                  <c:v>56.273412366136363</c:v>
                </c:pt>
                <c:pt idx="16">
                  <c:v>54.195695123219302</c:v>
                </c:pt>
                <c:pt idx="17">
                  <c:v>56.301347795736241</c:v>
                </c:pt>
                <c:pt idx="18">
                  <c:v>49.337841645533857</c:v>
                </c:pt>
                <c:pt idx="19">
                  <c:v>56.36419401480962</c:v>
                </c:pt>
                <c:pt idx="20">
                  <c:v>56.44229134795183</c:v>
                </c:pt>
                <c:pt idx="21">
                  <c:v>54.188376753507015</c:v>
                </c:pt>
                <c:pt idx="22">
                  <c:v>54.527126099706749</c:v>
                </c:pt>
                <c:pt idx="23">
                  <c:v>54.246970571263567</c:v>
                </c:pt>
                <c:pt idx="24">
                  <c:v>55.331009449181835</c:v>
                </c:pt>
                <c:pt idx="25">
                  <c:v>54.597431077694097</c:v>
                </c:pt>
                <c:pt idx="26">
                  <c:v>54.609653024911033</c:v>
                </c:pt>
              </c:numCache>
            </c:numRef>
          </c:val>
        </c:ser>
        <c:ser>
          <c:idx val="2"/>
          <c:order val="2"/>
          <c:tx>
            <c:strRef>
              <c:f>Возраст!$D$2</c:f>
              <c:strCache>
                <c:ptCount val="1"/>
                <c:pt idx="0">
                  <c:v>Старше 60 лет</c:v>
                </c:pt>
              </c:strCache>
            </c:strRef>
          </c:tx>
          <c:invertIfNegative val="0"/>
          <c:dLbls>
            <c:dLblPos val="inBase"/>
            <c:showLegendKey val="0"/>
            <c:showVal val="1"/>
            <c:showCatName val="0"/>
            <c:showSerName val="0"/>
            <c:showPercent val="0"/>
            <c:showBubbleSize val="0"/>
            <c:showLeaderLines val="0"/>
          </c:dLbls>
          <c:cat>
            <c:strRef>
              <c:f>Возраст!$A$3:$A$29</c:f>
              <c:strCache>
                <c:ptCount val="27"/>
                <c:pt idx="0">
                  <c:v>Елховский</c:v>
                </c:pt>
                <c:pt idx="1">
                  <c:v>Приволжский</c:v>
                </c:pt>
                <c:pt idx="2">
                  <c:v>Кинельский </c:v>
                </c:pt>
                <c:pt idx="3">
                  <c:v>Волжский </c:v>
                </c:pt>
                <c:pt idx="4">
                  <c:v>Большеглушицкий</c:v>
                </c:pt>
                <c:pt idx="5">
                  <c:v>Хворостянский </c:v>
                </c:pt>
                <c:pt idx="6">
                  <c:v>Борский</c:v>
                </c:pt>
                <c:pt idx="7">
                  <c:v>Исаклинский </c:v>
                </c:pt>
                <c:pt idx="8">
                  <c:v>Шигонский</c:v>
                </c:pt>
                <c:pt idx="9">
                  <c:v>Шенталинский</c:v>
                </c:pt>
                <c:pt idx="10">
                  <c:v>Красноармейский </c:v>
                </c:pt>
                <c:pt idx="11">
                  <c:v>Челно-Вершинский </c:v>
                </c:pt>
                <c:pt idx="12">
                  <c:v>Нефтегорский </c:v>
                </c:pt>
                <c:pt idx="13">
                  <c:v>Большечерниговский</c:v>
                </c:pt>
                <c:pt idx="14">
                  <c:v>Кинель-Черкасский </c:v>
                </c:pt>
                <c:pt idx="15">
                  <c:v>Алексеевский</c:v>
                </c:pt>
                <c:pt idx="16">
                  <c:v>Сергиевский</c:v>
                </c:pt>
                <c:pt idx="17">
                  <c:v>Похвистневский</c:v>
                </c:pt>
                <c:pt idx="18">
                  <c:v>Ставропольский </c:v>
                </c:pt>
                <c:pt idx="19">
                  <c:v>Клявлинский </c:v>
                </c:pt>
                <c:pt idx="20">
                  <c:v>Безенчукский</c:v>
                </c:pt>
                <c:pt idx="21">
                  <c:v>Кошкинский</c:v>
                </c:pt>
                <c:pt idx="22">
                  <c:v>Красноярский </c:v>
                </c:pt>
                <c:pt idx="23">
                  <c:v>Сызранский </c:v>
                </c:pt>
                <c:pt idx="24">
                  <c:v>Пестравский </c:v>
                </c:pt>
                <c:pt idx="25">
                  <c:v>Богатовский </c:v>
                </c:pt>
                <c:pt idx="26">
                  <c:v>Камышлинский</c:v>
                </c:pt>
              </c:strCache>
            </c:strRef>
          </c:cat>
          <c:val>
            <c:numRef>
              <c:f>Возраст!$D$3:$D$29</c:f>
              <c:numCache>
                <c:formatCode>0.0</c:formatCode>
                <c:ptCount val="27"/>
                <c:pt idx="0">
                  <c:v>28.25907716737413</c:v>
                </c:pt>
                <c:pt idx="1">
                  <c:v>22.891215171146133</c:v>
                </c:pt>
                <c:pt idx="2">
                  <c:v>34.460201737740924</c:v>
                </c:pt>
                <c:pt idx="3">
                  <c:v>28.12401138880103</c:v>
                </c:pt>
                <c:pt idx="4">
                  <c:v>26.930622436240416</c:v>
                </c:pt>
                <c:pt idx="5">
                  <c:v>27.78298570424186</c:v>
                </c:pt>
                <c:pt idx="6">
                  <c:v>27.084457636265512</c:v>
                </c:pt>
                <c:pt idx="7">
                  <c:v>28.009730427443781</c:v>
                </c:pt>
                <c:pt idx="8">
                  <c:v>29.746258945998701</c:v>
                </c:pt>
                <c:pt idx="9">
                  <c:v>24.26120711244679</c:v>
                </c:pt>
                <c:pt idx="10">
                  <c:v>25.821398483572032</c:v>
                </c:pt>
                <c:pt idx="11">
                  <c:v>28.234494112594394</c:v>
                </c:pt>
                <c:pt idx="12">
                  <c:v>30.033656701643242</c:v>
                </c:pt>
                <c:pt idx="13">
                  <c:v>28.152997932460373</c:v>
                </c:pt>
                <c:pt idx="14">
                  <c:v>28.466486822992263</c:v>
                </c:pt>
                <c:pt idx="15">
                  <c:v>25.975056189678725</c:v>
                </c:pt>
                <c:pt idx="16">
                  <c:v>27.929707809088072</c:v>
                </c:pt>
                <c:pt idx="17">
                  <c:v>25.803218242674827</c:v>
                </c:pt>
                <c:pt idx="18">
                  <c:v>32.713440405747939</c:v>
                </c:pt>
                <c:pt idx="19">
                  <c:v>25.450203741839324</c:v>
                </c:pt>
                <c:pt idx="20">
                  <c:v>25.191228964813895</c:v>
                </c:pt>
                <c:pt idx="21">
                  <c:v>27.356936094411044</c:v>
                </c:pt>
                <c:pt idx="22">
                  <c:v>26.915322580645078</c:v>
                </c:pt>
                <c:pt idx="23">
                  <c:v>26.693594922100431</c:v>
                </c:pt>
                <c:pt idx="24">
                  <c:v>25.501267573173529</c:v>
                </c:pt>
                <c:pt idx="25">
                  <c:v>25.955513784461068</c:v>
                </c:pt>
                <c:pt idx="26">
                  <c:v>24.393905693950195</c:v>
                </c:pt>
              </c:numCache>
            </c:numRef>
          </c:val>
        </c:ser>
        <c:dLbls>
          <c:showLegendKey val="0"/>
          <c:showVal val="1"/>
          <c:showCatName val="0"/>
          <c:showSerName val="0"/>
          <c:showPercent val="0"/>
          <c:showBubbleSize val="0"/>
        </c:dLbls>
        <c:gapWidth val="150"/>
        <c:overlap val="100"/>
        <c:axId val="153070976"/>
        <c:axId val="153076864"/>
      </c:barChart>
      <c:catAx>
        <c:axId val="153070976"/>
        <c:scaling>
          <c:orientation val="minMax"/>
        </c:scaling>
        <c:delete val="0"/>
        <c:axPos val="l"/>
        <c:majorTickMark val="out"/>
        <c:minorTickMark val="none"/>
        <c:tickLblPos val="nextTo"/>
        <c:crossAx val="153076864"/>
        <c:crosses val="autoZero"/>
        <c:auto val="1"/>
        <c:lblAlgn val="ctr"/>
        <c:lblOffset val="100"/>
        <c:noMultiLvlLbl val="0"/>
      </c:catAx>
      <c:valAx>
        <c:axId val="153076864"/>
        <c:scaling>
          <c:orientation val="minMax"/>
        </c:scaling>
        <c:delete val="1"/>
        <c:axPos val="b"/>
        <c:numFmt formatCode="0%" sourceLinked="1"/>
        <c:majorTickMark val="out"/>
        <c:minorTickMark val="none"/>
        <c:tickLblPos val="none"/>
        <c:crossAx val="153070976"/>
        <c:crosses val="autoZero"/>
        <c:crossBetween val="between"/>
      </c:valAx>
      <c:spPr>
        <a:noFill/>
      </c:spPr>
    </c:plotArea>
    <c:legend>
      <c:legendPos val="b"/>
      <c:layout>
        <c:manualLayout>
          <c:xMode val="edge"/>
          <c:yMode val="edge"/>
          <c:x val="0.16249985954863336"/>
          <c:y val="0.93817720670722748"/>
          <c:w val="0.7496675795849177"/>
          <c:h val="3.6395210526489509E-2"/>
        </c:manualLayout>
      </c:layout>
      <c:overlay val="0"/>
    </c:legend>
    <c:plotVisOnly val="1"/>
    <c:dispBlanksAs val="gap"/>
    <c:showDLblsOverMax val="0"/>
  </c:chart>
  <c:spPr>
    <a:noFill/>
  </c:spPr>
  <c:txPr>
    <a:bodyPr/>
    <a:lstStyle/>
    <a:p>
      <a:pPr>
        <a:defRPr sz="800" baseline="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659685078828936E-2"/>
          <c:y val="0.29092598212241866"/>
          <c:w val="0.57169701216582203"/>
          <c:h val="0.60458971533223649"/>
        </c:manualLayout>
      </c:layout>
      <c:barChart>
        <c:barDir val="col"/>
        <c:grouping val="clustered"/>
        <c:varyColors val="0"/>
        <c:ser>
          <c:idx val="0"/>
          <c:order val="0"/>
          <c:tx>
            <c:strRef>
              <c:f>'Доля населения мл-труд-старше'!$Q$78</c:f>
              <c:strCache>
                <c:ptCount val="1"/>
                <c:pt idx="0">
                  <c:v>Моложе трудоспособного</c:v>
                </c:pt>
              </c:strCache>
            </c:strRef>
          </c:tx>
          <c:invertIfNegative val="0"/>
          <c:cat>
            <c:strRef>
              <c:f>'Доля населения мл-труд-старше'!$R$77:$T$77</c:f>
              <c:strCache>
                <c:ptCount val="3"/>
                <c:pt idx="0">
                  <c:v>Камышлинский р-он</c:v>
                </c:pt>
                <c:pt idx="1">
                  <c:v>Самарская обл.</c:v>
                </c:pt>
                <c:pt idx="2">
                  <c:v>РФ</c:v>
                </c:pt>
              </c:strCache>
            </c:strRef>
          </c:cat>
          <c:val>
            <c:numRef>
              <c:f>'Доля населения мл-труд-старше'!$R$78:$T$78</c:f>
              <c:numCache>
                <c:formatCode>General</c:formatCode>
                <c:ptCount val="3"/>
                <c:pt idx="0">
                  <c:v>18.600000000000001</c:v>
                </c:pt>
                <c:pt idx="1">
                  <c:v>17.83410909878263</c:v>
                </c:pt>
                <c:pt idx="2">
                  <c:v>20.165731229482152</c:v>
                </c:pt>
              </c:numCache>
            </c:numRef>
          </c:val>
        </c:ser>
        <c:ser>
          <c:idx val="1"/>
          <c:order val="1"/>
          <c:tx>
            <c:strRef>
              <c:f>'Доля населения мл-труд-старше'!$Q$79</c:f>
              <c:strCache>
                <c:ptCount val="1"/>
                <c:pt idx="0">
                  <c:v>Трудоспособное</c:v>
                </c:pt>
              </c:strCache>
            </c:strRef>
          </c:tx>
          <c:invertIfNegative val="0"/>
          <c:cat>
            <c:strRef>
              <c:f>'Доля населения мл-труд-старше'!$R$77:$T$77</c:f>
              <c:strCache>
                <c:ptCount val="3"/>
                <c:pt idx="0">
                  <c:v>Камышлинский р-он</c:v>
                </c:pt>
                <c:pt idx="1">
                  <c:v>Самарская обл.</c:v>
                </c:pt>
                <c:pt idx="2">
                  <c:v>РФ</c:v>
                </c:pt>
              </c:strCache>
            </c:strRef>
          </c:cat>
          <c:val>
            <c:numRef>
              <c:f>'Доля населения мл-труд-старше'!$R$79:$T$79</c:f>
              <c:numCache>
                <c:formatCode>General</c:formatCode>
                <c:ptCount val="3"/>
                <c:pt idx="0">
                  <c:v>54.5</c:v>
                </c:pt>
                <c:pt idx="1">
                  <c:v>54.518349130539249</c:v>
                </c:pt>
                <c:pt idx="2">
                  <c:v>54.291538705919891</c:v>
                </c:pt>
              </c:numCache>
            </c:numRef>
          </c:val>
        </c:ser>
        <c:ser>
          <c:idx val="2"/>
          <c:order val="2"/>
          <c:tx>
            <c:strRef>
              <c:f>'Доля населения мл-труд-старше'!$Q$80</c:f>
              <c:strCache>
                <c:ptCount val="1"/>
                <c:pt idx="0">
                  <c:v>Старше трудоспособного</c:v>
                </c:pt>
              </c:strCache>
            </c:strRef>
          </c:tx>
          <c:spPr>
            <a:solidFill>
              <a:schemeClr val="bg1">
                <a:lumMod val="85000"/>
              </a:schemeClr>
            </a:solidFill>
          </c:spPr>
          <c:invertIfNegative val="0"/>
          <c:cat>
            <c:strRef>
              <c:f>'Доля населения мл-труд-старше'!$R$77:$T$77</c:f>
              <c:strCache>
                <c:ptCount val="3"/>
                <c:pt idx="0">
                  <c:v>Камышлинский р-он</c:v>
                </c:pt>
                <c:pt idx="1">
                  <c:v>Самарская обл.</c:v>
                </c:pt>
                <c:pt idx="2">
                  <c:v>РФ</c:v>
                </c:pt>
              </c:strCache>
            </c:strRef>
          </c:cat>
          <c:val>
            <c:numRef>
              <c:f>'Доля населения мл-труд-старше'!$R$80:$T$80</c:f>
              <c:numCache>
                <c:formatCode>General</c:formatCode>
                <c:ptCount val="3"/>
                <c:pt idx="0">
                  <c:v>26.9</c:v>
                </c:pt>
                <c:pt idx="1">
                  <c:v>27.647541770678227</c:v>
                </c:pt>
                <c:pt idx="2">
                  <c:v>25.542730064598089</c:v>
                </c:pt>
              </c:numCache>
            </c:numRef>
          </c:val>
        </c:ser>
        <c:dLbls>
          <c:showLegendKey val="0"/>
          <c:showVal val="0"/>
          <c:showCatName val="0"/>
          <c:showSerName val="0"/>
          <c:showPercent val="0"/>
          <c:showBubbleSize val="0"/>
        </c:dLbls>
        <c:gapWidth val="150"/>
        <c:axId val="134734976"/>
        <c:axId val="134736512"/>
      </c:barChart>
      <c:catAx>
        <c:axId val="134734976"/>
        <c:scaling>
          <c:orientation val="minMax"/>
        </c:scaling>
        <c:delete val="0"/>
        <c:axPos val="b"/>
        <c:numFmt formatCode="General" sourceLinked="1"/>
        <c:majorTickMark val="none"/>
        <c:minorTickMark val="none"/>
        <c:tickLblPos val="nextTo"/>
        <c:txPr>
          <a:bodyPr/>
          <a:lstStyle/>
          <a:p>
            <a:pPr>
              <a:defRPr sz="800" baseline="0"/>
            </a:pPr>
            <a:endParaRPr lang="ru-RU"/>
          </a:p>
        </c:txPr>
        <c:crossAx val="134736512"/>
        <c:crosses val="autoZero"/>
        <c:auto val="1"/>
        <c:lblAlgn val="ctr"/>
        <c:lblOffset val="100"/>
        <c:noMultiLvlLbl val="0"/>
      </c:catAx>
      <c:valAx>
        <c:axId val="134736512"/>
        <c:scaling>
          <c:orientation val="minMax"/>
        </c:scaling>
        <c:delete val="0"/>
        <c:axPos val="l"/>
        <c:numFmt formatCode="General" sourceLinked="1"/>
        <c:majorTickMark val="none"/>
        <c:minorTickMark val="none"/>
        <c:tickLblPos val="nextTo"/>
        <c:crossAx val="134734976"/>
        <c:crosses val="autoZero"/>
        <c:crossBetween val="between"/>
      </c:valAx>
    </c:plotArea>
    <c:legend>
      <c:legendPos val="r"/>
      <c:overlay val="0"/>
      <c:txPr>
        <a:bodyPr/>
        <a:lstStyle/>
        <a:p>
          <a:pPr>
            <a:defRPr sz="800" baseline="0"/>
          </a:pPr>
          <a:endParaRPr lang="ru-RU"/>
        </a:p>
      </c:txPr>
    </c:legend>
    <c:plotVisOnly val="1"/>
    <c:dispBlanksAs val="gap"/>
    <c:showDLblsOverMax val="0"/>
  </c:chart>
  <c:spPr>
    <a:ln>
      <a:solidFill>
        <a:schemeClr val="tx2">
          <a:lumMod val="75000"/>
        </a:schemeClr>
      </a:solidFill>
    </a:ln>
  </c:spPr>
  <c:txPr>
    <a:bodyPr/>
    <a:lstStyle/>
    <a:p>
      <a:pPr>
        <a:defRPr baseline="0">
          <a:solidFill>
            <a:sysClr val="windowText" lastClr="000000"/>
          </a:solidFill>
          <a:latin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79799473884671"/>
          <c:y val="4.9119295729297803E-2"/>
          <c:w val="0.79742433770581822"/>
          <c:h val="0.88537511324344065"/>
        </c:manualLayout>
      </c:layout>
      <c:barChart>
        <c:barDir val="col"/>
        <c:grouping val="clustered"/>
        <c:varyColors val="0"/>
        <c:ser>
          <c:idx val="0"/>
          <c:order val="0"/>
          <c:spPr>
            <a:solidFill>
              <a:srgbClr val="376092"/>
            </a:solidFill>
          </c:spPr>
          <c:invertIfNegative val="0"/>
          <c:dLbls>
            <c:dLbl>
              <c:idx val="3"/>
              <c:layout>
                <c:manualLayout>
                  <c:x val="0"/>
                  <c:y val="2.0676011138346283E-2"/>
                </c:manualLayout>
              </c:layout>
              <c:dLblPos val="outEnd"/>
              <c:showLegendKey val="0"/>
              <c:showVal val="1"/>
              <c:showCatName val="0"/>
              <c:showSerName val="0"/>
              <c:showPercent val="0"/>
              <c:showBubbleSize val="0"/>
            </c:dLbl>
            <c:txPr>
              <a:bodyPr/>
              <a:lstStyle/>
              <a:p>
                <a:pPr>
                  <a:defRPr sz="10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Миграция!$A$65:$A$68</c:f>
              <c:strCache>
                <c:ptCount val="4"/>
                <c:pt idx="0">
                  <c:v>Миграция-всего</c:v>
                </c:pt>
                <c:pt idx="1">
                  <c:v>внутрирегиональная</c:v>
                </c:pt>
                <c:pt idx="2">
                  <c:v>межрегиональная</c:v>
                </c:pt>
                <c:pt idx="3">
                  <c:v>международная</c:v>
                </c:pt>
              </c:strCache>
            </c:strRef>
          </c:cat>
          <c:val>
            <c:numRef>
              <c:f>Миграция!$B$65:$B$68</c:f>
              <c:numCache>
                <c:formatCode>General</c:formatCode>
                <c:ptCount val="4"/>
                <c:pt idx="0">
                  <c:v>-68</c:v>
                </c:pt>
                <c:pt idx="1">
                  <c:v>-35</c:v>
                </c:pt>
                <c:pt idx="2">
                  <c:v>-48</c:v>
                </c:pt>
                <c:pt idx="3">
                  <c:v>15</c:v>
                </c:pt>
              </c:numCache>
            </c:numRef>
          </c:val>
        </c:ser>
        <c:dLbls>
          <c:showLegendKey val="0"/>
          <c:showVal val="0"/>
          <c:showCatName val="0"/>
          <c:showSerName val="0"/>
          <c:showPercent val="0"/>
          <c:showBubbleSize val="0"/>
        </c:dLbls>
        <c:gapWidth val="150"/>
        <c:overlap val="-25"/>
        <c:axId val="153209472"/>
        <c:axId val="153211264"/>
      </c:barChart>
      <c:catAx>
        <c:axId val="153209472"/>
        <c:scaling>
          <c:orientation val="minMax"/>
        </c:scaling>
        <c:delete val="0"/>
        <c:axPos val="b"/>
        <c:numFmt formatCode="General" sourceLinked="1"/>
        <c:majorTickMark val="none"/>
        <c:minorTickMark val="none"/>
        <c:tickLblPos val="nextTo"/>
        <c:txPr>
          <a:bodyPr rot="-2700000" vert="horz"/>
          <a:lstStyle/>
          <a:p>
            <a:pPr>
              <a:defRPr sz="801" b="0" i="0" u="none" strike="noStrike" baseline="0">
                <a:solidFill>
                  <a:srgbClr val="000000"/>
                </a:solidFill>
                <a:latin typeface="Times New Roman"/>
                <a:ea typeface="Times New Roman"/>
                <a:cs typeface="Times New Roman"/>
              </a:defRPr>
            </a:pPr>
            <a:endParaRPr lang="ru-RU"/>
          </a:p>
        </c:txPr>
        <c:crossAx val="153211264"/>
        <c:crosses val="autoZero"/>
        <c:auto val="1"/>
        <c:lblAlgn val="ctr"/>
        <c:lblOffset val="100"/>
        <c:noMultiLvlLbl val="0"/>
      </c:catAx>
      <c:valAx>
        <c:axId val="153211264"/>
        <c:scaling>
          <c:orientation val="minMax"/>
        </c:scaling>
        <c:delete val="1"/>
        <c:axPos val="l"/>
        <c:numFmt formatCode="General" sourceLinked="1"/>
        <c:majorTickMark val="out"/>
        <c:minorTickMark val="none"/>
        <c:tickLblPos val="none"/>
        <c:crossAx val="153209472"/>
        <c:crosses val="autoZero"/>
        <c:crossBetween val="between"/>
      </c:valAx>
      <c:spPr>
        <a:solidFill>
          <a:schemeClr val="accent1">
            <a:lumMod val="40000"/>
            <a:lumOff val="60000"/>
          </a:schemeClr>
        </a:solidFill>
      </c:spPr>
    </c:plotArea>
    <c:plotVisOnly val="1"/>
    <c:dispBlanksAs val="gap"/>
    <c:showDLblsOverMax val="0"/>
  </c:chart>
  <c:spPr>
    <a:noFill/>
  </c:spPr>
  <c:txPr>
    <a:bodyPr/>
    <a:lstStyle/>
    <a:p>
      <a:pPr>
        <a:defRPr sz="1001"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58163925135319"/>
          <c:y val="1.9502170240516547E-2"/>
          <c:w val="0.86241028916611551"/>
          <c:h val="0.89369906736120264"/>
        </c:manualLayout>
      </c:layout>
      <c:barChart>
        <c:barDir val="col"/>
        <c:grouping val="clustered"/>
        <c:varyColors val="0"/>
        <c:ser>
          <c:idx val="0"/>
          <c:order val="0"/>
          <c:spPr>
            <a:solidFill>
              <a:srgbClr val="376092"/>
            </a:solidFill>
          </c:spPr>
          <c:invertIfNegative val="0"/>
          <c:dLbls>
            <c:dLbl>
              <c:idx val="1"/>
              <c:layout>
                <c:manualLayout>
                  <c:x val="0"/>
                  <c:y val="1.66492260872614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Миграция!$A$43:$A$46</c:f>
              <c:strCache>
                <c:ptCount val="4"/>
                <c:pt idx="0">
                  <c:v>Миграция-всего</c:v>
                </c:pt>
                <c:pt idx="1">
                  <c:v>внутрирегиональная</c:v>
                </c:pt>
                <c:pt idx="2">
                  <c:v>межрегиональная</c:v>
                </c:pt>
                <c:pt idx="3">
                  <c:v>международная</c:v>
                </c:pt>
              </c:strCache>
            </c:strRef>
          </c:cat>
          <c:val>
            <c:numRef>
              <c:f>Миграция!$B$43:$B$46</c:f>
              <c:numCache>
                <c:formatCode>General</c:formatCode>
                <c:ptCount val="4"/>
                <c:pt idx="0">
                  <c:v>-5</c:v>
                </c:pt>
                <c:pt idx="1">
                  <c:v>-26</c:v>
                </c:pt>
                <c:pt idx="2">
                  <c:v>38</c:v>
                </c:pt>
                <c:pt idx="3">
                  <c:v>-17</c:v>
                </c:pt>
              </c:numCache>
            </c:numRef>
          </c:val>
        </c:ser>
        <c:dLbls>
          <c:showLegendKey val="0"/>
          <c:showVal val="1"/>
          <c:showCatName val="0"/>
          <c:showSerName val="0"/>
          <c:showPercent val="0"/>
          <c:showBubbleSize val="0"/>
        </c:dLbls>
        <c:gapWidth val="150"/>
        <c:overlap val="-25"/>
        <c:axId val="153213952"/>
        <c:axId val="229459456"/>
      </c:barChart>
      <c:catAx>
        <c:axId val="153213952"/>
        <c:scaling>
          <c:orientation val="minMax"/>
        </c:scaling>
        <c:delete val="0"/>
        <c:axPos val="b"/>
        <c:majorTickMark val="none"/>
        <c:minorTickMark val="none"/>
        <c:tickLblPos val="nextTo"/>
        <c:txPr>
          <a:bodyPr/>
          <a:lstStyle/>
          <a:p>
            <a:pPr>
              <a:defRPr sz="800" baseline="0"/>
            </a:pPr>
            <a:endParaRPr lang="ru-RU"/>
          </a:p>
        </c:txPr>
        <c:crossAx val="229459456"/>
        <c:crosses val="autoZero"/>
        <c:auto val="1"/>
        <c:lblAlgn val="ctr"/>
        <c:lblOffset val="100"/>
        <c:noMultiLvlLbl val="0"/>
      </c:catAx>
      <c:valAx>
        <c:axId val="229459456"/>
        <c:scaling>
          <c:orientation val="minMax"/>
        </c:scaling>
        <c:delete val="1"/>
        <c:axPos val="l"/>
        <c:numFmt formatCode="General" sourceLinked="1"/>
        <c:majorTickMark val="none"/>
        <c:minorTickMark val="none"/>
        <c:tickLblPos val="none"/>
        <c:crossAx val="153213952"/>
        <c:crosses val="autoZero"/>
        <c:crossBetween val="between"/>
      </c:valAx>
      <c:spPr>
        <a:solidFill>
          <a:schemeClr val="tx2">
            <a:lumMod val="20000"/>
            <a:lumOff val="80000"/>
          </a:schemeClr>
        </a:solidFill>
      </c:spPr>
    </c:plotArea>
    <c:plotVisOnly val="1"/>
    <c:dispBlanksAs val="gap"/>
    <c:showDLblsOverMax val="0"/>
  </c:chart>
  <c:spPr>
    <a:noFill/>
  </c:spPr>
  <c:txPr>
    <a:bodyPr/>
    <a:lstStyle/>
    <a:p>
      <a:pPr>
        <a:defRPr baseline="0">
          <a:latin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6.9666331639332016E-2"/>
          <c:y val="0.63638835743305711"/>
          <c:w val="0.84871330345563811"/>
          <c:h val="0.36232973298473325"/>
        </c:manualLayout>
      </c:layout>
      <c:pie3DChart>
        <c:varyColors val="1"/>
        <c:ser>
          <c:idx val="0"/>
          <c:order val="0"/>
          <c:spPr>
            <a:gradFill>
              <a:gsLst>
                <a:gs pos="0">
                  <a:schemeClr val="tx2">
                    <a:lumMod val="75000"/>
                  </a:schemeClr>
                </a:gs>
                <a:gs pos="53000">
                  <a:srgbClr val="D4DEFF"/>
                </a:gs>
                <a:gs pos="83000">
                  <a:srgbClr val="D4DEFF"/>
                </a:gs>
                <a:gs pos="100000">
                  <a:srgbClr val="96AB94"/>
                </a:gs>
              </a:gsLst>
              <a:lin ang="5400000" scaled="0"/>
            </a:gradFill>
          </c:spPr>
          <c:explosion val="25"/>
          <c:dPt>
            <c:idx val="0"/>
            <c:bubble3D val="0"/>
            <c:spPr>
              <a:solidFill>
                <a:srgbClr val="C50000"/>
              </a:solidFill>
            </c:spPr>
          </c:dPt>
          <c:dPt>
            <c:idx val="1"/>
            <c:bubble3D val="0"/>
            <c:spPr>
              <a:solidFill>
                <a:srgbClr val="376092"/>
              </a:solidFill>
            </c:spPr>
          </c:dPt>
          <c:dPt>
            <c:idx val="2"/>
            <c:bubble3D val="0"/>
            <c:spPr>
              <a:solidFill>
                <a:srgbClr val="7F7F7F"/>
              </a:solidFill>
            </c:spPr>
          </c:dPt>
          <c:dPt>
            <c:idx val="3"/>
            <c:bubble3D val="0"/>
            <c:spPr>
              <a:solidFill>
                <a:srgbClr val="C50000"/>
              </a:solidFill>
            </c:spPr>
          </c:dPt>
          <c:dPt>
            <c:idx val="4"/>
            <c:bubble3D val="0"/>
            <c:spPr>
              <a:solidFill>
                <a:srgbClr val="376092"/>
              </a:solidFill>
            </c:spPr>
          </c:dPt>
          <c:dPt>
            <c:idx val="5"/>
            <c:bubble3D val="0"/>
            <c:spPr>
              <a:solidFill>
                <a:srgbClr val="7F7F7F"/>
              </a:solidFill>
            </c:spPr>
          </c:dPt>
          <c:dPt>
            <c:idx val="6"/>
            <c:bubble3D val="0"/>
            <c:spPr>
              <a:solidFill>
                <a:srgbClr val="C50000"/>
              </a:solidFill>
            </c:spPr>
          </c:dPt>
          <c:dPt>
            <c:idx val="7"/>
            <c:bubble3D val="0"/>
            <c:spPr>
              <a:solidFill>
                <a:srgbClr val="376092"/>
              </a:solidFill>
            </c:spPr>
          </c:dPt>
          <c:dPt>
            <c:idx val="8"/>
            <c:bubble3D val="0"/>
            <c:spPr>
              <a:solidFill>
                <a:srgbClr val="7F7F7F"/>
              </a:solidFill>
            </c:spPr>
          </c:dPt>
          <c:dPt>
            <c:idx val="9"/>
            <c:bubble3D val="0"/>
            <c:spPr>
              <a:solidFill>
                <a:srgbClr val="C50000"/>
              </a:solidFill>
            </c:spPr>
          </c:dPt>
          <c:dPt>
            <c:idx val="10"/>
            <c:bubble3D val="0"/>
            <c:spPr>
              <a:solidFill>
                <a:srgbClr val="376092"/>
              </a:solidFill>
            </c:spPr>
          </c:dPt>
          <c:dLbls>
            <c:showLegendKey val="0"/>
            <c:showVal val="0"/>
            <c:showCatName val="0"/>
            <c:showSerName val="0"/>
            <c:showPercent val="1"/>
            <c:showBubbleSize val="0"/>
            <c:showLeaderLines val="1"/>
          </c:dLbls>
          <c:cat>
            <c:strRef>
              <c:f>Организации!$A$1:$A$11</c:f>
              <c:strCache>
                <c:ptCount val="11"/>
                <c:pt idx="0">
                  <c:v>24% государственное управление и обеспечение военной безопасности; социальное страхование</c:v>
                </c:pt>
                <c:pt idx="1">
                  <c:v>24% предоставление коммунальных, социальных  и персональных услуг</c:v>
                </c:pt>
                <c:pt idx="2">
                  <c:v>12% операции с недвижимым имуществом, аренда и предоставление услуг</c:v>
                </c:pt>
                <c:pt idx="3">
                  <c:v>11% оптовая и розничная торговля; ремонт автотранспортных ср-в, мотоциклов, бытовых изделий и предметов личного пользования</c:v>
                </c:pt>
                <c:pt idx="4">
                  <c:v>9% сельское хозяйство, охота и лесное хозяйство</c:v>
                </c:pt>
                <c:pt idx="5">
                  <c:v>5% образование</c:v>
                </c:pt>
                <c:pt idx="6">
                  <c:v>5% транспорт, связь, строительство</c:v>
                </c:pt>
                <c:pt idx="7">
                  <c:v>4% производство и распределение электроэнергии, газа и воды</c:v>
                </c:pt>
                <c:pt idx="8">
                  <c:v>4% здравоохранение и предоставление социальных услуг</c:v>
                </c:pt>
                <c:pt idx="9">
                  <c:v>1% обрабатывающие производства</c:v>
                </c:pt>
                <c:pt idx="10">
                  <c:v>1% гостиницы и рестораны</c:v>
                </c:pt>
              </c:strCache>
            </c:strRef>
          </c:cat>
          <c:val>
            <c:numRef>
              <c:f>Организации!$B$1:$B$11</c:f>
              <c:numCache>
                <c:formatCode>General</c:formatCode>
                <c:ptCount val="11"/>
                <c:pt idx="0">
                  <c:v>27</c:v>
                </c:pt>
                <c:pt idx="1">
                  <c:v>27</c:v>
                </c:pt>
                <c:pt idx="2">
                  <c:v>14</c:v>
                </c:pt>
                <c:pt idx="3">
                  <c:v>12</c:v>
                </c:pt>
                <c:pt idx="4">
                  <c:v>10</c:v>
                </c:pt>
                <c:pt idx="5">
                  <c:v>6</c:v>
                </c:pt>
                <c:pt idx="6">
                  <c:v>5</c:v>
                </c:pt>
                <c:pt idx="7">
                  <c:v>4</c:v>
                </c:pt>
                <c:pt idx="8">
                  <c:v>3</c:v>
                </c:pt>
                <c:pt idx="9">
                  <c:v>2</c:v>
                </c:pt>
                <c:pt idx="10">
                  <c:v>1</c:v>
                </c:pt>
              </c:numCache>
            </c:numRef>
          </c:val>
        </c:ser>
        <c:dLbls>
          <c:showLegendKey val="0"/>
          <c:showVal val="0"/>
          <c:showCatName val="0"/>
          <c:showSerName val="0"/>
          <c:showPercent val="0"/>
          <c:showBubbleSize val="0"/>
          <c:showLeaderLines val="1"/>
        </c:dLbls>
      </c:pie3DChart>
      <c:spPr>
        <a:noFill/>
        <a:ln w="25398">
          <a:noFill/>
        </a:ln>
      </c:spPr>
    </c:plotArea>
    <c:legend>
      <c:legendPos val="t"/>
      <c:layout>
        <c:manualLayout>
          <c:xMode val="edge"/>
          <c:yMode val="edge"/>
          <c:x val="1.2900556473210721E-2"/>
          <c:y val="0.12396078031835669"/>
          <c:w val="0.9714685867932481"/>
          <c:h val="0.53467196452569243"/>
        </c:manualLayout>
      </c:layout>
      <c:overlay val="0"/>
    </c:legend>
    <c:plotVisOnly val="1"/>
    <c:dispBlanksAs val="zero"/>
    <c:showDLblsOverMax val="0"/>
  </c:chart>
  <c:txPr>
    <a:bodyPr/>
    <a:lstStyle/>
    <a:p>
      <a:pPr>
        <a:defRPr sz="800" baseline="0"/>
      </a:pPr>
      <a:endParaRPr lang="ru-RU"/>
    </a:p>
  </c:txPr>
  <c:externalData r:id="rId2">
    <c:autoUpdate val="0"/>
  </c:externalData>
</c:chartSpace>
</file>

<file path=word/drawings/_rels/drawing7.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0.49623</cdr:x>
      <cdr:y>0.15686</cdr:y>
    </cdr:from>
    <cdr:to>
      <cdr:x>0.50066</cdr:x>
      <cdr:y>0.85911</cdr:y>
    </cdr:to>
    <cdr:cxnSp macro="">
      <cdr:nvCxnSpPr>
        <cdr:cNvPr id="3" name="Прямая соединительная линия 2"/>
        <cdr:cNvCxnSpPr/>
      </cdr:nvCxnSpPr>
      <cdr:spPr>
        <a:xfrm xmlns:a="http://schemas.openxmlformats.org/drawingml/2006/main">
          <a:off x="1302025" y="486465"/>
          <a:ext cx="11606" cy="2177939"/>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0.68315</cdr:x>
      <cdr:y>0.954</cdr:y>
    </cdr:from>
    <cdr:to>
      <cdr:x>0.91131</cdr:x>
      <cdr:y>1</cdr:y>
    </cdr:to>
    <cdr:sp macro="" textlink="">
      <cdr:nvSpPr>
        <cdr:cNvPr id="8" name="TextBox 1"/>
        <cdr:cNvSpPr txBox="1"/>
      </cdr:nvSpPr>
      <cdr:spPr>
        <a:xfrm xmlns:a="http://schemas.openxmlformats.org/drawingml/2006/main">
          <a:off x="3194937" y="3975500"/>
          <a:ext cx="1067035" cy="1916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i="1">
              <a:latin typeface="Times New Roman" pitchFamily="18" charset="0"/>
              <a:cs typeface="Times New Roman" pitchFamily="18" charset="0"/>
            </a:rPr>
            <a:t>Среднее: 34,7%</a:t>
          </a:r>
        </a:p>
      </cdr:txBody>
    </cdr:sp>
  </cdr:relSizeAnchor>
  <cdr:relSizeAnchor xmlns:cdr="http://schemas.openxmlformats.org/drawingml/2006/chartDrawing">
    <cdr:from>
      <cdr:x>0.78917</cdr:x>
      <cdr:y>0.93363</cdr:y>
    </cdr:from>
    <cdr:to>
      <cdr:x>0.81552</cdr:x>
      <cdr:y>0.95882</cdr:y>
    </cdr:to>
    <cdr:sp macro="" textlink="">
      <cdr:nvSpPr>
        <cdr:cNvPr id="9" name="Равнобедренный треугольник 8"/>
        <cdr:cNvSpPr/>
      </cdr:nvSpPr>
      <cdr:spPr>
        <a:xfrm xmlns:a="http://schemas.openxmlformats.org/drawingml/2006/main">
          <a:off x="3690765" y="3890612"/>
          <a:ext cx="123261" cy="104977"/>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endParaRPr lang="ru-RU" sz="1200" b="1">
            <a:latin typeface="Times New Roman" pitchFamily="18" charset="0"/>
            <a:cs typeface="Times New Roman"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0.10735</cdr:x>
      <cdr:y>0.05468</cdr:y>
    </cdr:from>
    <cdr:to>
      <cdr:x>0.11023</cdr:x>
      <cdr:y>0.81397</cdr:y>
    </cdr:to>
    <cdr:cxnSp macro="">
      <cdr:nvCxnSpPr>
        <cdr:cNvPr id="3" name="Прямая соединительная линия 2"/>
        <cdr:cNvCxnSpPr/>
      </cdr:nvCxnSpPr>
      <cdr:spPr>
        <a:xfrm xmlns:a="http://schemas.openxmlformats.org/drawingml/2006/main">
          <a:off x="556230" y="178134"/>
          <a:ext cx="14923" cy="2473425"/>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0.07978</cdr:x>
      <cdr:y>0.82318</cdr:y>
    </cdr:from>
    <cdr:to>
      <cdr:x>0.90813</cdr:x>
      <cdr:y>0.82657</cdr:y>
    </cdr:to>
    <cdr:cxnSp macro="">
      <cdr:nvCxnSpPr>
        <cdr:cNvPr id="6" name="Прямая соединительная линия 5"/>
        <cdr:cNvCxnSpPr/>
      </cdr:nvCxnSpPr>
      <cdr:spPr>
        <a:xfrm xmlns:a="http://schemas.openxmlformats.org/drawingml/2006/main" flipV="1">
          <a:off x="413402" y="2681555"/>
          <a:ext cx="4292162" cy="11029"/>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0.63555</cdr:x>
      <cdr:y>0.88672</cdr:y>
    </cdr:from>
    <cdr:to>
      <cdr:x>0.66599</cdr:x>
      <cdr:y>0.92167</cdr:y>
    </cdr:to>
    <cdr:sp macro="" textlink="">
      <cdr:nvSpPr>
        <cdr:cNvPr id="3" name="Равнобедренный треугольник 2"/>
        <cdr:cNvSpPr/>
      </cdr:nvSpPr>
      <cdr:spPr>
        <a:xfrm xmlns:a="http://schemas.openxmlformats.org/drawingml/2006/main">
          <a:off x="3503613" y="4626201"/>
          <a:ext cx="158730" cy="169172"/>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0.58806</cdr:x>
      <cdr:y>0.9203</cdr:y>
    </cdr:from>
    <cdr:to>
      <cdr:x>0.81521</cdr:x>
      <cdr:y>0.98067</cdr:y>
    </cdr:to>
    <cdr:sp macro="" textlink="">
      <cdr:nvSpPr>
        <cdr:cNvPr id="4" name="TextBox 1"/>
        <cdr:cNvSpPr txBox="1"/>
      </cdr:nvSpPr>
      <cdr:spPr>
        <a:xfrm xmlns:a="http://schemas.openxmlformats.org/drawingml/2006/main">
          <a:off x="3256983" y="4788278"/>
          <a:ext cx="1177576" cy="2916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i="1">
              <a:latin typeface="Times New Roman" pitchFamily="18" charset="0"/>
              <a:cs typeface="Times New Roman" pitchFamily="18" charset="0"/>
            </a:rPr>
            <a:t>Среднее: 22,7 </a:t>
          </a:r>
        </a:p>
      </cdr:txBody>
    </cdr:sp>
  </cdr:relSizeAnchor>
  <cdr:relSizeAnchor xmlns:cdr="http://schemas.openxmlformats.org/drawingml/2006/chartDrawing">
    <cdr:from>
      <cdr:x>0</cdr:x>
      <cdr:y>0</cdr:y>
    </cdr:from>
    <cdr:to>
      <cdr:x>1</cdr:x>
      <cdr:y>0.14056</cdr:y>
    </cdr:to>
    <cdr:sp macro="" textlink="">
      <cdr:nvSpPr>
        <cdr:cNvPr id="5" name="Прямоугольник 4"/>
        <cdr:cNvSpPr>
          <a:spLocks xmlns:a="http://schemas.openxmlformats.org/drawingml/2006/main" noChangeArrowheads="1"/>
        </cdr:cNvSpPr>
      </cdr:nvSpPr>
      <cdr:spPr bwMode="auto">
        <a:xfrm xmlns:a="http://schemas.openxmlformats.org/drawingml/2006/main">
          <a:off x="0" y="0"/>
          <a:ext cx="4847981" cy="592260"/>
        </a:xfrm>
        <a:prstGeom xmlns:a="http://schemas.openxmlformats.org/drawingml/2006/main" prst="rect">
          <a:avLst/>
        </a:prstGeom>
        <a:solidFill xmlns:a="http://schemas.openxmlformats.org/drawingml/2006/main">
          <a:srgbClr val="365F91"/>
        </a:solidFill>
        <a:ln xmlns:a="http://schemas.openxmlformats.org/drawingml/2006/main" w="9525">
          <a:solidFill>
            <a:srgbClr val="365F91"/>
          </a:solid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15000"/>
            </a:lnSpc>
            <a:spcAft>
              <a:spcPts val="1000"/>
            </a:spcAft>
          </a:pPr>
          <a:r>
            <a:rPr lang="ru-RU" sz="1000" b="1">
              <a:solidFill>
                <a:srgbClr val="FFFFFF"/>
              </a:solidFill>
              <a:effectLst/>
              <a:latin typeface="Times New Roman"/>
              <a:ea typeface="Calibri"/>
              <a:cs typeface="Times New Roman"/>
            </a:rPr>
            <a:t>Камышлинский район занимает 12 место по  зарегистрированным правонарушениям среди  районов Самарской области на 100 тыс. населения в 2016 году</a:t>
          </a:r>
          <a:endParaRPr lang="ru-RU" sz="1000">
            <a:effectLst/>
            <a:latin typeface="Calibri"/>
            <a:ea typeface="Calibri"/>
            <a:cs typeface="Times New Roman"/>
          </a:endParaRPr>
        </a:p>
        <a:p xmlns:a="http://schemas.openxmlformats.org/drawingml/2006/main">
          <a:pPr algn="ctr">
            <a:lnSpc>
              <a:spcPct val="115000"/>
            </a:lnSpc>
            <a:spcAft>
              <a:spcPts val="0"/>
            </a:spcAft>
          </a:pPr>
          <a:r>
            <a:rPr lang="ru-RU" sz="1100" b="1">
              <a:solidFill>
                <a:srgbClr val="FFFFFF"/>
              </a:solidFill>
              <a:effectLst/>
              <a:latin typeface="Times New Roman"/>
              <a:ea typeface="Calibri"/>
              <a:cs typeface="Times New Roman"/>
            </a:rPr>
            <a:t> </a:t>
          </a:r>
          <a:endParaRPr lang="ru-RU" sz="1100">
            <a:effectLst/>
            <a:latin typeface="Calibri"/>
            <a:ea typeface="Calibri"/>
            <a:cs typeface="Times New Roman"/>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1</cdr:x>
      <cdr:y>0.23251</cdr:y>
    </cdr:to>
    <cdr:sp macro="" textlink="">
      <cdr:nvSpPr>
        <cdr:cNvPr id="3" name="Прямоугольник 2"/>
        <cdr:cNvSpPr>
          <a:spLocks xmlns:a="http://schemas.openxmlformats.org/drawingml/2006/main" noChangeArrowheads="1"/>
        </cdr:cNvSpPr>
      </cdr:nvSpPr>
      <cdr:spPr bwMode="auto">
        <a:xfrm xmlns:a="http://schemas.openxmlformats.org/drawingml/2006/main">
          <a:off x="0" y="0"/>
          <a:ext cx="4572000" cy="637835"/>
        </a:xfrm>
        <a:prstGeom xmlns:a="http://schemas.openxmlformats.org/drawingml/2006/main" prst="rect">
          <a:avLst/>
        </a:prstGeom>
        <a:solidFill xmlns:a="http://schemas.openxmlformats.org/drawingml/2006/main">
          <a:srgbClr val="365F91"/>
        </a:solidFill>
        <a:ln xmlns:a="http://schemas.openxmlformats.org/drawingml/2006/main" w="9525">
          <a:solidFill>
            <a:srgbClr val="365F91"/>
          </a:solid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15000"/>
            </a:lnSpc>
            <a:spcAft>
              <a:spcPts val="0"/>
            </a:spcAft>
          </a:pPr>
          <a:r>
            <a:rPr lang="ru-RU" sz="1000" b="1">
              <a:solidFill>
                <a:srgbClr val="FFFFFF"/>
              </a:solidFill>
              <a:effectLst/>
              <a:latin typeface="Times New Roman"/>
              <a:ea typeface="Calibri"/>
              <a:cs typeface="Times New Roman"/>
            </a:rPr>
            <a:t>Число зарегистрированных преступлений Камышлинского муниципального района Самарской области на 100 тыс. населения с 2006 по 2016 годы</a:t>
          </a:r>
          <a:endParaRPr lang="ru-RU" sz="1000">
            <a:effectLst/>
            <a:latin typeface="Calibri"/>
            <a:ea typeface="Calibri"/>
            <a:cs typeface="Times New Roman"/>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0.00365</cdr:x>
      <cdr:y>0.00629</cdr:y>
    </cdr:from>
    <cdr:to>
      <cdr:x>1</cdr:x>
      <cdr:y>0.19811</cdr:y>
    </cdr:to>
    <cdr:sp macro="" textlink="">
      <cdr:nvSpPr>
        <cdr:cNvPr id="2" name="Прямоугольник 1"/>
        <cdr:cNvSpPr/>
      </cdr:nvSpPr>
      <cdr:spPr>
        <a:xfrm xmlns:a="http://schemas.openxmlformats.org/drawingml/2006/main">
          <a:off x="19050" y="19051"/>
          <a:ext cx="5200650" cy="581024"/>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a:r>
            <a:rPr lang="ru-RU" sz="1200" b="1" i="0" baseline="0">
              <a:solidFill>
                <a:schemeClr val="lt1"/>
              </a:solidFill>
              <a:latin typeface="Times New Roman" pitchFamily="18" charset="0"/>
              <a:ea typeface="+mn-ea"/>
              <a:cs typeface="Times New Roman" pitchFamily="18" charset="0"/>
            </a:rPr>
            <a:t>Сальдированный финансовый результат по всем видам деятельности организаций Камышлинского района в 2012 - 2016 гг., млн. рублей </a:t>
          </a: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0.00238</cdr:y>
    </cdr:from>
    <cdr:to>
      <cdr:x>1</cdr:x>
      <cdr:y>0.12143</cdr:y>
    </cdr:to>
    <cdr:sp macro="" textlink="">
      <cdr:nvSpPr>
        <cdr:cNvPr id="2" name="Прямоугольник 1"/>
        <cdr:cNvSpPr/>
      </cdr:nvSpPr>
      <cdr:spPr>
        <a:xfrm xmlns:a="http://schemas.openxmlformats.org/drawingml/2006/main">
          <a:off x="0" y="9525"/>
          <a:ext cx="5838824" cy="47625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b="1" baseline="0">
              <a:solidFill>
                <a:schemeClr val="lt1"/>
              </a:solidFill>
              <a:latin typeface="Times New Roman" pitchFamily="18" charset="0"/>
              <a:ea typeface="+mn-ea"/>
              <a:cs typeface="Times New Roman" pitchFamily="18" charset="0"/>
            </a:rPr>
            <a:t>Тренд индекса промышленного производства в Камышлинском районе превосходит областную динамику за период с 2013 по 2016 гг</a:t>
          </a:r>
          <a:endParaRPr lang="ru-RU" sz="1000" b="1" baseline="0">
            <a:solidFill>
              <a:schemeClr val="bg1"/>
            </a:solidFill>
            <a:latin typeface="Times New Roman" pitchFamily="18" charset="0"/>
            <a:cs typeface="Times New Roman"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0.00256</cdr:y>
    </cdr:from>
    <cdr:to>
      <cdr:x>0.99638</cdr:x>
      <cdr:y>0.17597</cdr:y>
    </cdr:to>
    <cdr:sp macro="" textlink="">
      <cdr:nvSpPr>
        <cdr:cNvPr id="2" name="Прямоугольник 1"/>
        <cdr:cNvSpPr/>
      </cdr:nvSpPr>
      <cdr:spPr>
        <a:xfrm xmlns:a="http://schemas.openxmlformats.org/drawingml/2006/main">
          <a:off x="0" y="7272"/>
          <a:ext cx="5623070" cy="49259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indent="0" algn="ctr" rtl="0" fontAlgn="base"/>
          <a:r>
            <a:rPr lang="ru-RU" sz="1000" b="1" baseline="0">
              <a:solidFill>
                <a:schemeClr val="lt1"/>
              </a:solidFill>
              <a:latin typeface="Times New Roman" pitchFamily="18" charset="0"/>
              <a:ea typeface="+mn-ea"/>
              <a:cs typeface="Times New Roman" pitchFamily="18" charset="0"/>
            </a:rPr>
            <a:t>Камышлинский район демонстрирует стабильно низкие результаты по валовому сбору и урожайности зерновых и зернобобовых культур,  по производству мяса в 2013-2017 гг</a:t>
          </a:r>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0.99792</cdr:x>
      <cdr:y>0.1905</cdr:y>
    </cdr:to>
    <cdr:sp macro="" textlink="">
      <cdr:nvSpPr>
        <cdr:cNvPr id="3" name="Прямоугольник 2"/>
        <cdr:cNvSpPr/>
      </cdr:nvSpPr>
      <cdr:spPr>
        <a:xfrm xmlns:a="http://schemas.openxmlformats.org/drawingml/2006/main">
          <a:off x="0" y="-94581"/>
          <a:ext cx="5245216" cy="496911"/>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fontAlgn="base"/>
          <a:r>
            <a:rPr lang="ru-RU" sz="1100" b="1">
              <a:solidFill>
                <a:schemeClr val="lt1"/>
              </a:solidFill>
              <a:latin typeface="Times New Roman" pitchFamily="18" charset="0"/>
              <a:ea typeface="+mn-ea"/>
              <a:cs typeface="Times New Roman" pitchFamily="18" charset="0"/>
            </a:rPr>
            <a:t>Динамика роста прибыли </a:t>
          </a:r>
          <a:r>
            <a:rPr lang="ru-RU" sz="1100" b="1" i="0" baseline="0">
              <a:solidFill>
                <a:schemeClr val="lt1"/>
              </a:solidFill>
              <a:latin typeface="Times New Roman" pitchFamily="18" charset="0"/>
              <a:ea typeface="+mn-ea"/>
              <a:cs typeface="Times New Roman" pitchFamily="18" charset="0"/>
            </a:rPr>
            <a:t>(тыс. руб.)</a:t>
          </a:r>
          <a:r>
            <a:rPr lang="ru-RU" sz="1100" b="1">
              <a:solidFill>
                <a:schemeClr val="lt1"/>
              </a:solidFill>
              <a:latin typeface="Times New Roman" pitchFamily="18" charset="0"/>
              <a:ea typeface="+mn-ea"/>
              <a:cs typeface="Times New Roman" pitchFamily="18" charset="0"/>
            </a:rPr>
            <a:t> </a:t>
          </a:r>
          <a:r>
            <a:rPr lang="ru-RU" sz="1100" b="1" i="0" baseline="0">
              <a:solidFill>
                <a:schemeClr val="lt1"/>
              </a:solidFill>
              <a:latin typeface="Times New Roman" pitchFamily="18" charset="0"/>
              <a:ea typeface="+mn-ea"/>
              <a:cs typeface="Times New Roman" pitchFamily="18" charset="0"/>
            </a:rPr>
            <a:t>сельскохозяйственных предприятий Камышлинского района в 2012-2016 гг. </a:t>
          </a:r>
          <a:r>
            <a:rPr lang="ru-RU" sz="1100" b="1">
              <a:solidFill>
                <a:schemeClr val="lt1"/>
              </a:solidFill>
              <a:latin typeface="Times New Roman" pitchFamily="18" charset="0"/>
              <a:ea typeface="+mn-ea"/>
              <a:cs typeface="Times New Roman" pitchFamily="18" charset="0"/>
            </a:rPr>
            <a:t>неустойчива</a:t>
          </a:r>
          <a:endParaRPr lang="ru-RU" sz="1200" b="1" i="0" baseline="0">
            <a:solidFill>
              <a:schemeClr val="lt1"/>
            </a:solidFill>
            <a:latin typeface="Times New Roman" pitchFamily="18" charset="0"/>
            <a:ea typeface="+mn-ea"/>
            <a:cs typeface="Times New Roman"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0.61595</cdr:x>
      <cdr:y>0.94558</cdr:y>
    </cdr:from>
    <cdr:to>
      <cdr:x>0.64467</cdr:x>
      <cdr:y>0.96547</cdr:y>
    </cdr:to>
    <cdr:sp macro="" textlink="">
      <cdr:nvSpPr>
        <cdr:cNvPr id="2" name="Равнобедренный треугольник 1"/>
        <cdr:cNvSpPr/>
      </cdr:nvSpPr>
      <cdr:spPr>
        <a:xfrm xmlns:a="http://schemas.openxmlformats.org/drawingml/2006/main">
          <a:off x="2622535" y="4260153"/>
          <a:ext cx="122280" cy="89611"/>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0.64504</cdr:x>
      <cdr:y>0.9343</cdr:y>
    </cdr:from>
    <cdr:to>
      <cdr:x>0.89361</cdr:x>
      <cdr:y>0.96838</cdr:y>
    </cdr:to>
    <cdr:sp macro="" textlink="">
      <cdr:nvSpPr>
        <cdr:cNvPr id="3" name="TextBox 1"/>
        <cdr:cNvSpPr txBox="1"/>
      </cdr:nvSpPr>
      <cdr:spPr>
        <a:xfrm xmlns:a="http://schemas.openxmlformats.org/drawingml/2006/main">
          <a:off x="2746383" y="4209325"/>
          <a:ext cx="1058330" cy="1535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i="1">
              <a:latin typeface="Times New Roman" pitchFamily="18" charset="0"/>
              <a:cs typeface="Times New Roman" pitchFamily="18" charset="0"/>
            </a:rPr>
            <a:t>Среднее: 51798,3</a:t>
          </a:r>
        </a:p>
      </cdr:txBody>
    </cdr:sp>
  </cdr:relSizeAnchor>
  <cdr:relSizeAnchor xmlns:cdr="http://schemas.openxmlformats.org/drawingml/2006/chartDrawing">
    <cdr:from>
      <cdr:x>0.00224</cdr:x>
      <cdr:y>0.00423</cdr:y>
    </cdr:from>
    <cdr:to>
      <cdr:x>0.99776</cdr:x>
      <cdr:y>0.13701</cdr:y>
    </cdr:to>
    <cdr:sp macro="" textlink="">
      <cdr:nvSpPr>
        <cdr:cNvPr id="4" name="Прямоугольник 3"/>
        <cdr:cNvSpPr/>
      </cdr:nvSpPr>
      <cdr:spPr>
        <a:xfrm xmlns:a="http://schemas.openxmlformats.org/drawingml/2006/main">
          <a:off x="6546" y="19762"/>
          <a:ext cx="2909432" cy="620318"/>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indent="0" algn="ctr" rtl="0"/>
          <a:r>
            <a:rPr lang="ru-RU" sz="1100" b="1" i="0" baseline="0">
              <a:solidFill>
                <a:schemeClr val="lt1"/>
              </a:solidFill>
              <a:latin typeface="Times New Roman" pitchFamily="18" charset="0"/>
              <a:ea typeface="+mn-ea"/>
              <a:cs typeface="Times New Roman" pitchFamily="18" charset="0"/>
            </a:rPr>
            <a:t>Камышлинский район занимает  11  место по обороту розничной торговли на душу</a:t>
          </a:r>
        </a:p>
      </cdr:txBody>
    </cdr:sp>
  </cdr:relSizeAnchor>
</c:userShapes>
</file>

<file path=word/drawings/drawing19.xml><?xml version="1.0" encoding="utf-8"?>
<c:userShapes xmlns:c="http://schemas.openxmlformats.org/drawingml/2006/chart">
  <cdr:relSizeAnchor xmlns:cdr="http://schemas.openxmlformats.org/drawingml/2006/chartDrawing">
    <cdr:from>
      <cdr:x>0</cdr:x>
      <cdr:y>0</cdr:y>
    </cdr:from>
    <cdr:to>
      <cdr:x>0.99772</cdr:x>
      <cdr:y>0.13609</cdr:y>
    </cdr:to>
    <cdr:sp macro="" textlink="">
      <cdr:nvSpPr>
        <cdr:cNvPr id="2" name="Прямоугольник 1"/>
        <cdr:cNvSpPr/>
      </cdr:nvSpPr>
      <cdr:spPr>
        <a:xfrm xmlns:a="http://schemas.openxmlformats.org/drawingml/2006/main">
          <a:off x="0" y="0"/>
          <a:ext cx="3005192" cy="634365"/>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fontAlgn="base"/>
          <a:r>
            <a:rPr lang="ru-RU" sz="1100" b="1" i="0" baseline="0">
              <a:solidFill>
                <a:schemeClr val="lt1"/>
              </a:solidFill>
              <a:latin typeface="Times New Roman" pitchFamily="18" charset="0"/>
              <a:ea typeface="+mn-ea"/>
              <a:cs typeface="Times New Roman" pitchFamily="18" charset="0"/>
            </a:rPr>
            <a:t>Камышлинский район занимает 1 место по обороту </a:t>
          </a:r>
          <a:r>
            <a:rPr lang="ru-RU" sz="1200" b="1" i="0" baseline="0">
              <a:solidFill>
                <a:schemeClr val="lt1"/>
              </a:solidFill>
              <a:latin typeface="Times New Roman" pitchFamily="18" charset="0"/>
              <a:ea typeface="+mn-ea"/>
              <a:cs typeface="Times New Roman" pitchFamily="18" charset="0"/>
            </a:rPr>
            <a:t>общественного</a:t>
          </a:r>
          <a:r>
            <a:rPr lang="ru-RU" sz="1100" b="1" i="0" baseline="0">
              <a:solidFill>
                <a:schemeClr val="lt1"/>
              </a:solidFill>
              <a:latin typeface="Times New Roman" pitchFamily="18" charset="0"/>
              <a:ea typeface="+mn-ea"/>
              <a:cs typeface="Times New Roman" pitchFamily="18" charset="0"/>
            </a:rPr>
            <a:t> питания на душу населения</a:t>
          </a:r>
        </a:p>
      </cdr:txBody>
    </cdr:sp>
  </cdr:relSizeAnchor>
</c:userShapes>
</file>

<file path=word/drawings/drawing2.xml><?xml version="1.0" encoding="utf-8"?>
<c:userShapes xmlns:c="http://schemas.openxmlformats.org/drawingml/2006/chart">
  <cdr:relSizeAnchor xmlns:cdr="http://schemas.openxmlformats.org/drawingml/2006/chartDrawing">
    <cdr:from>
      <cdr:x>0.40865</cdr:x>
      <cdr:y>0.05601</cdr:y>
    </cdr:from>
    <cdr:to>
      <cdr:x>0.40958</cdr:x>
      <cdr:y>0.91651</cdr:y>
    </cdr:to>
    <cdr:cxnSp macro="">
      <cdr:nvCxnSpPr>
        <cdr:cNvPr id="3" name="Прямая соединительная линия 2"/>
        <cdr:cNvCxnSpPr/>
      </cdr:nvCxnSpPr>
      <cdr:spPr>
        <a:xfrm xmlns:a="http://schemas.openxmlformats.org/drawingml/2006/main" flipV="1">
          <a:off x="2300637" y="201974"/>
          <a:ext cx="5235" cy="3103105"/>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0.09203</cdr:x>
      <cdr:y>0.43996</cdr:y>
    </cdr:from>
    <cdr:to>
      <cdr:x>0.90319</cdr:x>
      <cdr:y>0.44588</cdr:y>
    </cdr:to>
    <cdr:cxnSp macro="">
      <cdr:nvCxnSpPr>
        <cdr:cNvPr id="6" name="Прямая соединительная линия 5"/>
        <cdr:cNvCxnSpPr/>
      </cdr:nvCxnSpPr>
      <cdr:spPr>
        <a:xfrm xmlns:a="http://schemas.openxmlformats.org/drawingml/2006/main">
          <a:off x="500323" y="1412242"/>
          <a:ext cx="4409608" cy="18992"/>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0.xml><?xml version="1.0" encoding="utf-8"?>
<c:userShapes xmlns:c="http://schemas.openxmlformats.org/drawingml/2006/chart">
  <cdr:relSizeAnchor xmlns:cdr="http://schemas.openxmlformats.org/drawingml/2006/chartDrawing">
    <cdr:from>
      <cdr:x>0.47967</cdr:x>
      <cdr:y>0.97551</cdr:y>
    </cdr:from>
    <cdr:to>
      <cdr:x>0.50341</cdr:x>
      <cdr:y>0.99574</cdr:y>
    </cdr:to>
    <cdr:sp macro="" textlink="">
      <cdr:nvSpPr>
        <cdr:cNvPr id="3" name="Равнобедренный треугольник 2"/>
        <cdr:cNvSpPr/>
      </cdr:nvSpPr>
      <cdr:spPr>
        <a:xfrm xmlns:a="http://schemas.openxmlformats.org/drawingml/2006/main">
          <a:off x="2488002" y="4846158"/>
          <a:ext cx="123137" cy="100499"/>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0.73846</cdr:x>
      <cdr:y>0.98234</cdr:y>
    </cdr:from>
    <cdr:to>
      <cdr:x>0.81786</cdr:x>
      <cdr:y>0.99839</cdr:y>
    </cdr:to>
    <cdr:sp macro="" textlink="">
      <cdr:nvSpPr>
        <cdr:cNvPr id="4" name="TextBox 3"/>
        <cdr:cNvSpPr txBox="1"/>
      </cdr:nvSpPr>
      <cdr:spPr>
        <a:xfrm xmlns:a="http://schemas.openxmlformats.org/drawingml/2006/main">
          <a:off x="3829051" y="4938794"/>
          <a:ext cx="411674" cy="807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0.51076</cdr:x>
      <cdr:y>0.95579</cdr:y>
    </cdr:from>
    <cdr:to>
      <cdr:x>0.73994</cdr:x>
      <cdr:y>1</cdr:y>
    </cdr:to>
    <cdr:sp macro="" textlink="">
      <cdr:nvSpPr>
        <cdr:cNvPr id="5" name="TextBox 4"/>
        <cdr:cNvSpPr txBox="1"/>
      </cdr:nvSpPr>
      <cdr:spPr>
        <a:xfrm xmlns:a="http://schemas.openxmlformats.org/drawingml/2006/main">
          <a:off x="2649259" y="4758773"/>
          <a:ext cx="1188732" cy="2196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i="1">
              <a:latin typeface="Times New Roman" pitchFamily="18" charset="0"/>
              <a:cs typeface="Times New Roman" pitchFamily="18" charset="0"/>
            </a:rPr>
            <a:t>Среднее: 79,8</a:t>
          </a:r>
        </a:p>
      </cdr:txBody>
    </cdr:sp>
  </cdr:relSizeAnchor>
  <cdr:relSizeAnchor xmlns:cdr="http://schemas.openxmlformats.org/drawingml/2006/chartDrawing">
    <cdr:from>
      <cdr:x>0</cdr:x>
      <cdr:y>2.34541E-7</cdr:y>
    </cdr:from>
    <cdr:to>
      <cdr:x>1</cdr:x>
      <cdr:y>0.10294</cdr:y>
    </cdr:to>
    <cdr:sp macro="" textlink="">
      <cdr:nvSpPr>
        <cdr:cNvPr id="6" name="Прямоугольник 5"/>
        <cdr:cNvSpPr/>
      </cdr:nvSpPr>
      <cdr:spPr>
        <a:xfrm xmlns:a="http://schemas.openxmlformats.org/drawingml/2006/main">
          <a:off x="0" y="1"/>
          <a:ext cx="4978783" cy="438911"/>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a:r>
            <a:rPr lang="ru-RU" sz="1000" b="1" i="0" baseline="0">
              <a:solidFill>
                <a:schemeClr val="lt1"/>
              </a:solidFill>
              <a:latin typeface="Times New Roman" pitchFamily="18" charset="0"/>
              <a:ea typeface="+mn-ea"/>
              <a:cs typeface="Times New Roman" pitchFamily="18" charset="0"/>
            </a:rPr>
            <a:t>Камышлинский район занимает  12  место среди муниципальных районов Самарской области по инвестициям в основной капитал на душу населения</a:t>
          </a:r>
          <a:r>
            <a:rPr lang="ru-RU" sz="1000" b="1" i="0" baseline="30000">
              <a:solidFill>
                <a:schemeClr val="lt1"/>
              </a:solidFill>
              <a:latin typeface="Times New Roman" pitchFamily="18" charset="0"/>
              <a:ea typeface="+mn-ea"/>
              <a:cs typeface="Times New Roman" pitchFamily="18" charset="0"/>
            </a:rPr>
            <a:t>  </a:t>
          </a:r>
          <a:endParaRPr lang="ru-RU" sz="1000">
            <a:latin typeface="Times New Roman" pitchFamily="18" charset="0"/>
            <a:cs typeface="Times New Roman" pitchFamily="18"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cdr:x>
      <cdr:y>0.00298</cdr:y>
    </cdr:from>
    <cdr:to>
      <cdr:x>1</cdr:x>
      <cdr:y>0.12739</cdr:y>
    </cdr:to>
    <cdr:sp macro="" textlink="">
      <cdr:nvSpPr>
        <cdr:cNvPr id="2" name="Прямоугольник 1"/>
        <cdr:cNvSpPr/>
      </cdr:nvSpPr>
      <cdr:spPr>
        <a:xfrm xmlns:a="http://schemas.openxmlformats.org/drawingml/2006/main">
          <a:off x="0" y="11551"/>
          <a:ext cx="5695569" cy="482225"/>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fontAlgn="base"/>
          <a:r>
            <a:rPr lang="ru-RU" sz="1200" b="1" i="0" baseline="0">
              <a:solidFill>
                <a:schemeClr val="lt1"/>
              </a:solidFill>
              <a:latin typeface="Times New Roman" pitchFamily="18" charset="0"/>
              <a:ea typeface="+mn-ea"/>
              <a:cs typeface="Times New Roman" pitchFamily="18" charset="0"/>
            </a:rPr>
            <a:t>Камышлинский район характеризуется устойчивыми темпами роста инвестиционных вложений в экономику</a:t>
          </a:r>
        </a:p>
      </cdr:txBody>
    </cdr:sp>
  </cdr:relSizeAnchor>
</c:userShapes>
</file>

<file path=word/drawings/drawing22.xml><?xml version="1.0" encoding="utf-8"?>
<c:userShapes xmlns:c="http://schemas.openxmlformats.org/drawingml/2006/chart">
  <cdr:relSizeAnchor xmlns:cdr="http://schemas.openxmlformats.org/drawingml/2006/chartDrawing">
    <cdr:from>
      <cdr:x>0.57275</cdr:x>
      <cdr:y>0.961</cdr:y>
    </cdr:from>
    <cdr:to>
      <cdr:x>0.59649</cdr:x>
      <cdr:y>0.98123</cdr:y>
    </cdr:to>
    <cdr:sp macro="" textlink="">
      <cdr:nvSpPr>
        <cdr:cNvPr id="3" name="Равнобедренный треугольник 2"/>
        <cdr:cNvSpPr/>
      </cdr:nvSpPr>
      <cdr:spPr>
        <a:xfrm xmlns:a="http://schemas.openxmlformats.org/drawingml/2006/main">
          <a:off x="2625305" y="3608701"/>
          <a:ext cx="108816" cy="75966"/>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0.73846</cdr:x>
      <cdr:y>0.98234</cdr:y>
    </cdr:from>
    <cdr:to>
      <cdr:x>0.81786</cdr:x>
      <cdr:y>0.99839</cdr:y>
    </cdr:to>
    <cdr:sp macro="" textlink="">
      <cdr:nvSpPr>
        <cdr:cNvPr id="4" name="TextBox 3"/>
        <cdr:cNvSpPr txBox="1"/>
      </cdr:nvSpPr>
      <cdr:spPr>
        <a:xfrm xmlns:a="http://schemas.openxmlformats.org/drawingml/2006/main">
          <a:off x="3829051" y="4938794"/>
          <a:ext cx="411674" cy="807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0.5982</cdr:x>
      <cdr:y>0.90324</cdr:y>
    </cdr:from>
    <cdr:to>
      <cdr:x>0.97878</cdr:x>
      <cdr:y>0.97976</cdr:y>
    </cdr:to>
    <cdr:sp macro="" textlink="">
      <cdr:nvSpPr>
        <cdr:cNvPr id="5" name="TextBox 4"/>
        <cdr:cNvSpPr txBox="1"/>
      </cdr:nvSpPr>
      <cdr:spPr>
        <a:xfrm xmlns:a="http://schemas.openxmlformats.org/drawingml/2006/main">
          <a:off x="2743079" y="3248626"/>
          <a:ext cx="1745187" cy="2752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i="1">
              <a:latin typeface="Times New Roman" pitchFamily="18" charset="0"/>
              <a:cs typeface="Times New Roman" pitchFamily="18" charset="0"/>
            </a:rPr>
            <a:t>Среднее: 18637,1</a:t>
          </a:r>
        </a:p>
      </cdr:txBody>
    </cdr:sp>
  </cdr:relSizeAnchor>
  <cdr:relSizeAnchor xmlns:cdr="http://schemas.openxmlformats.org/drawingml/2006/chartDrawing">
    <cdr:from>
      <cdr:x>0</cdr:x>
      <cdr:y>0.00426</cdr:y>
    </cdr:from>
    <cdr:to>
      <cdr:x>0.9995</cdr:x>
      <cdr:y>0.13143</cdr:y>
    </cdr:to>
    <cdr:sp macro="" textlink="">
      <cdr:nvSpPr>
        <cdr:cNvPr id="6" name="Прямоугольник 5"/>
        <cdr:cNvSpPr/>
      </cdr:nvSpPr>
      <cdr:spPr>
        <a:xfrm xmlns:a="http://schemas.openxmlformats.org/drawingml/2006/main">
          <a:off x="0" y="14226"/>
          <a:ext cx="4589399" cy="424686"/>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a:r>
            <a:rPr lang="ru-RU" sz="1000" b="1" i="0" baseline="0">
              <a:solidFill>
                <a:schemeClr val="lt1"/>
              </a:solidFill>
              <a:latin typeface="Times New Roman" pitchFamily="18" charset="0"/>
              <a:ea typeface="+mn-ea"/>
              <a:cs typeface="Times New Roman" pitchFamily="18" charset="0"/>
            </a:rPr>
            <a:t>Камышлинский р-он занимает  11  место среди муниципальных районов Самарской области по расходам  местного бюджета на душу населения</a:t>
          </a:r>
          <a:endParaRPr lang="ru-RU" sz="10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0.40619</cdr:x>
      <cdr:y>0.10904</cdr:y>
    </cdr:from>
    <cdr:to>
      <cdr:x>0.40919</cdr:x>
      <cdr:y>0.8984</cdr:y>
    </cdr:to>
    <cdr:cxnSp macro="">
      <cdr:nvCxnSpPr>
        <cdr:cNvPr id="3" name="Прямая соединительная линия 2"/>
        <cdr:cNvCxnSpPr/>
      </cdr:nvCxnSpPr>
      <cdr:spPr>
        <a:xfrm xmlns:a="http://schemas.openxmlformats.org/drawingml/2006/main" flipH="1" flipV="1">
          <a:off x="2267795" y="441001"/>
          <a:ext cx="16750" cy="3192422"/>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0.10195</cdr:x>
      <cdr:y>0.7766</cdr:y>
    </cdr:from>
    <cdr:to>
      <cdr:x>0.95202</cdr:x>
      <cdr:y>0.78298</cdr:y>
    </cdr:to>
    <cdr:cxnSp macro="">
      <cdr:nvCxnSpPr>
        <cdr:cNvPr id="5" name="Прямая соединительная линия 4"/>
        <cdr:cNvCxnSpPr/>
      </cdr:nvCxnSpPr>
      <cdr:spPr>
        <a:xfrm xmlns:a="http://schemas.openxmlformats.org/drawingml/2006/main" flipV="1">
          <a:off x="647700" y="3476625"/>
          <a:ext cx="5400675" cy="28576"/>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0.21215</cdr:y>
    </cdr:to>
    <cdr:sp macro="" textlink="">
      <cdr:nvSpPr>
        <cdr:cNvPr id="2" name="Прямоугольник 1"/>
        <cdr:cNvSpPr/>
      </cdr:nvSpPr>
      <cdr:spPr>
        <a:xfrm xmlns:a="http://schemas.openxmlformats.org/drawingml/2006/main">
          <a:off x="0" y="0"/>
          <a:ext cx="2414905" cy="695740"/>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0"/>
            </a:spcAft>
          </a:pPr>
          <a:r>
            <a:rPr lang="ru-RU" sz="1000" b="1" baseline="0">
              <a:solidFill>
                <a:schemeClr val="lt1"/>
              </a:solidFill>
              <a:effectLst/>
              <a:latin typeface="Times New Roman" pitchFamily="18" charset="0"/>
              <a:ea typeface="+mn-ea"/>
              <a:cs typeface="+mn-cs"/>
            </a:rPr>
            <a:t>Среднемесячная  заработная плата в районе находится  ниже среднего уровня  Самарской области и РФ</a:t>
          </a:r>
          <a:endParaRPr lang="ru-RU" sz="1000" b="1">
            <a:effectLst/>
            <a:latin typeface="Times New Roman" pitchFamily="18" charset="0"/>
            <a:ea typeface="Calibri"/>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0.2</cdr:y>
    </cdr:to>
    <cdr:sp macro="" textlink="">
      <cdr:nvSpPr>
        <cdr:cNvPr id="3" name="Прямоугольник 2"/>
        <cdr:cNvSpPr/>
      </cdr:nvSpPr>
      <cdr:spPr>
        <a:xfrm xmlns:a="http://schemas.openxmlformats.org/drawingml/2006/main">
          <a:off x="0" y="0"/>
          <a:ext cx="2474595" cy="685799"/>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0"/>
            </a:spcAft>
          </a:pPr>
          <a:r>
            <a:rPr lang="ru-RU" sz="1000" b="1">
              <a:solidFill>
                <a:srgbClr val="FFFFFF"/>
              </a:solidFill>
              <a:effectLst/>
              <a:latin typeface="Times New Roman" pitchFamily="18" charset="0"/>
              <a:ea typeface="Calibri"/>
              <a:cs typeface="Times New Roman" pitchFamily="18" charset="0"/>
            </a:rPr>
            <a:t>Уровень зарегистрированной безработицы высокий по сравнению</a:t>
          </a:r>
          <a:r>
            <a:rPr lang="ru-RU" sz="1000" b="1" baseline="0">
              <a:solidFill>
                <a:srgbClr val="FFFFFF"/>
              </a:solidFill>
              <a:effectLst/>
              <a:latin typeface="Times New Roman" pitchFamily="18" charset="0"/>
              <a:ea typeface="Calibri"/>
              <a:cs typeface="Times New Roman" pitchFamily="18" charset="0"/>
            </a:rPr>
            <a:t> с  уровнем Самарской области и РФ</a:t>
          </a:r>
          <a:endParaRPr lang="ru-RU" sz="1000">
            <a:effectLst/>
            <a:latin typeface="Times New Roman" pitchFamily="18" charset="0"/>
            <a:ea typeface="Calibri"/>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0.5311</cdr:x>
      <cdr:y>0.93558</cdr:y>
    </cdr:from>
    <cdr:to>
      <cdr:x>0.7496</cdr:x>
      <cdr:y>0.98783</cdr:y>
    </cdr:to>
    <cdr:sp macro="" textlink="">
      <cdr:nvSpPr>
        <cdr:cNvPr id="2" name="TextBox 1"/>
        <cdr:cNvSpPr txBox="1"/>
      </cdr:nvSpPr>
      <cdr:spPr>
        <a:xfrm xmlns:a="http://schemas.openxmlformats.org/drawingml/2006/main">
          <a:off x="2718223" y="3458818"/>
          <a:ext cx="1118281" cy="1931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i="1">
              <a:latin typeface="Times New Roman" pitchFamily="18" charset="0"/>
              <a:cs typeface="Times New Roman" pitchFamily="18" charset="0"/>
            </a:rPr>
            <a:t>         </a:t>
          </a:r>
          <a:r>
            <a:rPr lang="ru-RU" sz="900" i="1">
              <a:latin typeface="Times New Roman" pitchFamily="18" charset="0"/>
              <a:cs typeface="Times New Roman" pitchFamily="18" charset="0"/>
            </a:rPr>
            <a:t>Среднее: </a:t>
          </a:r>
          <a:r>
            <a:rPr lang="en-US" sz="900" i="1">
              <a:latin typeface="Times New Roman" pitchFamily="18" charset="0"/>
              <a:cs typeface="Times New Roman" pitchFamily="18" charset="0"/>
            </a:rPr>
            <a:t>40</a:t>
          </a:r>
          <a:endParaRPr lang="ru-RU" sz="900" i="1">
            <a:latin typeface="Times New Roman" pitchFamily="18" charset="0"/>
            <a:cs typeface="Times New Roman" pitchFamily="18" charset="0"/>
          </a:endParaRPr>
        </a:p>
      </cdr:txBody>
    </cdr:sp>
  </cdr:relSizeAnchor>
  <cdr:relSizeAnchor xmlns:cdr="http://schemas.openxmlformats.org/drawingml/2006/chartDrawing">
    <cdr:from>
      <cdr:x>0.62597</cdr:x>
      <cdr:y>0.91907</cdr:y>
    </cdr:from>
    <cdr:to>
      <cdr:x>0.64545</cdr:x>
      <cdr:y>0.94136</cdr:y>
    </cdr:to>
    <cdr:sp macro="" textlink="">
      <cdr:nvSpPr>
        <cdr:cNvPr id="3" name="Равнобедренный треугольник 2"/>
        <cdr:cNvSpPr/>
      </cdr:nvSpPr>
      <cdr:spPr>
        <a:xfrm xmlns:a="http://schemas.openxmlformats.org/drawingml/2006/main">
          <a:off x="3941521" y="4143321"/>
          <a:ext cx="122696" cy="100465"/>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endParaRPr lang="ru-RU" sz="1200" b="1">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0.63242</cdr:x>
      <cdr:y>0.93063</cdr:y>
    </cdr:from>
    <cdr:to>
      <cdr:x>0.83598</cdr:x>
      <cdr:y>1</cdr:y>
    </cdr:to>
    <cdr:sp macro="" textlink="">
      <cdr:nvSpPr>
        <cdr:cNvPr id="2" name="TextBox 1"/>
        <cdr:cNvSpPr txBox="1"/>
      </cdr:nvSpPr>
      <cdr:spPr>
        <a:xfrm xmlns:a="http://schemas.openxmlformats.org/drawingml/2006/main">
          <a:off x="3658555" y="3912129"/>
          <a:ext cx="1177576" cy="2916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i="1">
              <a:latin typeface="Times New Roman" pitchFamily="18" charset="0"/>
              <a:cs typeface="Times New Roman" pitchFamily="18" charset="0"/>
            </a:rPr>
            <a:t>Среднее: 22,7 </a:t>
          </a:r>
        </a:p>
      </cdr:txBody>
    </cdr:sp>
  </cdr:relSizeAnchor>
  <cdr:relSizeAnchor xmlns:cdr="http://schemas.openxmlformats.org/drawingml/2006/chartDrawing">
    <cdr:from>
      <cdr:x>0.68282</cdr:x>
      <cdr:y>0.88347</cdr:y>
    </cdr:from>
    <cdr:to>
      <cdr:x>0.71025</cdr:x>
      <cdr:y>0.92371</cdr:y>
    </cdr:to>
    <cdr:sp macro="" textlink="">
      <cdr:nvSpPr>
        <cdr:cNvPr id="3" name="Равнобедренный треугольник 2"/>
        <cdr:cNvSpPr/>
      </cdr:nvSpPr>
      <cdr:spPr>
        <a:xfrm xmlns:a="http://schemas.openxmlformats.org/drawingml/2006/main">
          <a:off x="3950073" y="3713871"/>
          <a:ext cx="158730" cy="169172"/>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endParaRPr lang="ru-RU" sz="1200" b="1">
            <a:latin typeface="Times New Roman" pitchFamily="18" charset="0"/>
            <a:cs typeface="Times New Roman" pitchFamily="18" charset="0"/>
          </a:endParaRPr>
        </a:p>
      </cdr:txBody>
    </cdr:sp>
  </cdr:relSizeAnchor>
  <cdr:relSizeAnchor xmlns:cdr="http://schemas.openxmlformats.org/drawingml/2006/chartDrawing">
    <cdr:from>
      <cdr:x>0.84082</cdr:x>
      <cdr:y>0.17513</cdr:y>
    </cdr:from>
    <cdr:to>
      <cdr:x>1</cdr:x>
      <cdr:y>0.37881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95042" y="516890"/>
          <a:ext cx="794181" cy="601158"/>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0.15344</cdr:x>
      <cdr:y>0.48177</cdr:y>
    </cdr:from>
    <cdr:to>
      <cdr:x>0.9342</cdr:x>
      <cdr:y>0.49007</cdr:y>
    </cdr:to>
    <cdr:cxnSp macro="">
      <cdr:nvCxnSpPr>
        <cdr:cNvPr id="2" name="Прямая соединительная линия 1"/>
        <cdr:cNvCxnSpPr/>
      </cdr:nvCxnSpPr>
      <cdr:spPr>
        <a:xfrm xmlns:a="http://schemas.openxmlformats.org/drawingml/2006/main">
          <a:off x="625236" y="1436326"/>
          <a:ext cx="3181451" cy="24727"/>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0.38673</cdr:x>
      <cdr:y>0.02669</cdr:y>
    </cdr:from>
    <cdr:to>
      <cdr:x>0.39494</cdr:x>
      <cdr:y>0.87292</cdr:y>
    </cdr:to>
    <cdr:cxnSp macro="">
      <cdr:nvCxnSpPr>
        <cdr:cNvPr id="3" name="Прямая соединительная линия 2"/>
        <cdr:cNvCxnSpPr/>
      </cdr:nvCxnSpPr>
      <cdr:spPr>
        <a:xfrm xmlns:a="http://schemas.openxmlformats.org/drawingml/2006/main" flipH="1" flipV="1">
          <a:off x="1679713" y="109331"/>
          <a:ext cx="35684" cy="3466469"/>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0.53625</cdr:x>
      <cdr:y>0.93427</cdr:y>
    </cdr:from>
    <cdr:to>
      <cdr:x>0.55471</cdr:x>
      <cdr:y>0.9625</cdr:y>
    </cdr:to>
    <cdr:sp macro="" textlink="">
      <cdr:nvSpPr>
        <cdr:cNvPr id="2" name="Равнобедренный треугольник 1"/>
        <cdr:cNvSpPr/>
      </cdr:nvSpPr>
      <cdr:spPr>
        <a:xfrm xmlns:a="http://schemas.openxmlformats.org/drawingml/2006/main">
          <a:off x="2231435" y="3944006"/>
          <a:ext cx="126379" cy="116842"/>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0.54536</cdr:x>
      <cdr:y>0.94869</cdr:y>
    </cdr:from>
    <cdr:to>
      <cdr:x>0.73631</cdr:x>
      <cdr:y>0.99799</cdr:y>
    </cdr:to>
    <cdr:sp macro="" textlink="">
      <cdr:nvSpPr>
        <cdr:cNvPr id="6" name="TextBox 5"/>
        <cdr:cNvSpPr txBox="1"/>
      </cdr:nvSpPr>
      <cdr:spPr>
        <a:xfrm xmlns:a="http://schemas.openxmlformats.org/drawingml/2006/main">
          <a:off x="2270358" y="3811965"/>
          <a:ext cx="928515" cy="1917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i="1" baseline="0">
              <a:latin typeface="Times New Roman" pitchFamily="18" charset="0"/>
              <a:cs typeface="Times New Roman" pitchFamily="18" charset="0"/>
            </a:rPr>
            <a:t>Среднее</a:t>
          </a:r>
          <a:r>
            <a:rPr lang="ru-RU" sz="900" i="1">
              <a:latin typeface="Times New Roman" pitchFamily="18" charset="0"/>
              <a:cs typeface="Times New Roman" pitchFamily="18" charset="0"/>
            </a:rPr>
            <a:t>: 39,7 </a:t>
          </a:r>
        </a:p>
      </cdr:txBody>
    </cdr:sp>
  </cdr:relSizeAnchor>
  <cdr:relSizeAnchor xmlns:cdr="http://schemas.openxmlformats.org/drawingml/2006/chartDrawing">
    <cdr:from>
      <cdr:x>0</cdr:x>
      <cdr:y>2.42996E-7</cdr:y>
    </cdr:from>
    <cdr:to>
      <cdr:x>1</cdr:x>
      <cdr:y>0.14693</cdr:y>
    </cdr:to>
    <cdr:sp macro="" textlink="">
      <cdr:nvSpPr>
        <cdr:cNvPr id="4" name="Прямоугольник 3"/>
        <cdr:cNvSpPr>
          <a:spLocks xmlns:a="http://schemas.openxmlformats.org/drawingml/2006/main" noChangeArrowheads="1"/>
        </cdr:cNvSpPr>
      </cdr:nvSpPr>
      <cdr:spPr bwMode="auto">
        <a:xfrm xmlns:a="http://schemas.openxmlformats.org/drawingml/2006/main">
          <a:off x="0" y="1"/>
          <a:ext cx="4225192" cy="586154"/>
        </a:xfrm>
        <a:prstGeom xmlns:a="http://schemas.openxmlformats.org/drawingml/2006/main" prst="rect">
          <a:avLst/>
        </a:prstGeom>
        <a:solidFill xmlns:a="http://schemas.openxmlformats.org/drawingml/2006/main">
          <a:srgbClr val="365F91"/>
        </a:solidFill>
        <a:ln xmlns:a="http://schemas.openxmlformats.org/drawingml/2006/main" w="9525">
          <a:solidFill>
            <a:srgbClr val="365F91"/>
          </a:solid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15000"/>
            </a:lnSpc>
            <a:spcAft>
              <a:spcPts val="0"/>
            </a:spcAft>
          </a:pPr>
          <a:r>
            <a:rPr lang="ru-RU" sz="1000" b="1">
              <a:solidFill>
                <a:srgbClr val="FFFFFF"/>
              </a:solidFill>
              <a:effectLst/>
              <a:latin typeface="Times New Roman" pitchFamily="18" charset="0"/>
              <a:ea typeface="Calibri"/>
              <a:cs typeface="Times New Roman" pitchFamily="18" charset="0"/>
            </a:rPr>
            <a:t>Камышлинский район занимает 4 место по обеспеченности населения спортивнымт сооружениями среди районов Самарской области </a:t>
          </a:r>
          <a:endParaRPr lang="ru-RU" sz="1000">
            <a:effectLst/>
            <a:latin typeface="Times New Roman" pitchFamily="18" charset="0"/>
            <a:ea typeface="Calibri"/>
            <a:cs typeface="Times New Roman" pitchFamily="18" charset="0"/>
          </a:endParaRPr>
        </a:p>
        <a:p xmlns:a="http://schemas.openxmlformats.org/drawingml/2006/main">
          <a:pPr algn="ctr">
            <a:lnSpc>
              <a:spcPct val="115000"/>
            </a:lnSpc>
            <a:spcAft>
              <a:spcPts val="0"/>
            </a:spcAft>
          </a:pPr>
          <a:r>
            <a:rPr lang="ru-RU" sz="1000" b="1">
              <a:solidFill>
                <a:srgbClr val="FFFFFF"/>
              </a:solidFill>
              <a:effectLst/>
              <a:latin typeface="Times New Roman" pitchFamily="18" charset="0"/>
              <a:ea typeface="Calibri"/>
              <a:cs typeface="Times New Roman" pitchFamily="18" charset="0"/>
            </a:rPr>
            <a:t> </a:t>
          </a:r>
          <a:endParaRPr lang="ru-RU" sz="1000">
            <a:effectLst/>
            <a:latin typeface="Times New Roman" pitchFamily="18" charset="0"/>
            <a:ea typeface="Calibri"/>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8B8124-F293-47B0-97DA-2C1A644E0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106</Pages>
  <Words>28673</Words>
  <Characters>163440</Characters>
  <Application>Microsoft Office Word</Application>
  <DocSecurity>0</DocSecurity>
  <Lines>1362</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191730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Гульнара</cp:lastModifiedBy>
  <cp:revision>5</cp:revision>
  <cp:lastPrinted>2018-10-29T11:21:00Z</cp:lastPrinted>
  <dcterms:created xsi:type="dcterms:W3CDTF">2018-09-28T05:40:00Z</dcterms:created>
  <dcterms:modified xsi:type="dcterms:W3CDTF">2018-10-29T11:23:00Z</dcterms:modified>
</cp:coreProperties>
</file>