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D2" w:rsidRDefault="009636A7" w:rsidP="00564ED2">
      <w:pPr>
        <w:spacing w:line="100" w:lineRule="atLeast"/>
        <w:ind w:left="4536"/>
        <w:jc w:val="both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pt;margin-top:-28.75pt;width:36.1pt;height:45.1pt;z-index:251659264;mso-wrap-distance-left:9.05pt;mso-wrap-distance-right:9.05pt" filled="t" stroked="t" strokeweight=".5pt">
            <v:fill color2="black"/>
            <v:imagedata r:id="rId5" o:title=""/>
            <w10:wrap type="topAndBottom"/>
          </v:shape>
          <o:OLEObject Type="Embed" ProgID="Word.Picture.8" ShapeID="_x0000_s1026" DrawAspect="Content" ObjectID="_1536659891" r:id="rId6"/>
        </w:pict>
      </w:r>
      <w:r w:rsidR="00564ED2">
        <w:rPr>
          <w:rFonts w:ascii="Times New Roman" w:hAnsi="Times New Roman"/>
          <w:b/>
          <w:sz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564ED2" w:rsidTr="005C661E">
        <w:tc>
          <w:tcPr>
            <w:tcW w:w="4788" w:type="dxa"/>
            <w:shd w:val="clear" w:color="auto" w:fill="auto"/>
          </w:tcPr>
          <w:p w:rsidR="00564ED2" w:rsidRDefault="00564ED2" w:rsidP="005C661E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564ED2" w:rsidRDefault="00564ED2" w:rsidP="005C661E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 xml:space="preserve">муниципального района Камышлинский  </w:t>
            </w:r>
          </w:p>
          <w:p w:rsidR="00564ED2" w:rsidRDefault="00564ED2" w:rsidP="005C661E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Самарской области</w:t>
            </w:r>
          </w:p>
          <w:p w:rsidR="00564ED2" w:rsidRDefault="00564ED2" w:rsidP="005C661E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</w:p>
          <w:p w:rsidR="00564ED2" w:rsidRDefault="00564ED2" w:rsidP="005C661E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564ED2" w:rsidRDefault="00564ED2" w:rsidP="005C661E">
            <w:pPr>
              <w:tabs>
                <w:tab w:val="left" w:pos="3270"/>
                <w:tab w:val="left" w:pos="7230"/>
              </w:tabs>
              <w:spacing w:line="10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  <w:t xml:space="preserve">                   </w:t>
            </w:r>
          </w:p>
          <w:p w:rsidR="00564ED2" w:rsidRPr="00564ED2" w:rsidRDefault="00EB5B26" w:rsidP="00EB5B26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28.09.2016 г</w:t>
            </w:r>
            <w:r w:rsidR="00564ED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5385" w:type="dxa"/>
            <w:shd w:val="clear" w:color="auto" w:fill="auto"/>
          </w:tcPr>
          <w:p w:rsidR="00564ED2" w:rsidRDefault="00564ED2" w:rsidP="005C661E">
            <w:pPr>
              <w:tabs>
                <w:tab w:val="left" w:pos="7230"/>
              </w:tabs>
              <w:spacing w:before="480" w:line="276" w:lineRule="auto"/>
              <w:rPr>
                <w:rFonts w:ascii="Times New Roman" w:hAnsi="Times New Roman"/>
                <w:b/>
                <w:color w:val="365F91"/>
                <w:sz w:val="28"/>
              </w:rPr>
            </w:pPr>
          </w:p>
          <w:p w:rsidR="00564ED2" w:rsidRDefault="00564ED2" w:rsidP="005C661E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Times New Roman" w:hAnsi="Times New Roman"/>
                <w:b/>
                <w:color w:val="365F91"/>
                <w:sz w:val="28"/>
              </w:rPr>
            </w:pPr>
          </w:p>
          <w:p w:rsidR="00564ED2" w:rsidRDefault="00564ED2" w:rsidP="005C661E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eastAsia="Calibri" w:cs="Calibri"/>
              </w:rPr>
            </w:pPr>
          </w:p>
        </w:tc>
      </w:tr>
    </w:tbl>
    <w:p w:rsidR="00564ED2" w:rsidRDefault="00564ED2" w:rsidP="00564ED2">
      <w:pPr>
        <w:spacing w:line="100" w:lineRule="atLeast"/>
        <w:ind w:firstLine="567"/>
        <w:rPr>
          <w:rFonts w:ascii="Times New Roman" w:hAnsi="Times New Roman"/>
          <w:sz w:val="28"/>
        </w:rPr>
      </w:pPr>
    </w:p>
    <w:p w:rsidR="00686DD8" w:rsidRPr="00564ED2" w:rsidRDefault="00564ED2" w:rsidP="00564ED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686DD8" w:rsidRPr="00EB5B26">
        <w:rPr>
          <w:rFonts w:ascii="Times New Roman" w:hAnsi="Times New Roman"/>
          <w:bCs/>
          <w:sz w:val="28"/>
          <w:szCs w:val="28"/>
        </w:rPr>
        <w:t>проведения мониторинга закупок товаров, работ, услуг</w:t>
      </w:r>
      <w:r w:rsidRPr="00EB5B26">
        <w:rPr>
          <w:rFonts w:ascii="Times New Roman" w:hAnsi="Times New Roman"/>
          <w:bCs/>
          <w:sz w:val="28"/>
          <w:szCs w:val="28"/>
        </w:rPr>
        <w:t xml:space="preserve"> для обеспечения муниципальных нужд </w:t>
      </w:r>
      <w:r w:rsidR="00C4298D" w:rsidRPr="00EB5B26">
        <w:rPr>
          <w:rFonts w:ascii="Times New Roman" w:hAnsi="Times New Roman"/>
          <w:bCs/>
          <w:sz w:val="28"/>
          <w:szCs w:val="28"/>
        </w:rPr>
        <w:t>муниципального района Камышлинский Самарской области</w:t>
      </w:r>
    </w:p>
    <w:p w:rsidR="00437970" w:rsidRDefault="00437970" w:rsidP="00B54F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54FD6" w:rsidRPr="00C4298D" w:rsidRDefault="00B54FD6" w:rsidP="00EB5B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C4298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8 статьи 97</w:t>
        </w:r>
      </w:hyperlink>
      <w:r w:rsidRP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</w:t>
      </w:r>
      <w:r w:rsid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05.04.2013 №44-ФЗ  </w:t>
      </w:r>
      <w:r w:rsidRP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EB5B26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EB5B26" w:rsidRPr="00EB5B26">
        <w:t xml:space="preserve"> </w:t>
      </w:r>
      <w:r w:rsidR="00EB5B26" w:rsidRPr="00EB5B26"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Федеральным законом от 06.10.2003  № 131-ФЗ «Об общих принципах организации местного самоуправления в Российской Федерации»</w:t>
      </w:r>
      <w:r w:rsidR="00EB5B26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B5B26" w:rsidRPr="00EB5B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руководствуясь Уставом муниципального района Камышлинский Самарской области </w:t>
      </w:r>
      <w:r w:rsid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 муниципального района Камышлинский Самарской области</w:t>
      </w:r>
      <w:proofErr w:type="gramEnd"/>
    </w:p>
    <w:p w:rsidR="00C4298D" w:rsidRDefault="00564ED2" w:rsidP="00564ED2">
      <w:pPr>
        <w:widowControl/>
        <w:suppressAutoHyphens w:val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564ED2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</w:t>
      </w:r>
    </w:p>
    <w:p w:rsidR="00564ED2" w:rsidRPr="00EB5B26" w:rsidRDefault="00564ED2" w:rsidP="00EB5B26">
      <w:pPr>
        <w:widowControl/>
        <w:suppressAutoHyphens w:val="0"/>
        <w:jc w:val="center"/>
        <w:rPr>
          <w:rFonts w:ascii="Times New Roman" w:eastAsia="Calibri" w:hAnsi="Times New Roman"/>
          <w:sz w:val="28"/>
          <w:szCs w:val="28"/>
        </w:rPr>
      </w:pPr>
      <w:r w:rsidRPr="00EB5B2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564ED2" w:rsidRPr="00EB5B26" w:rsidRDefault="00564ED2" w:rsidP="00EB5B26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4ED2" w:rsidRPr="00C4298D" w:rsidRDefault="00564ED2" w:rsidP="00EB5B2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ED2">
        <w:rPr>
          <w:rFonts w:ascii="Times New Roman" w:hAnsi="Times New Roman"/>
          <w:color w:val="000000"/>
          <w:sz w:val="28"/>
          <w:szCs w:val="28"/>
        </w:rPr>
        <w:t>1. Утвердить</w:t>
      </w:r>
      <w:r w:rsidR="006F3621">
        <w:rPr>
          <w:rFonts w:ascii="Times New Roman" w:hAnsi="Times New Roman"/>
          <w:color w:val="000000"/>
          <w:sz w:val="28"/>
          <w:szCs w:val="28"/>
        </w:rPr>
        <w:t xml:space="preserve"> прилагаемый</w:t>
      </w:r>
      <w:r w:rsidRPr="00564E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ar30" w:history="1">
        <w:r w:rsidRPr="00564ED2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564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98D" w:rsidRP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проведения мониторинга закупок товаров, работ, услуг для обеспечения </w:t>
      </w:r>
      <w:r w:rsid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муниципальных нужд</w:t>
      </w:r>
      <w:r w:rsidR="00C4298D" w:rsidRP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4298D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района Камышлинский Самарской области</w:t>
      </w:r>
      <w:r w:rsidR="0043797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564ED2" w:rsidRPr="00564ED2" w:rsidRDefault="00564ED2" w:rsidP="00EB5B26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 xml:space="preserve">2. Опубликовать настоящее </w:t>
      </w:r>
      <w:r w:rsidR="00EB5B26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п</w:t>
      </w:r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остановление в газете «</w:t>
      </w:r>
      <w:proofErr w:type="spellStart"/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Камышлинские</w:t>
      </w:r>
      <w:proofErr w:type="spellEnd"/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 xml:space="preserve"> известия» и разместить на официальном сайте </w:t>
      </w:r>
      <w:r w:rsidR="00437970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А</w:t>
      </w:r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дминистрации муниципального района Камышлинский Самарской области в сети Интернет /</w:t>
      </w:r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en-US" w:eastAsia="en-US" w:bidi="en-US"/>
        </w:rPr>
        <w:t>www</w:t>
      </w:r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.</w:t>
      </w:r>
      <w:proofErr w:type="spellStart"/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en-US" w:eastAsia="en-US" w:bidi="en-US"/>
        </w:rPr>
        <w:t>kamadm</w:t>
      </w:r>
      <w:proofErr w:type="spellEnd"/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.</w:t>
      </w:r>
      <w:proofErr w:type="spellStart"/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en-US" w:eastAsia="en-US" w:bidi="en-US"/>
        </w:rPr>
        <w:t>ru</w:t>
      </w:r>
      <w:proofErr w:type="spellEnd"/>
      <w:r w:rsidRPr="00564ED2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/.</w:t>
      </w:r>
    </w:p>
    <w:p w:rsidR="00564ED2" w:rsidRPr="00564ED2" w:rsidRDefault="00564ED2" w:rsidP="00EB5B26">
      <w:pPr>
        <w:tabs>
          <w:tab w:val="left" w:pos="708"/>
        </w:tabs>
        <w:autoSpaceDN w:val="0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564ED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3. </w:t>
      </w:r>
      <w:proofErr w:type="gramStart"/>
      <w:r w:rsidRPr="00564ED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Контроль за</w:t>
      </w:r>
      <w:proofErr w:type="gramEnd"/>
      <w:r w:rsidRPr="00564ED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EB5B2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ис</w:t>
      </w:r>
      <w:r w:rsidRPr="00564ED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полнением настоящего </w:t>
      </w:r>
      <w:r w:rsidR="00EB5B2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п</w:t>
      </w:r>
      <w:r w:rsidRPr="00564ED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остановления </w:t>
      </w:r>
      <w:r w:rsidR="00C429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возложить</w:t>
      </w:r>
      <w:r w:rsidRPr="00564ED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C429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на Финансово-экономическое управление Администрации муниципального района Камышлинский Самарской области (Салахова</w:t>
      </w:r>
      <w:r w:rsidR="00EB5B2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Р.А.</w:t>
      </w:r>
      <w:r w:rsidR="00C429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).</w:t>
      </w:r>
    </w:p>
    <w:p w:rsidR="00564ED2" w:rsidRPr="00564ED2" w:rsidRDefault="00564ED2" w:rsidP="00EB5B26">
      <w:pPr>
        <w:ind w:left="-15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64ED2">
        <w:rPr>
          <w:rFonts w:ascii="Times New Roman" w:eastAsia="Andale Sans UI" w:hAnsi="Times New Roman"/>
          <w:kern w:val="1"/>
          <w:sz w:val="28"/>
          <w:szCs w:val="28"/>
        </w:rPr>
        <w:t xml:space="preserve">4. Настоящее </w:t>
      </w:r>
      <w:r w:rsidR="00EB5B26">
        <w:rPr>
          <w:rFonts w:ascii="Times New Roman" w:eastAsia="Andale Sans UI" w:hAnsi="Times New Roman"/>
          <w:kern w:val="1"/>
          <w:sz w:val="28"/>
          <w:szCs w:val="28"/>
        </w:rPr>
        <w:t>п</w:t>
      </w:r>
      <w:r w:rsidRPr="00564ED2">
        <w:rPr>
          <w:rFonts w:ascii="Times New Roman" w:eastAsia="Andale Sans UI" w:hAnsi="Times New Roman"/>
          <w:kern w:val="1"/>
          <w:sz w:val="28"/>
          <w:szCs w:val="28"/>
        </w:rPr>
        <w:t xml:space="preserve">остановление вступает в силу </w:t>
      </w:r>
      <w:r w:rsidR="00C4298D">
        <w:rPr>
          <w:rFonts w:ascii="Times New Roman" w:eastAsia="Andale Sans UI" w:hAnsi="Times New Roman"/>
          <w:kern w:val="1"/>
          <w:sz w:val="28"/>
          <w:szCs w:val="28"/>
        </w:rPr>
        <w:t>с 1 января 2017 года</w:t>
      </w:r>
      <w:r w:rsidRPr="00564ED2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564ED2" w:rsidRPr="00564ED2" w:rsidRDefault="00564ED2" w:rsidP="00EB5B26">
      <w:pPr>
        <w:widowControl/>
        <w:suppressAutoHyphens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ED2"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6F3621" w:rsidRDefault="006F3621" w:rsidP="00564ED2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7970" w:rsidRDefault="00437970" w:rsidP="00564ED2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ED2" w:rsidRDefault="006F3621" w:rsidP="00EB5B2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B5B26">
        <w:rPr>
          <w:rFonts w:ascii="Times New Roman" w:hAnsi="Times New Roman"/>
          <w:sz w:val="28"/>
          <w:szCs w:val="28"/>
        </w:rPr>
        <w:t xml:space="preserve">муниципального </w:t>
      </w:r>
      <w:r w:rsidR="00C4298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5B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4298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Р.К. </w:t>
      </w:r>
      <w:proofErr w:type="spellStart"/>
      <w:r>
        <w:rPr>
          <w:rFonts w:ascii="Times New Roman" w:hAnsi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564ED2" w:rsidRDefault="00564ED2" w:rsidP="00564ED2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6F3621" w:rsidRDefault="006F3621" w:rsidP="00564ED2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6F3621" w:rsidRDefault="006F3621" w:rsidP="00564ED2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173ECC" w:rsidRDefault="00173ECC" w:rsidP="006F3621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D815A4" w:rsidRDefault="00C4298D" w:rsidP="006F3621">
      <w:pPr>
        <w:spacing w:line="100" w:lineRule="atLeast"/>
        <w:jc w:val="both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Кульмаметова</w:t>
      </w:r>
      <w:proofErr w:type="spellEnd"/>
      <w:r>
        <w:rPr>
          <w:rFonts w:ascii="Times New Roman" w:hAnsi="Times New Roman"/>
          <w:sz w:val="18"/>
        </w:rPr>
        <w:t xml:space="preserve"> </w:t>
      </w:r>
      <w:r w:rsidR="00EB5B26">
        <w:rPr>
          <w:rFonts w:ascii="Times New Roman" w:hAnsi="Times New Roman"/>
          <w:sz w:val="18"/>
        </w:rPr>
        <w:t>,</w:t>
      </w:r>
      <w:r w:rsidR="00173ECC">
        <w:rPr>
          <w:rFonts w:ascii="Times New Roman" w:hAnsi="Times New Roman"/>
          <w:sz w:val="18"/>
        </w:rPr>
        <w:t>3</w:t>
      </w:r>
      <w:r w:rsidR="00EB5B26">
        <w:rPr>
          <w:rFonts w:ascii="Times New Roman" w:hAnsi="Times New Roman"/>
          <w:sz w:val="18"/>
        </w:rPr>
        <w:t>-</w:t>
      </w:r>
      <w:r w:rsidR="00173ECC">
        <w:rPr>
          <w:rFonts w:ascii="Times New Roman" w:hAnsi="Times New Roman"/>
          <w:sz w:val="18"/>
        </w:rPr>
        <w:t>34</w:t>
      </w:r>
      <w:r w:rsidR="00EB5B26">
        <w:rPr>
          <w:rFonts w:ascii="Times New Roman" w:hAnsi="Times New Roman"/>
          <w:sz w:val="18"/>
        </w:rPr>
        <w:t>-</w:t>
      </w:r>
      <w:r w:rsidR="00173ECC">
        <w:rPr>
          <w:rFonts w:ascii="Times New Roman" w:hAnsi="Times New Roman"/>
          <w:sz w:val="18"/>
        </w:rPr>
        <w:t>38</w:t>
      </w:r>
    </w:p>
    <w:p w:rsidR="00EB5B26" w:rsidRDefault="00EB5B26" w:rsidP="006F3621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EB5B26" w:rsidRDefault="00EB5B26" w:rsidP="006F3621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EB5B26" w:rsidRDefault="00EB5B26" w:rsidP="006F3621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EB5B2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B5B26" w:rsidRPr="00EB5B26" w:rsidRDefault="00EB5B26" w:rsidP="00EB5B2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B5B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EB5B26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B5B26" w:rsidRPr="00EB5B26" w:rsidRDefault="00EB5B26" w:rsidP="00EB5B2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B5B26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B5B26" w:rsidRPr="00EB5B26" w:rsidRDefault="00EB5B26" w:rsidP="00EB5B2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B5B26">
        <w:rPr>
          <w:rFonts w:ascii="Times New Roman" w:hAnsi="Times New Roman"/>
          <w:sz w:val="24"/>
          <w:szCs w:val="24"/>
        </w:rPr>
        <w:t>Камышлинский Самарской области</w:t>
      </w:r>
    </w:p>
    <w:p w:rsidR="00EB5B26" w:rsidRPr="00EB5B26" w:rsidRDefault="00EB5B26" w:rsidP="00EB5B2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B5B2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28.09.</w:t>
      </w:r>
      <w:r w:rsidRPr="00EB5B26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B5B26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489</w:t>
      </w:r>
      <w:r w:rsidRPr="00EB5B26">
        <w:rPr>
          <w:rFonts w:ascii="Times New Roman" w:hAnsi="Times New Roman"/>
          <w:sz w:val="24"/>
          <w:szCs w:val="24"/>
        </w:rPr>
        <w:t xml:space="preserve">    </w:t>
      </w:r>
    </w:p>
    <w:p w:rsidR="00EB5B26" w:rsidRPr="00EB5B26" w:rsidRDefault="00EB5B26" w:rsidP="00EB5B26">
      <w:pPr>
        <w:suppressAutoHyphens w:val="0"/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</w:p>
    <w:p w:rsidR="00EB5B26" w:rsidRPr="00EB5B26" w:rsidRDefault="00EB5B26" w:rsidP="00EB5B26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ЗАКУПОК ТОВАРОВ, РАБОТ, УСЛУГ ДЛЯ ОБЕСПЕЧЕНИЯ</w:t>
      </w:r>
    </w:p>
    <w:p w:rsidR="00EB5B26" w:rsidRPr="00EB5B26" w:rsidRDefault="00EB5B26" w:rsidP="00EB5B26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МУНИЦИПАЛЬНЫХ НУЖД МУНИЦИПАЛЬНОГО РАЙОНА КАМЫШЛИНСКИЙ САМАРСКОЙ ОБЛАСТИ</w:t>
      </w:r>
    </w:p>
    <w:p w:rsidR="00EB5B26" w:rsidRPr="00EB5B26" w:rsidRDefault="00EB5B26" w:rsidP="00EB5B26">
      <w:pPr>
        <w:suppressAutoHyphens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B5B26" w:rsidRPr="00EB5B26" w:rsidRDefault="00EB5B26" w:rsidP="00EB5B26">
      <w:pPr>
        <w:suppressAutoHyphens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1.1. Настоящим Порядком определяются цели и правила проведения мониторинга закупок товаров, работ, услуг для обеспечения муниципальных нужд муниципального района Камышлинский Самарской области (далее – мониторинг), порядок оформления результатов мониторинга.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 xml:space="preserve">1.2. Обеспечение мониторинга осуществляется Финансово-экономическим управлением Администрации муниципального района Камышлинский Самарской области  (далее – ФЭУ администрации муниципального района) посредством </w:t>
      </w:r>
      <w:proofErr w:type="gramStart"/>
      <w:r w:rsidRPr="00EB5B26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EB5B26">
        <w:rPr>
          <w:rFonts w:ascii="Times New Roman" w:hAnsi="Times New Roman"/>
          <w:sz w:val="28"/>
          <w:szCs w:val="28"/>
        </w:rPr>
        <w:t xml:space="preserve"> на постоянной основе сбора, обобщения, систематизации и оценки информации: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B26">
        <w:rPr>
          <w:rFonts w:ascii="Times New Roman" w:hAnsi="Times New Roman"/>
          <w:sz w:val="28"/>
          <w:szCs w:val="28"/>
        </w:rPr>
        <w:t>1) размещенной в Единой информационной системе (далее – ЕИС);</w:t>
      </w:r>
      <w:proofErr w:type="gramEnd"/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B5B26">
        <w:rPr>
          <w:rFonts w:ascii="Times New Roman" w:hAnsi="Times New Roman"/>
          <w:sz w:val="28"/>
          <w:szCs w:val="28"/>
        </w:rPr>
        <w:t>размещенной</w:t>
      </w:r>
      <w:proofErr w:type="gramEnd"/>
      <w:r w:rsidRPr="00EB5B26">
        <w:rPr>
          <w:rFonts w:ascii="Times New Roman" w:hAnsi="Times New Roman"/>
          <w:sz w:val="28"/>
          <w:szCs w:val="28"/>
        </w:rPr>
        <w:t xml:space="preserve"> на электронных площадках;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EB5B26">
        <w:rPr>
          <w:rFonts w:ascii="Times New Roman" w:hAnsi="Times New Roman"/>
          <w:sz w:val="28"/>
          <w:szCs w:val="28"/>
        </w:rPr>
        <w:t>содержащейся</w:t>
      </w:r>
      <w:proofErr w:type="gramEnd"/>
      <w:r w:rsidRPr="00EB5B26">
        <w:rPr>
          <w:rFonts w:ascii="Times New Roman" w:hAnsi="Times New Roman"/>
          <w:sz w:val="28"/>
          <w:szCs w:val="28"/>
        </w:rPr>
        <w:t xml:space="preserve"> во вступивших в законную силу судебных решениях и в иных судебных актах, касающихся вопросов осуществления закупок.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1.3. Мониторинг осуществляется в целях: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оценки степени достижения целей осуществления закупок, определенных в соответствии со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оценки обоснованности закупок в соответствии со статьей 18 Федерального закона № 44-ФЗ;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1.4. Мониторинг осуществляется на следующих этапах закупок: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планирование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проведение процедур определения поставщика (подрядчика, исполнителя);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исполнение контракта.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1.5. Мониторингом не охватываются закупки, по которым определение поставщика (подрядчика, исполнителя) осуществляется закрытыми способами.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cs="Calibri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lastRenderedPageBreak/>
        <w:t>2. Порядок проведения мониторинга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на этапе планирования закупок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2.1. Мониторинг на этапе планирования закупок осуществляется посредством оценки сформированных и утвержденных в установленном порядке планов закупок и планов-графиков закупок для обеспечения нужд муниципального района Камышлинский  Самарской области (далее – план закупок, план-график закупок).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EB5B26">
        <w:rPr>
          <w:rFonts w:ascii="Times New Roman" w:hAnsi="Times New Roman"/>
          <w:sz w:val="28"/>
          <w:szCs w:val="28"/>
        </w:rPr>
        <w:t>2.2. При проведении мониторинга планов закупок осуществляется оценка выборочной информации: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B26">
        <w:rPr>
          <w:rFonts w:ascii="Times New Roman" w:hAnsi="Times New Roman"/>
          <w:sz w:val="28"/>
          <w:szCs w:val="28"/>
        </w:rPr>
        <w:t>соблюдения порядка обоснования закупки, установленного Правительством Российской Федерации,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  <w:proofErr w:type="gramEnd"/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B26">
        <w:rPr>
          <w:rFonts w:ascii="Times New Roman" w:hAnsi="Times New Roman"/>
          <w:sz w:val="28"/>
          <w:szCs w:val="28"/>
        </w:rPr>
        <w:t>соответствия установленным согласно статье 19 Федерального закона   № 44-ФЗ требованиям к закупаемым заказчиком товарам, работам, услугам и (или) нормативным затратам на обеспечение функций государственных органов и подведомственных казенных учреждений.</w:t>
      </w:r>
      <w:proofErr w:type="gramEnd"/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2.3. При проведении мониторинга планов-графиков закупок осуществляется оценка выборочной информации: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соблюдения сроков опубликования планов-графиков закупок в ЕИС;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соблюдения сроков проведения закупок, предусмотренных планами-графиками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соответствия объема проводимых закупок объемам закупок, предусмотренных планами-графиками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соблюдения требований к соотношению объема закупок у субъектов малого предпринимательства, социально ориентированных некоммерческих организаций и совокупного годового объема закупок, предусмотренного планами-графиками закупок (в денежном выражении);</w:t>
      </w:r>
      <w:bookmarkStart w:id="1" w:name="P78"/>
      <w:bookmarkEnd w:id="1"/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правильности применения метода обоснования начальной (максимальной) цены контракта, цены контракта, заключаемого с единственным поставщиком (подрядчиком, исполнителем) в соответствии со статьей 22 Федерального закона № 44-ФЗ;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соотношения объема конкурентных закупок и закупок у единственного поставщика (подрядчика, исполнителя) (в том числе по пунктам 4 и 5 части 1 статьи 93 Федерального закона № 44-ФЗ) и общего объема закупок, предусмотренного планом-графиком закупок (в денежном выражении);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обоснования способа определения поставщика (подрядчика, исполнителя) в соответствии с главой 3 Федерального закона № 44-ФЗ, в том числе дополнительных требований к участникам закупки;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соблюдения требований к годовому объему закупок, проводимых путем запроса котировок.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3. Порядок проведения мониторинга по итогам проведения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lastRenderedPageBreak/>
        <w:t>процедур определения поставщика (подрядчика, исполнителя)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3.1. При проведении мониторинга по итогам проведения процедур определения поставщика (подрядчика, исполнителя) производится: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 xml:space="preserve">определение количества состоявшихся и несостоявшихся конкурентных процедур, в том числе в разрезе причин признания процедур </w:t>
      </w:r>
      <w:proofErr w:type="gramStart"/>
      <w:r w:rsidRPr="00EB5B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EB5B26">
        <w:rPr>
          <w:rFonts w:ascii="Times New Roman" w:hAnsi="Times New Roman"/>
          <w:sz w:val="28"/>
          <w:szCs w:val="28"/>
        </w:rPr>
        <w:t>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определение размера экономии, сложившейся по результатам конкурентных процедур, и уровня конкуренции;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определение размера доли участия поставщиков (подрядчиков, исполнителей) в проведенных закупках;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определение соблюдения требований к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определение соотношения объема (размера доли) конкурентных закупок и закупок у единственного поставщика (подрядчика, исполнителя) (в том числе по пунктам 4 и 5 части 1 статьи 93 Федерального закона № 44-ФЗ) в общем объеме закупок (по количеству и сумме).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3.2. Определение количества состоявшихся и несостоявшихся конкурентных процедур производится в разрезе: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ФЭУ администрации  муниципального района для заказчиков муниципального района Камышлинский Самарской области (далее – заказчиков);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групп закупок, объединенных одним или несколькими общими признаками, в том числе ценовыми (далее – группа сопоставимых закупок);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главным распорядителем бюджетных средств и подведомственными ему заказчиками.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3.3. Определение размера экономии, сложившейся по результатам конкурентных процедур, и уровня конкуренции производится в отношении: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ФЭУ администрации  муниципального района для заказчиков, за отчетный период;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способов определения поставщика (подрядчика, исполнителя);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ФЭУ администрации  муниципального района для одного из заказчиков;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главным распорядителем бюджетных средств и подведомственными ему заказчиками;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групп сопоставимых закупок.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3.4. Определение размера доли участия региональных поставщиков (подрядчиков, исполнителей) в проведенных закупках производится в отношении: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ФЭУ администрации  муниципального района для заказчиков, за отчетный период;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групп сопоставимых закупок.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 xml:space="preserve">3.5. Определение соблюдения требований к соотношению объемов </w:t>
      </w:r>
      <w:r w:rsidRPr="00EB5B26">
        <w:rPr>
          <w:rFonts w:ascii="Times New Roman" w:hAnsi="Times New Roman"/>
          <w:sz w:val="28"/>
          <w:szCs w:val="28"/>
        </w:rPr>
        <w:lastRenderedPageBreak/>
        <w:t>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закупок, удельного веса соответствующих конкурентных закупок и закупок у единственного поставщика (подрядчика, исполнителя) в общем объеме закупок производится в отношении: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ФЭУ администрации  муниципального района для заказчиков, за отчетный период;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главным распорядителем бюджетных средств и подведомственными ему заказчиками;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закупок, осуществленных ФЭУ администрации  муниципального района для одного из заказчиков.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cs="Calibri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4. Порядок проведения мониторинга на этапе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исполнения контракта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При проведении мониторинга на этапе исполнения контракта осуществляется оценка выборочной информации: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об исполнении контракта (отдельного этапа исполнения контракта);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 соблюдении промежуточных и окончательных сроков исполнения контракта;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 соблюдении требований по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 внесении изменений в контракт в ходе его исполнения;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 расторжении контракта, в том числе с указанием оснований расторжения.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cs="Calibri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5B26">
        <w:rPr>
          <w:rFonts w:ascii="Times New Roman" w:hAnsi="Times New Roman"/>
          <w:b/>
          <w:sz w:val="28"/>
          <w:szCs w:val="28"/>
        </w:rPr>
        <w:t>5. Оформление и использование результатов мониторинга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5.1. Результаты мониторинга оформляются отделом экономики и муниципальных торгов ФЭУ администрации муниципального района путем подготовки ежеквартальных аналитических отчетов, а также сводных аналитических отчетов – по итогам каждого полугодия и года.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5.2. Аналитический отчет содержит следующие данные: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объем опубликованных извещений на закупку;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объем проведенных процедур, по которым подведены итоги и опубликован итоговый протокол, а также их количество в разрезе способов определения поставщика (подрядчика, исполнителя);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объем состоявшихся и несостоявшихся конкурентных процедур;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объем централизованных закупок (совместных торгов);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размер экономии, сложившейся по результатам конкурентных процедур, и уровень конкуренции;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размер доли участия региональных, муниципальных поставщиков (подрядчиков, испол</w:t>
      </w:r>
      <w:bookmarkStart w:id="2" w:name="_GoBack"/>
      <w:bookmarkEnd w:id="2"/>
      <w:r w:rsidRPr="00EB5B26">
        <w:rPr>
          <w:rFonts w:ascii="Times New Roman" w:hAnsi="Times New Roman"/>
          <w:sz w:val="28"/>
          <w:szCs w:val="28"/>
        </w:rPr>
        <w:t>нителей) в проведенных закупках;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lastRenderedPageBreak/>
        <w:t>предложения по совершенствованию законодательства (при необходимости).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5.3. Сводный аналитический отчет содержит следующие данные: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EB5B26">
        <w:rPr>
          <w:rFonts w:ascii="Times New Roman" w:hAnsi="Times New Roman"/>
          <w:sz w:val="28"/>
          <w:szCs w:val="28"/>
        </w:rPr>
        <w:t>соблюдения сроков опубликования планов-графиков закупок</w:t>
      </w:r>
      <w:proofErr w:type="gramEnd"/>
      <w:r w:rsidRPr="00EB5B26">
        <w:rPr>
          <w:rFonts w:ascii="Times New Roman" w:hAnsi="Times New Roman"/>
          <w:sz w:val="28"/>
          <w:szCs w:val="28"/>
        </w:rPr>
        <w:t xml:space="preserve"> на официальном сайте;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оценка соблюдения сроков проведения закупок, предусмотренных планом-графиком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оценка соответствия объема проводимых закупок запланированному объему закупок, предусмотренному планами-графиками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оценка соотношения объема конкурентных закупок, запланированных к размещению, закупок у единственного поставщика (подрядчика, исполнителя) (в том числе по пунктам 4 и 5 части 1 статьи 93 Федерального закона № 44-ФЗ) и общего объема закупок, предусмотренного планами-графиками закупок (в количественном и денежном выражении);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оценка соблюдения требований по соотношению объема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закупок, предусмотренного планами-графиками закупок (в денежном выражении);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объем состоявшихся и несостоявшихся конкурентных процедур;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размер экономии, сложившейся по результатам конкурентных процедур, и уровень конкуренции;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размер доли участия региональных поставщиков (подрядчиков, исполнителей) в проведенных закупках;</w:t>
      </w:r>
      <w:bookmarkStart w:id="3" w:name="P150"/>
      <w:bookmarkEnd w:id="3"/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соблюдение порядка обоснования закупки, установленного Правительством Российской Федерации,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  <w:bookmarkStart w:id="4" w:name="P154"/>
      <w:bookmarkEnd w:id="4"/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B26">
        <w:rPr>
          <w:rFonts w:ascii="Times New Roman" w:hAnsi="Times New Roman"/>
          <w:sz w:val="28"/>
          <w:szCs w:val="28"/>
        </w:rPr>
        <w:t>оценка соответствия планов-графиков закупок и планов закупок установленным в соответствии со статьей 19 Федерального закона № 44-ФЗ требованиям к закупаемым заказчиком товару, работе, услуге и (или) нормативным затратам на обеспечение функций соответствующих органов;</w:t>
      </w:r>
      <w:proofErr w:type="gramEnd"/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результаты мониторинга на этапе исполнения контракта;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предложения по совершенствованию законодательства (при необходимости).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5.4. Аналитический отчет представляется отделом экономики и муниципальных торгов ФЭУ администрации муниципального района для утверждения руководителю ФЭУ администрации муниципального района ежеквартально нарастающим итогом до 30-го числа месяца, следующего за отчетным кварталом, а сводные аналитические отчеты: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 первое полугодие текущего года – до 1 сентября текущего года;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за прошедший год – до 1 марта года, следующего за отчетным годом.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5.5. ФЭУ администрации муниципального района по результатам проведенного мониторинга: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 xml:space="preserve">направляет заказчику или главному распорядителю бюджетных </w:t>
      </w:r>
      <w:r w:rsidRPr="00EB5B26">
        <w:rPr>
          <w:rFonts w:ascii="Times New Roman" w:hAnsi="Times New Roman"/>
          <w:sz w:val="28"/>
          <w:szCs w:val="28"/>
        </w:rPr>
        <w:lastRenderedPageBreak/>
        <w:t>средств, в ведении которого находится заказчик, соответствующую информацию для принятия мер в пределах компетенции;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информирует соответствующие органы местного самоуправления муниципального района Камышлинский Самарской области, осуществляющие контроль в сфере закупок, а также заказчиков о промежуточных результатах мониторинга закупок данных заказчиков, в том числе о выявлении наличия признаков необоснованности закупки в соответствии со статьей 18 Федерального закона № 44-ФЗ;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направляет материалы в соответствующие органы местного самоуправления муниципального района Камышлинский Самарской области, осуществляющие контроль в сфере закупок, с предложением провести проверку (включить в план проведения проверок) в отношении заказчика, осуществляющего закупочную деятельность с нарушением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B26">
        <w:rPr>
          <w:rFonts w:ascii="Times New Roman" w:hAnsi="Times New Roman"/>
          <w:sz w:val="28"/>
          <w:szCs w:val="28"/>
        </w:rPr>
        <w:t>рекомендует объединить рассмотренные заявки в сводную заявку на закупку для проведения совместного конкурса или аукциона при выявлении потребности в закупках одних и тех же товаров, работ, услуг двумя и более заказчиками;</w:t>
      </w:r>
    </w:p>
    <w:p w:rsidR="00EB5B26" w:rsidRPr="00EB5B26" w:rsidRDefault="00EB5B26" w:rsidP="00EB5B26">
      <w:pPr>
        <w:suppressAutoHyphens w:val="0"/>
        <w:autoSpaceDE w:val="0"/>
        <w:autoSpaceDN w:val="0"/>
        <w:ind w:firstLine="709"/>
        <w:jc w:val="both"/>
        <w:rPr>
          <w:rFonts w:cs="Calibri"/>
        </w:rPr>
      </w:pPr>
      <w:r w:rsidRPr="00EB5B26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EB5B26">
        <w:rPr>
          <w:rFonts w:ascii="Times New Roman" w:hAnsi="Times New Roman"/>
          <w:sz w:val="28"/>
          <w:szCs w:val="28"/>
        </w:rPr>
        <w:t>выявления необходимости совершенствования законодательства Российской Федерации</w:t>
      </w:r>
      <w:proofErr w:type="gramEnd"/>
      <w:r w:rsidRPr="00EB5B26">
        <w:rPr>
          <w:rFonts w:ascii="Times New Roman" w:hAnsi="Times New Roman"/>
          <w:sz w:val="28"/>
          <w:szCs w:val="28"/>
        </w:rPr>
        <w:t xml:space="preserve"> и иных нормативных правовых актов о контрактной системе в сфере закупок принимает соответствующие меры в пределах своей компетенции.</w:t>
      </w:r>
    </w:p>
    <w:p w:rsidR="00EB5B26" w:rsidRPr="00564ED2" w:rsidRDefault="00EB5B26" w:rsidP="006F3621">
      <w:pPr>
        <w:spacing w:line="100" w:lineRule="atLeast"/>
        <w:jc w:val="both"/>
      </w:pPr>
    </w:p>
    <w:sectPr w:rsidR="00EB5B26" w:rsidRPr="0056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2"/>
    <w:rsid w:val="00173ECC"/>
    <w:rsid w:val="003D4DAF"/>
    <w:rsid w:val="00437970"/>
    <w:rsid w:val="00514782"/>
    <w:rsid w:val="00564ED2"/>
    <w:rsid w:val="005729D7"/>
    <w:rsid w:val="00686DD8"/>
    <w:rsid w:val="006F3621"/>
    <w:rsid w:val="009636A7"/>
    <w:rsid w:val="00B54FD6"/>
    <w:rsid w:val="00C4298D"/>
    <w:rsid w:val="00C745E6"/>
    <w:rsid w:val="00CF2EBD"/>
    <w:rsid w:val="00D815A4"/>
    <w:rsid w:val="00E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D5B292202A9B2EB73A6859A53AE12B3F34885F0A791EE4D022A0E4B2A4E60EB5160CC35943346N5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Hisamutdinova</cp:lastModifiedBy>
  <cp:revision>3</cp:revision>
  <cp:lastPrinted>2014-12-05T04:06:00Z</cp:lastPrinted>
  <dcterms:created xsi:type="dcterms:W3CDTF">2016-09-29T09:10:00Z</dcterms:created>
  <dcterms:modified xsi:type="dcterms:W3CDTF">2016-09-29T09:12:00Z</dcterms:modified>
</cp:coreProperties>
</file>