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D7" w:rsidRPr="00E569D7" w:rsidRDefault="00E569D7" w:rsidP="00E569D7">
      <w:pPr>
        <w:widowControl/>
        <w:autoSpaceDE/>
        <w:spacing w:line="240" w:lineRule="auto"/>
        <w:ind w:firstLine="0"/>
        <w:jc w:val="center"/>
        <w:rPr>
          <w:rFonts w:ascii="Arial" w:hAnsi="Arial"/>
          <w:sz w:val="28"/>
          <w:szCs w:val="20"/>
          <w:lang w:val="en-US" w:eastAsia="ru-RU"/>
        </w:rPr>
      </w:pPr>
      <w:r w:rsidRPr="00E569D7">
        <w:rPr>
          <w:noProof/>
          <w:sz w:val="20"/>
          <w:szCs w:val="20"/>
          <w:lang w:eastAsia="ru-RU"/>
        </w:rPr>
        <w:drawing>
          <wp:inline distT="0" distB="0" distL="0" distR="0" wp14:anchorId="61A1DFD7" wp14:editId="1A152A9A">
            <wp:extent cx="819150" cy="9906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9D7" w:rsidRPr="00E569D7" w:rsidRDefault="00E569D7" w:rsidP="00E569D7">
      <w:pPr>
        <w:widowControl/>
        <w:pBdr>
          <w:bottom w:val="double" w:sz="12" w:space="1" w:color="auto"/>
        </w:pBdr>
        <w:autoSpaceDE/>
        <w:spacing w:line="360" w:lineRule="auto"/>
        <w:ind w:firstLine="0"/>
        <w:jc w:val="center"/>
        <w:rPr>
          <w:rFonts w:ascii="Liberation Sans" w:hAnsi="Liberation Sans"/>
          <w:b/>
          <w:spacing w:val="120"/>
          <w:sz w:val="44"/>
          <w:szCs w:val="20"/>
          <w:lang w:eastAsia="ru-RU"/>
        </w:rPr>
      </w:pPr>
      <w:r w:rsidRPr="00E569D7">
        <w:rPr>
          <w:rFonts w:ascii="Liberation Sans" w:hAnsi="Liberation Sans"/>
          <w:b/>
          <w:sz w:val="28"/>
          <w:szCs w:val="20"/>
          <w:lang w:eastAsia="ru-RU"/>
        </w:rPr>
        <w:t>Администрация Артемовского городского округа</w:t>
      </w:r>
      <w:r w:rsidRPr="00E569D7">
        <w:rPr>
          <w:rFonts w:ascii="Liberation Sans" w:hAnsi="Liberation Sans"/>
          <w:b/>
          <w:spacing w:val="120"/>
          <w:sz w:val="44"/>
          <w:szCs w:val="20"/>
          <w:lang w:eastAsia="ru-RU"/>
        </w:rPr>
        <w:t xml:space="preserve"> </w:t>
      </w:r>
    </w:p>
    <w:p w:rsidR="00E569D7" w:rsidRPr="00E569D7" w:rsidRDefault="00E569D7" w:rsidP="00E569D7">
      <w:pPr>
        <w:widowControl/>
        <w:pBdr>
          <w:bottom w:val="double" w:sz="12" w:space="1" w:color="auto"/>
        </w:pBdr>
        <w:autoSpaceDE/>
        <w:spacing w:line="360" w:lineRule="auto"/>
        <w:ind w:firstLine="0"/>
        <w:jc w:val="center"/>
        <w:rPr>
          <w:rFonts w:ascii="Liberation Serif" w:hAnsi="Liberation Serif"/>
          <w:b/>
          <w:sz w:val="28"/>
          <w:szCs w:val="20"/>
          <w:lang w:eastAsia="ru-RU"/>
        </w:rPr>
      </w:pPr>
      <w:r w:rsidRPr="00E569D7">
        <w:rPr>
          <w:rFonts w:ascii="Liberation Serif" w:hAnsi="Liberation Serif"/>
          <w:b/>
          <w:spacing w:val="120"/>
          <w:sz w:val="44"/>
          <w:szCs w:val="20"/>
          <w:lang w:eastAsia="ru-RU"/>
        </w:rPr>
        <w:t>ПОСТАНОВЛЕНИЕ</w:t>
      </w:r>
    </w:p>
    <w:p w:rsidR="00E569D7" w:rsidRPr="00E569D7" w:rsidRDefault="00E569D7" w:rsidP="00E569D7">
      <w:pPr>
        <w:tabs>
          <w:tab w:val="left" w:pos="6804"/>
        </w:tabs>
        <w:autoSpaceDN w:val="0"/>
        <w:adjustRightInd w:val="0"/>
        <w:spacing w:line="240" w:lineRule="auto"/>
        <w:ind w:firstLine="0"/>
        <w:rPr>
          <w:rFonts w:ascii="Liberation Serif" w:hAnsi="Liberation Serif"/>
          <w:b/>
          <w:spacing w:val="120"/>
          <w:sz w:val="44"/>
          <w:szCs w:val="20"/>
          <w:lang w:eastAsia="ru-RU"/>
        </w:rPr>
      </w:pPr>
    </w:p>
    <w:p w:rsidR="00E569D7" w:rsidRPr="00E569D7" w:rsidRDefault="00E569D7" w:rsidP="00E569D7">
      <w:pPr>
        <w:tabs>
          <w:tab w:val="left" w:pos="6804"/>
        </w:tabs>
        <w:autoSpaceDN w:val="0"/>
        <w:adjustRightInd w:val="0"/>
        <w:spacing w:line="240" w:lineRule="auto"/>
        <w:ind w:firstLine="0"/>
        <w:rPr>
          <w:rFonts w:ascii="Liberation Serif" w:hAnsi="Liberation Serif"/>
          <w:sz w:val="28"/>
          <w:szCs w:val="28"/>
          <w:lang w:eastAsia="ru-RU"/>
        </w:rPr>
      </w:pPr>
      <w:r w:rsidRPr="00E569D7">
        <w:rPr>
          <w:rFonts w:ascii="Liberation Serif" w:hAnsi="Liberation Serif"/>
          <w:sz w:val="28"/>
          <w:szCs w:val="28"/>
          <w:lang w:eastAsia="ru-RU"/>
        </w:rPr>
        <w:t xml:space="preserve">от </w:t>
      </w:r>
      <w:r>
        <w:rPr>
          <w:rFonts w:ascii="Liberation Serif" w:hAnsi="Liberation Serif"/>
          <w:sz w:val="28"/>
          <w:szCs w:val="28"/>
          <w:lang w:eastAsia="ru-RU"/>
        </w:rPr>
        <w:t>13.11.2020</w:t>
      </w:r>
      <w:r w:rsidRPr="00E569D7">
        <w:rPr>
          <w:rFonts w:ascii="Liberation Serif" w:hAnsi="Liberation Serif"/>
          <w:sz w:val="28"/>
          <w:szCs w:val="28"/>
          <w:lang w:eastAsia="ru-RU"/>
        </w:rPr>
        <w:t xml:space="preserve">                                                                                     № </w:t>
      </w:r>
      <w:r>
        <w:rPr>
          <w:rFonts w:ascii="Liberation Serif" w:hAnsi="Liberation Serif"/>
          <w:sz w:val="28"/>
          <w:szCs w:val="28"/>
          <w:lang w:eastAsia="ru-RU"/>
        </w:rPr>
        <w:t>1097</w:t>
      </w:r>
      <w:r w:rsidRPr="00E569D7">
        <w:rPr>
          <w:rFonts w:ascii="Liberation Serif" w:hAnsi="Liberation Serif"/>
          <w:sz w:val="28"/>
          <w:szCs w:val="28"/>
          <w:lang w:eastAsia="ru-RU"/>
        </w:rPr>
        <w:t>-ПА</w:t>
      </w:r>
    </w:p>
    <w:p w:rsidR="006A20A4" w:rsidRPr="00BC08A5" w:rsidRDefault="006A20A4" w:rsidP="00543B86">
      <w:pPr>
        <w:tabs>
          <w:tab w:val="left" w:pos="6804"/>
        </w:tabs>
        <w:autoSpaceDN w:val="0"/>
        <w:adjustRightInd w:val="0"/>
        <w:spacing w:line="240" w:lineRule="auto"/>
        <w:ind w:firstLine="0"/>
        <w:jc w:val="center"/>
        <w:rPr>
          <w:rFonts w:ascii="Liberation Serif" w:hAnsi="Liberation Serif"/>
          <w:b/>
          <w:i/>
          <w:sz w:val="28"/>
          <w:szCs w:val="28"/>
          <w:lang w:eastAsia="ru-RU"/>
        </w:rPr>
      </w:pPr>
    </w:p>
    <w:p w:rsidR="006A20A4" w:rsidRPr="00BC08A5" w:rsidRDefault="006A20A4" w:rsidP="00543B86">
      <w:pPr>
        <w:tabs>
          <w:tab w:val="left" w:pos="6804"/>
        </w:tabs>
        <w:autoSpaceDN w:val="0"/>
        <w:adjustRightInd w:val="0"/>
        <w:spacing w:line="240" w:lineRule="auto"/>
        <w:ind w:firstLine="0"/>
        <w:jc w:val="center"/>
        <w:rPr>
          <w:rFonts w:ascii="Liberation Serif" w:hAnsi="Liberation Serif"/>
          <w:b/>
          <w:i/>
          <w:sz w:val="28"/>
          <w:szCs w:val="28"/>
          <w:lang w:eastAsia="ru-RU"/>
        </w:rPr>
      </w:pPr>
    </w:p>
    <w:p w:rsidR="0037574C" w:rsidRPr="00BC08A5" w:rsidRDefault="0037574C" w:rsidP="0037574C">
      <w:pPr>
        <w:spacing w:line="240" w:lineRule="auto"/>
        <w:ind w:firstLine="0"/>
        <w:jc w:val="center"/>
        <w:rPr>
          <w:rFonts w:ascii="Liberation Serif" w:hAnsi="Liberation Serif"/>
          <w:b/>
          <w:i/>
          <w:sz w:val="28"/>
          <w:szCs w:val="28"/>
          <w:lang w:eastAsia="ru-RU"/>
        </w:rPr>
      </w:pPr>
      <w:r w:rsidRPr="00BC08A5">
        <w:rPr>
          <w:rFonts w:ascii="Liberation Serif" w:hAnsi="Liberation Serif"/>
          <w:b/>
          <w:i/>
          <w:sz w:val="28"/>
          <w:szCs w:val="28"/>
          <w:lang w:eastAsia="ru-RU"/>
        </w:rPr>
        <w:t>Об одобрении прогноза социально-экономического развития</w:t>
      </w:r>
    </w:p>
    <w:p w:rsidR="0037574C" w:rsidRPr="00BC08A5" w:rsidRDefault="0037574C" w:rsidP="0037574C">
      <w:pPr>
        <w:spacing w:line="240" w:lineRule="auto"/>
        <w:ind w:firstLine="0"/>
        <w:jc w:val="center"/>
        <w:rPr>
          <w:rFonts w:ascii="Liberation Serif" w:hAnsi="Liberation Serif"/>
          <w:b/>
          <w:i/>
          <w:sz w:val="28"/>
          <w:szCs w:val="28"/>
          <w:lang w:eastAsia="ru-RU"/>
        </w:rPr>
      </w:pPr>
      <w:r w:rsidRPr="00BC08A5">
        <w:rPr>
          <w:rFonts w:ascii="Liberation Serif" w:hAnsi="Liberation Serif"/>
          <w:b/>
          <w:i/>
          <w:sz w:val="28"/>
          <w:szCs w:val="28"/>
          <w:lang w:eastAsia="ru-RU"/>
        </w:rPr>
        <w:t>Артемовского городского округа на 20</w:t>
      </w:r>
      <w:r w:rsidR="002C6406" w:rsidRPr="00BC08A5">
        <w:rPr>
          <w:rFonts w:ascii="Liberation Serif" w:hAnsi="Liberation Serif"/>
          <w:b/>
          <w:i/>
          <w:sz w:val="28"/>
          <w:szCs w:val="28"/>
          <w:lang w:eastAsia="ru-RU"/>
        </w:rPr>
        <w:t>2</w:t>
      </w:r>
      <w:r w:rsidR="007D3873" w:rsidRPr="00BC08A5">
        <w:rPr>
          <w:rFonts w:ascii="Liberation Serif" w:hAnsi="Liberation Serif"/>
          <w:b/>
          <w:i/>
          <w:sz w:val="28"/>
          <w:szCs w:val="28"/>
          <w:lang w:eastAsia="ru-RU"/>
        </w:rPr>
        <w:t>1</w:t>
      </w:r>
      <w:r w:rsidRPr="00BC08A5">
        <w:rPr>
          <w:rFonts w:ascii="Liberation Serif" w:hAnsi="Liberation Serif"/>
          <w:b/>
          <w:i/>
          <w:sz w:val="28"/>
          <w:szCs w:val="28"/>
          <w:lang w:eastAsia="ru-RU"/>
        </w:rPr>
        <w:t xml:space="preserve"> год и плановый период </w:t>
      </w:r>
    </w:p>
    <w:p w:rsidR="0037574C" w:rsidRPr="00BC08A5" w:rsidRDefault="0037574C" w:rsidP="0037574C">
      <w:pPr>
        <w:spacing w:line="240" w:lineRule="auto"/>
        <w:ind w:firstLine="0"/>
        <w:jc w:val="center"/>
        <w:rPr>
          <w:rFonts w:ascii="Liberation Serif" w:hAnsi="Liberation Serif"/>
          <w:b/>
          <w:i/>
          <w:sz w:val="28"/>
          <w:szCs w:val="28"/>
          <w:lang w:eastAsia="ru-RU"/>
        </w:rPr>
      </w:pPr>
      <w:r w:rsidRPr="00BC08A5">
        <w:rPr>
          <w:rFonts w:ascii="Liberation Serif" w:hAnsi="Liberation Serif"/>
          <w:b/>
          <w:i/>
          <w:sz w:val="28"/>
          <w:szCs w:val="28"/>
          <w:lang w:eastAsia="ru-RU"/>
        </w:rPr>
        <w:t>202</w:t>
      </w:r>
      <w:r w:rsidR="007D3873" w:rsidRPr="00BC08A5">
        <w:rPr>
          <w:rFonts w:ascii="Liberation Serif" w:hAnsi="Liberation Serif"/>
          <w:b/>
          <w:i/>
          <w:sz w:val="28"/>
          <w:szCs w:val="28"/>
          <w:lang w:eastAsia="ru-RU"/>
        </w:rPr>
        <w:t>2</w:t>
      </w:r>
      <w:r w:rsidRPr="00BC08A5">
        <w:rPr>
          <w:rFonts w:ascii="Liberation Serif" w:hAnsi="Liberation Serif"/>
          <w:b/>
          <w:i/>
          <w:sz w:val="28"/>
          <w:szCs w:val="28"/>
          <w:lang w:eastAsia="ru-RU"/>
        </w:rPr>
        <w:t xml:space="preserve"> и 202</w:t>
      </w:r>
      <w:r w:rsidR="007D3873" w:rsidRPr="00BC08A5">
        <w:rPr>
          <w:rFonts w:ascii="Liberation Serif" w:hAnsi="Liberation Serif"/>
          <w:b/>
          <w:i/>
          <w:sz w:val="28"/>
          <w:szCs w:val="28"/>
          <w:lang w:eastAsia="ru-RU"/>
        </w:rPr>
        <w:t>3</w:t>
      </w:r>
      <w:r w:rsidRPr="00BC08A5">
        <w:rPr>
          <w:rFonts w:ascii="Liberation Serif" w:hAnsi="Liberation Serif"/>
          <w:b/>
          <w:i/>
          <w:sz w:val="28"/>
          <w:szCs w:val="28"/>
          <w:lang w:eastAsia="ru-RU"/>
        </w:rPr>
        <w:t xml:space="preserve"> годов</w:t>
      </w:r>
    </w:p>
    <w:p w:rsidR="00543B86" w:rsidRPr="00BC08A5" w:rsidRDefault="00543B86" w:rsidP="00543B86">
      <w:pPr>
        <w:spacing w:line="240" w:lineRule="auto"/>
        <w:ind w:firstLine="0"/>
        <w:jc w:val="center"/>
        <w:rPr>
          <w:rFonts w:ascii="Liberation Serif" w:hAnsi="Liberation Serif"/>
          <w:b/>
          <w:i/>
          <w:sz w:val="28"/>
          <w:szCs w:val="28"/>
          <w:lang w:eastAsia="ru-RU"/>
        </w:rPr>
      </w:pPr>
    </w:p>
    <w:p w:rsidR="0037574C" w:rsidRPr="00BC08A5" w:rsidRDefault="0037574C" w:rsidP="0037574C">
      <w:pPr>
        <w:autoSpaceDN w:val="0"/>
        <w:adjustRightInd w:val="0"/>
        <w:spacing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  <w:lang w:eastAsia="ru-RU"/>
        </w:rPr>
      </w:pPr>
      <w:r w:rsidRPr="00BC08A5">
        <w:rPr>
          <w:rFonts w:ascii="Liberation Serif" w:hAnsi="Liberation Serif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28 июня 2014 года № 172-ФЗ «О стратегическом планировании в Российской Федерации», Законом Свердловской области от 15 июня 2015 года № 45-ОЗ «О стратегическом планировании в Российской Федерации, осуществляемом на территории Свердловской области», Порядком разработки и корректировки прогноза социально-экономического развития Артемовского городского округа на среднесрочный период, утвержденным постановлением Администрации Артемовского городского округа от 25.07.2016</w:t>
      </w:r>
      <w:r w:rsidR="008A2B3B" w:rsidRPr="00BC08A5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Pr="00BC08A5">
        <w:rPr>
          <w:rFonts w:ascii="Liberation Serif" w:hAnsi="Liberation Serif"/>
          <w:sz w:val="28"/>
          <w:szCs w:val="28"/>
          <w:lang w:eastAsia="ru-RU"/>
        </w:rPr>
        <w:t xml:space="preserve">№ 839-ПА, в целях определения направлений и ожидаемых результатов социально-экономического развития Артемовского городского округа на среднесрочный период, руководствуясь Положением о бюджетном процессе в Артемовском городском округе, утвержденным решением Думы Артемовского городского округа от 26.02.2015 № 624 </w:t>
      </w:r>
      <w:r w:rsidR="00766F78" w:rsidRPr="00BC08A5">
        <w:rPr>
          <w:rFonts w:ascii="Liberation Serif" w:hAnsi="Liberation Serif"/>
          <w:sz w:val="28"/>
          <w:szCs w:val="28"/>
          <w:lang w:eastAsia="ru-RU"/>
        </w:rPr>
        <w:br/>
      </w:r>
      <w:r w:rsidRPr="00BC08A5">
        <w:rPr>
          <w:rFonts w:ascii="Liberation Serif" w:hAnsi="Liberation Serif"/>
          <w:sz w:val="28"/>
          <w:szCs w:val="28"/>
          <w:lang w:eastAsia="ru-RU"/>
        </w:rPr>
        <w:t xml:space="preserve">(с изменениями), </w:t>
      </w:r>
      <w:r w:rsidR="00766F78" w:rsidRPr="00BC08A5">
        <w:rPr>
          <w:rFonts w:ascii="Liberation Serif" w:hAnsi="Liberation Serif"/>
          <w:sz w:val="28"/>
          <w:szCs w:val="28"/>
          <w:lang w:eastAsia="ru-RU"/>
        </w:rPr>
        <w:t xml:space="preserve">принимая во внимание Прогноз социально-экономического развития Свердловской области на среднесрочный период 2020-2022 годов, одобренный Постановлением Правительства Свердловской области от 30.10.2019 № 743-ПП, руководствуясь </w:t>
      </w:r>
      <w:r w:rsidRPr="00BC08A5">
        <w:rPr>
          <w:rFonts w:ascii="Liberation Serif" w:hAnsi="Liberation Serif"/>
          <w:sz w:val="28"/>
          <w:szCs w:val="28"/>
          <w:lang w:eastAsia="ru-RU"/>
        </w:rPr>
        <w:t xml:space="preserve">статьями 30, 31 Устава Артемовского городского округа, </w:t>
      </w:r>
    </w:p>
    <w:p w:rsidR="0037574C" w:rsidRPr="00BC08A5" w:rsidRDefault="0037574C" w:rsidP="008A2B3B">
      <w:pPr>
        <w:autoSpaceDN w:val="0"/>
        <w:adjustRightInd w:val="0"/>
        <w:spacing w:line="240" w:lineRule="auto"/>
        <w:ind w:firstLine="0"/>
        <w:jc w:val="both"/>
        <w:outlineLvl w:val="0"/>
        <w:rPr>
          <w:rFonts w:ascii="Liberation Serif" w:hAnsi="Liberation Serif"/>
          <w:sz w:val="28"/>
          <w:szCs w:val="28"/>
          <w:lang w:eastAsia="ru-RU"/>
        </w:rPr>
      </w:pPr>
      <w:r w:rsidRPr="00BC08A5">
        <w:rPr>
          <w:rFonts w:ascii="Liberation Serif" w:hAnsi="Liberation Serif"/>
          <w:sz w:val="28"/>
          <w:szCs w:val="28"/>
          <w:lang w:eastAsia="ru-RU"/>
        </w:rPr>
        <w:t>ПОСТАНОВЛЯЮ:</w:t>
      </w:r>
    </w:p>
    <w:p w:rsidR="0037574C" w:rsidRPr="00BC08A5" w:rsidRDefault="0037574C" w:rsidP="0037574C">
      <w:pPr>
        <w:autoSpaceDN w:val="0"/>
        <w:adjustRightInd w:val="0"/>
        <w:spacing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  <w:lang w:eastAsia="ru-RU"/>
        </w:rPr>
      </w:pPr>
      <w:r w:rsidRPr="00BC08A5">
        <w:rPr>
          <w:rFonts w:ascii="Liberation Serif" w:hAnsi="Liberation Serif"/>
          <w:sz w:val="28"/>
          <w:szCs w:val="28"/>
          <w:lang w:eastAsia="ru-RU"/>
        </w:rPr>
        <w:t>1.</w:t>
      </w:r>
      <w:r w:rsidR="00CB1EB2" w:rsidRPr="00BC08A5">
        <w:rPr>
          <w:rFonts w:ascii="Liberation Serif" w:hAnsi="Liberation Serif"/>
          <w:sz w:val="28"/>
          <w:szCs w:val="28"/>
          <w:lang w:eastAsia="ru-RU"/>
        </w:rPr>
        <w:t> </w:t>
      </w:r>
      <w:r w:rsidRPr="00BC08A5">
        <w:rPr>
          <w:rFonts w:ascii="Liberation Serif" w:hAnsi="Liberation Serif"/>
          <w:sz w:val="28"/>
          <w:szCs w:val="28"/>
          <w:lang w:eastAsia="ru-RU"/>
        </w:rPr>
        <w:t>Одобрить прогноз социально-экономического развития Артем</w:t>
      </w:r>
      <w:r w:rsidR="00EA065F" w:rsidRPr="00BC08A5">
        <w:rPr>
          <w:rFonts w:ascii="Liberation Serif" w:hAnsi="Liberation Serif"/>
          <w:sz w:val="28"/>
          <w:szCs w:val="28"/>
          <w:lang w:eastAsia="ru-RU"/>
        </w:rPr>
        <w:t>овского городского округа на 202</w:t>
      </w:r>
      <w:r w:rsidR="007D3873" w:rsidRPr="00BC08A5">
        <w:rPr>
          <w:rFonts w:ascii="Liberation Serif" w:hAnsi="Liberation Serif"/>
          <w:sz w:val="28"/>
          <w:szCs w:val="28"/>
          <w:lang w:eastAsia="ru-RU"/>
        </w:rPr>
        <w:t>1</w:t>
      </w:r>
      <w:r w:rsidR="00EA065F" w:rsidRPr="00BC08A5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Pr="00BC08A5">
        <w:rPr>
          <w:rFonts w:ascii="Liberation Serif" w:hAnsi="Liberation Serif"/>
          <w:sz w:val="28"/>
          <w:szCs w:val="28"/>
          <w:lang w:eastAsia="ru-RU"/>
        </w:rPr>
        <w:t>год и плановый период 202</w:t>
      </w:r>
      <w:r w:rsidR="007D3873" w:rsidRPr="00BC08A5">
        <w:rPr>
          <w:rFonts w:ascii="Liberation Serif" w:hAnsi="Liberation Serif"/>
          <w:sz w:val="28"/>
          <w:szCs w:val="28"/>
          <w:lang w:eastAsia="ru-RU"/>
        </w:rPr>
        <w:t>2</w:t>
      </w:r>
      <w:r w:rsidRPr="00BC08A5">
        <w:rPr>
          <w:rFonts w:ascii="Liberation Serif" w:hAnsi="Liberation Serif"/>
          <w:sz w:val="28"/>
          <w:szCs w:val="28"/>
          <w:lang w:eastAsia="ru-RU"/>
        </w:rPr>
        <w:t xml:space="preserve"> и 202</w:t>
      </w:r>
      <w:r w:rsidR="007D3873" w:rsidRPr="00BC08A5">
        <w:rPr>
          <w:rFonts w:ascii="Liberation Serif" w:hAnsi="Liberation Serif"/>
          <w:sz w:val="28"/>
          <w:szCs w:val="28"/>
          <w:lang w:eastAsia="ru-RU"/>
        </w:rPr>
        <w:t>3</w:t>
      </w:r>
      <w:r w:rsidRPr="00BC08A5">
        <w:rPr>
          <w:rFonts w:ascii="Liberation Serif" w:hAnsi="Liberation Serif"/>
          <w:sz w:val="28"/>
          <w:szCs w:val="28"/>
          <w:lang w:eastAsia="ru-RU"/>
        </w:rPr>
        <w:t xml:space="preserve"> годов (Приложение).</w:t>
      </w:r>
    </w:p>
    <w:p w:rsidR="0037574C" w:rsidRPr="00BC08A5" w:rsidRDefault="0037574C" w:rsidP="0037574C">
      <w:pPr>
        <w:autoSpaceDN w:val="0"/>
        <w:adjustRightInd w:val="0"/>
        <w:spacing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  <w:lang w:eastAsia="ru-RU"/>
        </w:rPr>
      </w:pPr>
      <w:r w:rsidRPr="00BC08A5">
        <w:rPr>
          <w:rFonts w:ascii="Liberation Serif" w:hAnsi="Liberation Serif"/>
          <w:sz w:val="28"/>
          <w:szCs w:val="28"/>
          <w:lang w:eastAsia="ru-RU"/>
        </w:rPr>
        <w:t>2.</w:t>
      </w:r>
      <w:r w:rsidR="00CB1EB2" w:rsidRPr="00BC08A5">
        <w:rPr>
          <w:rFonts w:ascii="Liberation Serif" w:hAnsi="Liberation Serif"/>
          <w:sz w:val="28"/>
          <w:szCs w:val="28"/>
          <w:lang w:eastAsia="ru-RU"/>
        </w:rPr>
        <w:t> </w:t>
      </w:r>
      <w:r w:rsidRPr="00BC08A5">
        <w:rPr>
          <w:rFonts w:ascii="Liberation Serif" w:hAnsi="Liberation Serif"/>
          <w:sz w:val="28"/>
          <w:szCs w:val="28"/>
          <w:lang w:eastAsia="ru-RU"/>
        </w:rPr>
        <w:t>Финансовому управлению Администрации Артемовского городского округа (Бачурина О.Г.) учесть прогноз социально-экономического развития Артемовского городского округа на 20</w:t>
      </w:r>
      <w:r w:rsidR="00EA065F" w:rsidRPr="00BC08A5">
        <w:rPr>
          <w:rFonts w:ascii="Liberation Serif" w:hAnsi="Liberation Serif"/>
          <w:sz w:val="28"/>
          <w:szCs w:val="28"/>
          <w:lang w:eastAsia="ru-RU"/>
        </w:rPr>
        <w:t>2</w:t>
      </w:r>
      <w:r w:rsidR="007D3873" w:rsidRPr="00BC08A5">
        <w:rPr>
          <w:rFonts w:ascii="Liberation Serif" w:hAnsi="Liberation Serif"/>
          <w:sz w:val="28"/>
          <w:szCs w:val="28"/>
          <w:lang w:eastAsia="ru-RU"/>
        </w:rPr>
        <w:t>1</w:t>
      </w:r>
      <w:r w:rsidRPr="00BC08A5">
        <w:rPr>
          <w:rFonts w:ascii="Liberation Serif" w:hAnsi="Liberation Serif"/>
          <w:sz w:val="28"/>
          <w:szCs w:val="28"/>
          <w:lang w:eastAsia="ru-RU"/>
        </w:rPr>
        <w:t xml:space="preserve"> год и плановый период 202</w:t>
      </w:r>
      <w:r w:rsidR="007D3873" w:rsidRPr="00BC08A5">
        <w:rPr>
          <w:rFonts w:ascii="Liberation Serif" w:hAnsi="Liberation Serif"/>
          <w:sz w:val="28"/>
          <w:szCs w:val="28"/>
          <w:lang w:eastAsia="ru-RU"/>
        </w:rPr>
        <w:t>2</w:t>
      </w:r>
      <w:r w:rsidRPr="00BC08A5">
        <w:rPr>
          <w:rFonts w:ascii="Liberation Serif" w:hAnsi="Liberation Serif"/>
          <w:sz w:val="28"/>
          <w:szCs w:val="28"/>
          <w:lang w:eastAsia="ru-RU"/>
        </w:rPr>
        <w:t xml:space="preserve"> и 202</w:t>
      </w:r>
      <w:r w:rsidR="007D3873" w:rsidRPr="00BC08A5">
        <w:rPr>
          <w:rFonts w:ascii="Liberation Serif" w:hAnsi="Liberation Serif"/>
          <w:sz w:val="28"/>
          <w:szCs w:val="28"/>
          <w:lang w:eastAsia="ru-RU"/>
        </w:rPr>
        <w:t>3</w:t>
      </w:r>
      <w:r w:rsidRPr="00BC08A5">
        <w:rPr>
          <w:rFonts w:ascii="Liberation Serif" w:hAnsi="Liberation Serif"/>
          <w:sz w:val="28"/>
          <w:szCs w:val="28"/>
          <w:lang w:eastAsia="ru-RU"/>
        </w:rPr>
        <w:t xml:space="preserve"> годов при формировании проекта бюджета </w:t>
      </w:r>
      <w:r w:rsidRPr="00BC08A5">
        <w:rPr>
          <w:rFonts w:ascii="Liberation Serif" w:hAnsi="Liberation Serif"/>
          <w:sz w:val="28"/>
          <w:szCs w:val="28"/>
          <w:lang w:eastAsia="ru-RU"/>
        </w:rPr>
        <w:lastRenderedPageBreak/>
        <w:t>Артемовского городского округа на 20</w:t>
      </w:r>
      <w:r w:rsidR="00EA065F" w:rsidRPr="00BC08A5">
        <w:rPr>
          <w:rFonts w:ascii="Liberation Serif" w:hAnsi="Liberation Serif"/>
          <w:sz w:val="28"/>
          <w:szCs w:val="28"/>
          <w:lang w:eastAsia="ru-RU"/>
        </w:rPr>
        <w:t>2</w:t>
      </w:r>
      <w:r w:rsidR="007D3873" w:rsidRPr="00BC08A5">
        <w:rPr>
          <w:rFonts w:ascii="Liberation Serif" w:hAnsi="Liberation Serif"/>
          <w:sz w:val="28"/>
          <w:szCs w:val="28"/>
          <w:lang w:eastAsia="ru-RU"/>
        </w:rPr>
        <w:t>1</w:t>
      </w:r>
      <w:r w:rsidRPr="00BC08A5">
        <w:rPr>
          <w:rFonts w:ascii="Liberation Serif" w:hAnsi="Liberation Serif"/>
          <w:sz w:val="28"/>
          <w:szCs w:val="28"/>
          <w:lang w:eastAsia="ru-RU"/>
        </w:rPr>
        <w:t xml:space="preserve"> год и плановый период 202</w:t>
      </w:r>
      <w:r w:rsidR="007D3873" w:rsidRPr="00BC08A5">
        <w:rPr>
          <w:rFonts w:ascii="Liberation Serif" w:hAnsi="Liberation Serif"/>
          <w:sz w:val="28"/>
          <w:szCs w:val="28"/>
          <w:lang w:eastAsia="ru-RU"/>
        </w:rPr>
        <w:t>2</w:t>
      </w:r>
      <w:r w:rsidRPr="00BC08A5">
        <w:rPr>
          <w:rFonts w:ascii="Liberation Serif" w:hAnsi="Liberation Serif"/>
          <w:sz w:val="28"/>
          <w:szCs w:val="28"/>
          <w:lang w:eastAsia="ru-RU"/>
        </w:rPr>
        <w:t xml:space="preserve"> и 202</w:t>
      </w:r>
      <w:r w:rsidR="007D3873" w:rsidRPr="00BC08A5">
        <w:rPr>
          <w:rFonts w:ascii="Liberation Serif" w:hAnsi="Liberation Serif"/>
          <w:sz w:val="28"/>
          <w:szCs w:val="28"/>
          <w:lang w:eastAsia="ru-RU"/>
        </w:rPr>
        <w:t>3</w:t>
      </w:r>
      <w:r w:rsidRPr="00BC08A5">
        <w:rPr>
          <w:rFonts w:ascii="Liberation Serif" w:hAnsi="Liberation Serif"/>
          <w:sz w:val="28"/>
          <w:szCs w:val="28"/>
          <w:lang w:eastAsia="ru-RU"/>
        </w:rPr>
        <w:t xml:space="preserve"> годов. </w:t>
      </w:r>
    </w:p>
    <w:p w:rsidR="0037574C" w:rsidRPr="00BC08A5" w:rsidRDefault="00A8743A" w:rsidP="0037574C">
      <w:pPr>
        <w:autoSpaceDN w:val="0"/>
        <w:adjustRightInd w:val="0"/>
        <w:spacing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3</w:t>
      </w:r>
      <w:r w:rsidR="0037574C" w:rsidRPr="00BC08A5">
        <w:rPr>
          <w:rFonts w:ascii="Liberation Serif" w:hAnsi="Liberation Serif"/>
          <w:sz w:val="28"/>
          <w:szCs w:val="28"/>
          <w:lang w:eastAsia="ru-RU"/>
        </w:rPr>
        <w:t>.</w:t>
      </w:r>
      <w:r w:rsidR="00CB1EB2" w:rsidRPr="00BC08A5">
        <w:rPr>
          <w:rFonts w:ascii="Liberation Serif" w:hAnsi="Liberation Serif"/>
          <w:sz w:val="28"/>
          <w:szCs w:val="28"/>
          <w:lang w:eastAsia="ru-RU"/>
        </w:rPr>
        <w:t> </w:t>
      </w:r>
      <w:r w:rsidR="0037574C" w:rsidRPr="00BC08A5">
        <w:rPr>
          <w:rFonts w:ascii="Liberation Serif" w:hAnsi="Liberation Serif"/>
          <w:sz w:val="28"/>
          <w:szCs w:val="28"/>
          <w:lang w:eastAsia="ru-RU"/>
        </w:rPr>
        <w:t>Постановление опубликовать в газете «Артемовский рабочий» и разместить на</w:t>
      </w:r>
      <w:r w:rsidR="006F0E7D" w:rsidRPr="00BC08A5">
        <w:rPr>
          <w:rFonts w:ascii="Liberation Serif" w:hAnsi="Liberation Serif"/>
          <w:sz w:val="28"/>
          <w:szCs w:val="28"/>
          <w:lang w:eastAsia="ru-RU"/>
        </w:rPr>
        <w:t xml:space="preserve"> Официальном портале правовой информации Артемовского городского округа (</w:t>
      </w:r>
      <w:hyperlink r:id="rId8" w:history="1">
        <w:r w:rsidR="006F0E7D" w:rsidRPr="00BC08A5">
          <w:rPr>
            <w:rStyle w:val="aa"/>
            <w:rFonts w:ascii="Liberation Serif" w:hAnsi="Liberation Serif"/>
            <w:sz w:val="28"/>
            <w:szCs w:val="28"/>
            <w:lang w:val="en-US" w:eastAsia="ru-RU"/>
          </w:rPr>
          <w:t>www</w:t>
        </w:r>
        <w:r w:rsidR="006F0E7D" w:rsidRPr="00BC08A5">
          <w:rPr>
            <w:rStyle w:val="aa"/>
            <w:rFonts w:ascii="Liberation Serif" w:hAnsi="Liberation Serif"/>
            <w:sz w:val="28"/>
            <w:szCs w:val="28"/>
            <w:lang w:eastAsia="ru-RU"/>
          </w:rPr>
          <w:t>.артемовский-право.рф</w:t>
        </w:r>
      </w:hyperlink>
      <w:r w:rsidR="006F0E7D" w:rsidRPr="00BC08A5">
        <w:rPr>
          <w:rFonts w:ascii="Liberation Serif" w:hAnsi="Liberation Serif"/>
          <w:sz w:val="28"/>
          <w:szCs w:val="28"/>
          <w:lang w:eastAsia="ru-RU"/>
        </w:rPr>
        <w:t>), на</w:t>
      </w:r>
      <w:r w:rsidR="0037574C" w:rsidRPr="00BC08A5">
        <w:rPr>
          <w:rFonts w:ascii="Liberation Serif" w:hAnsi="Liberation Serif"/>
          <w:sz w:val="28"/>
          <w:szCs w:val="28"/>
          <w:lang w:eastAsia="ru-RU"/>
        </w:rPr>
        <w:t xml:space="preserve"> официальном сайте Артемовского городского округа в информационно-телекоммуникационной сети «Интернет».</w:t>
      </w:r>
    </w:p>
    <w:p w:rsidR="0037574C" w:rsidRPr="00BC08A5" w:rsidRDefault="00A8743A" w:rsidP="0037574C">
      <w:pPr>
        <w:autoSpaceDN w:val="0"/>
        <w:adjustRightInd w:val="0"/>
        <w:spacing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4</w:t>
      </w:r>
      <w:r w:rsidR="0037574C" w:rsidRPr="00BC08A5">
        <w:rPr>
          <w:rFonts w:ascii="Liberation Serif" w:hAnsi="Liberation Serif"/>
          <w:sz w:val="28"/>
          <w:szCs w:val="28"/>
          <w:lang w:eastAsia="ru-RU"/>
        </w:rPr>
        <w:t>.</w:t>
      </w:r>
      <w:r w:rsidR="00CB1EB2" w:rsidRPr="00BC08A5">
        <w:rPr>
          <w:rFonts w:ascii="Liberation Serif" w:hAnsi="Liberation Serif"/>
          <w:sz w:val="28"/>
          <w:szCs w:val="28"/>
          <w:lang w:eastAsia="ru-RU"/>
        </w:rPr>
        <w:t> </w:t>
      </w:r>
      <w:r w:rsidR="0037574C" w:rsidRPr="00BC08A5">
        <w:rPr>
          <w:rFonts w:ascii="Liberation Serif" w:hAnsi="Liberation Serif"/>
          <w:sz w:val="28"/>
          <w:szCs w:val="28"/>
          <w:lang w:eastAsia="ru-RU"/>
        </w:rPr>
        <w:t xml:space="preserve">Контроль за исполнением постановления </w:t>
      </w:r>
      <w:r w:rsidR="00395451">
        <w:rPr>
          <w:rFonts w:ascii="Liberation Serif" w:hAnsi="Liberation Serif"/>
          <w:sz w:val="28"/>
          <w:szCs w:val="28"/>
          <w:lang w:eastAsia="ru-RU"/>
        </w:rPr>
        <w:t>возложить на п</w:t>
      </w:r>
      <w:r w:rsidR="00395451" w:rsidRPr="00BC08A5">
        <w:rPr>
          <w:rFonts w:ascii="Liberation Serif" w:hAnsi="Liberation Serif"/>
          <w:sz w:val="28"/>
          <w:szCs w:val="28"/>
          <w:lang w:eastAsia="ru-RU"/>
        </w:rPr>
        <w:t>ерв</w:t>
      </w:r>
      <w:r w:rsidR="00395451">
        <w:rPr>
          <w:rFonts w:ascii="Liberation Serif" w:hAnsi="Liberation Serif"/>
          <w:sz w:val="28"/>
          <w:szCs w:val="28"/>
          <w:lang w:eastAsia="ru-RU"/>
        </w:rPr>
        <w:t>ого заместителя</w:t>
      </w:r>
      <w:r w:rsidR="00395451" w:rsidRPr="00BC08A5">
        <w:rPr>
          <w:rFonts w:ascii="Liberation Serif" w:hAnsi="Liberation Serif"/>
          <w:sz w:val="28"/>
          <w:szCs w:val="28"/>
          <w:lang w:eastAsia="ru-RU"/>
        </w:rPr>
        <w:t xml:space="preserve"> главы Администрации Артемовского городского округа </w:t>
      </w:r>
      <w:r w:rsidR="00395451" w:rsidRPr="00BC08A5">
        <w:rPr>
          <w:rFonts w:ascii="Liberation Serif" w:hAnsi="Liberation Serif"/>
          <w:sz w:val="28"/>
          <w:szCs w:val="28"/>
          <w:lang w:eastAsia="en-US"/>
        </w:rPr>
        <w:t>Черемных</w:t>
      </w:r>
      <w:r w:rsidR="00395451" w:rsidRPr="00395451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395451" w:rsidRPr="00BC08A5">
        <w:rPr>
          <w:rFonts w:ascii="Liberation Serif" w:hAnsi="Liberation Serif"/>
          <w:sz w:val="28"/>
          <w:szCs w:val="28"/>
          <w:lang w:eastAsia="en-US"/>
        </w:rPr>
        <w:t>Н.А.</w:t>
      </w:r>
    </w:p>
    <w:p w:rsidR="00A01D44" w:rsidRPr="00BC08A5" w:rsidRDefault="00A01D44" w:rsidP="00A01D44">
      <w:pPr>
        <w:tabs>
          <w:tab w:val="left" w:pos="-1134"/>
          <w:tab w:val="left" w:pos="720"/>
          <w:tab w:val="right" w:pos="9356"/>
        </w:tabs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94062" w:rsidRPr="00BC08A5" w:rsidRDefault="00694062" w:rsidP="00A01D44">
      <w:pPr>
        <w:tabs>
          <w:tab w:val="left" w:pos="-1134"/>
          <w:tab w:val="left" w:pos="720"/>
          <w:tab w:val="right" w:pos="9356"/>
        </w:tabs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9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861"/>
      </w:tblGrid>
      <w:tr w:rsidR="007D3873" w:rsidRPr="00BC08A5" w:rsidTr="00395451">
        <w:tc>
          <w:tcPr>
            <w:tcW w:w="5353" w:type="dxa"/>
            <w:hideMark/>
          </w:tcPr>
          <w:p w:rsidR="007D3873" w:rsidRPr="00BC08A5" w:rsidRDefault="00395451" w:rsidP="00395451">
            <w:pPr>
              <w:widowControl/>
              <w:autoSpaceDE/>
              <w:spacing w:line="240" w:lineRule="auto"/>
              <w:ind w:firstLine="0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Г</w:t>
            </w:r>
            <w:r w:rsidR="007D3873" w:rsidRPr="00BC08A5">
              <w:rPr>
                <w:rFonts w:ascii="Liberation Serif" w:hAnsi="Liberation Serif"/>
                <w:sz w:val="28"/>
                <w:szCs w:val="28"/>
                <w:lang w:eastAsia="ru-RU"/>
              </w:rPr>
              <w:t>лав</w:t>
            </w: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а</w:t>
            </w:r>
            <w:r w:rsidR="007D3873" w:rsidRPr="00BC08A5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Артемовского городского округа</w:t>
            </w:r>
          </w:p>
        </w:tc>
        <w:tc>
          <w:tcPr>
            <w:tcW w:w="3861" w:type="dxa"/>
          </w:tcPr>
          <w:p w:rsidR="007D3873" w:rsidRPr="00BC08A5" w:rsidRDefault="00395451" w:rsidP="007D3873">
            <w:pPr>
              <w:widowControl/>
              <w:autoSpaceDE/>
              <w:spacing w:line="240" w:lineRule="auto"/>
              <w:ind w:firstLine="0"/>
              <w:jc w:val="right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К.М. Троф</w:t>
            </w:r>
            <w:r w:rsidR="00A8743A">
              <w:rPr>
                <w:rFonts w:ascii="Liberation Serif" w:hAnsi="Liberation Serif"/>
                <w:sz w:val="28"/>
                <w:szCs w:val="28"/>
                <w:lang w:eastAsia="en-US"/>
              </w:rPr>
              <w:t>и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мов</w:t>
            </w:r>
          </w:p>
          <w:p w:rsidR="007D3873" w:rsidRPr="00BC08A5" w:rsidRDefault="007D3873" w:rsidP="007D3873">
            <w:pPr>
              <w:widowControl/>
              <w:autoSpaceDE/>
              <w:spacing w:line="240" w:lineRule="auto"/>
              <w:ind w:firstLine="0"/>
              <w:jc w:val="right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</w:tbl>
    <w:p w:rsidR="00A01D44" w:rsidRDefault="00A01D44" w:rsidP="007D3873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Default="00E569D7" w:rsidP="007D3873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Default="00E569D7" w:rsidP="007D3873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Default="00E569D7" w:rsidP="007D3873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Default="00E569D7" w:rsidP="007D3873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Default="00E569D7" w:rsidP="007D3873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Default="00E569D7" w:rsidP="007D3873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Default="00E569D7" w:rsidP="007D3873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Default="00E569D7" w:rsidP="007D3873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Default="00E569D7" w:rsidP="007D3873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Default="00E569D7" w:rsidP="007D3873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Default="00E569D7" w:rsidP="007D3873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Default="00E569D7" w:rsidP="007D3873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Default="00E569D7" w:rsidP="007D3873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Default="00E569D7" w:rsidP="007D3873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Default="00E569D7" w:rsidP="007D3873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Default="00E569D7" w:rsidP="007D3873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Default="00E569D7" w:rsidP="007D3873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Default="00E569D7" w:rsidP="007D3873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Default="00E569D7" w:rsidP="007D3873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Default="00E569D7" w:rsidP="007D3873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Default="00E569D7" w:rsidP="007D3873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Default="00E569D7" w:rsidP="007D3873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Default="00E569D7" w:rsidP="007D3873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Default="00E569D7" w:rsidP="007D3873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Default="00E569D7" w:rsidP="007D3873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Default="00E569D7" w:rsidP="007D3873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Default="00E569D7" w:rsidP="007D3873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  <w:sectPr w:rsidR="00E569D7" w:rsidSect="00750105">
          <w:headerReference w:type="default" r:id="rId9"/>
          <w:pgSz w:w="11906" w:h="16838"/>
          <w:pgMar w:top="1134" w:right="991" w:bottom="1276" w:left="1843" w:header="708" w:footer="708" w:gutter="0"/>
          <w:cols w:space="708"/>
          <w:titlePg/>
          <w:docGrid w:linePitch="360"/>
        </w:sect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11"/>
        <w:gridCol w:w="7333"/>
      </w:tblGrid>
      <w:tr w:rsidR="00E569D7" w:rsidRPr="00E569D7" w:rsidTr="00E569D7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jc w:val="right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Приложение </w:t>
            </w:r>
          </w:p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</w:p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УТВЕРЖДЕНО</w:t>
            </w:r>
          </w:p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постановлением Администрации Артемовского городского округа от </w:t>
            </w:r>
            <w:r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13.11.</w:t>
            </w: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2020 № </w:t>
            </w:r>
            <w:r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1097</w:t>
            </w: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-ПА</w:t>
            </w:r>
          </w:p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jc w:val="right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</w:p>
        </w:tc>
      </w:tr>
    </w:tbl>
    <w:p w:rsidR="00E569D7" w:rsidRPr="00E569D7" w:rsidRDefault="00E569D7" w:rsidP="00E569D7">
      <w:pPr>
        <w:widowControl/>
        <w:autoSpaceDE/>
        <w:spacing w:line="240" w:lineRule="auto"/>
        <w:ind w:firstLine="0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</w:p>
    <w:p w:rsidR="00E569D7" w:rsidRPr="00E569D7" w:rsidRDefault="00E569D7" w:rsidP="00E569D7">
      <w:pPr>
        <w:widowControl/>
        <w:autoSpaceDE/>
        <w:spacing w:line="240" w:lineRule="auto"/>
        <w:ind w:firstLine="0"/>
        <w:jc w:val="center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E569D7">
        <w:rPr>
          <w:rFonts w:ascii="Liberation Serif" w:eastAsiaTheme="minorHAnsi" w:hAnsi="Liberation Serif" w:cstheme="minorBidi"/>
          <w:sz w:val="28"/>
          <w:szCs w:val="28"/>
          <w:lang w:eastAsia="en-US"/>
        </w:rPr>
        <w:t>Прогноз социально-экономического развития</w:t>
      </w:r>
    </w:p>
    <w:p w:rsidR="00E569D7" w:rsidRPr="00E569D7" w:rsidRDefault="00E569D7" w:rsidP="00E569D7">
      <w:pPr>
        <w:widowControl/>
        <w:autoSpaceDE/>
        <w:spacing w:line="240" w:lineRule="auto"/>
        <w:ind w:firstLine="0"/>
        <w:jc w:val="center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E569D7">
        <w:rPr>
          <w:rFonts w:ascii="Liberation Serif" w:eastAsiaTheme="minorHAnsi" w:hAnsi="Liberation Serif" w:cstheme="minorBidi"/>
          <w:sz w:val="28"/>
          <w:szCs w:val="28"/>
          <w:lang w:eastAsia="en-US"/>
        </w:rPr>
        <w:t>Артемовского городского округа на 2021 год и плановый период 2022 и 2023 годов*</w:t>
      </w:r>
    </w:p>
    <w:p w:rsidR="00E569D7" w:rsidRPr="00E569D7" w:rsidRDefault="00E569D7" w:rsidP="00E569D7">
      <w:pPr>
        <w:widowControl/>
        <w:autoSpaceDE/>
        <w:spacing w:line="240" w:lineRule="auto"/>
        <w:ind w:firstLine="0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87"/>
        <w:gridCol w:w="1611"/>
        <w:gridCol w:w="1266"/>
        <w:gridCol w:w="1266"/>
        <w:gridCol w:w="1266"/>
        <w:gridCol w:w="1294"/>
        <w:gridCol w:w="1348"/>
      </w:tblGrid>
      <w:tr w:rsidR="00E569D7" w:rsidRPr="00E569D7" w:rsidTr="00E569D7">
        <w:trPr>
          <w:trHeight w:val="300"/>
        </w:trPr>
        <w:tc>
          <w:tcPr>
            <w:tcW w:w="6487" w:type="dxa"/>
            <w:vMerge w:val="restart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611" w:type="dxa"/>
            <w:vMerge w:val="restart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6440" w:type="dxa"/>
            <w:gridSpan w:val="5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Годы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vMerge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</w:p>
        </w:tc>
        <w:tc>
          <w:tcPr>
            <w:tcW w:w="1611" w:type="dxa"/>
            <w:vMerge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266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66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294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348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2023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vMerge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</w:p>
        </w:tc>
        <w:tc>
          <w:tcPr>
            <w:tcW w:w="1611" w:type="dxa"/>
            <w:vMerge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266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1266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Прогноз</w:t>
            </w:r>
          </w:p>
        </w:tc>
        <w:tc>
          <w:tcPr>
            <w:tcW w:w="1294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Прогноз</w:t>
            </w:r>
          </w:p>
        </w:tc>
        <w:tc>
          <w:tcPr>
            <w:tcW w:w="1348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Прогноз</w:t>
            </w:r>
          </w:p>
        </w:tc>
      </w:tr>
      <w:tr w:rsidR="00E569D7" w:rsidRPr="00E569D7" w:rsidTr="00E569D7">
        <w:trPr>
          <w:trHeight w:val="300"/>
        </w:trPr>
        <w:tc>
          <w:tcPr>
            <w:tcW w:w="14538" w:type="dxa"/>
            <w:gridSpan w:val="7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b/>
                <w:bCs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b/>
                <w:bCs/>
                <w:sz w:val="28"/>
                <w:szCs w:val="28"/>
                <w:lang w:eastAsia="en-US"/>
              </w:rPr>
              <w:t>I. Финансы</w:t>
            </w:r>
          </w:p>
        </w:tc>
      </w:tr>
      <w:tr w:rsidR="00E569D7" w:rsidRPr="00E569D7" w:rsidTr="00E569D7">
        <w:trPr>
          <w:trHeight w:val="315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1. </w:t>
            </w:r>
            <w:r w:rsidRPr="00E569D7">
              <w:rPr>
                <w:rFonts w:ascii="Liberation Serif" w:eastAsiaTheme="minorHAnsi" w:hAnsi="Liberation Serif" w:cstheme="minorBidi"/>
                <w:b/>
                <w:bCs/>
                <w:sz w:val="28"/>
                <w:szCs w:val="28"/>
                <w:lang w:eastAsia="en-US"/>
              </w:rPr>
              <w:t xml:space="preserve">Доходы, всего </w:t>
            </w: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(стр. 1.12 + стр. 1.13)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2244,67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2472,23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2160,26   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2206,43   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2296,12   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1.1. Прибыль прибыльных организаций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66,50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68,00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71,00   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75,00   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  75,00 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1.1.1. сальдо прибылей и убытков (справочно)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30,00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35,00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40,00   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45,00   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45,00   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1.2. Амортизационные отчисления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143,00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145,00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145,00   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145,00   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  145,00 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1.3. Налог на доходы физических лиц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545,82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410,41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578,03   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721,51  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779,95   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1.4. Единый налог на вмененный доход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17,35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13,80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3,75  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-     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-     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1.4.1 налоговая база (сумма исчисленного </w:t>
            </w: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lastRenderedPageBreak/>
              <w:t>вмененного дохода)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lastRenderedPageBreak/>
              <w:t xml:space="preserve">Миллион </w:t>
            </w: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lastRenderedPageBreak/>
              <w:t>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lastRenderedPageBreak/>
              <w:t xml:space="preserve"> -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 -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 - 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 - 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 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lastRenderedPageBreak/>
              <w:t xml:space="preserve">1.5. Налог с патентной системы налогообложения 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0,92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1,04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0,91   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0,95   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1,01   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1.6. Земельный налог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14,09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20,97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14,19   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14,19  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14,19  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1.7. Единый сельскохозяйственный налог 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3,77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1,87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1,15   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1,18   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1,22   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1.7.1. налоговая база 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 -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 -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 - 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 - 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 - 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1.8. Налог на имущество физических лиц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13,99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13,72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12,82   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13,62   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16,11   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1.9. Прочие налоги и сборы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82,98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82,44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119,40   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126,20   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133,17   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1.10. Неналоговые доходы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27,48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22,82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22,05   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22,68  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23,39  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1.11. Прочие доходы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 -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 -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 - 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 - 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 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1.12. Итого доходов (сумма строк 1.3,1.4, 1.5, 1.6, 1.7, 1.8, 1.9, 1.10,1.11)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706,40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567,07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752,30   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900,33   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969,04   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1.13. Средства, получаемые  от вышестоящих уровней власти 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1538,27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1998,71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1384,87   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1316,25   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1318,90   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2. Финансирование муниципальных программ (справочно)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2271,06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2418,78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2090,08   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1952,16   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1994,67   </w:t>
            </w:r>
          </w:p>
        </w:tc>
      </w:tr>
      <w:tr w:rsidR="00E569D7" w:rsidRPr="00E569D7" w:rsidTr="00E569D7">
        <w:trPr>
          <w:trHeight w:val="87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3. Недополученные доходы муниципальных образований от предоставления налоговых преференций, предусмотренных решениями органов местного самоуправления (справочно): 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5,38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5,98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5,98   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5,98   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5,98   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lastRenderedPageBreak/>
              <w:t xml:space="preserve">  3.1. Земельный налог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5,32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5,98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5,98   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5,98   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5,98   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  3.2. Налог на имущество физических лиц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0,06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-     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-     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-     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-     </w:t>
            </w:r>
          </w:p>
        </w:tc>
      </w:tr>
      <w:tr w:rsidR="00E569D7" w:rsidRPr="00E569D7" w:rsidTr="00E569D7">
        <w:trPr>
          <w:trHeight w:val="300"/>
        </w:trPr>
        <w:tc>
          <w:tcPr>
            <w:tcW w:w="14538" w:type="dxa"/>
            <w:gridSpan w:val="7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b/>
                <w:bCs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b/>
                <w:bCs/>
                <w:sz w:val="28"/>
                <w:szCs w:val="28"/>
                <w:lang w:eastAsia="en-US"/>
              </w:rPr>
              <w:t xml:space="preserve">II. Производственная деятельность </w:t>
            </w:r>
          </w:p>
        </w:tc>
      </w:tr>
      <w:tr w:rsidR="00E569D7" w:rsidRPr="00E569D7" w:rsidTr="00E569D7">
        <w:trPr>
          <w:trHeight w:val="315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1. Оборот  организаций (по полному кругу) по видам экономической деятельности*, всего 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12324,05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12047,75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12296,22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12594,92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12895,80</w:t>
            </w:r>
          </w:p>
        </w:tc>
      </w:tr>
      <w:tr w:rsidR="00E569D7" w:rsidRPr="00E569D7" w:rsidTr="00E569D7">
        <w:trPr>
          <w:trHeight w:val="300"/>
        </w:trPr>
        <w:tc>
          <w:tcPr>
            <w:tcW w:w="14538" w:type="dxa"/>
            <w:gridSpan w:val="7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в том числе: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1.1.  Сельское хозяйство, охота и лесное хозяйство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715,00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722,15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736,59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758,69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796,63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1.2. Добыча полезных ископаемых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0,00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1.3. Обрабатывающие производства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3407,01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3645,50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4010,05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4411,06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5293,27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1.4. Обеспечение электрической энергией, газом и паром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4641,73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4688,15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4735,03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4782,38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4878,03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1.5. Cтроительство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155,00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325,50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100,00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1.6. Оптовая и розничная торговля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2932,66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2786,03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2841,75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2927,00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3044,08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1.7. Транспортировка и хранение 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465,80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451,83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456,34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460,91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465,52</w:t>
            </w:r>
          </w:p>
        </w:tc>
      </w:tr>
      <w:tr w:rsidR="00E569D7" w:rsidRPr="00E569D7" w:rsidTr="00E569D7">
        <w:trPr>
          <w:trHeight w:val="39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1.8. Деятельность в области информации и связи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6,85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6,90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6,95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7,00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8,00</w:t>
            </w:r>
          </w:p>
        </w:tc>
      </w:tr>
      <w:tr w:rsidR="00E569D7" w:rsidRPr="00E569D7" w:rsidTr="00E569D7">
        <w:trPr>
          <w:trHeight w:val="300"/>
        </w:trPr>
        <w:tc>
          <w:tcPr>
            <w:tcW w:w="14538" w:type="dxa"/>
            <w:gridSpan w:val="7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b/>
                <w:bCs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b/>
                <w:bCs/>
                <w:sz w:val="28"/>
                <w:szCs w:val="28"/>
                <w:lang w:eastAsia="en-US"/>
              </w:rPr>
              <w:t>III. Инвестиционная деятельность</w:t>
            </w:r>
          </w:p>
        </w:tc>
      </w:tr>
      <w:tr w:rsidR="00E569D7" w:rsidRPr="00E569D7" w:rsidTr="00E569D7">
        <w:trPr>
          <w:trHeight w:val="54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 Объем инвестиций в основной капитал за счет всех источников финансирования, всего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841,40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925,50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555,30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560,85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566,46</w:t>
            </w:r>
          </w:p>
        </w:tc>
      </w:tr>
      <w:tr w:rsidR="00E569D7" w:rsidRPr="00E569D7" w:rsidTr="00E569D7">
        <w:trPr>
          <w:trHeight w:val="300"/>
        </w:trPr>
        <w:tc>
          <w:tcPr>
            <w:tcW w:w="14538" w:type="dxa"/>
            <w:gridSpan w:val="7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lastRenderedPageBreak/>
              <w:t>из них по отраслям экономики: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1.1.  Сельское хозяйство, охота и лесное хозяйство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17,00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10,20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8,50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8,50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8,50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1.2. Добыча полезных ископаемых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0,00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1.3. Обрабатывающие производства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240,51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244,31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93,00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98,00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90,00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1.4. Обеспечение электрической энергией, газом и паром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241,48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243,89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246,33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258,65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271,58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1.5. Cтроительство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110,00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300,00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100,00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1.6. Оптовая и розничная торговля, сфера услуг и развлечений 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43,98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5,00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6,00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7,00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1.7 Транспортировка и хранение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72,94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58,40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65,60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71,50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73,70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1.8. Деятельность в области информации и связи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5,00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7,00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9,00</w:t>
            </w:r>
          </w:p>
        </w:tc>
      </w:tr>
      <w:tr w:rsidR="00E569D7" w:rsidRPr="00E569D7" w:rsidTr="00E569D7">
        <w:trPr>
          <w:trHeight w:val="300"/>
        </w:trPr>
        <w:tc>
          <w:tcPr>
            <w:tcW w:w="14538" w:type="dxa"/>
            <w:gridSpan w:val="7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b/>
                <w:bCs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b/>
                <w:bCs/>
                <w:sz w:val="28"/>
                <w:szCs w:val="28"/>
                <w:lang w:eastAsia="en-US"/>
              </w:rPr>
              <w:t xml:space="preserve">IV. Денежные доходы населения </w:t>
            </w:r>
          </w:p>
        </w:tc>
      </w:tr>
      <w:tr w:rsidR="00E569D7" w:rsidRPr="00E569D7" w:rsidTr="00E569D7">
        <w:trPr>
          <w:trHeight w:val="315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 Доходы населения муниципального образования, всего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10715,87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10445,69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10717,03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11029,94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11355,87</w:t>
            </w:r>
          </w:p>
        </w:tc>
      </w:tr>
      <w:tr w:rsidR="00E569D7" w:rsidRPr="00E569D7" w:rsidTr="00E569D7">
        <w:trPr>
          <w:trHeight w:val="300"/>
        </w:trPr>
        <w:tc>
          <w:tcPr>
            <w:tcW w:w="14538" w:type="dxa"/>
            <w:gridSpan w:val="7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из них: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1.1.  Доходы от предпринимательской деятельности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311,00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233,30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248,80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279,90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314,10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1.2.  Оплата труда 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5930,57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5693,35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5904,00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6140,16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6385,77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1.3. Социальные выплаты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4474,30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4519,04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4564,23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4609,88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4656,00</w:t>
            </w:r>
          </w:p>
        </w:tc>
      </w:tr>
      <w:tr w:rsidR="00E569D7" w:rsidRPr="00E569D7" w:rsidTr="00E569D7">
        <w:trPr>
          <w:trHeight w:val="6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lastRenderedPageBreak/>
              <w:t>2. Среднедушевые денежные доходы (в месяц)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Рублей на человека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16239,71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15182,45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16341,54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16651,72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16947,24</w:t>
            </w:r>
          </w:p>
        </w:tc>
      </w:tr>
      <w:tr w:rsidR="00E569D7" w:rsidRPr="00E569D7" w:rsidTr="00E569D7">
        <w:trPr>
          <w:trHeight w:val="6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3. Номинальная начисленная среднемесячная заработная плата работников по полному кругу организаций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Рублей в месяц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22826,77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21160,52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23342,26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23202,30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23767,49</w:t>
            </w:r>
          </w:p>
        </w:tc>
      </w:tr>
      <w:tr w:rsidR="00E569D7" w:rsidRPr="00E569D7" w:rsidTr="00E569D7">
        <w:trPr>
          <w:trHeight w:val="300"/>
        </w:trPr>
        <w:tc>
          <w:tcPr>
            <w:tcW w:w="14538" w:type="dxa"/>
            <w:gridSpan w:val="7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b/>
                <w:bCs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b/>
                <w:bCs/>
                <w:sz w:val="28"/>
                <w:szCs w:val="28"/>
                <w:lang w:eastAsia="en-US"/>
              </w:rPr>
              <w:t xml:space="preserve">V. Потребительский рынок 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 Оборот розничной торговли в ценах соответствующего периода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2688,70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2548,88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2625,35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2677,86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2731,42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2. Оборот общественного питания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Миллион рублей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165,6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82,8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84,46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92,9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106,84</w:t>
            </w:r>
          </w:p>
        </w:tc>
      </w:tr>
      <w:tr w:rsidR="00E569D7" w:rsidRPr="00E569D7" w:rsidTr="00E569D7">
        <w:trPr>
          <w:trHeight w:val="300"/>
        </w:trPr>
        <w:tc>
          <w:tcPr>
            <w:tcW w:w="14538" w:type="dxa"/>
            <w:gridSpan w:val="7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b/>
                <w:bCs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b/>
                <w:bCs/>
                <w:sz w:val="28"/>
                <w:szCs w:val="28"/>
                <w:lang w:eastAsia="en-US"/>
              </w:rPr>
              <w:t xml:space="preserve">VI. Демографические показатели </w:t>
            </w:r>
          </w:p>
        </w:tc>
      </w:tr>
      <w:tr w:rsidR="00E569D7" w:rsidRPr="00E569D7" w:rsidTr="00E569D7">
        <w:trPr>
          <w:trHeight w:val="300"/>
        </w:trPr>
        <w:tc>
          <w:tcPr>
            <w:tcW w:w="14538" w:type="dxa"/>
            <w:gridSpan w:val="7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1. Численность и состав населения </w:t>
            </w:r>
          </w:p>
        </w:tc>
      </w:tr>
      <w:tr w:rsidR="00E569D7" w:rsidRPr="00E569D7" w:rsidTr="00E569D7">
        <w:trPr>
          <w:trHeight w:val="6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1.1. Численность постоянного населения</w:t>
            </w:r>
            <w:r w:rsidRPr="00E569D7">
              <w:rPr>
                <w:rFonts w:ascii="Liberation Serif" w:eastAsiaTheme="minorHAnsi" w:hAnsi="Liberation Serif" w:cstheme="minorBid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муниципального образования (на начало года)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55465,00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54966,00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54700,00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54700,00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54800,00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1.2. Среднегодовая численность населения муниципального образования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55844,00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55215,00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54957,00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54700,00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54750,00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1.3. Численность детей в возрасте 3-7 лет (дошкольного возраста) 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3891,00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3893,00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3800,00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3800,00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3800,00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1.4. Численность детей  и подростков в возрасте 8-17 лет (школьного возраста)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5639,00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5772,00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5800,00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5800,00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5800,00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1.5. Численность населения в трудоспособном  возрасте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27113,00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28250,00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28250,00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28250,00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 28300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1.6. Численность населения старше трудоспособного возраста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16839,00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17050,00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17100,00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17100,00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 17150</w:t>
            </w:r>
          </w:p>
        </w:tc>
      </w:tr>
      <w:tr w:rsidR="00E569D7" w:rsidRPr="00E569D7" w:rsidTr="00E569D7">
        <w:trPr>
          <w:trHeight w:val="300"/>
        </w:trPr>
        <w:tc>
          <w:tcPr>
            <w:tcW w:w="14538" w:type="dxa"/>
            <w:gridSpan w:val="7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2. Естественное движение</w:t>
            </w:r>
          </w:p>
        </w:tc>
      </w:tr>
      <w:tr w:rsidR="00E569D7" w:rsidRPr="00E569D7" w:rsidTr="00E569D7">
        <w:trPr>
          <w:trHeight w:val="315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2.1. Число родившихся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555,00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520,00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540,00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560,00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570,00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2.2. Число умерших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891,00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840,00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840,00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840,00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840,00</w:t>
            </w:r>
          </w:p>
        </w:tc>
      </w:tr>
      <w:tr w:rsidR="00E569D7" w:rsidRPr="00E569D7" w:rsidTr="00E569D7">
        <w:trPr>
          <w:trHeight w:val="300"/>
        </w:trPr>
        <w:tc>
          <w:tcPr>
            <w:tcW w:w="14538" w:type="dxa"/>
            <w:gridSpan w:val="7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b/>
                <w:bCs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b/>
                <w:bCs/>
                <w:sz w:val="28"/>
                <w:szCs w:val="28"/>
                <w:lang w:eastAsia="en-US"/>
              </w:rPr>
              <w:lastRenderedPageBreak/>
              <w:t>VII. Развитие социальной сферы</w:t>
            </w:r>
          </w:p>
        </w:tc>
      </w:tr>
      <w:tr w:rsidR="00E569D7" w:rsidRPr="00E569D7" w:rsidTr="00E569D7">
        <w:trPr>
          <w:trHeight w:val="6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 Количество учащихся общеобразовательных учреждений, обучающихся во вторую и третью смены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730,00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525,00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203,00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203,00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180,00</w:t>
            </w:r>
          </w:p>
        </w:tc>
      </w:tr>
      <w:tr w:rsidR="00E569D7" w:rsidRPr="00E569D7" w:rsidTr="00E569D7">
        <w:trPr>
          <w:trHeight w:val="9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2. Обеспеченность населения врачами, оказывающими медицинскую помощь в амбулаторных условиях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Единиц на 10 тысяч человек населения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21,20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40,60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41,50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42,40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42,40</w:t>
            </w:r>
          </w:p>
        </w:tc>
      </w:tr>
      <w:tr w:rsidR="00E569D7" w:rsidRPr="00E569D7" w:rsidTr="00E569D7">
        <w:trPr>
          <w:trHeight w:val="9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3.Обеспеченность средними медицинскими работниками, работающими в государственных и муниципальных медицинских организациях медицинским персоналом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Единиц на 10 тысяч человек населения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83,10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86,50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87,40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88,30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88,30</w:t>
            </w:r>
          </w:p>
        </w:tc>
      </w:tr>
      <w:tr w:rsidR="00E569D7" w:rsidRPr="00E569D7" w:rsidTr="00E569D7">
        <w:trPr>
          <w:trHeight w:val="6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4. Доля детей в возрасте от 5 до 18 лет, охваченных дополнительным образованием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74,00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75,00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76,00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77,00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77,00</w:t>
            </w:r>
          </w:p>
        </w:tc>
      </w:tr>
      <w:tr w:rsidR="00E569D7" w:rsidRPr="00E569D7" w:rsidTr="00E569D7">
        <w:trPr>
          <w:trHeight w:val="6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6. Доступность дошкольного образования для детей в возрасте от полутора до трех лет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94,02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100,00</w:t>
            </w:r>
          </w:p>
        </w:tc>
      </w:tr>
      <w:tr w:rsidR="00E569D7" w:rsidRPr="00E569D7" w:rsidTr="00E569D7">
        <w:trPr>
          <w:trHeight w:val="300"/>
        </w:trPr>
        <w:tc>
          <w:tcPr>
            <w:tcW w:w="14538" w:type="dxa"/>
            <w:gridSpan w:val="7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b/>
                <w:bCs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b/>
                <w:bCs/>
                <w:sz w:val="28"/>
                <w:szCs w:val="28"/>
                <w:lang w:eastAsia="en-US"/>
              </w:rPr>
              <w:t>VIII. Трудовые ресурсы</w:t>
            </w:r>
          </w:p>
        </w:tc>
      </w:tr>
      <w:tr w:rsidR="00E569D7" w:rsidRPr="00E569D7" w:rsidTr="00E569D7">
        <w:trPr>
          <w:trHeight w:val="6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1. Среднесписочная численность работников (без внешних совместителей) по полному кругу организаций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22786,00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21191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21403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21831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22704</w:t>
            </w:r>
          </w:p>
        </w:tc>
      </w:tr>
      <w:tr w:rsidR="00E569D7" w:rsidRPr="00E569D7" w:rsidTr="00E569D7">
        <w:trPr>
          <w:trHeight w:val="9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2.Потребность организаций в подготовке специалистов и квалифицированных рабочих по уровням образования  в рамках программ развития организаций и инвестиционных проектов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60,00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55,00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60,00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60,00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 50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2.1.среднее профессиональное образование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30,00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25,00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35,00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40,00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30,00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   2.1.1 в том числе технического профиля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10,00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10,00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15,00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15,00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15,00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 xml:space="preserve">  2.2. высшее образование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30,00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25,00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25,00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20,00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20,00</w:t>
            </w:r>
          </w:p>
        </w:tc>
      </w:tr>
      <w:tr w:rsidR="00E569D7" w:rsidRPr="00E569D7" w:rsidTr="00E569D7">
        <w:trPr>
          <w:trHeight w:val="300"/>
        </w:trPr>
        <w:tc>
          <w:tcPr>
            <w:tcW w:w="6487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lastRenderedPageBreak/>
              <w:t xml:space="preserve">   2.2.1 в том числе инженерно-технического профиля</w:t>
            </w:r>
          </w:p>
        </w:tc>
        <w:tc>
          <w:tcPr>
            <w:tcW w:w="1611" w:type="dxa"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5,00</w:t>
            </w:r>
          </w:p>
        </w:tc>
        <w:tc>
          <w:tcPr>
            <w:tcW w:w="1266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5,00</w:t>
            </w:r>
          </w:p>
        </w:tc>
        <w:tc>
          <w:tcPr>
            <w:tcW w:w="1294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5,00</w:t>
            </w:r>
          </w:p>
        </w:tc>
        <w:tc>
          <w:tcPr>
            <w:tcW w:w="1348" w:type="dxa"/>
            <w:noWrap/>
            <w:hideMark/>
          </w:tcPr>
          <w:p w:rsidR="00E569D7" w:rsidRPr="00E569D7" w:rsidRDefault="00E569D7" w:rsidP="00E569D7">
            <w:pPr>
              <w:widowControl/>
              <w:autoSpaceDE/>
              <w:spacing w:line="240" w:lineRule="auto"/>
              <w:ind w:firstLine="0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E569D7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5,00</w:t>
            </w:r>
          </w:p>
        </w:tc>
      </w:tr>
    </w:tbl>
    <w:p w:rsidR="00E569D7" w:rsidRPr="00E569D7" w:rsidRDefault="00E569D7" w:rsidP="00E569D7">
      <w:pPr>
        <w:widowControl/>
        <w:autoSpaceDE/>
        <w:spacing w:line="240" w:lineRule="auto"/>
        <w:ind w:firstLine="0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E569D7">
        <w:rPr>
          <w:rFonts w:ascii="Liberation Serif" w:eastAsiaTheme="minorHAnsi" w:hAnsi="Liberation Serif" w:cstheme="minorBidi"/>
          <w:sz w:val="28"/>
          <w:szCs w:val="28"/>
          <w:lang w:eastAsia="en-US"/>
        </w:rPr>
        <w:t>*</w:t>
      </w:r>
      <w:r w:rsidRPr="00E569D7">
        <w:rPr>
          <w:rFonts w:ascii="Liberation Serif" w:eastAsiaTheme="minorHAnsi" w:hAnsi="Liberation Serif" w:cstheme="minorBidi"/>
          <w:sz w:val="28"/>
          <w:szCs w:val="28"/>
          <w:lang w:val="en-US" w:eastAsia="en-US"/>
        </w:rPr>
        <w:t>Пояснительная записка</w:t>
      </w:r>
      <w:r w:rsidRPr="00E569D7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прилагается</w:t>
      </w:r>
    </w:p>
    <w:p w:rsidR="00E569D7" w:rsidRDefault="00E569D7" w:rsidP="007D3873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  <w:sectPr w:rsidR="00E569D7" w:rsidSect="00E569D7">
          <w:pgSz w:w="16838" w:h="11906" w:orient="landscape"/>
          <w:pgMar w:top="1843" w:right="1134" w:bottom="991" w:left="1276" w:header="708" w:footer="708" w:gutter="0"/>
          <w:cols w:space="708"/>
          <w:titlePg/>
          <w:docGrid w:linePitch="360"/>
        </w:sect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891"/>
      </w:tblGrid>
      <w:tr w:rsidR="00E569D7" w:rsidRPr="00E569D7" w:rsidTr="00E569D7">
        <w:tc>
          <w:tcPr>
            <w:tcW w:w="4715" w:type="dxa"/>
          </w:tcPr>
          <w:p w:rsidR="00E569D7" w:rsidRPr="00E569D7" w:rsidRDefault="00E569D7" w:rsidP="00E569D7">
            <w:pPr>
              <w:tabs>
                <w:tab w:val="left" w:pos="-1134"/>
                <w:tab w:val="left" w:pos="720"/>
                <w:tab w:val="right" w:pos="9356"/>
              </w:tabs>
              <w:spacing w:line="240" w:lineRule="auto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91" w:type="dxa"/>
          </w:tcPr>
          <w:p w:rsidR="00E569D7" w:rsidRPr="00E569D7" w:rsidRDefault="00E569D7" w:rsidP="00E569D7">
            <w:pPr>
              <w:tabs>
                <w:tab w:val="left" w:pos="-1134"/>
                <w:tab w:val="left" w:pos="720"/>
                <w:tab w:val="right" w:pos="9356"/>
              </w:tabs>
              <w:spacing w:line="240" w:lineRule="auto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569D7">
              <w:rPr>
                <w:rFonts w:ascii="Liberation Serif" w:hAnsi="Liberation Serif"/>
                <w:sz w:val="28"/>
                <w:szCs w:val="28"/>
              </w:rPr>
              <w:t xml:space="preserve">Приложение </w:t>
            </w:r>
          </w:p>
          <w:p w:rsidR="00E569D7" w:rsidRPr="00E569D7" w:rsidRDefault="00E569D7" w:rsidP="00E569D7">
            <w:pPr>
              <w:tabs>
                <w:tab w:val="left" w:pos="-1134"/>
                <w:tab w:val="left" w:pos="720"/>
                <w:tab w:val="right" w:pos="9356"/>
              </w:tabs>
              <w:spacing w:line="240" w:lineRule="auto"/>
              <w:ind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569D7">
              <w:rPr>
                <w:rFonts w:ascii="Liberation Serif" w:hAnsi="Liberation Serif"/>
                <w:sz w:val="28"/>
                <w:szCs w:val="28"/>
              </w:rPr>
              <w:t>к прогнозу социально-экономического развития Артемовского городского округа на 2021 год и плановый период 2022 и 2023 годов</w:t>
            </w:r>
          </w:p>
        </w:tc>
      </w:tr>
    </w:tbl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center"/>
        <w:rPr>
          <w:rFonts w:ascii="Liberation Serif" w:hAnsi="Liberation Serif"/>
          <w:sz w:val="28"/>
          <w:szCs w:val="28"/>
        </w:rPr>
      </w:pPr>
      <w:r w:rsidRPr="00E569D7">
        <w:rPr>
          <w:rFonts w:ascii="Liberation Serif" w:hAnsi="Liberation Serif"/>
          <w:sz w:val="28"/>
          <w:szCs w:val="28"/>
        </w:rPr>
        <w:t>Пояснительная записка к прогнозу социально - экономического развития Артемовского городского округа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center"/>
        <w:rPr>
          <w:rFonts w:ascii="Liberation Serif" w:hAnsi="Liberation Serif"/>
          <w:sz w:val="28"/>
          <w:szCs w:val="28"/>
        </w:rPr>
      </w:pPr>
      <w:r w:rsidRPr="00E569D7">
        <w:rPr>
          <w:rFonts w:ascii="Liberation Serif" w:hAnsi="Liberation Serif"/>
          <w:sz w:val="28"/>
          <w:szCs w:val="28"/>
        </w:rPr>
        <w:t>на 2021 год и плановый период 2022 и 2023 годов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 xml:space="preserve">Прогноз социально-экономического развития Артемовского городского округа на 2021 год и плановый период 2022 и 2023 годов разработан в соответствии с Бюджетным Кодексом Российской Федерации, Правилами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период, утвержденными Постановлением Правительства Российской Федерации от 14.11.2015 № 1234, Порядком разработки, корректировки, осуществления мониторинга и контроля реализации прогноза социально-экономического развития Свердловской области на среднесрочный период, утвержденным Постановлением Правительства Свердловской области от 02.09.2015 </w:t>
      </w:r>
      <w:r w:rsidRPr="00E569D7">
        <w:rPr>
          <w:rFonts w:ascii="Liberation Serif" w:hAnsi="Liberation Serif"/>
          <w:sz w:val="28"/>
          <w:szCs w:val="28"/>
        </w:rPr>
        <w:br/>
        <w:t>№ 800-ПП, Порядком разработки и корректировки прогноза социально-экономического развития Артемовского городского округа на среднесрочный период, утвержденным постановлением Администрации Артемовского городского округа от 25.07.2016 № 839-ПА.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Прогноз социально-экономического развития Артемовского городского округа на среднесрочный период составляется в целях: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 w:rsidRPr="00E569D7">
        <w:rPr>
          <w:rFonts w:ascii="Liberation Serif" w:hAnsi="Liberation Serif"/>
          <w:sz w:val="28"/>
          <w:szCs w:val="28"/>
        </w:rPr>
        <w:t>- мониторинга выполнения задач, определенных в стратегических документах;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 w:rsidRPr="00E569D7">
        <w:rPr>
          <w:rFonts w:ascii="Liberation Serif" w:hAnsi="Liberation Serif"/>
          <w:sz w:val="28"/>
          <w:szCs w:val="28"/>
        </w:rPr>
        <w:t>- формирования основы для составления проекта бюджета Артемовского городского округа;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 w:rsidRPr="00E569D7">
        <w:rPr>
          <w:rFonts w:ascii="Liberation Serif" w:hAnsi="Liberation Serif"/>
          <w:sz w:val="28"/>
          <w:szCs w:val="28"/>
        </w:rPr>
        <w:t>- определения основных проблем развития Артемовского городского округа и возможных путей их решения органами местного самоуправления для выработки экономической политики.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Прогноз социально-экономического развития Артемовского городского округа составлен с учетом сценарных условий развития основных макроэкономических показателей Свердловской области в среднесрочном периоде, разработанных Министерством экономики и территориального развития Свердловской области.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 xml:space="preserve">Прогноз социально-экономического развития Артемовского городского округа на среднесрочный период 2021 - 2023 годов сформирован исходя из анализа статистических данных за 2018 - 2019 </w:t>
      </w:r>
      <w:r w:rsidRPr="00E569D7">
        <w:rPr>
          <w:rFonts w:ascii="Liberation Serif" w:hAnsi="Liberation Serif"/>
          <w:sz w:val="28"/>
          <w:szCs w:val="28"/>
        </w:rPr>
        <w:lastRenderedPageBreak/>
        <w:t>годы, январь – июнь 2020 года и прогнозных расчетов, представленных органами местного самоуправления Артемовского городского округа и организациями, осуществляющими деятельнось на территории Артемовского городского округа.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Прогноз социально-экономического развития Артемовского городского округа на среднесрочный период разработан на основе базового сценария с учетом менее благоприятной санитарно-эпидемиологической ситуации в мире, затяжного восстановления мировой экономики и структурного замедления темпов ее роста в среднесрочной перспективе из-за последствий распространения новой коронавирусной инфекции (2019-nCoV).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При составлении прогноза на 2021–2023 годы учтена необходимость достижения целей социально-экономического развития Свердловской области на период до 2030 года.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center"/>
        <w:rPr>
          <w:rFonts w:ascii="Liberation Serif" w:hAnsi="Liberation Serif"/>
          <w:sz w:val="28"/>
          <w:szCs w:val="28"/>
        </w:rPr>
      </w:pPr>
      <w:r w:rsidRPr="00E569D7">
        <w:rPr>
          <w:rFonts w:ascii="Liberation Serif" w:hAnsi="Liberation Serif"/>
          <w:sz w:val="28"/>
          <w:szCs w:val="28"/>
        </w:rPr>
        <w:t>Достигнутый уровень социально-экономического развития Артемовского городского округа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 xml:space="preserve">Динамика основных экономических показателей социально-экономического развития Артемовского городского округа в 2019 году характеризуется замедлением темпов снижения одних экономических показателей и сохранением темпов роста других. 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Оборот организаций в январе – декабре 2019 года вырос на 7,1% к уровню 2018 года и составил 11 789,7 млн. рублей (2018 год – 11 008,11 млн. рублей).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В 2019 году инвестиции в основной капитал крупных и средних организаций составили 1 021,4 млн. рублей, что выше показателя 2018 года на 90,8% (2018 год – 535,2 млн. рублей).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Объем отгруженных товаров собственного производства, выполненных работ (услуг) организациями: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 w:rsidRPr="00E569D7">
        <w:rPr>
          <w:rFonts w:ascii="Liberation Serif" w:hAnsi="Liberation Serif"/>
          <w:sz w:val="28"/>
          <w:szCs w:val="28"/>
        </w:rPr>
        <w:t>- обрабатывающего производства в 2019 году, составил 2 929,5 млн. рублей или 132,1% к уровню 2018 года (2018 год – 2 217,6 млн. рублей);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 w:rsidRPr="00E569D7">
        <w:rPr>
          <w:rFonts w:ascii="Liberation Serif" w:hAnsi="Liberation Serif"/>
          <w:sz w:val="28"/>
          <w:szCs w:val="28"/>
        </w:rPr>
        <w:t>- обеспечения электрической энергией, газом и паром; кондиционирование воздуха – 556,4 млн. рублей или 93,4% к уровню 2018 года (в 2018 году – 591,6 млн. рублей).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За январь-декабрь 2019 года среднемесячная начисленная заработная плата по крупным и средним организациям составила 34 702,9 рубля, темп роста по сравнению с аналогичным периодом прошлого года составил 107,8% (за 2018 год – 32 191,9 рубля).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Среднемесячная начисленная заработная плата по видам экономической деятельности за 2019 год составила: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 w:rsidRPr="00E569D7">
        <w:rPr>
          <w:rFonts w:ascii="Liberation Serif" w:hAnsi="Liberation Serif"/>
          <w:sz w:val="28"/>
          <w:szCs w:val="28"/>
        </w:rPr>
        <w:t>- в обрабатывающем производстве – 29 456,8 рубля;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 w:rsidRPr="00E569D7">
        <w:rPr>
          <w:rFonts w:ascii="Liberation Serif" w:hAnsi="Liberation Serif"/>
          <w:sz w:val="28"/>
          <w:szCs w:val="28"/>
        </w:rPr>
        <w:t>- в обеспечении электрической энергией, газом и паром – 40 917,3 рубля.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 xml:space="preserve">Самая высокая среднемесячная начисленная заработная плата в 2019 году зафиксирована по виду экономической деятельности </w:t>
      </w:r>
      <w:r w:rsidRPr="00E569D7">
        <w:rPr>
          <w:rFonts w:ascii="Liberation Serif" w:hAnsi="Liberation Serif"/>
          <w:sz w:val="28"/>
          <w:szCs w:val="28"/>
        </w:rPr>
        <w:lastRenderedPageBreak/>
        <w:t>«Транспортировка и хранение» - 44 070,7 рублей, а самая низкая - по виду экономической деятельности «Деятельность гостиниц и предприятий общественного питания» - 18 781,3 рубля.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В 2019 году за счет всех источников финансирования введено в действие жилых домов общей площадью 10,8 тыс. кв.м, что составляет 140,8% от показателя 2018 года (2018 год – 7,7 тыс. кв.м).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Численность населения Артемовского городского округа на 01.01.2020 составила 54 966 человек, что на 499 человек меньше, чем по состоянию на 01.01.2019.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За 12 месяцев 2019 года зарегистрировано 555 родившихся малышей (в 2018 году – 609 малышей). Число родившихся в 2019 году меньше, чем в 2018 году на 54 человека. Число умерших в 2019 году составило 891 человек, что меньше на 103 человека, чем в 2018 году (в 2018 году - 994 человек). Естественная убыль населения за 2019 год составила - 336 человек.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Итоги миграции населения за январь-декабрь 2019 года: число прибывших 1 285 человек, число выбывших 1 414 человек, миграционная убыль составила 129 человек (миграционная убыль январь-декабрь 2018 года - 396 человек).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В 2019 году зарегистрировано 384 брака, а число разводов составило 234 единицы (в 2018 году – 365 браков, 272 развода).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Финансы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При разработке прогноза доходной части бюджета Артемовского городского округа на 2021 год и плановый период 2022 – 2023 годов использовались: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- прогноз налоговых и неналоговых доходов бюджета Артемовского городского округа на 2021 – 2022 годы, утвержденный решением Думы Артемовского городского округа от 23.12.2019 № 641 «Об утверждении бюджета Артемовского городского округа на 2020 год и плановый период 2021 – 2022 годов», и сведения, представленные главными администраторами доходов бюджета Артемовского городского округа, на 2021-2023 годы;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- предполагаемые объемы межбюджетных трансфертов и дополнительный норматив отчислений в бюджет Артемовского городского округа от налога на доходы физических лиц, заменяющий дотации из областного бюджета на выравнивание бюджетной обеспеченности муниципальных районов (городских округов) на 2021 год и плановый период 2022 и 2023 годов;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 xml:space="preserve">- единые нормативы отчислений в бюджеты муниципальных образований, расположенных на территории Свердловской области, от налога на доходы физических лиц, подлежащего зачислению в областной бюджет (в соответствии с Законом Свердловской области от 26 декабря </w:t>
      </w:r>
      <w:r w:rsidRPr="00E569D7">
        <w:rPr>
          <w:rFonts w:ascii="Liberation Serif" w:hAnsi="Liberation Serif"/>
          <w:sz w:val="28"/>
          <w:szCs w:val="28"/>
        </w:rPr>
        <w:br/>
        <w:t xml:space="preserve">2011 года № 128-ОЗ «Об установлении единых нормативов отчислений в </w:t>
      </w:r>
      <w:r w:rsidRPr="00E569D7">
        <w:rPr>
          <w:rFonts w:ascii="Liberation Serif" w:hAnsi="Liberation Serif"/>
          <w:sz w:val="28"/>
          <w:szCs w:val="28"/>
        </w:rPr>
        <w:lastRenderedPageBreak/>
        <w:t>бюджеты муниципальных образований, расположенных на территории Свердловской области, от налога на доходы физических лиц и налога, взимаемого в связи с применением упрощенной системы налогообложения, подлежащих зачислению в областной бюджет» (далее – Областной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569D7">
        <w:rPr>
          <w:rFonts w:ascii="Liberation Serif" w:hAnsi="Liberation Serif"/>
          <w:sz w:val="28"/>
          <w:szCs w:val="28"/>
        </w:rPr>
        <w:t>закон № 128-ОЗ) единый норматив с 01 января 2016 года установлен в размере 1%);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- единые нормативы отчислений в бюджеты муниципальных образований, расположенных на территории Свердловской области, от налога, взимаемого в связи с применением упрощенной системы налогообложения, в том числе минимального налога, подлежащего зачислению в областной бюджет (в соответствии с Областным законом         № 128-ОЗ единый норматив с 01 января 2019 года установлен в размере 30%).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Финансирование муниципальных программ планируется исходя из объемов финансового обеспечения мероприятий муниципальных программ Артемовского городского округа, утвержденных в установленном порядке, и с учетом финансовых возможностей бюджета Артемовского городского округа.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Построение параметров бюджета Артемовского городского округа осуществляется на основе принципов сохранения стабильности налоговых условий и обеспечения сбалансированности бюджета.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На основании пункта 2 статьи 1 Федерального закона от 27 ноября 2017 года № 349-ФЗ «О внесении изменений в часть вторую Налогового кодекса Российской Федерации» налогоплательщики – индивидуальные предприниматели вправе уменьшить сумму исчисленного единого налога на сумму расходов по приобретению контрольно-кассовой техники. В связи с этим ожидается снижение уплаты налога на вмененный доход для отдельных видов деятельности в местный бюджет за налоговые периоды 2020 и 2021 годов.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С 1 января 2021 года прогнозирование по единому налогу на вмененный доход для отдельных видов деятельности не осуществляется на основании Федерального закона от 29 июня 2012 года № 97-ФЗ 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 xml:space="preserve">В соответствии с Законом Свердловской области от 26 марта 2019 года № 23-ОЗ «Об установлении единой даты начала применения на территории Свердловской области порядка определения налоговой базы по налогу на имущество физических лиц исходя из кадастровой стоимости объектов налогообложения по этому налогу» с 01 января 2020 года в Свердловской области принят порядок определения налоговой базы по налогу на имущество физических лиц исходя из кадастровой стоимости объектов недвижимого имущества (первый срок уплаты налога от кадастровой стоимости – 01 декабря 2021 года). 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Производственная деятельность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По итогам 2019 года на территории Артемовского городского округа сальдированный результат (прибыль минус убытки) деятельности организаций (без субъектов малого предпринимательства и организаций, средняя численность работников которых не превышает 15 человек, банков, страховых организаций и государственных (муниципальных) учреждений) составил 59,1 млн. рублей прибыли, что больше в 2,2 раза, чем за 2018 год (в 2018 году – 26,7 млн. рублей).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 xml:space="preserve">Основу экономики Артемовского городского округа составляют предприятия промышленного производства, поэтому темпы развития промышленности являются определяющими для темпов развития экономики округа в целом. 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Основную долю занимают предприятия двух видов экономической деятельности - обрабатывающего производства и обеспечение электрической энергией, газом и паром; кондиционирование воздуха.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По итогам 2019 года оборот организаций, не относящихся к субъектам малого предпринимательства, по видам экономической деятельности составил: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- обрабатывающие производства – 3 407,0 млн. рублей или 125,6% к значению показателя за 2018 год;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- обеспечение электрической энергией, газом и паром; кондиционирование воздуха – 4 641,7 млн. рублей или 109,3% к значению показателя за 2018 год.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По итогам 2020 года ожидается увеличение оборота организаций обрабатывающего производства на 1,07% и достижение значения данного показателя в объеме 3 645,5 млн. рублей, а в организациях сферы экономической деятельности «Обеспечение электрической энергией, газом и паром; кондиционирование воздуха» - на 1,01% с достижением объема 4 688,2 млн. рублей. В периоде до 2022 года в организациях Артемовского городского округа ожидается сохранение темпов роста в пределах от 1,01% до 1,8%, в том числе: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- в организациях обрабатывающего производства ежегодное увеличение оборота в пределах 1,1 – 1,2%;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- в организациях по обеспечению электрической энергией, газом и паром; кондиционированием воздуха ежегодное увеличение оборота в пределах 1,01 – 1,02%.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Н</w:t>
      </w:r>
      <w:r w:rsidRPr="00E569D7">
        <w:rPr>
          <w:rFonts w:ascii="Liberation Serif" w:hAnsi="Liberation Serif"/>
          <w:sz w:val="28"/>
          <w:szCs w:val="28"/>
        </w:rPr>
        <w:t>а территории Артемовского городского округа в сфере сельского хозяйства осуществляют деятельность 2 юридических лица, малые формы хозяйствования представлены 19 крестьянскими (фермерскими) хозяйствами и около 10,5 тысяч семей имеют личные подсобные хозяйства.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 xml:space="preserve">Основные направления производственной деятельности сельскохозяйственных предприятий городского округа: производство мяса </w:t>
      </w:r>
      <w:r w:rsidRPr="00E569D7">
        <w:rPr>
          <w:rFonts w:ascii="Liberation Serif" w:hAnsi="Liberation Serif"/>
          <w:sz w:val="28"/>
          <w:szCs w:val="28"/>
        </w:rPr>
        <w:lastRenderedPageBreak/>
        <w:t>птицы, мяса крупного рогатого скота, молока, возделывание зерновых культур.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По организациям, осуществляющим деятельность на территории Артемовского городского округа в сфере сельскохозяйственного производства, за январь-декабрь 2019 года объем производства сельскохозяйственной продукции всего составляет 192,7 млн. руб., что на 596,2 млн. руб. меньше показателя за 2018 год (за 12 месяцев 2018 года – 788,9 млн. руб.).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В прогнозном периоде 2021-2023 годов ожидается, что рост оборота организаций сельскохозяйственного производства будет находиться в диапазоне 1 - 5% в зависимости от складывающейся экономической ситуации и погодных условий. Рост оборота организаций сельскохозяйственного производства планируется обеспечить за счет увеличения общих посевных площадей к 2023 году до 13 845 га и роста объема произведенной сельскохозяйственной продукции.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 xml:space="preserve">Оборот организаций в сфере «Строительство» за 2019 год составил 155,0 млн. рублей, что на 13,4% больше, чем в 2018 году (2018 год – </w:t>
      </w:r>
      <w:r w:rsidRPr="00E569D7">
        <w:rPr>
          <w:rFonts w:ascii="Liberation Serif" w:hAnsi="Liberation Serif"/>
          <w:sz w:val="28"/>
          <w:szCs w:val="28"/>
        </w:rPr>
        <w:br/>
        <w:t>149,93 млн. рублей). В 2019 году: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- завершен второй этап реконструкции лыжной базы «Снежинка»;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- завершены проекты по газификации Артемовского городского округа (строительство блочной газовой котельной мощностью 1,0 МВт, газопровод низкого давления, газоснабжение жилых домов четырех потребительских кооперативов);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 xml:space="preserve">- введено 14 объектов капитального строительства, не относящихся к жилищному строительству (в том числе: в г. Артемовском - здание автостанции, магазины по улицам Гагарина, Ленина, Западная, в п. Буланаш – автомойка). 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 w:rsidRPr="00E569D7">
        <w:rPr>
          <w:rFonts w:ascii="Liberation Serif" w:hAnsi="Liberation Serif"/>
          <w:sz w:val="28"/>
          <w:szCs w:val="28"/>
        </w:rPr>
        <w:t>Кроме того, в 2019 году начата реализация проектов по строительству: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- АО «АМЗ «ВЕНТПРОМ» - здание сборочного цеха (цех № 3) общей площадью 2260 кв.м (введен в эксплуатацию – сентябрь 2020 года);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- ООО «Континент» - здание детского сада на 135 мест в г. Артемовском (планируемый срок ввода в эксплуатацию – 30.10.2020).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- ООО МК «ГарантСтрой» - 5-ти этажный многоквартирный жилой дом (63 квартиры) в пос. Буланаш (планируемый срок ввода в эксплуатацию – 30.11.2020).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 xml:space="preserve">В 2020 году прогнозируется рост оборота организаций в сфере «Строительство» в 2,1 раза с достижением объема 325,5 млн. рублей. </w:t>
      </w:r>
      <w:r w:rsidRPr="00E569D7">
        <w:rPr>
          <w:rFonts w:ascii="Liberation Serif" w:hAnsi="Liberation Serif"/>
          <w:sz w:val="28"/>
          <w:szCs w:val="28"/>
        </w:rPr>
        <w:br/>
        <w:t>В период 2021-2023 годов ожидается достижение оборота в данной сфере - ежегодно в пределах 100,0 млн. рублей.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В прогнозном периоде до 2023 года планируется: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- строительство механического цеха АО «Красногвардейский машиностроительный завод»;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- строительство фермы по разведению коз;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 xml:space="preserve">- строительство центра эксплуатации и обслуживания газомоторных </w:t>
      </w:r>
      <w:r w:rsidRPr="00E569D7">
        <w:rPr>
          <w:rFonts w:ascii="Liberation Serif" w:hAnsi="Liberation Serif"/>
          <w:sz w:val="28"/>
          <w:szCs w:val="28"/>
        </w:rPr>
        <w:lastRenderedPageBreak/>
        <w:t>локомотивов;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 xml:space="preserve">- проведение АО «Ренессанс-Лекс» перепрофилирования имущественного комплекса бывшего АКСК; 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- строительство 3-х этажного многоквартирного жилого дома с пристроенной теплогенераторной (г. Артемовский);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- строительство индивидуального жилья - ежегодно не менее 2,5 тыс кв.м.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Динамику оборота организаций транспорта и связи будут определять динамика промышленного производства, потребности оптовой и розничной торговли и развитие телекоммуникационного рынка. В прогнозном периоде ожидается колебание объема оборота организаций транспорта и связи в пределах от 97% в 2020 году до 101% к 2023 году.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Оборот организаций в области информатизации и связи прогнозируется в периоде 2021-2023 годов в объеме от 6,9 млн. рублей до 8,0 млн. рублей.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Инвестиции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Фактический объем инвестиций в 2019 году превысил прогнозный на 286,4 млн. рублей. Наличие и выполнение заказов ведущих организаций Артемовского городского округа и инвестиции в бюджетной сфере позволили в 2019 году достичь значения показателя «Объем инвестиций в основной капитал за счет всех источников финансирования» в объеме 841,4 млн. рублей.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 xml:space="preserve">Инвестиционная деятельность крупных организаций Артемовского городского округа и строительство двух многоквартирных домов дает основание прогнозировать увеличение значения показателя «Объем инвестиций в основной капитал за счет всех источников финансирования» в 2021 году с последующим снижением значения данного показателя в период 2022- 2023 годов. 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Объем инвестиций в основной капитал за счет всех источников финансирования на территории Артемовского городского округа в 2019 году составил 841,4 млн. рублей, что в 2,2 раза больше уровня 2018 года (в 2018 году – 391,59 млн. рублей). Колебание объемов инвестиций на территории Артемовского городского округа зависит от реализации инвестиционных проектов в организациях, осуществляющих деятельность в сферах: обрабатывающее производство и обеспечение электрической энергией, газом и паром.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В целом по итогам 2020 года рост инвестиций в основной капитал прогнозируется на уровне 9,9%. Инвестиционная активность будет обусловлена тенденциями развития экономической ситуации как в мире, так и в стране в условиях адаптации экономики к пандемии коронавирусной инфекции.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 xml:space="preserve">Наличие краткосрочных инвестиционных планов в организациях Артемовского городского округа позволяют прогнозировать значения </w:t>
      </w:r>
      <w:r w:rsidRPr="00E569D7">
        <w:rPr>
          <w:rFonts w:ascii="Liberation Serif" w:hAnsi="Liberation Serif"/>
          <w:sz w:val="28"/>
          <w:szCs w:val="28"/>
        </w:rPr>
        <w:lastRenderedPageBreak/>
        <w:t>показателя «Объем инвестиций в основной капитал за счет всех источников финансирования» в прогнозном периоде: в 2021 году – со снижением на 40%, а в 2022 и 2023 годах – с увеличением на 1%.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 xml:space="preserve">Финансирование инвестиционных вложений за счет средств бюджетов различных уровней, в основном, будет осуществляться в рамках реализуемых муниципальных программ. 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Денежные доходы населения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Ожидаемый объем дохода населения Артемовского городского округа в 2019 году составил 10 000 млн. рублей, фактически достигнутое значение в объеме 10 715,87 больше ожидаемого на 715,0 млн. рублей, так как фактический рост заработной платы произошел по большинству видов экономической деятельности (за исключением видов деятельности «Строительство» и «Предоставление прочих видов услуг») в пределах от 2,7% (Обеспечение электрической энергией, газом и паром) до 19,1% (Деятельность по операциям с недвижимым имуществом).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Ожидается, что денежные доходы населения Артемовского городского округа в 2020 году снизятся на 270,18 млн. рублей или на 2,5% по сравнению с 2019 годом в связи с пандемией COVID-19 и ограничительными карантинными мерами.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В 2021-2023 годах, при стабилизации функционирования экономики, прогнозируется ежегодное увеличение денежных доходов населения в пределах 3%, в том числе за счет роста заработной платы, доходов от предпринимательской деятельности и социальных выплат.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Потребительский рынок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 xml:space="preserve">На территории Артемовского городского округа торговая сеть обеспечивает необходимую полноту ассортимента товаров, необходимый уровень обслуживания и условий для комфортной и быстрой доступности продуктов и сопутствующих товаров повседневного спроса. Оборот оптовой и розничной торговли в 2019 году достиг значения 2 932,66 млн. рублей, что составляет 112,7% от аналогичного показателя за 2018 год (в 2018 году оборот составил 2 601,87 млн. рублей). 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На потребительский спрос ощутимо повлияют последствия в экономике, вызванные пандемией коронавируса, девальвация рубля и отрицательная динамика доходных показателей населения.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По итогам 2020 года прогнозируется достижение 95% оборота оптовой и розничной торговли к уровню 2019 года. В период 2021-2023 годов ожидается умеренный рост потребительского спроса, что повлечет положительную динамику роста оборота оптовой и розничной торговли от 2% до 4%.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 xml:space="preserve">Демография 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 xml:space="preserve">Негативные тенденции демографического развития обусловили </w:t>
      </w:r>
      <w:r w:rsidRPr="00E569D7">
        <w:rPr>
          <w:rFonts w:ascii="Liberation Serif" w:hAnsi="Liberation Serif"/>
          <w:sz w:val="28"/>
          <w:szCs w:val="28"/>
        </w:rPr>
        <w:lastRenderedPageBreak/>
        <w:t>формирование устойчивой тенденции старения населения страны.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Численность населения на 01.01.2020 составила 54 966 человек, что на 499 человек меньше ожидаемой. Сложившаяся ситуация обусловлена процессами миграции и естественной убыли населения.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 w:rsidRPr="00E569D7">
        <w:rPr>
          <w:rFonts w:ascii="Liberation Serif" w:hAnsi="Liberation Serif"/>
          <w:sz w:val="28"/>
          <w:szCs w:val="28"/>
        </w:rPr>
        <w:t xml:space="preserve">Ожидаемая среднегодовая численность населения в 2021 году – </w:t>
      </w:r>
      <w:r w:rsidRPr="00E569D7">
        <w:rPr>
          <w:rFonts w:ascii="Liberation Serif" w:hAnsi="Liberation Serif"/>
          <w:sz w:val="28"/>
          <w:szCs w:val="28"/>
        </w:rPr>
        <w:br/>
        <w:t>54 700 человек. Ожидаемая численность населения на 01.01.2023 – 54 800 человек.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В 2021 - 2023 годах прогнозируется замедление темпов естественной и миграционной убыли населения. Прогнозируемая среднегодовая численность населения, при сохранении существующих тенденций движения населения, к 2021 году составит 56 300 человек.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Численность детей в возрасте 3-7 лет (дошкольного возраста) по состоянию на 01.01.2020 составила 3 893 человек, что на 3 человека больше, чем по состоянию на 01.01.2019. В среднесрочной перспективе 2021-2023 годов прогнозируется снижение численности граждан данной возрастной категории в пределах 3 800 человек.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 xml:space="preserve">Численность детей и подростков в возрасте 8-17 лет (школьного возраста) на 01.01.2020 составила 5 772 человека, что на 133 человека больше, чем на 01.01.2019. В среднесрочной перспективе 2021-2023 годов прогнозируется сохранение численности граждан данной возрастной категории в пределах 5 800 человек. 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Численность населения Артемовского городского округа в трудоспособном возрасте на 01.01.2020 составила 28 250 человек (51,4% от общей численности населения), а численность населения старше трудоспособного возраста – 17 050 человек (31,0% от общей численности населения округа). Демографическая ситуация в Артемовском городском округе характеризуется старением населения. В прогнозируемый период 2021 - 2023 годов ожидается: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- сохранение тенденции старения населения;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- сохранение численности населения в трудоспособном возрасте в пределах 28,25 - 28,3 тыс. человек ежегодно;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- незначительный прирост населения, обусловленный реализацией инвестиционных проектов на территории Артемовского городского округа.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Развитие социальной сферы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В 2019 году в 7 общеобразовательных организациях Артемовского городского округа учебный процесс осуществлялся в 2 смены. Во вторую смену обучалось 730 человек, что составило 10,8% от общей численности обучающихся (в 2018 учебном году в 7 общеобразовательных организациях – 597 человек или 9%). Прирост показателя обусловлен организацией образовательного процесса в 2019 году в 2 общеобразовательных организациях (МБОУ СОШ № 14 на базе МБОУ СОШ № 16 и МБОУ СОШ № 9 в течение 5-дневной недели).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 xml:space="preserve">На 01.09.2020 доля обучающихся в муниципальных </w:t>
      </w:r>
      <w:r w:rsidRPr="00E569D7">
        <w:rPr>
          <w:rFonts w:ascii="Liberation Serif" w:hAnsi="Liberation Serif"/>
          <w:sz w:val="28"/>
          <w:szCs w:val="28"/>
        </w:rPr>
        <w:lastRenderedPageBreak/>
        <w:t>общеобразовательных организациях, занимающихся во вторую смену, в общей численности обучающихся в муниципальных общеобразовательных организациях в Артемовском городском округе составила 7,8%.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 xml:space="preserve">Во вторую смену в 2020-2021 учебном году занимаются 525 обучающихся в 4 общеобразовательных организациях. 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В прогнозном периоде 2021-2023 годов количество обучающихся общеобразовательных организаций во вторую смену составит 203 человека.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Доля детей в возрасте от 5 до 18 лет, охваченных дополнительным образованием в 2019 году, составила 74%. Деятельность муниципального опорного центра, оказывающего методическую поддержку организациям, реализующим дополнительные общеразвивающие программы, координирующий деятельность в сфере дополнительного образования и дальнейшая реализация кампании по выдаче сертификатов дополнительного образования позволят к 2023 году создать условия для 77% детей получать дополнительное образование.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 xml:space="preserve">Доступность дошкольного образования для детей в возрасте от полутора до трех лет в 2019 году составила 94,02%. 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Создание 2020 году дополнительно 60 мест в действующих дошкольных образовательных организациях и ввод 135 мест в новом детском дошкольном учреждении создаст условия в прогнозном периоде 2021-2023 годов для 100% доступности дошкольного образования для детей в возрасте от полутора до трех лет.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Трудовые ресурсы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 xml:space="preserve">Среднесписочная численность работников по полному кругу организаций в 2019 году составила 22 786 человек. 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 xml:space="preserve">По итогам проводимого мониторинга за истекшие 9 месяцев 2020 года безработица в Артемовском городском округе достигла 7,5%, а число официально зарегистрированных безработных составило 2080 человек. По сравнению с показателями на 01.01.2020 рост уровня безработицы составил 416,7%. Среднесписочная численность работников (без внешних совместителей) по полному кругу организаций в 2019 году составила 22 786 человек, а по итогам 2020 года ожидается снижение данного показателя до значения – 21 191 человек или на 7%. 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 xml:space="preserve">В прогнозном периоде 2021-2023 годов ожидается, что структура распределения занятых в экономике по видам деятельности существенно не изменится, а среднесписочная численность работников (без внешних совместителей) по полному кругу организаций будет расти и к 2023 году составит 22 704 человека. 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 xml:space="preserve">В прогнозном периоде 2021-2023 годов наряду с восстановлением экономики увеличению числа занятых будут способствовать мероприятия по переобучению безработных, усилению межрегиональной координации центров занятости, программы стажировок для выпускников и внедрение </w:t>
      </w:r>
      <w:r w:rsidRPr="00E569D7">
        <w:rPr>
          <w:rFonts w:ascii="Liberation Serif" w:hAnsi="Liberation Serif"/>
          <w:sz w:val="28"/>
          <w:szCs w:val="28"/>
        </w:rPr>
        <w:lastRenderedPageBreak/>
        <w:t xml:space="preserve">дистанционной занятости. 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В целях обеспечения образовательных организаций Артемовского городского округа необходимыми кадрами заключены договоры на целевое обучение по очной и заочной форме обучения (в 2019 году – 3 человека, в 2020 году – 5 человек).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 xml:space="preserve">Прогнозируется, что в ближайшие годы будет расти количество самозанятых граждан. 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Рынок труда в среднесрочной перспективе будет в значительной степени определяться демографическими тенденциями. Дальнейшее проведение в прогнозном периоде пенсионной реформы частично компенсирует процесс сокращения трудоспособного населения.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 xml:space="preserve">Заключение 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На территории Артемовского городского округа применяется программный метод планирования расходов бюджета Артемовского городского округа на основании муниципальных программ с учетом четко определенных приоритетов в соответствии с реальными возможностями бюджета Артемовского городского округа.</w:t>
      </w:r>
    </w:p>
    <w:p w:rsidR="00E569D7" w:rsidRPr="00E569D7" w:rsidRDefault="00E569D7" w:rsidP="00E569D7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E569D7">
        <w:rPr>
          <w:rFonts w:ascii="Liberation Serif" w:hAnsi="Liberation Serif"/>
          <w:sz w:val="28"/>
          <w:szCs w:val="28"/>
        </w:rPr>
        <w:t>Приоритетными в 2021-2023 годах признаются мероприятия, связанные с реализацией региональных проектов Свердловской области утвержденных в рамках национальных проектов Российской Федерации согласно Указу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года»:</w:t>
      </w:r>
    </w:p>
    <w:p w:rsidR="00E569D7" w:rsidRPr="00E569D7" w:rsidRDefault="00E569D7" w:rsidP="00AC406B">
      <w:pPr>
        <w:numPr>
          <w:ilvl w:val="0"/>
          <w:numId w:val="1"/>
        </w:numPr>
        <w:tabs>
          <w:tab w:val="left" w:pos="-1134"/>
          <w:tab w:val="left" w:pos="709"/>
          <w:tab w:val="right" w:pos="9356"/>
        </w:tabs>
        <w:spacing w:line="240" w:lineRule="auto"/>
        <w:ind w:left="0" w:firstLine="426"/>
        <w:jc w:val="both"/>
        <w:rPr>
          <w:rFonts w:ascii="Liberation Serif" w:hAnsi="Liberation Serif"/>
          <w:sz w:val="28"/>
          <w:szCs w:val="28"/>
        </w:rPr>
      </w:pPr>
      <w:r w:rsidRPr="00E569D7">
        <w:rPr>
          <w:rFonts w:ascii="Liberation Serif" w:hAnsi="Liberation Serif"/>
          <w:sz w:val="28"/>
          <w:szCs w:val="28"/>
        </w:rPr>
        <w:t>капитальный ремонт школ, капитальный ремонт дошколь</w:t>
      </w:r>
      <w:r w:rsidR="00AC406B">
        <w:rPr>
          <w:rFonts w:ascii="Liberation Serif" w:hAnsi="Liberation Serif"/>
          <w:sz w:val="28"/>
          <w:szCs w:val="28"/>
        </w:rPr>
        <w:t xml:space="preserve">ных </w:t>
      </w:r>
      <w:r w:rsidRPr="00E569D7">
        <w:rPr>
          <w:rFonts w:ascii="Liberation Serif" w:hAnsi="Liberation Serif"/>
          <w:sz w:val="28"/>
          <w:szCs w:val="28"/>
        </w:rPr>
        <w:t>образовательных организаций;</w:t>
      </w:r>
    </w:p>
    <w:p w:rsidR="00E569D7" w:rsidRPr="00E569D7" w:rsidRDefault="00E569D7" w:rsidP="00AC406B">
      <w:pPr>
        <w:numPr>
          <w:ilvl w:val="0"/>
          <w:numId w:val="1"/>
        </w:numPr>
        <w:tabs>
          <w:tab w:val="left" w:pos="-1134"/>
          <w:tab w:val="left" w:pos="720"/>
          <w:tab w:val="right" w:pos="9356"/>
        </w:tabs>
        <w:spacing w:line="240" w:lineRule="auto"/>
        <w:ind w:hanging="793"/>
        <w:jc w:val="both"/>
        <w:rPr>
          <w:rFonts w:ascii="Liberation Serif" w:hAnsi="Liberation Serif"/>
          <w:sz w:val="28"/>
          <w:szCs w:val="28"/>
        </w:rPr>
      </w:pPr>
      <w:r w:rsidRPr="00E569D7">
        <w:rPr>
          <w:rFonts w:ascii="Liberation Serif" w:hAnsi="Liberation Serif"/>
          <w:sz w:val="28"/>
          <w:szCs w:val="28"/>
        </w:rPr>
        <w:t>капитальный ремонт учреждений культуры;</w:t>
      </w:r>
    </w:p>
    <w:p w:rsidR="00E569D7" w:rsidRPr="00E569D7" w:rsidRDefault="00E569D7" w:rsidP="00AC406B">
      <w:pPr>
        <w:numPr>
          <w:ilvl w:val="0"/>
          <w:numId w:val="1"/>
        </w:numPr>
        <w:tabs>
          <w:tab w:val="left" w:pos="-1134"/>
          <w:tab w:val="left" w:pos="720"/>
          <w:tab w:val="right" w:pos="9356"/>
        </w:tabs>
        <w:spacing w:line="240" w:lineRule="auto"/>
        <w:ind w:left="0" w:firstLine="426"/>
        <w:jc w:val="both"/>
        <w:rPr>
          <w:rFonts w:ascii="Liberation Serif" w:hAnsi="Liberation Serif"/>
          <w:sz w:val="28"/>
          <w:szCs w:val="28"/>
        </w:rPr>
      </w:pPr>
      <w:r w:rsidRPr="00E569D7">
        <w:rPr>
          <w:rFonts w:ascii="Liberation Serif" w:hAnsi="Liberation Serif"/>
          <w:sz w:val="28"/>
          <w:szCs w:val="28"/>
        </w:rPr>
        <w:t>строительство и капитальный ремонт тротуаров, муниципальных автомобильных дорог общего пользования;</w:t>
      </w:r>
    </w:p>
    <w:p w:rsidR="00E569D7" w:rsidRPr="00E569D7" w:rsidRDefault="00E569D7" w:rsidP="00AC406B">
      <w:pPr>
        <w:numPr>
          <w:ilvl w:val="0"/>
          <w:numId w:val="1"/>
        </w:numPr>
        <w:tabs>
          <w:tab w:val="left" w:pos="-1134"/>
          <w:tab w:val="left" w:pos="720"/>
          <w:tab w:val="right" w:pos="9356"/>
        </w:tabs>
        <w:spacing w:line="240" w:lineRule="auto"/>
        <w:ind w:hanging="793"/>
        <w:jc w:val="both"/>
        <w:rPr>
          <w:rFonts w:ascii="Liberation Serif" w:hAnsi="Liberation Serif"/>
          <w:sz w:val="28"/>
          <w:szCs w:val="28"/>
        </w:rPr>
      </w:pPr>
      <w:r w:rsidRPr="00E569D7">
        <w:rPr>
          <w:rFonts w:ascii="Liberation Serif" w:hAnsi="Liberation Serif"/>
          <w:sz w:val="28"/>
          <w:szCs w:val="28"/>
        </w:rPr>
        <w:t>модернизация жилищно-коммунального хозяйства;</w:t>
      </w:r>
    </w:p>
    <w:p w:rsidR="00E569D7" w:rsidRPr="00E569D7" w:rsidRDefault="00E569D7" w:rsidP="00AC406B">
      <w:pPr>
        <w:numPr>
          <w:ilvl w:val="0"/>
          <w:numId w:val="1"/>
        </w:numPr>
        <w:tabs>
          <w:tab w:val="left" w:pos="-1134"/>
          <w:tab w:val="left" w:pos="720"/>
          <w:tab w:val="right" w:pos="9356"/>
        </w:tabs>
        <w:spacing w:line="240" w:lineRule="auto"/>
        <w:ind w:hanging="793"/>
        <w:jc w:val="both"/>
        <w:rPr>
          <w:rFonts w:ascii="Liberation Serif" w:hAnsi="Liberation Serif"/>
          <w:sz w:val="28"/>
          <w:szCs w:val="28"/>
        </w:rPr>
      </w:pPr>
      <w:r w:rsidRPr="00E569D7">
        <w:rPr>
          <w:rFonts w:ascii="Liberation Serif" w:hAnsi="Liberation Serif"/>
          <w:sz w:val="28"/>
          <w:szCs w:val="28"/>
        </w:rPr>
        <w:t>газификация Артемовского городского округа;</w:t>
      </w:r>
    </w:p>
    <w:p w:rsidR="00E569D7" w:rsidRPr="00E569D7" w:rsidRDefault="00E569D7" w:rsidP="00AC406B">
      <w:pPr>
        <w:numPr>
          <w:ilvl w:val="0"/>
          <w:numId w:val="1"/>
        </w:numPr>
        <w:tabs>
          <w:tab w:val="left" w:pos="-1134"/>
          <w:tab w:val="left" w:pos="720"/>
          <w:tab w:val="right" w:pos="9356"/>
        </w:tabs>
        <w:spacing w:line="240" w:lineRule="auto"/>
        <w:ind w:left="142" w:firstLine="284"/>
        <w:jc w:val="both"/>
        <w:rPr>
          <w:rFonts w:ascii="Liberation Serif" w:hAnsi="Liberation Serif"/>
          <w:sz w:val="28"/>
          <w:szCs w:val="28"/>
        </w:rPr>
      </w:pPr>
      <w:r w:rsidRPr="00E569D7">
        <w:rPr>
          <w:rFonts w:ascii="Liberation Serif" w:hAnsi="Liberation Serif"/>
          <w:sz w:val="28"/>
          <w:szCs w:val="28"/>
        </w:rPr>
        <w:t xml:space="preserve">строительство жилья для переселения граждан из непригодного и </w:t>
      </w:r>
      <w:bookmarkStart w:id="0" w:name="_GoBack"/>
      <w:bookmarkEnd w:id="0"/>
      <w:r w:rsidRPr="00E569D7">
        <w:rPr>
          <w:rFonts w:ascii="Liberation Serif" w:hAnsi="Liberation Serif"/>
          <w:sz w:val="28"/>
          <w:szCs w:val="28"/>
        </w:rPr>
        <w:t>аварийного жилья;</w:t>
      </w:r>
    </w:p>
    <w:p w:rsidR="00E569D7" w:rsidRPr="00E569D7" w:rsidRDefault="00E569D7" w:rsidP="00AC406B">
      <w:pPr>
        <w:numPr>
          <w:ilvl w:val="0"/>
          <w:numId w:val="1"/>
        </w:numPr>
        <w:tabs>
          <w:tab w:val="left" w:pos="-1134"/>
          <w:tab w:val="left" w:pos="720"/>
          <w:tab w:val="right" w:pos="9356"/>
        </w:tabs>
        <w:spacing w:line="240" w:lineRule="auto"/>
        <w:ind w:hanging="793"/>
        <w:jc w:val="both"/>
        <w:rPr>
          <w:rFonts w:ascii="Liberation Serif" w:hAnsi="Liberation Serif"/>
          <w:sz w:val="28"/>
          <w:szCs w:val="28"/>
        </w:rPr>
      </w:pPr>
      <w:r w:rsidRPr="00E569D7">
        <w:rPr>
          <w:rFonts w:ascii="Liberation Serif" w:hAnsi="Liberation Serif"/>
          <w:sz w:val="28"/>
          <w:szCs w:val="28"/>
        </w:rPr>
        <w:t>развитие въездного и внутреннего туризма;</w:t>
      </w:r>
    </w:p>
    <w:p w:rsidR="00E569D7" w:rsidRPr="00E569D7" w:rsidRDefault="00E569D7" w:rsidP="00AC406B">
      <w:pPr>
        <w:numPr>
          <w:ilvl w:val="0"/>
          <w:numId w:val="1"/>
        </w:numPr>
        <w:tabs>
          <w:tab w:val="left" w:pos="-1134"/>
          <w:tab w:val="left" w:pos="720"/>
          <w:tab w:val="right" w:pos="9356"/>
        </w:tabs>
        <w:spacing w:line="240" w:lineRule="auto"/>
        <w:ind w:hanging="793"/>
        <w:jc w:val="both"/>
        <w:rPr>
          <w:rFonts w:ascii="Liberation Serif" w:hAnsi="Liberation Serif"/>
          <w:sz w:val="28"/>
          <w:szCs w:val="28"/>
        </w:rPr>
      </w:pPr>
      <w:r w:rsidRPr="00E569D7">
        <w:rPr>
          <w:rFonts w:ascii="Liberation Serif" w:hAnsi="Liberation Serif"/>
          <w:sz w:val="28"/>
          <w:szCs w:val="28"/>
        </w:rPr>
        <w:t>обустройство дворовых территорий.</w:t>
      </w:r>
    </w:p>
    <w:p w:rsidR="00E569D7" w:rsidRPr="00E569D7" w:rsidRDefault="00E569D7" w:rsidP="00AC406B">
      <w:pPr>
        <w:tabs>
          <w:tab w:val="left" w:pos="-1134"/>
          <w:tab w:val="left" w:pos="720"/>
          <w:tab w:val="right" w:pos="9356"/>
        </w:tabs>
        <w:spacing w:line="240" w:lineRule="auto"/>
        <w:ind w:hanging="793"/>
        <w:jc w:val="both"/>
        <w:rPr>
          <w:rFonts w:ascii="Liberation Serif" w:hAnsi="Liberation Serif"/>
          <w:sz w:val="28"/>
          <w:szCs w:val="28"/>
        </w:rPr>
      </w:pPr>
    </w:p>
    <w:p w:rsidR="00E569D7" w:rsidRPr="00BC08A5" w:rsidRDefault="00E569D7" w:rsidP="007D3873">
      <w:pPr>
        <w:tabs>
          <w:tab w:val="left" w:pos="-1134"/>
          <w:tab w:val="left" w:pos="720"/>
          <w:tab w:val="right" w:pos="9356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sectPr w:rsidR="00E569D7" w:rsidRPr="00BC08A5" w:rsidSect="00E569D7">
      <w:pgSz w:w="11906" w:h="16838"/>
      <w:pgMar w:top="1134" w:right="991" w:bottom="1276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D83" w:rsidRDefault="00432D83" w:rsidP="00750105">
      <w:pPr>
        <w:spacing w:line="240" w:lineRule="auto"/>
      </w:pPr>
      <w:r>
        <w:separator/>
      </w:r>
    </w:p>
  </w:endnote>
  <w:endnote w:type="continuationSeparator" w:id="0">
    <w:p w:rsidR="00432D83" w:rsidRDefault="00432D83" w:rsidP="007501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D83" w:rsidRDefault="00432D83" w:rsidP="00750105">
      <w:pPr>
        <w:spacing w:line="240" w:lineRule="auto"/>
      </w:pPr>
      <w:r>
        <w:separator/>
      </w:r>
    </w:p>
  </w:footnote>
  <w:footnote w:type="continuationSeparator" w:id="0">
    <w:p w:rsidR="00432D83" w:rsidRDefault="00432D83" w:rsidP="007501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5766706"/>
      <w:docPartObj>
        <w:docPartGallery w:val="Page Numbers (Top of Page)"/>
        <w:docPartUnique/>
      </w:docPartObj>
    </w:sdtPr>
    <w:sdtContent>
      <w:p w:rsidR="00E569D7" w:rsidRDefault="00E569D7" w:rsidP="00CB1EB2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06B">
          <w:rPr>
            <w:noProof/>
          </w:rPr>
          <w:t>20</w:t>
        </w:r>
        <w:r>
          <w:fldChar w:fldCharType="end"/>
        </w:r>
      </w:p>
    </w:sdtContent>
  </w:sdt>
  <w:p w:rsidR="00E569D7" w:rsidRDefault="00E569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64AE3"/>
    <w:multiLevelType w:val="hybridMultilevel"/>
    <w:tmpl w:val="FDE6E5D4"/>
    <w:lvl w:ilvl="0" w:tplc="A89AC15A">
      <w:start w:val="1"/>
      <w:numFmt w:val="decimal"/>
      <w:lvlText w:val="%1)"/>
      <w:lvlJc w:val="left"/>
      <w:pPr>
        <w:ind w:left="1219" w:hanging="5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9E"/>
    <w:rsid w:val="001B4714"/>
    <w:rsid w:val="00286755"/>
    <w:rsid w:val="002B5D9E"/>
    <w:rsid w:val="002C6406"/>
    <w:rsid w:val="0037574C"/>
    <w:rsid w:val="00395451"/>
    <w:rsid w:val="003B7F4F"/>
    <w:rsid w:val="003D3228"/>
    <w:rsid w:val="00432D83"/>
    <w:rsid w:val="00433350"/>
    <w:rsid w:val="00440358"/>
    <w:rsid w:val="004B630D"/>
    <w:rsid w:val="005160A3"/>
    <w:rsid w:val="00543B86"/>
    <w:rsid w:val="00641DA2"/>
    <w:rsid w:val="00694062"/>
    <w:rsid w:val="006A20A4"/>
    <w:rsid w:val="006F0E7D"/>
    <w:rsid w:val="00730E71"/>
    <w:rsid w:val="00750105"/>
    <w:rsid w:val="00766F78"/>
    <w:rsid w:val="00770AEA"/>
    <w:rsid w:val="00775F8E"/>
    <w:rsid w:val="0079249E"/>
    <w:rsid w:val="007D3873"/>
    <w:rsid w:val="007E6A78"/>
    <w:rsid w:val="008644BB"/>
    <w:rsid w:val="008A2B3B"/>
    <w:rsid w:val="009A4952"/>
    <w:rsid w:val="009A4A9D"/>
    <w:rsid w:val="00A01D44"/>
    <w:rsid w:val="00A8743A"/>
    <w:rsid w:val="00A9638E"/>
    <w:rsid w:val="00AC406B"/>
    <w:rsid w:val="00AF3691"/>
    <w:rsid w:val="00B17CC4"/>
    <w:rsid w:val="00BA66FF"/>
    <w:rsid w:val="00BC08A5"/>
    <w:rsid w:val="00BF1EEA"/>
    <w:rsid w:val="00C73BE2"/>
    <w:rsid w:val="00CB1EB2"/>
    <w:rsid w:val="00D350A2"/>
    <w:rsid w:val="00D50040"/>
    <w:rsid w:val="00E569D7"/>
    <w:rsid w:val="00EA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E9481-89F9-45AC-8EBB-03562A51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B86"/>
    <w:pPr>
      <w:widowControl w:val="0"/>
      <w:autoSpaceDE w:val="0"/>
      <w:spacing w:after="0" w:line="252" w:lineRule="auto"/>
      <w:ind w:firstLine="340"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B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B8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75010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0105"/>
    <w:rPr>
      <w:rFonts w:ascii="Times New Roman" w:eastAsia="Times New Roman" w:hAnsi="Times New Roman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75010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0105"/>
    <w:rPr>
      <w:rFonts w:ascii="Times New Roman" w:eastAsia="Times New Roman" w:hAnsi="Times New Roman" w:cs="Times New Roman"/>
      <w:lang w:eastAsia="ar-SA"/>
    </w:rPr>
  </w:style>
  <w:style w:type="table" w:styleId="a9">
    <w:name w:val="Table Grid"/>
    <w:basedOn w:val="a1"/>
    <w:uiPriority w:val="59"/>
    <w:rsid w:val="007D3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F0E7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E56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8;&#1090;&#1077;&#1084;&#1086;&#1074;&#1089;&#1082;&#1080;&#1081;-&#1087;&#1088;&#1072;&#1074;&#1086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5397</Words>
  <Characters>30767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Гладышева</dc:creator>
  <cp:keywords/>
  <dc:description/>
  <cp:lastModifiedBy>Татьяна Николаевна Нохрина</cp:lastModifiedBy>
  <cp:revision>2</cp:revision>
  <cp:lastPrinted>2020-11-11T11:44:00Z</cp:lastPrinted>
  <dcterms:created xsi:type="dcterms:W3CDTF">2020-11-16T07:42:00Z</dcterms:created>
  <dcterms:modified xsi:type="dcterms:W3CDTF">2020-11-16T07:42:00Z</dcterms:modified>
</cp:coreProperties>
</file>