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8B" w:rsidRPr="00AC37EE" w:rsidRDefault="0093058B" w:rsidP="0093058B">
      <w:pPr>
        <w:jc w:val="center"/>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t>Доклад главы Артемовского городского округа о достигнутых значениях показателей эффективности деятельности органов местного самоуправления Артемовского городского округа за 2020 год и их планируемых значениях на 3-летний период</w:t>
      </w:r>
    </w:p>
    <w:p w:rsidR="0093058B" w:rsidRPr="00AC37EE" w:rsidRDefault="0093058B" w:rsidP="0093058B">
      <w:pPr>
        <w:jc w:val="both"/>
        <w:rPr>
          <w:rFonts w:ascii="Liberation Serif" w:eastAsiaTheme="minorHAnsi" w:hAnsi="Liberation Serif" w:cstheme="minorBidi"/>
          <w:sz w:val="28"/>
          <w:szCs w:val="28"/>
          <w:lang w:eastAsia="en-US"/>
        </w:rPr>
      </w:pPr>
    </w:p>
    <w:p w:rsidR="0093058B" w:rsidRPr="00AC37EE" w:rsidRDefault="0093058B" w:rsidP="0093058B">
      <w:pPr>
        <w:ind w:firstLine="709"/>
        <w:jc w:val="both"/>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t>Введение</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Доклад главы Артемовского городского округа подготовлен во исполнение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в соответствии с Типовой формой доклада, утвержденной постановлением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Постановлением Правительства Свердловской области от 12.04.2013 № 485-ПП «О формировании сводного доклада Свердловской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на территории Свердловской области», в целях реализации положений Федерального закона от 06 октября 2003 года № 131-Ф3 «Об общих принципах организации местного самоуправления в Российской Федерации».</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Цель доклада главы Артемовского городского округа - оценка эффективности расходования бюджетных средств, динамики изменения показателей, характеризующих качество жизни населения,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Анализ динамики изменения достигнутых показателей эффективности деятельности органов местного самоуправления позволяет определить направления, требующие приоритетного внимания, сформировать перечень мероприятий по повышению эффективности деятельности органов местного самоуправления, в том числе по снижению неэффективных расходов, а также выявить внутренние ресурсы (финансовые, материально-технические, кадровые и другие) для повышения качества и объема предоставляемых населению услуг и увеличения заработной платы работников бюджетной сферы.</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Информация доклада подготовлена по каждому показателю оценки эффективности деятельности органов местного самоуправления, </w:t>
      </w:r>
      <w:r w:rsidRPr="00AC37EE">
        <w:rPr>
          <w:rFonts w:ascii="Liberation Serif" w:eastAsiaTheme="minorHAnsi" w:hAnsi="Liberation Serif" w:cstheme="minorBidi"/>
          <w:sz w:val="28"/>
          <w:szCs w:val="28"/>
          <w:lang w:eastAsia="en-US"/>
        </w:rPr>
        <w:br/>
        <w:t>в соответствии со структурой и требованиями к содержанию текстовой части доклада, утвержденными постановлением Правительства Свердловской области от 12.04.2013 № 485-ПП. Показатели оценки эффективности органов местного самоуправления Артемовского городского округа приведены в Приложении 1.</w:t>
      </w:r>
    </w:p>
    <w:p w:rsidR="0093058B" w:rsidRPr="00AC37EE" w:rsidRDefault="0093058B" w:rsidP="0093058B">
      <w:pPr>
        <w:ind w:firstLine="709"/>
        <w:jc w:val="both"/>
        <w:rPr>
          <w:rFonts w:ascii="Liberation Serif" w:eastAsiaTheme="minorHAnsi" w:hAnsi="Liberation Serif" w:cstheme="minorBidi"/>
          <w:sz w:val="28"/>
          <w:szCs w:val="28"/>
          <w:lang w:eastAsia="en-US"/>
        </w:rPr>
      </w:pPr>
    </w:p>
    <w:p w:rsidR="0093058B" w:rsidRPr="00AC37EE" w:rsidRDefault="0093058B" w:rsidP="0093058B">
      <w:pPr>
        <w:ind w:firstLine="709"/>
        <w:jc w:val="both"/>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lastRenderedPageBreak/>
        <w:t>Глава 1. Экономическое развитие</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1. Число субъектов малого и среднего предпринимательства в расчете на 10 тыс. человек населения.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2017 – 2019 годов составляло: 269 единиц в 2017 и 2018 годах, 267 единиц в 2019 году.</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По итогам 2020 года наблюдается дальнейшее снижение количества субъектов малого и среднего предпринимательства с достижением значения – 248 единиц.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Факторами, вызвавшими снижение количества субъектов малого и среднего предпринимательства, стали:</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 сложившаяся экономическая ситуация в Российской Федерации: введение карантинных ограничений и общая неопределенность, вызванная пандемией </w:t>
      </w:r>
      <w:proofErr w:type="spellStart"/>
      <w:r w:rsidRPr="00AC37EE">
        <w:rPr>
          <w:rFonts w:ascii="Liberation Serif" w:eastAsiaTheme="minorHAnsi" w:hAnsi="Liberation Serif" w:cstheme="minorBidi"/>
          <w:sz w:val="28"/>
          <w:szCs w:val="28"/>
          <w:lang w:eastAsia="en-US"/>
        </w:rPr>
        <w:t>коронавируса</w:t>
      </w:r>
      <w:proofErr w:type="spellEnd"/>
      <w:r w:rsidRPr="00AC37EE">
        <w:rPr>
          <w:rFonts w:ascii="Liberation Serif" w:eastAsiaTheme="minorHAnsi" w:hAnsi="Liberation Serif" w:cstheme="minorBidi"/>
          <w:sz w:val="28"/>
          <w:szCs w:val="28"/>
          <w:lang w:eastAsia="en-US"/>
        </w:rPr>
        <w:t>;</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падения потребительского спроса населения;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изменение организационно-правовой формы хозяйствующих субъектов, в том числе связанной с введением на территории Свердловской области в 2020 году специального налогового режима «Налог на профессиональный доход».</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Ожидается, что в 2021 - 2023 годах значения данного показателя будет достигнуто в объёме 245 единиц.</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2017 – 2019 годов составляло: 12,5% в 2017 году, в 2018-2020 годах - 12,07%.</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Ожидается, что в 2021 - 2023 годах прогнозное значения данного показателя сохранится в объеме 12,07%.</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3. Объем инвестиций в основной капитал (за исключением бюджетных средств) в расчете на 1 жителя.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Одним из основных приоритетов развития Артемовского городского округа является создание благоприятных условий для привлечения инвестиций.</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период 2017 - 2019 годов значение показателя объем инвестиций в основной капитал (за исключением бюджетных средств) в расчете на 1 жителя выросло с 4 058,0 руб. до 11 337,4 руб.</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По данными </w:t>
      </w:r>
      <w:proofErr w:type="spellStart"/>
      <w:r w:rsidRPr="00AC37EE">
        <w:rPr>
          <w:rFonts w:ascii="Liberation Serif" w:eastAsiaTheme="minorHAnsi" w:hAnsi="Liberation Serif" w:cstheme="minorBidi"/>
          <w:sz w:val="28"/>
          <w:szCs w:val="28"/>
          <w:lang w:eastAsia="en-US"/>
        </w:rPr>
        <w:t>Свердловскстата</w:t>
      </w:r>
      <w:proofErr w:type="spellEnd"/>
      <w:r w:rsidRPr="00AC37EE">
        <w:rPr>
          <w:rFonts w:ascii="Liberation Serif" w:eastAsiaTheme="minorHAnsi" w:hAnsi="Liberation Serif" w:cstheme="minorBidi"/>
          <w:sz w:val="28"/>
          <w:szCs w:val="28"/>
          <w:lang w:eastAsia="en-US"/>
        </w:rPr>
        <w:t xml:space="preserve"> за 2020 год значение данного показателя составило 15 918,0 руб.</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Реализация на территории Артемовского городского округа в 2021-2023 годах инвестиционных проектов организациями производственной сферы, субъектами малого и среднего предпринимательства предполагает создание возможности для инвестиций в основной капитал, в расчете на одного жителя: в 2021 году – 4 500,0 руб., в 2022 году – 4 800,0 руб., в 2023 году – 5 500 руб.</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3а 2020 год показатель доли площади земельных участков, являющихся объектами налогообложения земельным налогом, в общей площади территории городского округа составил 45,01% (в период 2017 - 2019 годов данный показатель также составлял 45%).</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2020 году зарегистрировано право собственности и постоянного (бессрочного) пользования на 226 земельных участков (в 2019 году - 263 земельных участка), договоры аренды оформлены на 108 земельных участков (в 2019 году - на 121 земельный участок).</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Ожидается, что в 2021 - 2023 годах значения данного показателя достигнет: в 2021 году – 45,02%, в 2022 году – 45,03%, в 2023 году – 45,04%.</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5. Доля прибыльных сельскохозяйственных организаций в общем их числе.</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показателя составляло в 2017 году - 100%, в 2018 году - 50%, в 2019 году – 100%.</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В 2020 году на территории Артемовского городского округа деятельность осуществляли 2 юридических лица-сельхозпроизводителя. Значение показателя составило 100%.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На период до 2023 года предполагается достижение значения показателя «Доля прибыльных сельскохозяйственных организаций в общем их числе» в размере 100%.</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2017 – 2019 годов составляло: в 2017 году – 51,6%, в 2018 году - 45,5%, в 2019 году – 51,5%.</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Протяженность автомобильных дорог общего пользования местного значения на 01.01.2021 составила 388,9 км. Доля протяженности автомобильных дорог общего пользования местного значения, не отвечающих нормативным требованиям в 2020 году составила 43,2% (168 км).</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По сравнению с предыдущим периодом произошло уменьшение данного показателя на 8,3% (2019 год – 51,5 %, 199 км из 387,1 км).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Снижение значения данного показателя связано с ежегодным выполнением мероприятий по ремонту автомобильных дорог в границах городского округа.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Реализация мероприятий муниципальной программы Артемовского городского округа «Развитие дорожного хозяйства, благоустройства и обеспечение экологической безопасности Артемовского городского округа до 2022 года», «Развитие транспорта, дорожного хозяйства, связи и информационных технологий Свердловской области до 2024 года» по ремонту существующих дорог и приведение их в нормативное состояние, отвечающее ГОСТ, формированию дополнительных маршрутов движения транспортных потоков в городе, обеспечению безопасности дорожного движения путем установки дорожных знаков и нанесения дорожной разметки, позволит обеспечить снижение к 2023 году доли протяженности автомобильных дорог, не отвечающих требованиям безопасности на 2,4% и составит: в 2021 году – 42,8%, в 2022 году – 41,8%, в 2023 году – 40,8%. </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период 2017 – 2020 годов составляло 0,05%.</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Регулярного автобусного сообщения не имеют 2 населенных пункта (</w:t>
      </w:r>
      <w:proofErr w:type="spellStart"/>
      <w:r w:rsidRPr="00AC37EE">
        <w:rPr>
          <w:rFonts w:ascii="Liberation Serif" w:eastAsiaTheme="minorHAnsi" w:hAnsi="Liberation Serif" w:cstheme="minorBidi"/>
          <w:sz w:val="28"/>
          <w:szCs w:val="28"/>
          <w:lang w:eastAsia="en-US"/>
        </w:rPr>
        <w:t>д.Березняки</w:t>
      </w:r>
      <w:proofErr w:type="spellEnd"/>
      <w:r w:rsidRPr="00AC37EE">
        <w:rPr>
          <w:rFonts w:ascii="Liberation Serif" w:eastAsiaTheme="minorHAnsi" w:hAnsi="Liberation Serif" w:cstheme="minorBidi"/>
          <w:sz w:val="28"/>
          <w:szCs w:val="28"/>
          <w:lang w:eastAsia="en-US"/>
        </w:rPr>
        <w:t xml:space="preserve">, </w:t>
      </w:r>
      <w:proofErr w:type="spellStart"/>
      <w:r w:rsidRPr="00AC37EE">
        <w:rPr>
          <w:rFonts w:ascii="Liberation Serif" w:eastAsiaTheme="minorHAnsi" w:hAnsi="Liberation Serif" w:cstheme="minorBidi"/>
          <w:sz w:val="28"/>
          <w:szCs w:val="28"/>
          <w:lang w:eastAsia="en-US"/>
        </w:rPr>
        <w:t>д.Заболотье</w:t>
      </w:r>
      <w:proofErr w:type="spellEnd"/>
      <w:r w:rsidRPr="00AC37EE">
        <w:rPr>
          <w:rFonts w:ascii="Liberation Serif" w:eastAsiaTheme="minorHAnsi" w:hAnsi="Liberation Serif" w:cstheme="minorBidi"/>
          <w:sz w:val="28"/>
          <w:szCs w:val="28"/>
          <w:lang w:eastAsia="en-US"/>
        </w:rPr>
        <w:t>).</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связи с отсутствием необходимости (отсутствие заявлений, наличие личного автотранспорта жителей, незначительная удаленность от населенных пунктов, имеющих регулярное сообщение) введение регулярного автобусного сообщения с указанными населенными пунктами в период 2021-2023 годов не планируется.</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8. Среднемесячная номинальная начисленная заработная плата работников.</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По данным </w:t>
      </w:r>
      <w:proofErr w:type="spellStart"/>
      <w:r w:rsidRPr="00AC37EE">
        <w:rPr>
          <w:rFonts w:ascii="Liberation Serif" w:eastAsiaTheme="minorHAnsi" w:hAnsi="Liberation Serif" w:cstheme="minorBidi"/>
          <w:sz w:val="28"/>
          <w:szCs w:val="28"/>
          <w:lang w:eastAsia="en-US"/>
        </w:rPr>
        <w:t>Свердловскстата</w:t>
      </w:r>
      <w:proofErr w:type="spellEnd"/>
      <w:r w:rsidRPr="00AC37EE">
        <w:rPr>
          <w:rFonts w:ascii="Liberation Serif" w:eastAsiaTheme="minorHAnsi" w:hAnsi="Liberation Serif" w:cstheme="minorBidi"/>
          <w:sz w:val="28"/>
          <w:szCs w:val="28"/>
          <w:lang w:eastAsia="en-US"/>
        </w:rPr>
        <w:t xml:space="preserve"> за январь-декабрь 2020 года среднемесячная начисленная заработная плата организаций (без субъектов малого предпринимательства) составила 37 845 руб., это на 3 028 руб. или на 8,7% больше уровня показателя аналогичного периода 2019 года – 34 817 руб. В период 2017 и 2019 годов отмечалось колебание роста заработной платы в пределах 9%.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На период до 2023 года прогнозируется рост размера среднемесячной номинальной начисленной заработной платы работников крупных и средних предприятий и некоммерческих организаций в пределах 5%.</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течение предшествующего периода 2017-2019 годов размер заработной платы педагогических работников образовательных организаций и работников учреждений культуры Артемовского городского округа соответствовал показателям «Дорожных карт».</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Среднемесячная заработная плата в 2020 году составила: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в муниципальных дошкольных образовательных организациях – 34 249,14 руб.;</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в муниципальных общеобразовательных организациях – 38 015,16 руб.;</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у учителей муниципальных образовательных организациях – 37 771,9 руб.;</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в муниципальных учреждениях культуры и искусства – 38 003,00 руб.;</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в муниципальных учреждениях физической культуры и спорта – 22 099,5 руб.</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На период до 2023 года размер среднемесячной номинальной начисленной заработной платы будет определяться соответствующими показателями «Дорожных карт» в соответствующих сферах деятельности.</w:t>
      </w:r>
    </w:p>
    <w:p w:rsidR="0093058B" w:rsidRPr="00AC37EE" w:rsidRDefault="0093058B" w:rsidP="0093058B">
      <w:pPr>
        <w:ind w:firstLine="709"/>
        <w:jc w:val="both"/>
        <w:rPr>
          <w:rFonts w:ascii="Liberation Serif" w:eastAsiaTheme="minorHAnsi" w:hAnsi="Liberation Serif" w:cstheme="minorBidi"/>
          <w:sz w:val="28"/>
          <w:szCs w:val="28"/>
          <w:lang w:eastAsia="en-US"/>
        </w:rPr>
      </w:pPr>
    </w:p>
    <w:p w:rsidR="0093058B" w:rsidRPr="00AC37EE" w:rsidRDefault="0093058B" w:rsidP="0093058B">
      <w:pPr>
        <w:ind w:firstLine="709"/>
        <w:jc w:val="both"/>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t>Глава 2. Дошкольное образование</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9. 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одного года до шести лет.</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Значение данного показателя в предшествующем периоде 2017 – 2019 годов составляло: 84,2% в 2017 году, 97,7% в 2018 году, 98,3% в 2019 году, а по итогам 2020 года составила 98,5%.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рамках реализации мероприятия «Содействие занятости женщин, имеющих детей в возрасте до трех лет» в рамках национального проекта «Демография» в декабре 2020 года введено в эксплуатацию «Детское дошкольное учреждение по ул. 9 Мая в г. Артемовском, Свердловской области».</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Ожидается, что в 2021 - 2023 годах значения данного показателя достигнет объема 100,0%. </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10. 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предшествующем периоде 2017 – 2019 годов данный показатель принимал значения: 15,7% - в 2017 году, 10,2% - в 2018 году, в 1,7% - в 2019 году. По итогам 2020 года значение показателя составило 1,5%.</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На территории Артемовского городского округа обеспечен охват дошкольным образованием:</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 детей с 3 до 7 лет - 100%;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 детей в возрасте от 2 месяцев до 3 лет – 90,64%;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 детей в возрасте от 2 месяцев до 7 лет – 98,27%. </w:t>
      </w:r>
    </w:p>
    <w:p w:rsidR="0093058B" w:rsidRPr="00AC37EE" w:rsidRDefault="0093058B" w:rsidP="0093058B">
      <w:pPr>
        <w:ind w:firstLine="709"/>
        <w:jc w:val="both"/>
        <w:rPr>
          <w:rFonts w:ascii="Liberation Serif" w:eastAsiaTheme="minorHAnsi" w:hAnsi="Liberation Serif" w:cs="Liberation Serif"/>
          <w:sz w:val="28"/>
          <w:szCs w:val="28"/>
          <w:lang w:eastAsia="en-US"/>
        </w:rPr>
      </w:pPr>
      <w:r w:rsidRPr="00AC37EE">
        <w:rPr>
          <w:rFonts w:ascii="Liberation Serif" w:eastAsiaTheme="minorHAnsi" w:hAnsi="Liberation Serif" w:cs="Liberation Serif"/>
          <w:sz w:val="28"/>
          <w:szCs w:val="28"/>
          <w:lang w:eastAsia="en-US"/>
        </w:rPr>
        <w:t>По состоянию на 01.01.2021 общая численность детей в очереди, не обеспеченных местами в дошкольных образовательных учреждениях (далее – ДОУ): (актуальный спрос) – 71 человек; (отложенный спрос) – 619 человек.</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2020 году реализованы мероприятия компенсационного характера для создания мест для детей до 3 лет в рамках реализации национального проекта «Демография».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Ввод в 2020 году нового детского дошкольного учреждения на 135 мест, и реализация мероприятия компенсационного характера позволят в 2021 - 2023 годах снизить значение данного показателя до 0,0%.</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Доля муниципальных дошкольных образовательных учреждений (далее - МДОУ), здания которых находятся в аварийном состоянии или требуют капитального ремонта, в общем числе МДОУ, в предшествующем периоде принимала значение: в 2017-2019 годах – 6,0%. В 2020 году значение данного показателя составило 3,7%.</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С целью модернизации инфраструктуры дошкольных образовательных организаций в 2020 году в МДОУ проведены ремонты: пожарной сигнализации и пожарных лестниц, кровли, канализации, отопления, помещений пищеблока, фасада, теневых навесов, заменены оконные блоки. В 3 МДОУ проведен капитальный ремонт.</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Приоритетными направлениями по приведению зданий, помещений МДОУ в соответствие с требованиями по улучшению технического состояния, обеспечению безопасности и антитеррористической защищенности образовательных организаций являются: замена деревянных оконных блоков, ремонт кровли, ремонт системы отопления, канализации.</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плановом периоде 2021-2023 годов значение показателя составит 3,7%.</w:t>
      </w:r>
    </w:p>
    <w:p w:rsidR="0093058B" w:rsidRPr="00AC37EE" w:rsidRDefault="0093058B" w:rsidP="0093058B">
      <w:pPr>
        <w:ind w:firstLine="709"/>
        <w:jc w:val="both"/>
        <w:rPr>
          <w:rFonts w:ascii="Liberation Serif" w:eastAsiaTheme="minorHAnsi" w:hAnsi="Liberation Serif" w:cstheme="minorBidi"/>
          <w:sz w:val="28"/>
          <w:szCs w:val="28"/>
          <w:lang w:eastAsia="en-US"/>
        </w:rPr>
      </w:pPr>
    </w:p>
    <w:p w:rsidR="0093058B" w:rsidRPr="00AC37EE" w:rsidRDefault="0093058B" w:rsidP="0093058B">
      <w:pPr>
        <w:ind w:firstLine="709"/>
        <w:jc w:val="both"/>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t>Глава 3. Общее и дополнительное образование</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12.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Значение данного показателя в предшествующих периодах 2017 – 2019 годов составляло: в 2017 году – 0,3%, 2018 году – 1,5%, 2019 году – 2,7%.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Государственная итоговая аттестация выпускников, закончивших освоение основных образовательных программ среднего общего образования (далее – ГИА-11) в 2020 году проводилась в форме промежуточной аттестации, результаты которой признавались результатами ГИА-11 и являлись основанием для выдачи аттестатов о среднем общем образовании. 100% выпускников получили аттестаты.</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Единый государственный экзамен (далее – ЕГЭ) стал проходным баллом для поступающих в высшие учебные заведения. В связи с этим из числа предметов ЕГЭ исключена математика базового уровня.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плановом периоде 2020-2022 годов ожидается сохранение значения показателя в размере 1,5%.</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13.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составляло: в 2017 году – 80,0%, в 2018 году – 85,0% в 2019 году – 95,0%.</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показателя в отчетном периоде 2020 года составило 95,0%, что соответствует показателю 2019 года.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С целью повышения показателя в 2020 году в части реализации общеобразовательных программ, в том числе образовательных программ среднего общего образования в соответствии с ФГОС, проведены следующие мероприятия: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1) в рамках реализации регионального проекта «Современная школа» созданы 2 центра гуманитарного и цифрового образования «Точка роста»;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2) в рамках реализации регионального проекта «Успех каждого ребенка» отремонтирован 1 спортзал.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3) в рамках реализации проекта «Уральская инженерная школа» проведены мероприятия по созданию условий реализации образовательных программ естественно-научного цикла и </w:t>
      </w:r>
      <w:proofErr w:type="spellStart"/>
      <w:r w:rsidRPr="00AC37EE">
        <w:rPr>
          <w:rFonts w:ascii="Liberation Serif" w:eastAsiaTheme="minorHAnsi" w:hAnsi="Liberation Serif" w:cstheme="minorBidi"/>
          <w:sz w:val="28"/>
          <w:szCs w:val="28"/>
          <w:lang w:eastAsia="en-US"/>
        </w:rPr>
        <w:t>профориентационной</w:t>
      </w:r>
      <w:proofErr w:type="spellEnd"/>
      <w:r w:rsidRPr="00AC37EE">
        <w:rPr>
          <w:rFonts w:ascii="Liberation Serif" w:eastAsiaTheme="minorHAnsi" w:hAnsi="Liberation Serif" w:cstheme="minorBidi"/>
          <w:sz w:val="28"/>
          <w:szCs w:val="28"/>
          <w:lang w:eastAsia="en-US"/>
        </w:rPr>
        <w:t xml:space="preserve"> работы. </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14.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В предшествующем периоде 2017-2019 годов значение данного показателя составило 10,0%. Значение данного показателя в 2020 году составило 5,0%.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целях сокращения значения данного показателя в 2020 году:</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1) завершен ремонт помещений главного здания МАОУ «Лицей № 21»;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2) проводится капитальный ремонт МБОУ СОШ № 14.</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рамках задачи по созданию безопасных и комфортных условий обучения и воспитания детей в соответствии с современными требованиями к состоянию зданий и сооружений в 14 образовательных организациях Артемовского городского округа проведены: ремонт кровли, ремонт помещений, ремонт фасада, ремонт канализации, замена оконных блоков. В плановом периоде 2021 – 2023 годов ожидается сохранение данного показателя в объеме 5,0%.</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15. Доля детей первой и второй групп здоровья в общей численности, обучающихся в муниципальных общеобразовательных учреждениях.</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Значение данного показателя в предшествующем периоде 2017 - 2019 годов принимало значения: в 2017 году – 72,0%, в 2018 году - 79,0%, в 2019 году – 74,0%.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Доля детей, имеющих I и II группу здоровья в муниципальных общеобразовательных организациях Артемовского городского округа по итогам 2020 года составила 74%. В сравнении со значением показателя 2019 года изменения данного показателя не произошло.</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С целью организации работы по обеспечению медицинского сопровождения, профилактики заболеваемости обучающихся организовано: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своевременное проведение профилактических медицинских осмотров;</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отдых и оздоровление детей и подростков в Артемовском городском округе;</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питание обучающихся.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плановом периоде 2021 – 2023 годов ожидается сохранение данного показателя в объеме 74,0%.</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16.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2017 - 2019 годов принимало значения: в 2017 году – 9,41%, в 2018 году – 9,0%, в 2019 году – 10,0%.</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Доля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учреждениях в Артемовском городском округе в 2020 году составила 7,8%, что ниже показателя аналогичного периода на 2,2%. Во вторую смену обучаются 525 учеников.</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плановом периоде 2021 – 2023 годов ожидается сохранение данного показателя в объеме 6,0%.</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17.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2017 - 2019 годов принимало значение: в 2017 году – 23,3 тыс. руб., в 2018 году – 21,0 тыс. руб., 2019 году – 88,15 тыс. руб.</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Расходы бюджета Артемовского городского округа на общее образование в расчете на 1 обучающегося в муниципальных общеобразовательных организациях в 2020 году составили 111,6 тыс. руб., что на 23,45 тыс. руб. или на 26,6% больше показателя 2019 года.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Прирост обусловлен повышением заработной платы педагогических работников, ежемесячной выплатой педагогам за классное руководство в размере 5 тыс. рублей; участием системы образования в реализации проекта «Уральская инженерная школа, в мероприятиях национального проекта «Образование», проведением капитальных ремонтов по приведению зданий, территорий общеобразовательных организаций в соответствие требованиям пожарной, антитеррористической, санитарной безопасности - в рамках реализации муниципальной программы «Развитие системы образования Артемовского городского округа на период 2019-2024 годов».</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плановом периоде 2021 - 2023 годов планируется достижение значения показателя в размере 63,00 тыс. руб.</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18.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2017 - 2019 годов имеет тенденцию к росту: в 2017 году – 72,0%, в 2018 году – 73,0%, в 2019 году – 74,0%.</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Доля детей в возрасте 5 - 18 лет, получающих услуги по дополнительному образованию на территории Артемовского городского округа в 2020 году, составила 78,4%, что на 4,4% больше показателя за 2019 год.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Достижение данного показателя обеспечено в 2020 году в рамках регионального проекта «Успех каждого ребенка» национального проекта «Образование».</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По дополнительным общеобразовательным программам обучается 7 044 детей, что составляет 78,4% от общего количества, из них: 3 706 детей -в учреждениях дополнительного образования, 2 687 детей - в школах на дополнительных программах, 651 ребенок в – детских школах искусств (подведомственные Министерству культуры РФ).</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На обучение по дополнительным общеобразовательным программам через портал-навигатор, зачислено 6 064 ребенка.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В плановом периоде 2021 – 2023 годов планируется достижение данного показателя в объеме – до 75,0%. </w:t>
      </w:r>
    </w:p>
    <w:p w:rsidR="0093058B" w:rsidRPr="00AC37EE" w:rsidRDefault="0093058B" w:rsidP="0093058B">
      <w:pPr>
        <w:ind w:firstLine="709"/>
        <w:jc w:val="both"/>
        <w:rPr>
          <w:rFonts w:ascii="Liberation Serif" w:eastAsiaTheme="minorHAnsi" w:hAnsi="Liberation Serif" w:cstheme="minorBidi"/>
          <w:sz w:val="28"/>
          <w:szCs w:val="28"/>
          <w:lang w:eastAsia="en-US"/>
        </w:rPr>
      </w:pPr>
    </w:p>
    <w:p w:rsidR="0093058B" w:rsidRPr="00AC37EE" w:rsidRDefault="0093058B" w:rsidP="0093058B">
      <w:pPr>
        <w:ind w:firstLine="709"/>
        <w:jc w:val="both"/>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t>Глава 4. Культура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19. Уровень фактической обеспеченности учреждениями культуры от нормативной потребности.</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Данный показатель принимал значения в 2017-2020 годах:</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уровень обеспеченности клубами и учреждениями клубного типа 100,0%;</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уровень обеспеченности библиотеками 100,0%;</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на территории Артемовского городского округа парков культуры и отдыха нет.</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Изменение уровня данных показателей до 2023 года не ожидается.</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20.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2017 - 2019 годов принимало значения: в 2017 году – 63,0%, в 2018 году – 66,0%, в 2019 году – 20,0%.</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2020 году значение данного показателя составило 11,1%, проведен капитальный ремонт в двух сельских клубах.</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В рамках реализации муниципальной программы «Развитие культуры на территории Артемовского городского округа до 2024 года», утвержденной постановлением Администрации Артемовского городского округа </w:t>
      </w:r>
      <w:r w:rsidRPr="00AC37EE">
        <w:rPr>
          <w:rFonts w:ascii="Liberation Serif" w:eastAsiaTheme="minorHAnsi" w:hAnsi="Liberation Serif" w:cstheme="minorBidi"/>
          <w:sz w:val="28"/>
          <w:szCs w:val="28"/>
          <w:lang w:eastAsia="en-US"/>
        </w:rPr>
        <w:br/>
        <w:t>от 19.10.2018 № 1094-ПА, на 2021 год запланированы мероприятия, направленные на снижение значения данного показателя.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2021 – 2023 годах планируется проведение ремонтных работ в 3 учреждениях культуры Артемовского городского округа.</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21.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Ввиду того, что на территории Артемовского городского округа объектов культурного наследия нет -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0%. </w:t>
      </w:r>
    </w:p>
    <w:p w:rsidR="0093058B" w:rsidRPr="00AC37EE" w:rsidRDefault="0093058B" w:rsidP="0093058B">
      <w:pPr>
        <w:ind w:firstLine="709"/>
        <w:jc w:val="both"/>
        <w:rPr>
          <w:rFonts w:ascii="Liberation Serif" w:eastAsiaTheme="minorHAnsi" w:hAnsi="Liberation Serif" w:cstheme="minorBidi"/>
          <w:sz w:val="28"/>
          <w:szCs w:val="28"/>
          <w:lang w:eastAsia="en-US"/>
        </w:rPr>
      </w:pPr>
    </w:p>
    <w:p w:rsidR="0093058B" w:rsidRPr="00AC37EE" w:rsidRDefault="0093058B" w:rsidP="0093058B">
      <w:pPr>
        <w:ind w:firstLine="709"/>
        <w:jc w:val="both"/>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t>Глава 5. Физическая культура и спорт</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22. Доля населения, систематически занимающегося физической культурой и спортом.</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составило: в 2017 году – 30,9%, в 2018 году – 31,8%, в 2019 году – 39,96%.</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Доля населения, систематически занимающегося физической культурой и спортом, в 2020 году составила 40,0%. Рост значения показателя обусловлен проведенными в 2017 - 2020 годах работами по созданию условий для систематических занятий физической культурой и спортом (реконструкция и обустройство спортивных объектов на стадионе «Машиностроитель», реконструкция «Лыжной базы «Снежинка», открытие нового «ФОК «Уралец»).</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В плановом периоде 2021 - 2023 годов сохранится положительная динамика роста значения показателя, связанная с продолжением работ по реконструкции стадиона «Машиностроитель», ремонту здания МБУ АГО «ФОК «Уралец», установкой спортивной площадки с тренажерами для занятий уличной гимнастики в с. </w:t>
      </w:r>
      <w:proofErr w:type="spellStart"/>
      <w:r w:rsidRPr="00AC37EE">
        <w:rPr>
          <w:rFonts w:ascii="Liberation Serif" w:eastAsiaTheme="minorHAnsi" w:hAnsi="Liberation Serif" w:cstheme="minorBidi"/>
          <w:sz w:val="28"/>
          <w:szCs w:val="28"/>
          <w:lang w:eastAsia="en-US"/>
        </w:rPr>
        <w:t>Лебёдкино</w:t>
      </w:r>
      <w:proofErr w:type="spellEnd"/>
      <w:r w:rsidRPr="00AC37EE">
        <w:rPr>
          <w:rFonts w:ascii="Liberation Serif" w:eastAsiaTheme="minorHAnsi" w:hAnsi="Liberation Serif" w:cstheme="minorBidi"/>
          <w:sz w:val="28"/>
          <w:szCs w:val="28"/>
          <w:lang w:eastAsia="en-US"/>
        </w:rPr>
        <w:t>.</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В 2021-2023 годах ожидается достижение показателя - 40,15%. </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23. Доля обучающихся, систематически занимающихся физической культурой и спортом, в общей численности обучающихся.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принимало значение: в 2017 году – 56,0%, в 2018 году – 60,9%, в 2019 году – 70,0%.</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Доля обучающихся, систематически занимающихся физической культурой и спортом, в общей численности, обучающихся в 2020 году составила 75,0%. Рост показателя связан с растущей популярностью занятий физической культурой и спортом в том числе в клубах по месту жительства. В 2017-2018 годах работало 17 клубов по месту жительства, в 2019-2020 - 18 клубов. Планируется организация работы в 2021 году в 18 клубах, в 2022-2023 годах – в 19 клубах по месту жительства.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плановом периоде 2021 - 2023 годов планируется достижение значения показателя с 75,0% до 80,0%.</w:t>
      </w:r>
    </w:p>
    <w:p w:rsidR="0093058B" w:rsidRPr="00AC37EE" w:rsidRDefault="0093058B" w:rsidP="0093058B">
      <w:pPr>
        <w:ind w:firstLine="709"/>
        <w:jc w:val="both"/>
        <w:rPr>
          <w:rFonts w:ascii="Liberation Serif" w:eastAsiaTheme="minorHAnsi" w:hAnsi="Liberation Serif" w:cstheme="minorBidi"/>
          <w:sz w:val="28"/>
          <w:szCs w:val="28"/>
          <w:lang w:eastAsia="en-US"/>
        </w:rPr>
      </w:pPr>
    </w:p>
    <w:p w:rsidR="0093058B" w:rsidRPr="00AC37EE" w:rsidRDefault="0093058B" w:rsidP="0093058B">
      <w:pPr>
        <w:ind w:firstLine="709"/>
        <w:jc w:val="both"/>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t>Глава 6. Жилищное строительство и обеспечение граждан жильем</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24. Общая площадь жилых помещений, приходящаяся в среднем на одного жителя.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2017 - 2019 годов принимало значение: в 2017 году – 25,6%, в 2018 году – 25,9%, в 2019 году – 25,9%.</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Общая площадь жилых помещений, приходящаяся в среднем на одного жителя в 2020 году, составляла – 27,0 </w:t>
      </w:r>
      <w:proofErr w:type="spellStart"/>
      <w:r w:rsidRPr="00AC37EE">
        <w:rPr>
          <w:rFonts w:ascii="Liberation Serif" w:eastAsiaTheme="minorHAnsi" w:hAnsi="Liberation Serif" w:cstheme="minorBidi"/>
          <w:sz w:val="28"/>
          <w:szCs w:val="28"/>
          <w:lang w:eastAsia="en-US"/>
        </w:rPr>
        <w:t>кв.м</w:t>
      </w:r>
      <w:proofErr w:type="spellEnd"/>
      <w:r w:rsidRPr="00AC37EE">
        <w:rPr>
          <w:rFonts w:ascii="Liberation Serif" w:eastAsiaTheme="minorHAnsi" w:hAnsi="Liberation Serif" w:cstheme="minorBidi"/>
          <w:sz w:val="28"/>
          <w:szCs w:val="28"/>
          <w:lang w:eastAsia="en-US"/>
        </w:rPr>
        <w:t>.</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В 2020 году в Артемовском городском округе введено в эксплуатацию индивидуального жилья общей площадью 9 651 </w:t>
      </w:r>
      <w:proofErr w:type="spellStart"/>
      <w:r w:rsidRPr="00AC37EE">
        <w:rPr>
          <w:rFonts w:ascii="Liberation Serif" w:eastAsiaTheme="minorHAnsi" w:hAnsi="Liberation Serif" w:cstheme="minorBidi"/>
          <w:sz w:val="28"/>
          <w:szCs w:val="28"/>
          <w:lang w:eastAsia="en-US"/>
        </w:rPr>
        <w:t>кв.м</w:t>
      </w:r>
      <w:proofErr w:type="spellEnd"/>
      <w:r w:rsidRPr="00AC37EE">
        <w:rPr>
          <w:rFonts w:ascii="Liberation Serif" w:eastAsiaTheme="minorHAnsi" w:hAnsi="Liberation Serif" w:cstheme="minorBidi"/>
          <w:sz w:val="28"/>
          <w:szCs w:val="28"/>
          <w:lang w:eastAsia="en-US"/>
        </w:rPr>
        <w:t>.</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В плановом периоде 2021 - 2023 годов планируется сохранить достижение значения показателя в пределах 27,0 </w:t>
      </w:r>
      <w:proofErr w:type="spellStart"/>
      <w:r w:rsidRPr="00AC37EE">
        <w:rPr>
          <w:rFonts w:ascii="Liberation Serif" w:eastAsiaTheme="minorHAnsi" w:hAnsi="Liberation Serif" w:cstheme="minorBidi"/>
          <w:sz w:val="28"/>
          <w:szCs w:val="28"/>
          <w:lang w:eastAsia="en-US"/>
        </w:rPr>
        <w:t>кв.м</w:t>
      </w:r>
      <w:proofErr w:type="spellEnd"/>
      <w:r w:rsidRPr="00AC37EE">
        <w:rPr>
          <w:rFonts w:ascii="Liberation Serif" w:eastAsiaTheme="minorHAnsi" w:hAnsi="Liberation Serif" w:cstheme="minorBidi"/>
          <w:sz w:val="28"/>
          <w:szCs w:val="28"/>
          <w:lang w:eastAsia="en-US"/>
        </w:rPr>
        <w:t>.</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Показатель введенной в действие за один год площади жилых помещений составлял: в 2017 году – 0,08 </w:t>
      </w:r>
      <w:proofErr w:type="spellStart"/>
      <w:r w:rsidRPr="00AC37EE">
        <w:rPr>
          <w:rFonts w:ascii="Liberation Serif" w:eastAsiaTheme="minorHAnsi" w:hAnsi="Liberation Serif" w:cstheme="minorBidi"/>
          <w:sz w:val="28"/>
          <w:szCs w:val="28"/>
          <w:lang w:eastAsia="en-US"/>
        </w:rPr>
        <w:t>кв.м</w:t>
      </w:r>
      <w:proofErr w:type="spellEnd"/>
      <w:r w:rsidRPr="00AC37EE">
        <w:rPr>
          <w:rFonts w:ascii="Liberation Serif" w:eastAsiaTheme="minorHAnsi" w:hAnsi="Liberation Serif" w:cstheme="minorBidi"/>
          <w:sz w:val="28"/>
          <w:szCs w:val="28"/>
          <w:lang w:eastAsia="en-US"/>
        </w:rPr>
        <w:t xml:space="preserve">, в 2018 году – 0,14 </w:t>
      </w:r>
      <w:proofErr w:type="spellStart"/>
      <w:r w:rsidRPr="00AC37EE">
        <w:rPr>
          <w:rFonts w:ascii="Liberation Serif" w:eastAsiaTheme="minorHAnsi" w:hAnsi="Liberation Serif" w:cstheme="minorBidi"/>
          <w:sz w:val="28"/>
          <w:szCs w:val="28"/>
          <w:lang w:eastAsia="en-US"/>
        </w:rPr>
        <w:t>кв.м</w:t>
      </w:r>
      <w:proofErr w:type="spellEnd"/>
      <w:r w:rsidRPr="00AC37EE">
        <w:rPr>
          <w:rFonts w:ascii="Liberation Serif" w:eastAsiaTheme="minorHAnsi" w:hAnsi="Liberation Serif" w:cstheme="minorBidi"/>
          <w:sz w:val="28"/>
          <w:szCs w:val="28"/>
          <w:lang w:eastAsia="en-US"/>
        </w:rPr>
        <w:t xml:space="preserve">, в 2019 году – 0,19 </w:t>
      </w:r>
      <w:proofErr w:type="spellStart"/>
      <w:r w:rsidRPr="00AC37EE">
        <w:rPr>
          <w:rFonts w:ascii="Liberation Serif" w:eastAsiaTheme="minorHAnsi" w:hAnsi="Liberation Serif" w:cstheme="minorBidi"/>
          <w:sz w:val="28"/>
          <w:szCs w:val="28"/>
          <w:lang w:eastAsia="en-US"/>
        </w:rPr>
        <w:t>кв.м</w:t>
      </w:r>
      <w:proofErr w:type="spellEnd"/>
      <w:r w:rsidRPr="00AC37EE">
        <w:rPr>
          <w:rFonts w:ascii="Liberation Serif" w:eastAsiaTheme="minorHAnsi" w:hAnsi="Liberation Serif" w:cstheme="minorBidi"/>
          <w:sz w:val="28"/>
          <w:szCs w:val="28"/>
          <w:lang w:eastAsia="en-US"/>
        </w:rPr>
        <w:t xml:space="preserve">. В 2020 году значение данного показателя снизилось на 0,01 </w:t>
      </w:r>
      <w:proofErr w:type="spellStart"/>
      <w:r w:rsidRPr="00AC37EE">
        <w:rPr>
          <w:rFonts w:ascii="Liberation Serif" w:eastAsiaTheme="minorHAnsi" w:hAnsi="Liberation Serif" w:cstheme="minorBidi"/>
          <w:sz w:val="28"/>
          <w:szCs w:val="28"/>
          <w:lang w:eastAsia="en-US"/>
        </w:rPr>
        <w:t>кв.м</w:t>
      </w:r>
      <w:proofErr w:type="spellEnd"/>
      <w:r w:rsidRPr="00AC37EE">
        <w:rPr>
          <w:rFonts w:ascii="Liberation Serif" w:eastAsiaTheme="minorHAnsi" w:hAnsi="Liberation Serif" w:cstheme="minorBidi"/>
          <w:sz w:val="28"/>
          <w:szCs w:val="28"/>
          <w:lang w:eastAsia="en-US"/>
        </w:rPr>
        <w:t xml:space="preserve"> по сравнению с показателем 2019 года и составило 0,18 </w:t>
      </w:r>
      <w:proofErr w:type="spellStart"/>
      <w:r w:rsidRPr="00AC37EE">
        <w:rPr>
          <w:rFonts w:ascii="Liberation Serif" w:eastAsiaTheme="minorHAnsi" w:hAnsi="Liberation Serif" w:cstheme="minorBidi"/>
          <w:sz w:val="28"/>
          <w:szCs w:val="28"/>
          <w:lang w:eastAsia="en-US"/>
        </w:rPr>
        <w:t>кв.м</w:t>
      </w:r>
      <w:proofErr w:type="spellEnd"/>
      <w:r w:rsidRPr="00AC37EE">
        <w:rPr>
          <w:rFonts w:ascii="Liberation Serif" w:eastAsiaTheme="minorHAnsi" w:hAnsi="Liberation Serif" w:cstheme="minorBidi"/>
          <w:sz w:val="28"/>
          <w:szCs w:val="28"/>
          <w:lang w:eastAsia="en-US"/>
        </w:rPr>
        <w:t xml:space="preserve">.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В плановом периоде 2021 - 2023 годов планируется сохранить достижение значения показателя в пределах 0,13 - 0,17 </w:t>
      </w:r>
      <w:proofErr w:type="spellStart"/>
      <w:r w:rsidRPr="00AC37EE">
        <w:rPr>
          <w:rFonts w:ascii="Liberation Serif" w:eastAsiaTheme="minorHAnsi" w:hAnsi="Liberation Serif" w:cstheme="minorBidi"/>
          <w:sz w:val="28"/>
          <w:szCs w:val="28"/>
          <w:lang w:eastAsia="en-US"/>
        </w:rPr>
        <w:t>кв.м</w:t>
      </w:r>
      <w:proofErr w:type="spellEnd"/>
      <w:r w:rsidRPr="00AC37EE">
        <w:rPr>
          <w:rFonts w:ascii="Liberation Serif" w:eastAsiaTheme="minorHAnsi" w:hAnsi="Liberation Serif" w:cstheme="minorBidi"/>
          <w:sz w:val="28"/>
          <w:szCs w:val="28"/>
          <w:lang w:eastAsia="en-US"/>
        </w:rPr>
        <w:t>.</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25. Площадь земельных участков, предоставленных для строительства в расчете на 10 тыс. человек населения.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Площадь земельных участков, предоставленных для строительства в расчете на 10 тыс. человек населения в 2017 году – 2,96 га, в 2018 году – 2,82 га, в 2019 году – 3,75 га, в 2020 году – 2,49, что на 1,26 га меньше, чем в 2019 году. Уменьшение произошло в связи со снижением уровня спроса на земельные участки для строительства.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Значение данного показателя в плановом периоде 2021-2023 годов планируется достичь в размере 3,0 га.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составила в 2017 году – 2,1 га, в 2018 году - 0,96 га, в 2019 году – 1,25 га, в 2020 году - 0,78 га, что меньше чем в 2019 году на 0,47 га. Снижение произошло из-за предоставления социальной выплаты 30 гражданам, имеющим трех и более детей взамен земельных участков для индивидуального жилищного строительства.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плановом периоде 2021-2023 годов значение данного показателя планируется достичь в размере 1,0 га.</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Показатель имеет нулевое значение. На период 2021-2023 годов изменение значения показателя не планируется.</w:t>
      </w:r>
    </w:p>
    <w:p w:rsidR="0093058B" w:rsidRDefault="0093058B" w:rsidP="0093058B">
      <w:pPr>
        <w:ind w:firstLine="709"/>
        <w:jc w:val="both"/>
        <w:rPr>
          <w:rFonts w:ascii="Liberation Serif" w:eastAsiaTheme="minorHAnsi" w:hAnsi="Liberation Serif" w:cstheme="minorBidi"/>
          <w:b/>
          <w:sz w:val="28"/>
          <w:szCs w:val="28"/>
          <w:lang w:eastAsia="en-US"/>
        </w:rPr>
      </w:pPr>
    </w:p>
    <w:p w:rsidR="0093058B" w:rsidRPr="00AC37EE" w:rsidRDefault="0093058B" w:rsidP="0093058B">
      <w:pPr>
        <w:ind w:firstLine="709"/>
        <w:jc w:val="both"/>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t>Глава 7. Жилищно-коммунальное хозяйство</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w:t>
      </w:r>
    </w:p>
    <w:p w:rsidR="0093058B" w:rsidRPr="00AC37EE" w:rsidRDefault="0093058B" w:rsidP="0093058B">
      <w:pPr>
        <w:ind w:firstLine="709"/>
        <w:jc w:val="both"/>
        <w:rPr>
          <w:rFonts w:asciiTheme="minorHAnsi" w:eastAsiaTheme="minorHAnsi" w:hAnsiTheme="minorHAnsi" w:cstheme="minorBidi"/>
          <w:sz w:val="22"/>
          <w:szCs w:val="22"/>
          <w:lang w:eastAsia="en-US"/>
        </w:rPr>
      </w:pPr>
      <w:r w:rsidRPr="00AC37EE">
        <w:rPr>
          <w:rFonts w:ascii="Liberation Serif" w:eastAsiaTheme="minorHAnsi" w:hAnsi="Liberation Serif" w:cstheme="minorBidi"/>
          <w:sz w:val="28"/>
          <w:szCs w:val="28"/>
          <w:lang w:eastAsia="en-US"/>
        </w:rPr>
        <w:t>Значение показателя в 2017 - 2018 годах составляло – 100,0%. В 2019 -2020 годах значение показателя составило 90,0%, так как на территории Артемовского городского округа без способа управления находился 21 многоквартирный дом.</w:t>
      </w:r>
      <w:r w:rsidRPr="00AC37EE">
        <w:rPr>
          <w:rFonts w:asciiTheme="minorHAnsi" w:eastAsiaTheme="minorHAnsi" w:hAnsiTheme="minorHAnsi" w:cstheme="minorBidi"/>
          <w:sz w:val="22"/>
          <w:szCs w:val="22"/>
          <w:lang w:eastAsia="en-US"/>
        </w:rPr>
        <w:t xml:space="preserve">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Управлением по городскому хозяйству и жилью Администрации Артемовского городского округа неоднократно проводился открытый конкурс по отбору управляющей организации для управления указанными многоквартирными домами, так как предыдущие конкурсы признавались несостоявшимися ввиду отсутствия заявок.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плановом периоде 2021 - 2023 годов планируется достичь 100,0%.</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28. Доля организаций коммунального комплекса, осуществляющих производство товаров, оказание услуг по водо-, 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показателя составляло: в 2017 году – 89,0%, в 2018 году – 90,0%, в 2019 году – 90,0%, в 2020 году составило 80,0%. Снижение показателя в 2020 году по сравнению с 2019 годом на 10,0% связано с ликвидацией коммерческих организаций и передачей объектов жилищно-коммунального хозяйства из частной в муниципальную собственность.</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На период 2021-2023 годы увеличение значения показателя не планируется.</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29. Доля многоквартирных домов, расположенных на земельных участках, в отношении которых осуществлен государственный кадастровый учет.</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периоде 2017 - 2019 годов 100,0%. Государственный кадастровый учет по земельным участкам, на которых расположены многоквартирные дома, осуществлен в полном объеме. На период 2021-2023 годы изменение значения показателя не планируется.</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составляло: в 2017 году – 3,2%, в 2018 году – 3,03%, в 2019 году – 4,94%.</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за 2020 год, составила 2,2%, что меньше значения данного показателя за 2019 год на 2,74%. Жилые помещения в 2020 году получили 17 семей, а в 2019 – 41 семья. Снижение показателя в 2020 году произошло по причинам:</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 уменьшения объема федерального и регионального </w:t>
      </w:r>
      <w:proofErr w:type="spellStart"/>
      <w:r w:rsidRPr="00AC37EE">
        <w:rPr>
          <w:rFonts w:ascii="Liberation Serif" w:eastAsiaTheme="minorHAnsi" w:hAnsi="Liberation Serif" w:cstheme="minorBidi"/>
          <w:sz w:val="28"/>
          <w:szCs w:val="28"/>
          <w:lang w:eastAsia="en-US"/>
        </w:rPr>
        <w:t>софинансирования</w:t>
      </w:r>
      <w:proofErr w:type="spellEnd"/>
      <w:r w:rsidRPr="00AC37EE">
        <w:rPr>
          <w:rFonts w:ascii="Liberation Serif" w:eastAsiaTheme="minorHAnsi" w:hAnsi="Liberation Serif" w:cstheme="minorBidi"/>
          <w:sz w:val="28"/>
          <w:szCs w:val="28"/>
          <w:lang w:eastAsia="en-US"/>
        </w:rPr>
        <w:t xml:space="preserve"> мероприятий целевых программ;</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 всего в собственность Артемовского городского округа приобретено 1 жилое помещение (исполнение вступившего в законную силу судебного акта).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Учитывая, что на территории Артемовского городского округа практически не ведется строительство муниципальных жилых помещений социального использования, до 2023 года увеличивать долю населения, получившего жилые помещения и улучшившего жилищные условия, планируется за счет участия Артемовского городского округа в реализации федеральных и областных программ, направленных на улучшение жилищных условий граждан, а также за счет приобретения жилых помещений в собственность Артемовского городского округа.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Плановое значение данного показателя в периоде 2021 - 2023 годов составляет 2,5%.</w:t>
      </w:r>
    </w:p>
    <w:p w:rsidR="0093058B" w:rsidRPr="00AC37EE" w:rsidRDefault="0093058B" w:rsidP="0093058B">
      <w:pPr>
        <w:ind w:firstLine="709"/>
        <w:jc w:val="both"/>
        <w:rPr>
          <w:rFonts w:ascii="Liberation Serif" w:eastAsiaTheme="minorHAnsi" w:hAnsi="Liberation Serif" w:cstheme="minorBidi"/>
          <w:sz w:val="28"/>
          <w:szCs w:val="28"/>
          <w:lang w:eastAsia="en-US"/>
        </w:rPr>
      </w:pPr>
    </w:p>
    <w:p w:rsidR="0093058B" w:rsidRPr="00AC37EE" w:rsidRDefault="0093058B" w:rsidP="0093058B">
      <w:pPr>
        <w:ind w:firstLine="709"/>
        <w:jc w:val="both"/>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t>Глава 8. Организация муниципального управления</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Доля налоговых и неналоговых доходов (за исключением поступлений налоговых доходов по дополнительным нормативам отчислений по НДФЛ) в общем объеме собственных доходов (без учета субвенций) в 2020 году составила 15,8 %. По сравнению с 2017 и 2019 годами доля налоговых и неналоговых доходов уменьшилась на 1,7% и 2,8 % соответственно. По сравнению с 2018 годом доля налоговых и неналоговых доходов не изменилась.</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На уменьшение значения данного показателя в отчетном периоде по сравнению с 2017 и 2019 годами повлияло, в основном, уменьшение размера дополнительного норматива отчислений в бюджет Артемовского городского округа от налога на доходы физических лиц (2020 год – 50%, 2019 год – 73%, 2017 год – 72 %) и как следствие плановое увеличение размера дотаций на выравнивание бюджетной обеспеченности (не имеющих целевого назначения) в общем объеме собственных доходов, а также в связи с установлением в 2020 году на федеральном уровне дополнительных мер поддержки субъектов малого и среднего предпринимательства, наиболее пострадавших в условиях ухудшения ситуации в связи с распространением новой </w:t>
      </w:r>
      <w:proofErr w:type="spellStart"/>
      <w:r w:rsidRPr="00AC37EE">
        <w:rPr>
          <w:rFonts w:ascii="Liberation Serif" w:eastAsiaTheme="minorHAnsi" w:hAnsi="Liberation Serif" w:cstheme="minorBidi"/>
          <w:sz w:val="28"/>
          <w:szCs w:val="28"/>
          <w:lang w:eastAsia="en-US"/>
        </w:rPr>
        <w:t>коронавирусной</w:t>
      </w:r>
      <w:proofErr w:type="spellEnd"/>
      <w:r w:rsidRPr="00AC37EE">
        <w:rPr>
          <w:rFonts w:ascii="Liberation Serif" w:eastAsiaTheme="minorHAnsi" w:hAnsi="Liberation Serif" w:cstheme="minorBidi"/>
          <w:sz w:val="28"/>
          <w:szCs w:val="28"/>
          <w:lang w:eastAsia="en-US"/>
        </w:rPr>
        <w:t xml:space="preserve"> инфекции, в части освобождения от уплаты единого налога на вмененный доход по расчету за 2 квартал 2020 года (Федеральный закон от 08 июня 2020 года № 172-ФЗ), уменьшением размера налоговой ставки с 6% до 5% по единому сельскохозяйственному налогу для всех категорий налогоплательщиков на период 2019 - 2021 годы (Закон Свердловской области от 06 ноября 2018 года № 114-ОЗ).</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По сравнению с 2020 годом в 2021 году прогнозируется увеличение доли налоговых и неналоговых доходов на 5,6% (с 15,8% в 2020 году до 21,4% - в 2021 году), в 2022 году прогнозируется увеличение на 7,3% (с 15,8% в 2020 году до 23,1 % - в 2022 году), в 2023 году - увеличение на 7,9% (с 15,8% в 2020 году до 23,7 % - в 2023 году).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На увеличение значения показателя в 2021 году и плановом периоде 2022 и 2023 годов окажет влияние, в основном, изменение законодательства в части установления налоговых ставок на автомобильный бензин, дизельное топливо и моторные масла для дизельных и (или) карбюраторных (</w:t>
      </w:r>
      <w:proofErr w:type="spellStart"/>
      <w:r w:rsidRPr="00AC37EE">
        <w:rPr>
          <w:rFonts w:ascii="Liberation Serif" w:eastAsiaTheme="minorHAnsi" w:hAnsi="Liberation Serif" w:cstheme="minorBidi"/>
          <w:sz w:val="28"/>
          <w:szCs w:val="28"/>
          <w:lang w:eastAsia="en-US"/>
        </w:rPr>
        <w:t>инжекторных</w:t>
      </w:r>
      <w:proofErr w:type="spellEnd"/>
      <w:r w:rsidRPr="00AC37EE">
        <w:rPr>
          <w:rFonts w:ascii="Liberation Serif" w:eastAsiaTheme="minorHAnsi" w:hAnsi="Liberation Serif" w:cstheme="minorBidi"/>
          <w:sz w:val="28"/>
          <w:szCs w:val="28"/>
          <w:lang w:eastAsia="en-US"/>
        </w:rPr>
        <w:t>) двигателей, увеличение норматива зачисления в бюджет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w:t>
      </w:r>
      <w:proofErr w:type="spellStart"/>
      <w:r w:rsidRPr="00AC37EE">
        <w:rPr>
          <w:rFonts w:ascii="Liberation Serif" w:eastAsiaTheme="minorHAnsi" w:hAnsi="Liberation Serif" w:cstheme="minorBidi"/>
          <w:sz w:val="28"/>
          <w:szCs w:val="28"/>
          <w:lang w:eastAsia="en-US"/>
        </w:rPr>
        <w:t>инжекторных</w:t>
      </w:r>
      <w:proofErr w:type="spellEnd"/>
      <w:r w:rsidRPr="00AC37EE">
        <w:rPr>
          <w:rFonts w:ascii="Liberation Serif" w:eastAsiaTheme="minorHAnsi" w:hAnsi="Liberation Serif" w:cstheme="minorBidi"/>
          <w:sz w:val="28"/>
          <w:szCs w:val="28"/>
          <w:lang w:eastAsia="en-US"/>
        </w:rPr>
        <w:t>) двигателей, производимых на территории Российской Федерации (на 2020 год – 66,6 %; на 2021 год – 74,9%; на 2022 год – 83,3%; на 2023 год - 91,6%), увеличение размера дифференцированного норматива отчислений в бюджет Артемовского городского округа от акцизов (2020 год – 0,38356%, 2021 - 2023 года - 0,38496%), установление с 1 января 2021 года дифференцированного норматива зачисления в бюджет Артемовского городского округа от налога, взимаемого в связи с применением упрощенной системы налогообложения, в том числе минимального, в размере 53,4 % (в 2020 году единый норматив отчислений – 30%).</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Прогноз налоговых и неналоговых доходов бюджета Артемовского городского округа на 2021 год и плановый период 2022 и 2023 годов рассчитан в соответствии с действующим бюджетным и налоговым законодательством, Методикой формализованного прогнозирования налоговых и неналоговых доходов консолидированного бюджета Свердловской области, утвержденной постановлением Правительства Свердловской области от 01.10.2020 № 679-ПП «Об утверждении методик, применяемых для расчета межбюджетных трансфертов из областного бюджета местным бюджетам, на 2021 год и плановый период 2022 и 2023 годов», сведениями, представленными главными администраторами доходов бюджета Артемовского городского округа.</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Значение данного показателя в предшествующем периоде составляло: в 2017 году - 0,6%, в 2018 году – 0,00048%. В 2019-2020 годах значение показателя составило – 0,9% в связи с тем, что по решению Арбитражного суда Свердловской области введена процедура конкурсного управления в МУП «Покровское ЖКХ».</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В плановом периоде 2021 - 2023 годов значение данного показателя ожидается в размере 0,9%.</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Объем не завершенного в установленные сроки строительства, осуществляемого за счет средств бюджета Артемовского городского округа, в 2017 году – 0,0 тыс. руб., в 2018 году – 70 706,4 тыс. руб., в 2019 году – 238 619,4 тыс. руб., в 2020 году – 0,0 руб.</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На плановый период 2021-2023 годов планируется достижение значения данного показателя в размере 0 тыс. руб.</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На протяжении предшествующего и отчетных периодов показатель имеет нулевое значение в связи с отсутствием просроченной кредиторской задолженности по оплате труда (включая начисления на оплату труда) в муниципальных учреждениях.</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Данный показатель рассчитан согласно указаниям Росстата по заполнению формы федерального статистического наблюдения № 1-МБ «Сведения об исполнении бюджета муниципального образования (местного бюджета)» (приказ Росстата от 21.07.2020 № 400 «Об утверждении форм федерального статистического наблюдения для организации федерального статистического наблюдения за ценами и финансами</w:t>
      </w:r>
      <w:proofErr w:type="gramStart"/>
      <w:r w:rsidRPr="00AC37EE">
        <w:rPr>
          <w:rFonts w:ascii="Liberation Serif" w:eastAsiaTheme="minorHAnsi" w:hAnsi="Liberation Serif" w:cstheme="minorBidi"/>
          <w:sz w:val="28"/>
          <w:szCs w:val="28"/>
          <w:lang w:eastAsia="en-US"/>
        </w:rPr>
        <w:t>»</w:t>
      </w:r>
      <w:proofErr w:type="gramEnd"/>
      <w:r w:rsidRPr="00AC37EE">
        <w:rPr>
          <w:rFonts w:ascii="Liberation Serif" w:eastAsiaTheme="minorHAnsi" w:hAnsi="Liberation Serif" w:cstheme="minorBidi"/>
          <w:sz w:val="28"/>
          <w:szCs w:val="28"/>
          <w:lang w:eastAsia="en-US"/>
        </w:rPr>
        <w:t>).</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Расходы бюджета Артемовского городского округа на содержание работников органов местного самоуправления в расчете на одного жителя городского округа за 2020 год составили 1 541,4 руб.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По сравнению с 2019 годом данный показатель увеличился на 75,7 руб. или на 5,2%, по сравнению с 2018 годом – показатель увеличился на 184,2 руб. или на 13,6%, по сравнению с 2017 годом – показатель увеличился на 335,4 руб. или 27,8%.</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Основная причина увеличения показателя - индексация заработной платы: с 01.01.2017 на 1,07, с 01.10.2017 на 1,049, с 01.10.2018 на 1,04, с 01.10.2019 на 1,043, 01.10.2020 на 1,038.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Показатели планового периода 2021, 2022 и 2023 годов увеличены по сравнению с 2020 годом на 20,0%, на 23,0% и на 25,0% соответственно.</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Увеличение показателей связано с увеличением фондов оплаты труда с 1 октября 2021 года – на 1,04, с 1 октября 2022 года – на 1,04, с 1 октября 2023 года – на 1,04 в связи с ростом потребительских цен. Кроме того, показатели 2021, 2022 и 2023 годов значительно увеличены по сравнению с 2020 годом по причине планируемого увеличения с 01.01.2021 фондов оплаты труда работников органов местного самоуправления в связи с изменением системы оплаты труда муниципальных служащих Артемовского городского округа (расчет планового фонда оплаты труда муниципальных служащих согласно Методике определения уровня расчетной бюджетной обеспеченности муниципальных районов (городских округов), расположенных на территории Свердловской области на 2021 -2023 годы произведен исходя из 42,5 должностных окладов муниципальных служащих в расчете на год).</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Генеральный план Артемовского городского округа утвержден Решением Думы Артемовского городского округа от 27.12.2012 № 226.</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37. Удовлетворенность населения организацией транспортного обслуживания в муниципальном образовании</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По состоянию на 12.03.2021 на портале «Открытое Правительство Свердловской области» данные за 2020 год не представлены.</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38. Удовлетворенность населения качеством автомобильных дорог в муниципальном образовании</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По состоянию на 12.03.2021 на портале «Открытое Правительство Свердловской области» данные за 2020 год не представлены.</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39.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По состоянию на 12.03.2021 на портале «Открытое Правительство Свердловской области» данные за 2020 год не представлены.</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40. Среднегодовая численность постоянного населения.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Среднегодовая численность постоянного населения Артемовского городского округа в предшествующий и отчетный периоды имеет тенденцию к снижению: в 2017 году - 56,4 тыс. человек, в 2018 году – 55,8 тыс. чел., в 2019 году – 55,5 тыс. чел. в 2020 году – 54,3 тыс. чел. (по предварительной данным численности). Уменьшение численности населения в 2020 году по сравнению с 2019 годом на 0,7 тыс. человек произошло, в том числе, в результате превышения числа, умерших над числом родившихся на 565 человек (в 2020 году родилось 492 человека, умерло 1057 человек).</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На период 2021-2023 годов за счет уменьшения миграционного оттока населения и увеличения рождаемости прогнозируется численность населения в пределах 54,0 тыс. человек.</w:t>
      </w:r>
    </w:p>
    <w:p w:rsidR="0093058B" w:rsidRPr="00AC37EE" w:rsidRDefault="0093058B" w:rsidP="0093058B">
      <w:pPr>
        <w:ind w:firstLine="709"/>
        <w:jc w:val="both"/>
        <w:rPr>
          <w:rFonts w:ascii="Liberation Serif" w:eastAsiaTheme="minorHAnsi" w:hAnsi="Liberation Serif" w:cstheme="minorBidi"/>
          <w:sz w:val="28"/>
          <w:szCs w:val="28"/>
          <w:lang w:eastAsia="en-US"/>
        </w:rPr>
      </w:pPr>
    </w:p>
    <w:p w:rsidR="0093058B" w:rsidRPr="00AC37EE" w:rsidRDefault="0093058B" w:rsidP="0093058B">
      <w:pPr>
        <w:ind w:firstLine="709"/>
        <w:jc w:val="both"/>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t>Глава 9. Энергосбережение и повышение энергетической эффективности</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41. Удельная величина потребления энергетических ресурсов в многоквартирных домах.</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Удельная величина потребления энергетических ресурсов в многоквартирных домах на территории Артемовского городского округа составляла по видам ресурсов:</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 электрическая энергия на 1 проживающего в 2017 году - 955,0 кВт/ч, в 2018 и 2019 годах - 950,0 кВт/ч, в 2020 году – 949,0 кВт/ч.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тепловая энергия на 1 кв. метр общей площади в период 2017 – 2018 годов 0,25 Гкал, в 2019 году – 0,24 Гкал, в 2020 году – 0,24 Гкал;</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 горячая вода на 1 проживающего в 2017-2018 годах – 18,01 куб. м, в 2019 году – 18,00 </w:t>
      </w:r>
      <w:proofErr w:type="spellStart"/>
      <w:r w:rsidRPr="00AC37EE">
        <w:rPr>
          <w:rFonts w:ascii="Liberation Serif" w:eastAsiaTheme="minorHAnsi" w:hAnsi="Liberation Serif" w:cstheme="minorBidi"/>
          <w:sz w:val="28"/>
          <w:szCs w:val="28"/>
          <w:lang w:eastAsia="en-US"/>
        </w:rPr>
        <w:t>куб.м</w:t>
      </w:r>
      <w:proofErr w:type="spellEnd"/>
      <w:r w:rsidRPr="00AC37EE">
        <w:rPr>
          <w:rFonts w:ascii="Liberation Serif" w:eastAsiaTheme="minorHAnsi" w:hAnsi="Liberation Serif" w:cstheme="minorBidi"/>
          <w:sz w:val="28"/>
          <w:szCs w:val="28"/>
          <w:lang w:eastAsia="en-US"/>
        </w:rPr>
        <w:t xml:space="preserve">, в 2020 году – 18,00 </w:t>
      </w:r>
      <w:proofErr w:type="spellStart"/>
      <w:r w:rsidRPr="00AC37EE">
        <w:rPr>
          <w:rFonts w:ascii="Liberation Serif" w:eastAsiaTheme="minorHAnsi" w:hAnsi="Liberation Serif" w:cstheme="minorBidi"/>
          <w:sz w:val="28"/>
          <w:szCs w:val="28"/>
          <w:lang w:eastAsia="en-US"/>
        </w:rPr>
        <w:t>куб.м</w:t>
      </w:r>
      <w:proofErr w:type="spellEnd"/>
      <w:r w:rsidRPr="00AC37EE">
        <w:rPr>
          <w:rFonts w:ascii="Liberation Serif" w:eastAsiaTheme="minorHAnsi" w:hAnsi="Liberation Serif" w:cstheme="minorBidi"/>
          <w:sz w:val="28"/>
          <w:szCs w:val="28"/>
          <w:lang w:eastAsia="en-US"/>
        </w:rPr>
        <w:t>;</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 холодная вода на 1 проживающего в 2017 – 2018 годах – 23,82 </w:t>
      </w:r>
      <w:proofErr w:type="spellStart"/>
      <w:r w:rsidRPr="00AC37EE">
        <w:rPr>
          <w:rFonts w:ascii="Liberation Serif" w:eastAsiaTheme="minorHAnsi" w:hAnsi="Liberation Serif" w:cstheme="minorBidi"/>
          <w:sz w:val="28"/>
          <w:szCs w:val="28"/>
          <w:lang w:eastAsia="en-US"/>
        </w:rPr>
        <w:t>куб.м</w:t>
      </w:r>
      <w:proofErr w:type="spellEnd"/>
      <w:r w:rsidRPr="00AC37EE">
        <w:rPr>
          <w:rFonts w:ascii="Liberation Serif" w:eastAsiaTheme="minorHAnsi" w:hAnsi="Liberation Serif" w:cstheme="minorBidi"/>
          <w:sz w:val="28"/>
          <w:szCs w:val="28"/>
          <w:lang w:eastAsia="en-US"/>
        </w:rPr>
        <w:t xml:space="preserve"> в 2019 году – 23,81 </w:t>
      </w:r>
      <w:proofErr w:type="spellStart"/>
      <w:r w:rsidRPr="00AC37EE">
        <w:rPr>
          <w:rFonts w:ascii="Liberation Serif" w:eastAsiaTheme="minorHAnsi" w:hAnsi="Liberation Serif" w:cstheme="minorBidi"/>
          <w:sz w:val="28"/>
          <w:szCs w:val="28"/>
          <w:lang w:eastAsia="en-US"/>
        </w:rPr>
        <w:t>куб.м</w:t>
      </w:r>
      <w:proofErr w:type="spellEnd"/>
      <w:r w:rsidRPr="00AC37EE">
        <w:rPr>
          <w:rFonts w:ascii="Liberation Serif" w:eastAsiaTheme="minorHAnsi" w:hAnsi="Liberation Serif" w:cstheme="minorBidi"/>
          <w:sz w:val="28"/>
          <w:szCs w:val="28"/>
          <w:lang w:eastAsia="en-US"/>
        </w:rPr>
        <w:t xml:space="preserve">, в 2020 году – 23,81 </w:t>
      </w:r>
      <w:proofErr w:type="spellStart"/>
      <w:r w:rsidRPr="00AC37EE">
        <w:rPr>
          <w:rFonts w:ascii="Liberation Serif" w:eastAsiaTheme="minorHAnsi" w:hAnsi="Liberation Serif" w:cstheme="minorBidi"/>
          <w:sz w:val="28"/>
          <w:szCs w:val="28"/>
          <w:lang w:eastAsia="en-US"/>
        </w:rPr>
        <w:t>куб.м</w:t>
      </w:r>
      <w:proofErr w:type="spellEnd"/>
      <w:r w:rsidRPr="00AC37EE">
        <w:rPr>
          <w:rFonts w:ascii="Liberation Serif" w:eastAsiaTheme="minorHAnsi" w:hAnsi="Liberation Serif" w:cstheme="minorBidi"/>
          <w:sz w:val="28"/>
          <w:szCs w:val="28"/>
          <w:lang w:eastAsia="en-US"/>
        </w:rPr>
        <w:t xml:space="preserve">; </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природный газ на 1 проживающего в период 2017 – 2019 годов - 10,23 куб. м.</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Потребление энергетических ресурсов в многоквартирных домах</w:t>
      </w:r>
      <w:r w:rsidRPr="00AC37EE">
        <w:rPr>
          <w:rFonts w:asciiTheme="minorHAnsi" w:eastAsiaTheme="minorHAnsi" w:hAnsiTheme="minorHAnsi" w:cstheme="minorBidi"/>
          <w:sz w:val="22"/>
          <w:szCs w:val="22"/>
          <w:lang w:eastAsia="en-US"/>
        </w:rPr>
        <w:t xml:space="preserve"> </w:t>
      </w:r>
      <w:r w:rsidRPr="00AC37EE">
        <w:rPr>
          <w:rFonts w:ascii="Liberation Serif" w:eastAsiaTheme="minorHAnsi" w:hAnsi="Liberation Serif" w:cstheme="minorBidi"/>
          <w:sz w:val="28"/>
          <w:szCs w:val="28"/>
          <w:lang w:eastAsia="en-US"/>
        </w:rPr>
        <w:t>в отчетном периоде 2020 года и плановом периоде 2021 – 2023 годов обусловлено:</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использованием приборов с энергосберегающими характеристиками;</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переходом на индивидуальные источники горячего водоснабжения;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вводом в эксплуатацию многоквартирного дома</w:t>
      </w:r>
      <w:r w:rsidRPr="00AC37EE">
        <w:rPr>
          <w:rFonts w:asciiTheme="minorHAnsi" w:eastAsiaTheme="minorHAnsi" w:hAnsiTheme="minorHAnsi" w:cstheme="minorBidi"/>
          <w:sz w:val="22"/>
          <w:szCs w:val="22"/>
          <w:lang w:eastAsia="en-US"/>
        </w:rPr>
        <w:t xml:space="preserve"> (</w:t>
      </w:r>
      <w:r w:rsidRPr="00AC37EE">
        <w:rPr>
          <w:rFonts w:ascii="Liberation Serif" w:eastAsiaTheme="minorHAnsi" w:hAnsi="Liberation Serif" w:cstheme="minorBidi"/>
          <w:sz w:val="28"/>
          <w:szCs w:val="28"/>
          <w:lang w:eastAsia="en-US"/>
        </w:rPr>
        <w:t xml:space="preserve">с пристроенной </w:t>
      </w:r>
      <w:proofErr w:type="spellStart"/>
      <w:r w:rsidRPr="00AC37EE">
        <w:rPr>
          <w:rFonts w:ascii="Liberation Serif" w:eastAsiaTheme="minorHAnsi" w:hAnsi="Liberation Serif" w:cstheme="minorBidi"/>
          <w:sz w:val="28"/>
          <w:szCs w:val="28"/>
          <w:lang w:eastAsia="en-US"/>
        </w:rPr>
        <w:t>теплогенераторной</w:t>
      </w:r>
      <w:proofErr w:type="spellEnd"/>
      <w:r w:rsidRPr="00AC37EE">
        <w:rPr>
          <w:rFonts w:ascii="Liberation Serif" w:eastAsiaTheme="minorHAnsi" w:hAnsi="Liberation Serif" w:cstheme="minorBidi"/>
          <w:sz w:val="28"/>
          <w:szCs w:val="28"/>
          <w:lang w:eastAsia="en-US"/>
        </w:rPr>
        <w:t>).</w:t>
      </w:r>
    </w:p>
    <w:p w:rsidR="0093058B" w:rsidRPr="00AC37EE" w:rsidRDefault="0093058B" w:rsidP="0093058B">
      <w:pPr>
        <w:ind w:firstLine="709"/>
        <w:jc w:val="both"/>
        <w:rPr>
          <w:rFonts w:ascii="Liberation Serif" w:eastAsiaTheme="minorHAnsi" w:hAnsi="Liberation Serif" w:cstheme="minorBidi"/>
          <w:i/>
          <w:sz w:val="28"/>
          <w:szCs w:val="28"/>
          <w:lang w:eastAsia="en-US"/>
        </w:rPr>
      </w:pPr>
      <w:r w:rsidRPr="00AC37EE">
        <w:rPr>
          <w:rFonts w:ascii="Liberation Serif" w:eastAsiaTheme="minorHAnsi" w:hAnsi="Liberation Serif" w:cstheme="minorBidi"/>
          <w:i/>
          <w:sz w:val="28"/>
          <w:szCs w:val="28"/>
          <w:lang w:eastAsia="en-US"/>
        </w:rPr>
        <w:t>42. Удельная величина потребления энергетических ресурсов муниципальными бюджетными учреждениями</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Удельная величина потребления энергетических ресурсов муниципальными бюджетными учреждениями по видам ресурсов составила: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электрическая энергия на 1 проживающего – в период с 2017 – 2018 годов 55,39 кВт/ч, в 2019 году – 55,38 кВт/ч;</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тепловая энергия на 1 кв. м общей площади - в период с 2017 – 2018 годов – 0,31 Гкал, в 2019 году – 0,30 Гкал;</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горячая вода на 1 проживающего - в период с 2017 – 2019 годов – 1,16 куб. м;</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холодная вода на 1 проживающего - в период с 2017 – 2019 годов - 1,04 куб. м;</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природный газ на 1 проживающего - в период с 2017 – 2019 годов - 0,00 куб. м.</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Потребление энергетических ресурсов муниципальными бюджетными учреждениями в отчетном периоде 2020 года и плановом периоде 2021 – 2023 годов объясняется использованием приборов с энергосберегающими характеристиками.</w:t>
      </w:r>
    </w:p>
    <w:p w:rsidR="0093058B" w:rsidRPr="00AC37EE" w:rsidRDefault="0093058B" w:rsidP="0093058B">
      <w:pPr>
        <w:ind w:firstLine="709"/>
        <w:jc w:val="both"/>
        <w:rPr>
          <w:rFonts w:ascii="Liberation Serif" w:eastAsiaTheme="minorHAnsi" w:hAnsi="Liberation Serif" w:cstheme="minorBidi"/>
          <w:b/>
          <w:sz w:val="28"/>
          <w:szCs w:val="28"/>
          <w:lang w:eastAsia="en-US"/>
        </w:rPr>
      </w:pPr>
    </w:p>
    <w:p w:rsidR="0093058B" w:rsidRPr="00AC37EE" w:rsidRDefault="0093058B" w:rsidP="0093058B">
      <w:pPr>
        <w:ind w:firstLine="709"/>
        <w:jc w:val="both"/>
        <w:rPr>
          <w:rFonts w:ascii="Liberation Serif" w:eastAsiaTheme="minorHAnsi" w:hAnsi="Liberation Serif" w:cstheme="minorBidi"/>
          <w:b/>
          <w:sz w:val="28"/>
          <w:szCs w:val="28"/>
          <w:lang w:eastAsia="en-US"/>
        </w:rPr>
      </w:pPr>
      <w:r w:rsidRPr="00AC37EE">
        <w:rPr>
          <w:rFonts w:ascii="Liberation Serif" w:eastAsiaTheme="minorHAnsi" w:hAnsi="Liberation Serif" w:cstheme="minorBidi"/>
          <w:b/>
          <w:sz w:val="28"/>
          <w:szCs w:val="28"/>
          <w:lang w:eastAsia="en-US"/>
        </w:rPr>
        <w:t>Заключение</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Исходя из вышеизложенного в результате работы субъектов экономики, органов государственного управления, органов местного самоуправления Артемовского городского округа в 2020 году в целом обеспечено улучшение значений основных показателей социально экономического развития Артемовского городского округа и показателей эффективности деятельности органов местного самоуправления.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Планируемые показатели эффективности деятельности органов местного самоуправления на трехлетний период, прежде всего, ориентированы на повышение качества жизни населения Артемовского городского округа.</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Основными направлениями деятельности органов местного самоуправления Артемовского городского округа на ближайшую перспективу являются: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совершенствование работы органов местного самоуправления, повышение эффективности хозяйственного комплекса за счет привлечения инвестиций для модернизации производства и создания новых предприятий;</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поддержание уровня устойчивого развития социальной инфраструктуры: образования, культуры, физической культуры и спорта, здравоохранения;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xml:space="preserve">- модернизация, реконструкция в жилищно-коммунальной сфере, повышение </w:t>
      </w:r>
      <w:proofErr w:type="spellStart"/>
      <w:r w:rsidRPr="00AC37EE">
        <w:rPr>
          <w:rFonts w:ascii="Liberation Serif" w:eastAsiaTheme="minorHAnsi" w:hAnsi="Liberation Serif" w:cstheme="minorBidi"/>
          <w:sz w:val="28"/>
          <w:szCs w:val="28"/>
          <w:lang w:eastAsia="en-US"/>
        </w:rPr>
        <w:t>энергоэффективности</w:t>
      </w:r>
      <w:proofErr w:type="spellEnd"/>
      <w:r w:rsidRPr="00AC37EE">
        <w:rPr>
          <w:rFonts w:ascii="Liberation Serif" w:eastAsiaTheme="minorHAnsi" w:hAnsi="Liberation Serif" w:cstheme="minorBidi"/>
          <w:sz w:val="28"/>
          <w:szCs w:val="28"/>
          <w:lang w:eastAsia="en-US"/>
        </w:rPr>
        <w:t xml:space="preserve"> и энергосбережения;</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внедрение энергосберегающих технологий в социальной сфере;</w:t>
      </w:r>
    </w:p>
    <w:p w:rsidR="0093058B" w:rsidRPr="00AC37EE"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оптимизация расходов муниципального бюджета и повышение эффективности использования бюджетных средств;</w:t>
      </w:r>
    </w:p>
    <w:p w:rsidR="0093058B" w:rsidRDefault="0093058B" w:rsidP="0093058B">
      <w:pPr>
        <w:ind w:firstLine="709"/>
        <w:jc w:val="both"/>
        <w:rPr>
          <w:rFonts w:ascii="Liberation Serif" w:eastAsiaTheme="minorHAnsi" w:hAnsi="Liberation Serif" w:cstheme="minorBidi"/>
          <w:sz w:val="28"/>
          <w:szCs w:val="28"/>
          <w:lang w:eastAsia="en-US"/>
        </w:rPr>
      </w:pPr>
      <w:r w:rsidRPr="00AC37EE">
        <w:rPr>
          <w:rFonts w:ascii="Liberation Serif" w:eastAsiaTheme="minorHAnsi" w:hAnsi="Liberation Serif" w:cstheme="minorBidi"/>
          <w:sz w:val="28"/>
          <w:szCs w:val="28"/>
          <w:lang w:eastAsia="en-US"/>
        </w:rPr>
        <w:t>- реализация национальных проектов.</w:t>
      </w:r>
    </w:p>
    <w:p w:rsidR="0093058B" w:rsidRDefault="0093058B" w:rsidP="0093058B">
      <w:pPr>
        <w:ind w:firstLine="709"/>
        <w:jc w:val="both"/>
        <w:rPr>
          <w:rFonts w:ascii="Liberation Serif" w:eastAsiaTheme="minorHAnsi" w:hAnsi="Liberation Serif" w:cstheme="minorBidi"/>
          <w:sz w:val="28"/>
          <w:szCs w:val="28"/>
          <w:lang w:eastAsia="en-US"/>
        </w:rPr>
      </w:pPr>
    </w:p>
    <w:p w:rsidR="00CC72CE" w:rsidRPr="0093058B" w:rsidRDefault="00CC72CE" w:rsidP="0093058B">
      <w:pPr>
        <w:pStyle w:val="a3"/>
        <w:rPr>
          <w:rFonts w:ascii="Liberation Serif" w:hAnsi="Liberation Serif" w:cs="Liberation Serif"/>
          <w:lang w:val="en-US"/>
        </w:rPr>
      </w:pPr>
    </w:p>
    <w:sectPr w:rsidR="00CC72CE" w:rsidRPr="0093058B" w:rsidSect="0093058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11" w:rsidRDefault="00976711" w:rsidP="0093058B">
      <w:r>
        <w:separator/>
      </w:r>
    </w:p>
  </w:endnote>
  <w:endnote w:type="continuationSeparator" w:id="0">
    <w:p w:rsidR="00976711" w:rsidRDefault="00976711" w:rsidP="0093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8B" w:rsidRDefault="009305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8B" w:rsidRDefault="0093058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8B" w:rsidRDefault="009305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11" w:rsidRDefault="00976711" w:rsidP="0093058B">
      <w:r>
        <w:separator/>
      </w:r>
    </w:p>
  </w:footnote>
  <w:footnote w:type="continuationSeparator" w:id="0">
    <w:p w:rsidR="00976711" w:rsidRDefault="00976711" w:rsidP="00930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8B" w:rsidRDefault="009305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391977"/>
      <w:docPartObj>
        <w:docPartGallery w:val="Page Numbers (Top of Page)"/>
        <w:docPartUnique/>
      </w:docPartObj>
    </w:sdtPr>
    <w:sdtContent>
      <w:bookmarkStart w:id="0" w:name="_GoBack" w:displacedByCustomXml="prev"/>
      <w:bookmarkEnd w:id="0" w:displacedByCustomXml="prev"/>
      <w:p w:rsidR="0093058B" w:rsidRDefault="0093058B">
        <w:pPr>
          <w:pStyle w:val="a4"/>
          <w:jc w:val="center"/>
        </w:pPr>
        <w:r>
          <w:fldChar w:fldCharType="begin"/>
        </w:r>
        <w:r>
          <w:instrText>PAGE   \* MERGEFORMAT</w:instrText>
        </w:r>
        <w:r>
          <w:fldChar w:fldCharType="separate"/>
        </w:r>
        <w:r>
          <w:rPr>
            <w:noProof/>
          </w:rPr>
          <w:t>18</w:t>
        </w:r>
        <w:r>
          <w:fldChar w:fldCharType="end"/>
        </w:r>
      </w:p>
    </w:sdtContent>
  </w:sdt>
  <w:p w:rsidR="0093058B" w:rsidRDefault="009305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8B" w:rsidRDefault="0093058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98"/>
    <w:rsid w:val="00111390"/>
    <w:rsid w:val="0063379B"/>
    <w:rsid w:val="00782198"/>
    <w:rsid w:val="0093058B"/>
    <w:rsid w:val="00976711"/>
    <w:rsid w:val="00CC72CE"/>
    <w:rsid w:val="00EA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04FD2-5DC2-47E1-9D9B-30FD1FFD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8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058B"/>
    <w:pPr>
      <w:spacing w:after="0" w:line="240" w:lineRule="auto"/>
    </w:pPr>
  </w:style>
  <w:style w:type="paragraph" w:styleId="a4">
    <w:name w:val="header"/>
    <w:basedOn w:val="a"/>
    <w:link w:val="a5"/>
    <w:uiPriority w:val="99"/>
    <w:unhideWhenUsed/>
    <w:rsid w:val="0093058B"/>
    <w:pPr>
      <w:tabs>
        <w:tab w:val="center" w:pos="4677"/>
        <w:tab w:val="right" w:pos="9355"/>
      </w:tabs>
    </w:pPr>
  </w:style>
  <w:style w:type="character" w:customStyle="1" w:styleId="a5">
    <w:name w:val="Верхний колонтитул Знак"/>
    <w:basedOn w:val="a0"/>
    <w:link w:val="a4"/>
    <w:uiPriority w:val="99"/>
    <w:rsid w:val="0093058B"/>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93058B"/>
    <w:pPr>
      <w:tabs>
        <w:tab w:val="center" w:pos="4677"/>
        <w:tab w:val="right" w:pos="9355"/>
      </w:tabs>
    </w:pPr>
  </w:style>
  <w:style w:type="character" w:customStyle="1" w:styleId="a7">
    <w:name w:val="Нижний колонтитул Знак"/>
    <w:basedOn w:val="a0"/>
    <w:link w:val="a6"/>
    <w:uiPriority w:val="99"/>
    <w:rsid w:val="0093058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6496</Words>
  <Characters>37031</Characters>
  <Application>Microsoft Office Word</Application>
  <DocSecurity>0</DocSecurity>
  <Lines>308</Lines>
  <Paragraphs>86</Paragraphs>
  <ScaleCrop>false</ScaleCrop>
  <Company/>
  <LinksUpToDate>false</LinksUpToDate>
  <CharactersWithSpaces>43441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Гладышева</dc:creator>
  <cp:keywords/>
  <dc:description/>
  <cp:lastModifiedBy>Татьяна Александровна Гладышева</cp:lastModifiedBy>
  <cp:revision>2</cp:revision>
  <dcterms:created xsi:type="dcterms:W3CDTF">2021-04-02T10:36:00Z</dcterms:created>
  <dcterms:modified xsi:type="dcterms:W3CDTF">2021-04-02T10:36:00Z</dcterms:modified>
</cp:coreProperties>
</file>