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71" w:rsidRPr="00977208" w:rsidRDefault="00560A71" w:rsidP="00560A71">
      <w:pPr>
        <w:ind w:firstLine="695"/>
        <w:jc w:val="both"/>
        <w:rPr>
          <w:bCs w:val="0"/>
        </w:rPr>
      </w:pPr>
      <w:r>
        <w:rPr>
          <w:bCs w:val="0"/>
        </w:rPr>
        <w:t xml:space="preserve"> -</w:t>
      </w:r>
      <w:r w:rsidRPr="00977208">
        <w:rPr>
          <w:bCs w:val="0"/>
        </w:rPr>
        <w:t xml:space="preserve">заявление о присвоении (изменении, аннулировании) адреса объекту недвижимости.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0" w:name="Par93"/>
      <w:bookmarkEnd w:id="0"/>
      <w:r w:rsidRPr="00977208">
        <w:rPr>
          <w:bCs w:val="0"/>
        </w:rPr>
        <w:t xml:space="preserve">В случае присвоения адреса вновь возведенному объекту недвижимости заявитель представляет: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" w:name="Par94"/>
      <w:bookmarkEnd w:id="1"/>
      <w:r w:rsidRPr="00977208">
        <w:rPr>
          <w:bCs w:val="0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2" w:name="Par95"/>
      <w:bookmarkEnd w:id="2"/>
      <w:r w:rsidRPr="00977208">
        <w:rPr>
          <w:bCs w:val="0"/>
        </w:rPr>
        <w:t xml:space="preserve"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3" w:name="Par96"/>
      <w:bookmarkEnd w:id="3"/>
      <w:r w:rsidRPr="00977208">
        <w:rPr>
          <w:bCs w:val="0"/>
        </w:rPr>
        <w:t xml:space="preserve">3)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4" w:name="Par97"/>
      <w:bookmarkEnd w:id="4"/>
      <w:r w:rsidRPr="00977208">
        <w:rPr>
          <w:bCs w:val="0"/>
        </w:rPr>
        <w:t xml:space="preserve">4) разрешение на ввод объекта недвижимости в эксплуатацию (или разрешение на строительство объекта недвижимости);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r w:rsidRPr="00977208">
        <w:rPr>
          <w:bCs w:val="0"/>
        </w:rPr>
        <w:t xml:space="preserve">5) документ, подтверждающий факт создания объекта недвижимости: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5" w:name="Par99"/>
      <w:bookmarkEnd w:id="5"/>
      <w:r w:rsidRPr="00977208">
        <w:rPr>
          <w:bCs w:val="0"/>
        </w:rPr>
        <w:t xml:space="preserve">5.1) кадастровый паспорт объекта недвижимости или;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6" w:name="Par100"/>
      <w:bookmarkEnd w:id="6"/>
      <w:r w:rsidRPr="00977208">
        <w:rPr>
          <w:bCs w:val="0"/>
        </w:rPr>
        <w:t xml:space="preserve">5.2) технический паспорт объекта недвижимости, или;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7" w:name="Par101"/>
      <w:bookmarkEnd w:id="7"/>
      <w:r w:rsidRPr="00977208">
        <w:rPr>
          <w:bCs w:val="0"/>
        </w:rPr>
        <w:t xml:space="preserve">5.3) технический план объекта недвижимости;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r w:rsidRPr="00977208">
        <w:rPr>
          <w:bCs w:val="0"/>
        </w:rPr>
        <w:t xml:space="preserve">6) правоустанавливающие и (или) </w:t>
      </w:r>
      <w:proofErr w:type="spellStart"/>
      <w:r w:rsidRPr="00977208">
        <w:rPr>
          <w:bCs w:val="0"/>
        </w:rPr>
        <w:t>правоудостоверяющие</w:t>
      </w:r>
      <w:proofErr w:type="spellEnd"/>
      <w:r w:rsidRPr="00977208">
        <w:rPr>
          <w:bCs w:val="0"/>
        </w:rPr>
        <w:t xml:space="preserve"> документы на земельный участок: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8" w:name="Par103"/>
      <w:bookmarkEnd w:id="8"/>
      <w:r w:rsidRPr="00977208">
        <w:rPr>
          <w:bCs w:val="0"/>
        </w:rPr>
        <w:t xml:space="preserve">6.1) выписка из Единого государственного реестра прав на недвижимое имущество и сделок с ним о правах на земельный участок (в случае, если права на него зарегистрированы в Едином государственном реестре прав                    на недвижимое имущество и сделок с ним (далее - ЕГРП)) или;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9" w:name="Par104"/>
      <w:bookmarkEnd w:id="9"/>
      <w:r w:rsidRPr="00977208">
        <w:rPr>
          <w:bCs w:val="0"/>
        </w:rPr>
        <w:t xml:space="preserve">6.2) копии документов, удостоверяющих (устанавливающих) права на земельный участок (в случае, если права на него в соответствии                                   с законодательством Российской Федерации признаются возникшими независимо от регистрации в ЕГРП);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0" w:name="Par105"/>
      <w:bookmarkEnd w:id="10"/>
      <w:r w:rsidRPr="00977208">
        <w:rPr>
          <w:bCs w:val="0"/>
        </w:rPr>
        <w:t xml:space="preserve">7) исполнительная геодезическая съемка земельного участка                              в масштабе 1:500;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1" w:name="Par106"/>
      <w:bookmarkEnd w:id="11"/>
      <w:r w:rsidRPr="00977208">
        <w:rPr>
          <w:bCs w:val="0"/>
        </w:rPr>
        <w:t xml:space="preserve">8) акт обследования, подтверждающий прекращение существования объекта недвижимости (при присвоении адреса объекту недвижимости, построенному на месте снесенного объекта недвижимости).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r w:rsidRPr="00977208">
        <w:rPr>
          <w:bCs w:val="0"/>
        </w:rPr>
        <w:t xml:space="preserve">В случае присвоения (изменения, аннулирования) адреса объекту недвижимости, находящемуся в эксплуатации: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2" w:name="Par110"/>
      <w:bookmarkEnd w:id="12"/>
      <w:r w:rsidRPr="00977208">
        <w:rPr>
          <w:bCs w:val="0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3" w:name="Par111"/>
      <w:bookmarkEnd w:id="13"/>
      <w:r w:rsidRPr="00977208">
        <w:rPr>
          <w:bCs w:val="0"/>
        </w:rPr>
        <w:t xml:space="preserve"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4" w:name="Par112"/>
      <w:bookmarkEnd w:id="14"/>
      <w:r w:rsidRPr="00977208">
        <w:rPr>
          <w:bCs w:val="0"/>
        </w:rPr>
        <w:t xml:space="preserve">3)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r w:rsidRPr="00977208">
        <w:rPr>
          <w:bCs w:val="0"/>
        </w:rPr>
        <w:lastRenderedPageBreak/>
        <w:t xml:space="preserve">4) правоустанавливающие и (или) </w:t>
      </w:r>
      <w:proofErr w:type="spellStart"/>
      <w:r w:rsidRPr="00977208">
        <w:rPr>
          <w:bCs w:val="0"/>
        </w:rPr>
        <w:t>правоудостоверяющие</w:t>
      </w:r>
      <w:proofErr w:type="spellEnd"/>
      <w:r w:rsidRPr="00977208">
        <w:rPr>
          <w:bCs w:val="0"/>
        </w:rPr>
        <w:t xml:space="preserve"> документы на земельный участок и на объект недвижимости, расположенный на земельном участке: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5" w:name="Par114"/>
      <w:bookmarkEnd w:id="15"/>
      <w:r w:rsidRPr="00977208">
        <w:rPr>
          <w:bCs w:val="0"/>
        </w:rPr>
        <w:t xml:space="preserve">4.1.) выписка из Единого государственного реестра прав на недвижимое имущество и сделок с ним о правах на земельный участок и на объект недвижимости, расположенный на земельном участке (в случае, если права на них зарегистрированы в Едином государственном реестре прав на недвижимое имущество и сделок с ним (далее - ЕГРП), или;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6" w:name="Par115"/>
      <w:bookmarkEnd w:id="16"/>
      <w:r w:rsidRPr="00977208">
        <w:rPr>
          <w:bCs w:val="0"/>
        </w:rPr>
        <w:t xml:space="preserve">4.2.) копии документов, удостоверяющих (устанавливающих) права на земельный участок и на объект недвижимости, расположенный на земельном участке (в случае, если права на них в соответствии с законодательством Российской Федерации признаются возникшими независимо от регистрации в ЕГРП);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7" w:name="Par116"/>
      <w:bookmarkEnd w:id="17"/>
      <w:r w:rsidRPr="00977208">
        <w:rPr>
          <w:bCs w:val="0"/>
        </w:rPr>
        <w:t xml:space="preserve">5) документ, подтверждающий существование объекта недвижимости: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8" w:name="Par117"/>
      <w:bookmarkEnd w:id="18"/>
      <w:r w:rsidRPr="00977208">
        <w:rPr>
          <w:bCs w:val="0"/>
        </w:rPr>
        <w:t xml:space="preserve">5.1) кадастровый паспорт объекта недвижимости или;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19" w:name="Par118"/>
      <w:bookmarkEnd w:id="19"/>
      <w:r w:rsidRPr="00977208">
        <w:rPr>
          <w:bCs w:val="0"/>
        </w:rPr>
        <w:t xml:space="preserve">5.2) технический паспорт объекта недвижимости, или;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20" w:name="Par119"/>
      <w:bookmarkEnd w:id="20"/>
      <w:r w:rsidRPr="00977208">
        <w:rPr>
          <w:bCs w:val="0"/>
        </w:rPr>
        <w:t xml:space="preserve">5.3) технический план объекта недвижимости; </w:t>
      </w:r>
      <w:bookmarkStart w:id="21" w:name="Par122"/>
      <w:bookmarkEnd w:id="21"/>
    </w:p>
    <w:p w:rsidR="00560A71" w:rsidRPr="00977208" w:rsidRDefault="00560A71" w:rsidP="00560A71">
      <w:pPr>
        <w:ind w:firstLine="695"/>
        <w:jc w:val="both"/>
        <w:rPr>
          <w:bCs w:val="0"/>
        </w:rPr>
      </w:pPr>
      <w:r w:rsidRPr="00977208">
        <w:rPr>
          <w:bCs w:val="0"/>
        </w:rPr>
        <w:t xml:space="preserve">6) геодезическая съемка земельного участка в масштабе 1:500 с указанием объектов недвижимости в случае наличия нескольких объектов недвижимости с одним номером;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22" w:name="Par123"/>
      <w:bookmarkEnd w:id="22"/>
      <w:r w:rsidRPr="00977208">
        <w:rPr>
          <w:bCs w:val="0"/>
        </w:rPr>
        <w:t>7) доку</w:t>
      </w:r>
      <w:bookmarkStart w:id="23" w:name="_GoBack"/>
      <w:r w:rsidRPr="00977208">
        <w:rPr>
          <w:bCs w:val="0"/>
        </w:rPr>
        <w:t xml:space="preserve">мент, содержащий сведения о прежнем адресе объекта недвижимости (при наличии);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24" w:name="Par124"/>
      <w:bookmarkEnd w:id="24"/>
      <w:r w:rsidRPr="00977208">
        <w:rPr>
          <w:bCs w:val="0"/>
        </w:rPr>
        <w:t xml:space="preserve">8) акт обследования, подтверждающий прекращение существования объекта недвижимости (при аннулировании адреса).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r w:rsidRPr="00977208">
        <w:rPr>
          <w:bCs w:val="0"/>
        </w:rPr>
        <w:t xml:space="preserve">В случае присвоения адреса (номера) жилому помещению (жилым помещениям):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25" w:name="Par127"/>
      <w:bookmarkEnd w:id="25"/>
      <w:r w:rsidRPr="00977208">
        <w:rPr>
          <w:bCs w:val="0"/>
        </w:rPr>
        <w:t xml:space="preserve">1) документ,  удостоверяющий  личность  заявителя (заявителей), являющегося физическим лицом, либо личность представителя физического или юридического лица;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26" w:name="Par128"/>
      <w:bookmarkEnd w:id="26"/>
      <w:r w:rsidRPr="00977208">
        <w:rPr>
          <w:bCs w:val="0"/>
        </w:rPr>
        <w:t xml:space="preserve"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27" w:name="Par129"/>
      <w:bookmarkEnd w:id="27"/>
      <w:r w:rsidRPr="00977208">
        <w:rPr>
          <w:bCs w:val="0"/>
        </w:rPr>
        <w:t xml:space="preserve">3)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r w:rsidRPr="00977208">
        <w:rPr>
          <w:bCs w:val="0"/>
        </w:rPr>
        <w:t xml:space="preserve">4) правоустанавливающие и (или) </w:t>
      </w:r>
      <w:proofErr w:type="spellStart"/>
      <w:r w:rsidRPr="00977208">
        <w:rPr>
          <w:bCs w:val="0"/>
        </w:rPr>
        <w:t>правоудостоверяющие</w:t>
      </w:r>
      <w:proofErr w:type="spellEnd"/>
      <w:r w:rsidRPr="00977208">
        <w:rPr>
          <w:bCs w:val="0"/>
        </w:rPr>
        <w:t xml:space="preserve"> документы на жилое помещение (жилые помещения):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28" w:name="Par131"/>
      <w:bookmarkEnd w:id="28"/>
      <w:r w:rsidRPr="00977208">
        <w:rPr>
          <w:bCs w:val="0"/>
        </w:rPr>
        <w:t xml:space="preserve">4.1.) выписка из Единого государственного реестра прав на недвижимое имущество и сделок с ним о правах на жилое помещение (жилые помещения) (в случае, если права зарегистрированы в Едином государственном реестре прав на недвижимое имущество и сделок с ним (далее - ЕГРП), или;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29" w:name="Par132"/>
      <w:bookmarkEnd w:id="29"/>
      <w:r w:rsidRPr="00977208">
        <w:rPr>
          <w:bCs w:val="0"/>
        </w:rPr>
        <w:t xml:space="preserve">4.2.) копии документов, удостоверяющих (устанавливающих) права на жилое помещение (жилые помещения) (в случае, если права на них                            </w:t>
      </w:r>
      <w:r w:rsidRPr="00977208">
        <w:rPr>
          <w:bCs w:val="0"/>
        </w:rPr>
        <w:lastRenderedPageBreak/>
        <w:t xml:space="preserve">в соответствии с законодательством Российской Федерации признаются возникшими независимо от регистрации в ЕГРП);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30" w:name="Par133"/>
      <w:bookmarkEnd w:id="30"/>
      <w:r w:rsidRPr="00977208">
        <w:rPr>
          <w:bCs w:val="0"/>
        </w:rPr>
        <w:t xml:space="preserve">5) кадастровый паспорт (технический паспорт) жилого помещения (жилых помещений) или поэтажный план дома, в котором находится жилое помещение (жилые помещения); </w:t>
      </w:r>
    </w:p>
    <w:p w:rsidR="00560A71" w:rsidRPr="00977208" w:rsidRDefault="00560A71" w:rsidP="00560A71">
      <w:pPr>
        <w:ind w:firstLine="695"/>
        <w:jc w:val="both"/>
        <w:rPr>
          <w:bCs w:val="0"/>
        </w:rPr>
      </w:pPr>
      <w:bookmarkStart w:id="31" w:name="Par134"/>
      <w:bookmarkEnd w:id="31"/>
      <w:r w:rsidRPr="00977208">
        <w:rPr>
          <w:bCs w:val="0"/>
        </w:rPr>
        <w:t xml:space="preserve">6) решение о согласовании переустройства и (или) перепланировки жилого помещения или акт, подтверждающий завершение переустройства и (или) перепланировки жилого помещения (или уведомление о переводе нежилого помещения в жилое помещение). </w:t>
      </w:r>
    </w:p>
    <w:bookmarkEnd w:id="23"/>
    <w:p w:rsidR="0016284B" w:rsidRDefault="0016284B"/>
    <w:sectPr w:rsidR="0016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2C"/>
    <w:rsid w:val="0016284B"/>
    <w:rsid w:val="00560A71"/>
    <w:rsid w:val="00A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7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7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2016-11-23T03:02:00Z</dcterms:created>
  <dcterms:modified xsi:type="dcterms:W3CDTF">2016-11-23T03:02:00Z</dcterms:modified>
</cp:coreProperties>
</file>