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B57770" w:rsidRPr="00B57770" w:rsidTr="00AA37AE">
        <w:trPr>
          <w:trHeight w:val="986"/>
        </w:trPr>
        <w:tc>
          <w:tcPr>
            <w:tcW w:w="3015" w:type="dxa"/>
          </w:tcPr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809C1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B57770" w:rsidRPr="00B57770" w:rsidRDefault="00954AEA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770"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  </w:t>
            </w:r>
            <w:r w:rsidR="00B57770" w:rsidRPr="00224F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57770" w:rsidRPr="00B577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AEA"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</w:tr>
    </w:tbl>
    <w:p w:rsidR="00273DC6" w:rsidRPr="00374CBC" w:rsidRDefault="00273DC6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2C78" w:rsidRPr="00224F3F" w:rsidRDefault="007A2C78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511E" w:rsidRPr="00224F3F" w:rsidRDefault="00B57770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о у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>лучшени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ю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 xml:space="preserve"> инвестиционного климата в </w:t>
      </w:r>
      <w:r w:rsidRPr="00224F3F">
        <w:rPr>
          <w:rFonts w:ascii="Times New Roman" w:hAnsi="Times New Roman" w:cs="Times New Roman"/>
          <w:b/>
          <w:sz w:val="24"/>
          <w:szCs w:val="24"/>
        </w:rPr>
        <w:t>городе Заринске</w:t>
      </w:r>
      <w:r w:rsidR="001809C1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Pr="00224F3F">
        <w:rPr>
          <w:rFonts w:ascii="Times New Roman" w:hAnsi="Times New Roman" w:cs="Times New Roman"/>
          <w:b/>
          <w:sz w:val="24"/>
          <w:szCs w:val="24"/>
        </w:rPr>
        <w:t xml:space="preserve"> на период до 2017 года.</w:t>
      </w:r>
    </w:p>
    <w:p w:rsidR="0040511E" w:rsidRPr="00834770" w:rsidRDefault="0040511E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117"/>
        <w:gridCol w:w="1973"/>
        <w:gridCol w:w="3014"/>
        <w:gridCol w:w="3164"/>
        <w:gridCol w:w="1704"/>
        <w:gridCol w:w="1460"/>
        <w:gridCol w:w="3164"/>
        <w:gridCol w:w="91"/>
        <w:gridCol w:w="3073"/>
        <w:gridCol w:w="1642"/>
        <w:gridCol w:w="4715"/>
      </w:tblGrid>
      <w:tr w:rsidR="0040511E" w:rsidRPr="004E7533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№</w:t>
            </w:r>
            <w:proofErr w:type="gramStart"/>
            <w:r w:rsidRPr="004E7533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proofErr w:type="gramEnd"/>
            <w:r w:rsidRPr="004E7533">
              <w:rPr>
                <w:rStyle w:val="FontStyle29"/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117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14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164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40511E" w:rsidRPr="004E7533" w:rsidTr="00D77EFB">
        <w:trPr>
          <w:trHeight w:val="355"/>
        </w:trPr>
        <w:tc>
          <w:tcPr>
            <w:tcW w:w="12667" w:type="dxa"/>
            <w:gridSpan w:val="4"/>
          </w:tcPr>
          <w:p w:rsidR="0040511E" w:rsidRPr="004E7533" w:rsidRDefault="00BE26D8" w:rsidP="00BE26D8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Совершенствование нормативно-правовой базы </w:t>
            </w:r>
          </w:p>
        </w:tc>
        <w:tc>
          <w:tcPr>
            <w:tcW w:w="3164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543CF" w:rsidRPr="004E7533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4E7533" w:rsidRDefault="007B68CC" w:rsidP="00B57770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</w:tcPr>
          <w:p w:rsidR="006543CF" w:rsidRPr="004E7533" w:rsidRDefault="006543CF" w:rsidP="006E2B17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rStyle w:val="FontStyle29"/>
                <w:sz w:val="24"/>
              </w:rPr>
            </w:pPr>
            <w:r w:rsidRPr="004E7533">
              <w:rPr>
                <w:rStyle w:val="FontStyle29"/>
                <w:sz w:val="24"/>
              </w:rPr>
              <w:t>Оказание административной поддержки инвесторам</w:t>
            </w:r>
          </w:p>
        </w:tc>
        <w:tc>
          <w:tcPr>
            <w:tcW w:w="1973" w:type="dxa"/>
          </w:tcPr>
          <w:p w:rsidR="006543CF" w:rsidRPr="004E7533" w:rsidRDefault="006543CF" w:rsidP="00D77EF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543CF" w:rsidRPr="004E7533" w:rsidRDefault="00B57770" w:rsidP="00B5777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КЭУМИ, комитет по строительству и архитектуре</w:t>
            </w:r>
          </w:p>
        </w:tc>
        <w:tc>
          <w:tcPr>
            <w:tcW w:w="3164" w:type="dxa"/>
          </w:tcPr>
          <w:p w:rsidR="006543CF" w:rsidRPr="004E7533" w:rsidRDefault="006543CF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Сокращение сроков  подготовки нормативных документов</w:t>
            </w:r>
          </w:p>
        </w:tc>
      </w:tr>
      <w:tr w:rsidR="006543CF" w:rsidRPr="004E7533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4E7533" w:rsidRDefault="00B57770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</w:tcPr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Реализация утвержденных административны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х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регламент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ов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по предоставлению муниципальных услуг:</w:t>
            </w:r>
          </w:p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- Выдача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 xml:space="preserve">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;</w:t>
            </w:r>
          </w:p>
          <w:p w:rsidR="00B57770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- 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муниципального образования город Заринск Алтайского края;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 для индивидуального жилищного строительства;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B57770" w:rsidRPr="004E7533" w:rsidRDefault="00B57770" w:rsidP="00224F3F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участков, на которых расположены здания, строения, сооружения.</w:t>
            </w:r>
          </w:p>
          <w:p w:rsidR="00FD1EA0" w:rsidRPr="004E7533" w:rsidRDefault="00FD1EA0" w:rsidP="00C30C62">
            <w:pPr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73" w:type="dxa"/>
          </w:tcPr>
          <w:p w:rsidR="006543CF" w:rsidRPr="004E7533" w:rsidRDefault="00FD1EA0" w:rsidP="00D77EF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543CF" w:rsidRPr="004E7533" w:rsidRDefault="00B57770" w:rsidP="00B5777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КЭУМИ, комитет по строительству и архитектуре</w:t>
            </w:r>
          </w:p>
        </w:tc>
        <w:tc>
          <w:tcPr>
            <w:tcW w:w="3164" w:type="dxa"/>
          </w:tcPr>
          <w:p w:rsidR="006543CF" w:rsidRPr="004E7533" w:rsidRDefault="00FD1EA0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инвесторов к муниципальному имуществу, предназначенному для сдачи в аренду</w:t>
            </w:r>
            <w:r w:rsidR="00273DC6" w:rsidRPr="004E7533">
              <w:rPr>
                <w:rFonts w:ascii="Times New Roman" w:hAnsi="Times New Roman" w:cs="Times New Roman"/>
                <w:sz w:val="24"/>
                <w:szCs w:val="24"/>
              </w:rPr>
              <w:t>, соблюдение сроков по оказанию муниципальных услуг</w:t>
            </w:r>
          </w:p>
        </w:tc>
      </w:tr>
      <w:tr w:rsidR="0040511E" w:rsidRPr="004E7533" w:rsidTr="00D77EFB">
        <w:tc>
          <w:tcPr>
            <w:tcW w:w="12667" w:type="dxa"/>
            <w:gridSpan w:val="4"/>
          </w:tcPr>
          <w:p w:rsidR="0040511E" w:rsidRPr="004E7533" w:rsidRDefault="00273DC6" w:rsidP="00B57770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И</w:t>
            </w:r>
            <w:r w:rsidR="00BE26D8"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нформационное обеспечение инвестиционного процесса</w:t>
            </w:r>
          </w:p>
        </w:tc>
        <w:tc>
          <w:tcPr>
            <w:tcW w:w="3164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17" w:type="dxa"/>
          </w:tcPr>
          <w:p w:rsidR="00BE26D8" w:rsidRPr="004E7533" w:rsidRDefault="00223ABD" w:rsidP="00224F3F">
            <w:pPr>
              <w:pStyle w:val="Style23"/>
              <w:widowControl/>
              <w:tabs>
                <w:tab w:val="left" w:pos="1445"/>
                <w:tab w:val="left" w:pos="5184"/>
              </w:tabs>
              <w:spacing w:line="240" w:lineRule="auto"/>
              <w:ind w:left="24" w:right="86" w:firstLine="0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 xml:space="preserve">Ведение </w:t>
            </w:r>
            <w:r w:rsidR="00BE26D8" w:rsidRPr="004E7533">
              <w:rPr>
                <w:rStyle w:val="FontStyle29"/>
                <w:sz w:val="24"/>
              </w:rPr>
              <w:t xml:space="preserve"> на сайте </w:t>
            </w:r>
            <w:r>
              <w:rPr>
                <w:rStyle w:val="FontStyle29"/>
                <w:sz w:val="24"/>
              </w:rPr>
              <w:t>а</w:t>
            </w:r>
            <w:r w:rsidR="00BE26D8" w:rsidRPr="004E7533">
              <w:rPr>
                <w:rStyle w:val="FontStyle29"/>
                <w:sz w:val="24"/>
              </w:rPr>
              <w:t xml:space="preserve">дминистрации </w:t>
            </w:r>
            <w:r>
              <w:rPr>
                <w:rStyle w:val="FontStyle29"/>
                <w:sz w:val="24"/>
              </w:rPr>
              <w:t xml:space="preserve">города </w:t>
            </w:r>
            <w:r w:rsidR="00BE26D8" w:rsidRPr="004E7533">
              <w:rPr>
                <w:rStyle w:val="FontStyle29"/>
                <w:sz w:val="24"/>
              </w:rPr>
              <w:t xml:space="preserve"> раздела, посвященного  инвестиционной деятельности </w:t>
            </w:r>
            <w:r w:rsidR="007B68CC" w:rsidRPr="004E7533">
              <w:rPr>
                <w:rStyle w:val="FontStyle29"/>
                <w:sz w:val="24"/>
              </w:rPr>
              <w:t>для</w:t>
            </w:r>
            <w:r w:rsidR="00BE26D8" w:rsidRPr="004E7533">
              <w:rPr>
                <w:rStyle w:val="FontStyle29"/>
                <w:sz w:val="24"/>
              </w:rPr>
              <w:t xml:space="preserve"> обеспеч</w:t>
            </w:r>
            <w:r w:rsidR="007B68CC" w:rsidRPr="004E7533">
              <w:rPr>
                <w:rStyle w:val="FontStyle29"/>
                <w:sz w:val="24"/>
              </w:rPr>
              <w:t>ения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 w:rsidR="007B68CC" w:rsidRPr="004E7533">
              <w:rPr>
                <w:rStyle w:val="FontStyle29"/>
                <w:sz w:val="24"/>
              </w:rPr>
              <w:t>информированности населения о</w:t>
            </w:r>
            <w:r>
              <w:rPr>
                <w:rStyle w:val="FontStyle29"/>
                <w:sz w:val="24"/>
              </w:rPr>
              <w:t>б</w:t>
            </w:r>
            <w:r w:rsidR="00BE26D8" w:rsidRPr="004E7533">
              <w:rPr>
                <w:rStyle w:val="FontStyle29"/>
                <w:sz w:val="24"/>
              </w:rPr>
              <w:t xml:space="preserve"> инвестиционных возможност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>
              <w:rPr>
                <w:rStyle w:val="FontStyle29"/>
                <w:sz w:val="24"/>
              </w:rPr>
              <w:t>города</w:t>
            </w:r>
            <w:r w:rsidR="00BE26D8" w:rsidRPr="004E7533">
              <w:rPr>
                <w:rStyle w:val="FontStyle29"/>
                <w:sz w:val="24"/>
              </w:rPr>
              <w:t>, его инвестиционной стратегии и инфраструктур</w:t>
            </w:r>
            <w:r>
              <w:rPr>
                <w:rStyle w:val="FontStyle29"/>
                <w:sz w:val="24"/>
              </w:rPr>
              <w:t>е</w:t>
            </w:r>
            <w:r w:rsidR="00BE26D8" w:rsidRPr="004E7533">
              <w:rPr>
                <w:rStyle w:val="FontStyle29"/>
                <w:sz w:val="24"/>
              </w:rPr>
              <w:t>, потенциальных направлени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инвестиций</w:t>
            </w:r>
          </w:p>
        </w:tc>
        <w:tc>
          <w:tcPr>
            <w:tcW w:w="1973" w:type="dxa"/>
          </w:tcPr>
          <w:p w:rsidR="00BE26D8" w:rsidRPr="004E7533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223ABD" w:rsidP="00223ABD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 информационно-аналитический отдел</w:t>
            </w:r>
          </w:p>
        </w:tc>
        <w:tc>
          <w:tcPr>
            <w:tcW w:w="3164" w:type="dxa"/>
            <w:vMerge w:val="restart"/>
          </w:tcPr>
          <w:p w:rsidR="00BE26D8" w:rsidRPr="004E7533" w:rsidRDefault="00BE26D8" w:rsidP="00224F3F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инвестиционного процесса, предоставление в открытом доступе информации о </w:t>
            </w:r>
            <w:r w:rsidR="00224F3F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 xml:space="preserve"> для потенциальных инвесторов, в том числе об инвестиционных площадках и инвестиционных проектах</w:t>
            </w: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17" w:type="dxa"/>
          </w:tcPr>
          <w:p w:rsidR="00BE26D8" w:rsidRPr="004E7533" w:rsidRDefault="007B68CC" w:rsidP="00FD1EA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sz w:val="24"/>
                <w:szCs w:val="24"/>
              </w:rPr>
              <w:t>Создание  реестра инвестици</w:t>
            </w:r>
            <w:r w:rsidR="00FD1EA0" w:rsidRPr="004E7533">
              <w:rPr>
                <w:rStyle w:val="FontStyle29"/>
                <w:sz w:val="24"/>
                <w:szCs w:val="24"/>
              </w:rPr>
              <w:t>о</w:t>
            </w:r>
            <w:r w:rsidRPr="004E7533">
              <w:rPr>
                <w:rStyle w:val="FontStyle29"/>
                <w:sz w:val="24"/>
                <w:szCs w:val="24"/>
              </w:rPr>
              <w:t>нных предложений и разме</w:t>
            </w:r>
            <w:r w:rsidR="00FD1EA0" w:rsidRPr="004E7533">
              <w:rPr>
                <w:rStyle w:val="FontStyle29"/>
                <w:sz w:val="24"/>
                <w:szCs w:val="24"/>
              </w:rPr>
              <w:t>щение  данной информации на сайте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223ABD" w:rsidP="00C30C62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</w:tcPr>
          <w:p w:rsidR="00BE26D8" w:rsidRPr="004E7533" w:rsidRDefault="00A91ABC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 материалов  о деятельности 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223ABD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c>
          <w:tcPr>
            <w:tcW w:w="12667" w:type="dxa"/>
            <w:gridSpan w:val="4"/>
            <w:tcBorders>
              <w:right w:val="nil"/>
            </w:tcBorders>
          </w:tcPr>
          <w:p w:rsidR="00BE26D8" w:rsidRPr="004E7533" w:rsidRDefault="00BE26D8" w:rsidP="00224F3F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Муниципальная поддержка инвестиционных проектов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tcBorders>
              <w:lef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17" w:type="dxa"/>
          </w:tcPr>
          <w:p w:rsidR="00BE26D8" w:rsidRPr="004E7533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Рассмотрение инвестиционных проектов на 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>заседании экономического Совета</w:t>
            </w:r>
          </w:p>
        </w:tc>
        <w:tc>
          <w:tcPr>
            <w:tcW w:w="1973" w:type="dxa"/>
          </w:tcPr>
          <w:p w:rsidR="00BE26D8" w:rsidRPr="004E7533" w:rsidRDefault="00BE26D8" w:rsidP="00A91AB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A91ABC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14" w:type="dxa"/>
          </w:tcPr>
          <w:p w:rsidR="00BE26D8" w:rsidRPr="004E7533" w:rsidRDefault="008844F7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Экономический Совет</w:t>
            </w:r>
          </w:p>
        </w:tc>
        <w:tc>
          <w:tcPr>
            <w:tcW w:w="3164" w:type="dxa"/>
            <w:vMerge w:val="restart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Оказание инвесторам организационной  и правовой поддержки.</w:t>
            </w: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17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8844F7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Инвестиционный уполномоченный, заместители главы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курирующие данное направление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  <w:trHeight w:val="1255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17" w:type="dxa"/>
          </w:tcPr>
          <w:p w:rsidR="00BE26D8" w:rsidRPr="004E7533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Мероприятия по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 xml:space="preserve"> предоставлению консультаций о действующей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государственной поддержке предприятий реального сектора экономики (в т.ч. субъектов малого и среднего бизнеса).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223ABD" w:rsidRDefault="00223ABD" w:rsidP="00D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BD">
              <w:rPr>
                <w:rFonts w:ascii="Times New Roman" w:hAnsi="Times New Roman"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</w:tcPr>
          <w:p w:rsidR="00BE26D8" w:rsidRPr="004E7533" w:rsidRDefault="00BE26D8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Оказание инвесторам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информационно-консультационной помощи для участия в краевых программах и грантах с целью получения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финансовой поддержки за счет средств федерального, краевого 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городского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бюджетов (субсидии, гранты и пр.).</w:t>
            </w:r>
          </w:p>
        </w:tc>
      </w:tr>
      <w:tr w:rsidR="00BE26D8" w:rsidRPr="004E7533" w:rsidTr="00D77EFB">
        <w:tc>
          <w:tcPr>
            <w:tcW w:w="12667" w:type="dxa"/>
            <w:gridSpan w:val="4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lastRenderedPageBreak/>
              <w:t>Развитие инвестиционной деятельности</w:t>
            </w:r>
          </w:p>
        </w:tc>
        <w:tc>
          <w:tcPr>
            <w:tcW w:w="3164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17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223ABD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 w:val="restart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Максимальная загрузка 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платежей.</w:t>
            </w:r>
          </w:p>
          <w:p w:rsidR="003B4C1A" w:rsidRPr="004E7533" w:rsidRDefault="003B4C1A" w:rsidP="003B4C1A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Обмен информацией по реализуемым проектам</w:t>
            </w: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17" w:type="dxa"/>
          </w:tcPr>
          <w:p w:rsidR="00BE26D8" w:rsidRPr="004E7533" w:rsidRDefault="00BE26D8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Определить «точки роста»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и ежеквартально осуществлять их мониторинг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14" w:type="dxa"/>
          </w:tcPr>
          <w:p w:rsidR="00BE26D8" w:rsidRPr="004E7533" w:rsidRDefault="00223ABD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17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1973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4E7533" w:rsidRDefault="00223ABD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КЭУМИ, комитет по строительству и архитектуре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05F3D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117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1973" w:type="dxa"/>
          </w:tcPr>
          <w:p w:rsidR="00BE26D8" w:rsidRPr="004E7533" w:rsidRDefault="00BE26D8" w:rsidP="00CC4039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14" w:type="dxa"/>
          </w:tcPr>
          <w:p w:rsidR="00BE26D8" w:rsidRPr="004E7533" w:rsidRDefault="008844F7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 xml:space="preserve">  КЭУМИ</w:t>
            </w:r>
          </w:p>
        </w:tc>
        <w:tc>
          <w:tcPr>
            <w:tcW w:w="3164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E12ADB">
        <w:trPr>
          <w:gridAfter w:val="2"/>
          <w:wAfter w:w="6357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117" w:type="dxa"/>
          </w:tcPr>
          <w:p w:rsidR="002740DF" w:rsidRPr="004E7533" w:rsidRDefault="00374CBC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Проведение заседаний экономического Совета</w:t>
            </w:r>
          </w:p>
        </w:tc>
        <w:tc>
          <w:tcPr>
            <w:tcW w:w="1973" w:type="dxa"/>
          </w:tcPr>
          <w:p w:rsidR="002740DF" w:rsidRPr="004E7533" w:rsidRDefault="00374CBC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В соответствии с  планом работы</w:t>
            </w:r>
          </w:p>
        </w:tc>
        <w:tc>
          <w:tcPr>
            <w:tcW w:w="3014" w:type="dxa"/>
          </w:tcPr>
          <w:p w:rsidR="002740DF" w:rsidRPr="004E7533" w:rsidRDefault="00374CBC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164" w:type="dxa"/>
            <w:vMerge w:val="restart"/>
          </w:tcPr>
          <w:p w:rsidR="002740DF" w:rsidRPr="004E7533" w:rsidRDefault="003B4C1A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информационной доступности</w:t>
            </w: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3,4  квартал 2012</w:t>
            </w:r>
          </w:p>
        </w:tc>
        <w:tc>
          <w:tcPr>
            <w:tcW w:w="3164" w:type="dxa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14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</w:tcPr>
          <w:p w:rsidR="002740DF" w:rsidRPr="004E7533" w:rsidRDefault="002740DF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материалов о деятельности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973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4E7533" w:rsidRDefault="00223ABD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164" w:type="dxa"/>
            <w:vMerge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D77EFB">
        <w:tc>
          <w:tcPr>
            <w:tcW w:w="12667" w:type="dxa"/>
            <w:gridSpan w:val="4"/>
          </w:tcPr>
          <w:p w:rsidR="002740DF" w:rsidRPr="004E7533" w:rsidRDefault="002740DF" w:rsidP="00224F3F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Формирование имиджа </w:t>
            </w:r>
            <w:r w:rsidR="00224F3F">
              <w:rPr>
                <w:rStyle w:val="FontStyle29"/>
                <w:rFonts w:cs="Times New Roman"/>
                <w:b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64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17" w:type="dxa"/>
          </w:tcPr>
          <w:p w:rsidR="002740DF" w:rsidRPr="004E7533" w:rsidRDefault="00224F3F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Участие предприятий и организаций района в 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городских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и региональных выставках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конкурсах</w:t>
            </w:r>
          </w:p>
        </w:tc>
        <w:tc>
          <w:tcPr>
            <w:tcW w:w="1973" w:type="dxa"/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4E7533" w:rsidRDefault="00224F3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 w:val="restart"/>
          </w:tcPr>
          <w:p w:rsidR="002740DF" w:rsidRPr="004E7533" w:rsidRDefault="00224F3F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Формирование имиджа 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как открытого, прогрессивного и успешного. Повышение  рейтинга 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.  Участие  в выставках.    </w:t>
            </w:r>
          </w:p>
        </w:tc>
      </w:tr>
      <w:tr w:rsidR="002740DF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17" w:type="dxa"/>
          </w:tcPr>
          <w:p w:rsidR="002740DF" w:rsidRPr="004E7533" w:rsidRDefault="002740DF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Поддержка в актуальном состоянии сайта </w:t>
            </w:r>
            <w:r w:rsidR="00224F3F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</w:p>
        </w:tc>
        <w:tc>
          <w:tcPr>
            <w:tcW w:w="1973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4E7533" w:rsidRDefault="00224F3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164" w:type="dxa"/>
            <w:vMerge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117" w:type="dxa"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Проведение публичных слушаний и презентаций инвестиционных проектов</w:t>
            </w:r>
          </w:p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3014" w:type="dxa"/>
          </w:tcPr>
          <w:p w:rsidR="002740DF" w:rsidRPr="004E7533" w:rsidRDefault="00224F3F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КЭУМИ</w:t>
            </w:r>
          </w:p>
        </w:tc>
        <w:tc>
          <w:tcPr>
            <w:tcW w:w="3164" w:type="dxa"/>
            <w:vMerge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</w:tbl>
    <w:p w:rsidR="0040511E" w:rsidRDefault="0040511E" w:rsidP="004051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3DC6" w:rsidRPr="00E663F7" w:rsidRDefault="00E663F7" w:rsidP="0040511E">
      <w:pPr>
        <w:jc w:val="center"/>
        <w:rPr>
          <w:rFonts w:ascii="Times New Roman" w:hAnsi="Times New Roman"/>
          <w:b/>
          <w:sz w:val="24"/>
          <w:szCs w:val="24"/>
        </w:rPr>
      </w:pPr>
      <w:r w:rsidRPr="00E663F7">
        <w:rPr>
          <w:rFonts w:ascii="Times New Roman" w:hAnsi="Times New Roman"/>
          <w:b/>
          <w:sz w:val="24"/>
          <w:szCs w:val="24"/>
        </w:rPr>
        <w:lastRenderedPageBreak/>
        <w:t>Индикаторы, характеризующие выполнение Плана мероприятий по улучшению инвестиционного климата в городе Заринске Алтайского края на период до 2017 года.</w:t>
      </w:r>
    </w:p>
    <w:p w:rsidR="00E663F7" w:rsidRPr="00E663F7" w:rsidRDefault="00E663F7" w:rsidP="004051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1701"/>
        <w:gridCol w:w="1559"/>
        <w:gridCol w:w="1701"/>
        <w:gridCol w:w="1636"/>
      </w:tblGrid>
      <w:tr w:rsidR="00E663F7" w:rsidTr="00B6284A">
        <w:tc>
          <w:tcPr>
            <w:tcW w:w="959" w:type="dxa"/>
          </w:tcPr>
          <w:p w:rsid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E663F7" w:rsidRPr="00E663F7" w:rsidRDefault="00B6284A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E663F7" w:rsidRPr="00E663F7" w:rsidRDefault="00B6284A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36" w:type="dxa"/>
          </w:tcPr>
          <w:p w:rsidR="00E663F7" w:rsidRPr="00E663F7" w:rsidRDefault="00B6284A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проектов, инициированных в различных секторах экономики города при участии администрации города.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7E4C65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63F7" w:rsidRPr="00B6284A" w:rsidRDefault="007E4C65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E663F7" w:rsidRPr="00B6284A" w:rsidRDefault="007E4C65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636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«точек роста», учтенных в реестре внебюджетных инвестиционных проектов, реализуемых на территории города 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7533" w:rsidRDefault="004E7533" w:rsidP="004E7533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E7533" w:rsidRPr="00374CBC" w:rsidRDefault="004E7533" w:rsidP="004E7533">
      <w:pPr>
        <w:rPr>
          <w:rFonts w:ascii="Times New Roman" w:hAnsi="Times New Roman"/>
        </w:rPr>
        <w:sectPr w:rsidR="004E7533" w:rsidRPr="00374CBC" w:rsidSect="001E7DE1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  <w:r w:rsidRPr="00374CBC">
        <w:rPr>
          <w:rFonts w:ascii="Times New Roman" w:hAnsi="Times New Roman"/>
        </w:rPr>
        <w:t xml:space="preserve"> </w:t>
      </w:r>
    </w:p>
    <w:p w:rsidR="001C2C9D" w:rsidRDefault="001C2C9D"/>
    <w:sectPr w:rsidR="001C2C9D" w:rsidSect="0036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11E"/>
    <w:rsid w:val="000B58D6"/>
    <w:rsid w:val="00100A96"/>
    <w:rsid w:val="001679C8"/>
    <w:rsid w:val="001809C1"/>
    <w:rsid w:val="001C2C9D"/>
    <w:rsid w:val="001D2822"/>
    <w:rsid w:val="002073FF"/>
    <w:rsid w:val="00223ABD"/>
    <w:rsid w:val="00224F3F"/>
    <w:rsid w:val="00273DC6"/>
    <w:rsid w:val="002740DF"/>
    <w:rsid w:val="003624C7"/>
    <w:rsid w:val="00374CBC"/>
    <w:rsid w:val="003B4C1A"/>
    <w:rsid w:val="00403E01"/>
    <w:rsid w:val="0040511E"/>
    <w:rsid w:val="004906DC"/>
    <w:rsid w:val="004A6B15"/>
    <w:rsid w:val="004E7533"/>
    <w:rsid w:val="006543CF"/>
    <w:rsid w:val="00665113"/>
    <w:rsid w:val="006E2B17"/>
    <w:rsid w:val="007544AF"/>
    <w:rsid w:val="007A2C78"/>
    <w:rsid w:val="007B68CC"/>
    <w:rsid w:val="007E4C65"/>
    <w:rsid w:val="008844F7"/>
    <w:rsid w:val="0091793B"/>
    <w:rsid w:val="00954AEA"/>
    <w:rsid w:val="00A13DDC"/>
    <w:rsid w:val="00A91ABC"/>
    <w:rsid w:val="00AA37AE"/>
    <w:rsid w:val="00B57770"/>
    <w:rsid w:val="00B6284A"/>
    <w:rsid w:val="00BE26D8"/>
    <w:rsid w:val="00C30C62"/>
    <w:rsid w:val="00CC4039"/>
    <w:rsid w:val="00D05F3D"/>
    <w:rsid w:val="00D82DB9"/>
    <w:rsid w:val="00E663F7"/>
    <w:rsid w:val="00E701BC"/>
    <w:rsid w:val="00F228C6"/>
    <w:rsid w:val="00F543F1"/>
    <w:rsid w:val="00F7721C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7"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Сергеенко Елена Николаевна</cp:lastModifiedBy>
  <cp:revision>22</cp:revision>
  <cp:lastPrinted>2015-07-03T07:36:00Z</cp:lastPrinted>
  <dcterms:created xsi:type="dcterms:W3CDTF">2014-09-10T11:11:00Z</dcterms:created>
  <dcterms:modified xsi:type="dcterms:W3CDTF">2015-11-17T08:41:00Z</dcterms:modified>
</cp:coreProperties>
</file>