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5" w:rsidRDefault="005F7AE5" w:rsidP="00BD5AB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Памятка по налогу на имущество физических лиц исходя из кадастровой стоимости объектов налогообложения. </w:t>
      </w:r>
    </w:p>
    <w:p w:rsidR="005F7AE5" w:rsidRDefault="005F7AE5" w:rsidP="005F7AE5">
      <w:pPr>
        <w:pStyle w:val="a3"/>
      </w:pPr>
      <w:r>
        <w:rPr>
          <w:sz w:val="36"/>
          <w:szCs w:val="36"/>
        </w:rPr>
        <w:t>Налогоплательщики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</w:pPr>
      <w:r>
        <w:t>Физические лица – собственники объектов налогообложения.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</w:pPr>
      <w:r>
        <w:rPr>
          <w:noProof/>
        </w:rPr>
        <w:drawing>
          <wp:inline distT="0" distB="0" distL="0" distR="0">
            <wp:extent cx="971550" cy="895350"/>
            <wp:effectExtent l="19050" t="0" r="0" b="0"/>
            <wp:docPr id="1" name="Рисунок 1" descr="кар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E5" w:rsidRDefault="005F7AE5" w:rsidP="005F7AE5">
      <w:pPr>
        <w:pStyle w:val="a3"/>
      </w:pPr>
      <w:r>
        <w:t> </w:t>
      </w:r>
      <w:r>
        <w:rPr>
          <w:sz w:val="36"/>
          <w:szCs w:val="36"/>
        </w:rPr>
        <w:t>Объект налогообложения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t>1) жилой дом</w:t>
      </w:r>
    </w:p>
    <w:p w:rsidR="005F7AE5" w:rsidRDefault="005F7AE5" w:rsidP="005F7AE5">
      <w:pPr>
        <w:pStyle w:val="a3"/>
        <w:jc w:val="both"/>
      </w:pPr>
      <w:r>
        <w:t>2) жилое помещение (квартира, комната),</w:t>
      </w:r>
    </w:p>
    <w:p w:rsidR="005F7AE5" w:rsidRDefault="005F7AE5" w:rsidP="005F7AE5">
      <w:pPr>
        <w:pStyle w:val="a3"/>
        <w:jc w:val="both"/>
      </w:pPr>
      <w:r>
        <w:t xml:space="preserve">3) гараж, </w:t>
      </w:r>
      <w:proofErr w:type="spellStart"/>
      <w:r>
        <w:t>машино-место</w:t>
      </w:r>
      <w:proofErr w:type="spellEnd"/>
      <w:r>
        <w:t>,</w:t>
      </w:r>
    </w:p>
    <w:p w:rsidR="005F7AE5" w:rsidRDefault="005F7AE5" w:rsidP="005F7AE5">
      <w:pPr>
        <w:pStyle w:val="a3"/>
        <w:jc w:val="both"/>
      </w:pPr>
      <w:r>
        <w:t>4) единый недвижимый комплекс,</w:t>
      </w:r>
    </w:p>
    <w:p w:rsidR="005F7AE5" w:rsidRDefault="005F7AE5" w:rsidP="005F7AE5">
      <w:pPr>
        <w:pStyle w:val="a3"/>
        <w:jc w:val="both"/>
      </w:pPr>
      <w:r>
        <w:t>5) объект незавершенного строительства,</w:t>
      </w:r>
    </w:p>
    <w:p w:rsidR="005F7AE5" w:rsidRDefault="005F7AE5" w:rsidP="005F7AE5">
      <w:pPr>
        <w:pStyle w:val="a3"/>
        <w:jc w:val="both"/>
      </w:pPr>
      <w:r>
        <w:t>6) иные здание, строение, сооружение, помещение.</w:t>
      </w:r>
    </w:p>
    <w:p w:rsidR="005F7AE5" w:rsidRDefault="005F7AE5" w:rsidP="005F7AE5">
      <w:pPr>
        <w:pStyle w:val="a3"/>
        <w:jc w:val="both"/>
      </w:pPr>
      <w:r>
        <w:t xml:space="preserve">К жилым </w:t>
      </w:r>
      <w:proofErr w:type="gramStart"/>
      <w:r>
        <w:t>домам</w:t>
      </w:r>
      <w:proofErr w:type="gramEnd"/>
      <w:r>
        <w:t xml:space="preserve"> в том числе относятся дома и </w:t>
      </w:r>
      <w:hyperlink r:id="rId6" w:history="1">
        <w:r>
          <w:rPr>
            <w:rStyle w:val="a4"/>
          </w:rPr>
          <w:t>жилые строения</w:t>
        </w:r>
      </w:hyperlink>
      <w: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5F7AE5" w:rsidRDefault="005F7AE5" w:rsidP="005F7AE5">
      <w:pPr>
        <w:pStyle w:val="a3"/>
        <w:jc w:val="both"/>
      </w:pPr>
      <w:r>
        <w:t>Не признается объектом налогообложения имущество, входящее в состав общего имущества многоквартирного дома.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</w:pPr>
      <w:r>
        <w:rPr>
          <w:noProof/>
        </w:rPr>
        <w:drawing>
          <wp:inline distT="0" distB="0" distL="0" distR="0">
            <wp:extent cx="971550" cy="927100"/>
            <wp:effectExtent l="19050" t="0" r="0" b="0"/>
            <wp:docPr id="2" name="Рисунок 2" descr="какр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рт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E5" w:rsidRDefault="005F7AE5" w:rsidP="005F7AE5">
      <w:pPr>
        <w:pStyle w:val="a3"/>
      </w:pPr>
      <w:r>
        <w:rPr>
          <w:sz w:val="36"/>
          <w:szCs w:val="36"/>
        </w:rPr>
        <w:lastRenderedPageBreak/>
        <w:t>Налоговая база и вычеты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>Налоговая база</w:t>
      </w:r>
      <w:r>
        <w:t xml:space="preserve"> определяется как </w:t>
      </w:r>
      <w:r>
        <w:rPr>
          <w:rStyle w:val="a5"/>
        </w:rPr>
        <w:t>кадастровая стоимость объекта налогообложения.</w:t>
      </w:r>
      <w:r>
        <w:t xml:space="preserve"> При этом установлены </w:t>
      </w:r>
      <w:r>
        <w:rPr>
          <w:rStyle w:val="a5"/>
        </w:rPr>
        <w:t>налоговые вычеты в отношении:</w:t>
      </w:r>
    </w:p>
    <w:p w:rsidR="005F7AE5" w:rsidRDefault="005F7AE5" w:rsidP="005F7AE5">
      <w:pPr>
        <w:pStyle w:val="a3"/>
        <w:jc w:val="both"/>
      </w:pPr>
      <w:r>
        <w:t>квартиры – кадастровая стоимость уменьшается на величину кадастровой стоимости 20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этой квартиры;</w:t>
      </w:r>
    </w:p>
    <w:p w:rsidR="005F7AE5" w:rsidRDefault="005F7AE5" w:rsidP="005F7AE5">
      <w:pPr>
        <w:pStyle w:val="a3"/>
        <w:jc w:val="both"/>
      </w:pPr>
      <w:r>
        <w:t>комнаты – кадастровая стоимость уменьшается на величину кадастровой стоимости 10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площади этой комнаты;</w:t>
      </w:r>
    </w:p>
    <w:p w:rsidR="005F7AE5" w:rsidRDefault="005F7AE5" w:rsidP="005F7AE5">
      <w:pPr>
        <w:pStyle w:val="a3"/>
        <w:jc w:val="both"/>
      </w:pPr>
      <w:r>
        <w:t>жилого дома – кадастровая стоимость уменьшается на величину кадастровой стоимости 50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общей площади этого жилого дома;</w:t>
      </w:r>
    </w:p>
    <w:p w:rsidR="005F7AE5" w:rsidRDefault="005F7AE5" w:rsidP="005F7AE5">
      <w:pPr>
        <w:pStyle w:val="a3"/>
        <w:jc w:val="both"/>
      </w:pPr>
      <w:r>
        <w:t>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</w:r>
    </w:p>
    <w:p w:rsidR="005F7AE5" w:rsidRDefault="005F7AE5" w:rsidP="005F7AE5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налогообложения находится </w:t>
      </w:r>
      <w:r>
        <w:rPr>
          <w:rStyle w:val="a5"/>
        </w:rPr>
        <w:t>в</w:t>
      </w:r>
      <w:r>
        <w:t xml:space="preserve"> </w:t>
      </w:r>
      <w:r>
        <w:rPr>
          <w:rStyle w:val="a5"/>
        </w:rPr>
        <w:t>общей долевой собственности</w:t>
      </w:r>
      <w:r>
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5F7AE5" w:rsidRDefault="005F7AE5" w:rsidP="005F7AE5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налогообложения находится </w:t>
      </w:r>
      <w:r>
        <w:rPr>
          <w:rStyle w:val="a5"/>
        </w:rPr>
        <w:t>в общей совместной собственности</w:t>
      </w:r>
      <w:r>
        <w:t>, налог исчисляется для каждого из участников совместной собственности в равных долях.</w:t>
      </w:r>
    </w:p>
    <w:p w:rsidR="005F7AE5" w:rsidRDefault="005F7AE5" w:rsidP="005F7AE5">
      <w:pPr>
        <w:pStyle w:val="a3"/>
        <w:jc w:val="both"/>
      </w:pPr>
      <w:r>
        <w:t>Представительные органы муниципальных образований вправе увеличивать размеры налоговых вычетов.</w:t>
      </w:r>
    </w:p>
    <w:p w:rsidR="005F7AE5" w:rsidRDefault="005F7AE5" w:rsidP="005F7AE5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 </w:t>
      </w:r>
    </w:p>
    <w:p w:rsidR="005F7AE5" w:rsidRDefault="005F7AE5" w:rsidP="005F7AE5">
      <w:pPr>
        <w:pStyle w:val="a3"/>
        <w:jc w:val="both"/>
      </w:pPr>
      <w:r>
        <w:rPr>
          <w:noProof/>
        </w:rPr>
        <w:drawing>
          <wp:inline distT="0" distB="0" distL="0" distR="0">
            <wp:extent cx="1092200" cy="933450"/>
            <wp:effectExtent l="19050" t="0" r="0" b="0"/>
            <wp:docPr id="3" name="Рисунок 3" descr="кканр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канрт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Налоговые ставки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>Налоговые ставки</w:t>
      </w:r>
      <w:r w:rsidR="009953C0">
        <w:rPr>
          <w:rStyle w:val="a5"/>
        </w:rPr>
        <w:t xml:space="preserve"> </w:t>
      </w:r>
      <w:r>
        <w:rPr>
          <w:rStyle w:val="a5"/>
        </w:rPr>
        <w:t>устанавливаются представительными органами поселений и городских округов.</w:t>
      </w:r>
    </w:p>
    <w:p w:rsidR="005F7AE5" w:rsidRDefault="005F7AE5" w:rsidP="005F7AE5">
      <w:pPr>
        <w:pStyle w:val="a3"/>
        <w:jc w:val="both"/>
      </w:pPr>
      <w:r>
        <w:t>Налоговым кодексом Российской Федерации ставки определены:</w:t>
      </w:r>
    </w:p>
    <w:p w:rsidR="005F7AE5" w:rsidRDefault="005F7AE5" w:rsidP="005F7AE5">
      <w:pPr>
        <w:pStyle w:val="a3"/>
        <w:jc w:val="both"/>
      </w:pPr>
      <w:r>
        <w:t>1) </w:t>
      </w:r>
      <w:r>
        <w:rPr>
          <w:rStyle w:val="a5"/>
        </w:rPr>
        <w:t xml:space="preserve"> 0,1 </w:t>
      </w:r>
      <w:proofErr w:type="spellStart"/>
      <w:r>
        <w:rPr>
          <w:rStyle w:val="a5"/>
        </w:rPr>
        <w:t>процентав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отношении</w:t>
      </w:r>
      <w:proofErr w:type="gramEnd"/>
      <w:r>
        <w:rPr>
          <w:rStyle w:val="a5"/>
        </w:rPr>
        <w:t>:</w:t>
      </w:r>
    </w:p>
    <w:p w:rsidR="005F7AE5" w:rsidRDefault="005F7AE5" w:rsidP="005F7AE5">
      <w:pPr>
        <w:pStyle w:val="a3"/>
        <w:jc w:val="both"/>
      </w:pPr>
      <w:r>
        <w:t>жилых домов, жилых помещений;</w:t>
      </w:r>
    </w:p>
    <w:p w:rsidR="005F7AE5" w:rsidRDefault="005F7AE5" w:rsidP="005F7AE5">
      <w:pPr>
        <w:pStyle w:val="a3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F7AE5" w:rsidRDefault="005F7AE5" w:rsidP="005F7AE5">
      <w:pPr>
        <w:pStyle w:val="a3"/>
        <w:jc w:val="both"/>
      </w:pPr>
      <w:r>
        <w:lastRenderedPageBreak/>
        <w:t>единых недвижимых комплексов, в состав которых входит хотя бы одно жилое помещение (жилой дом);</w:t>
      </w:r>
    </w:p>
    <w:p w:rsidR="005F7AE5" w:rsidRDefault="005F7AE5" w:rsidP="005F7AE5">
      <w:pPr>
        <w:pStyle w:val="a3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;</w:t>
      </w:r>
    </w:p>
    <w:p w:rsidR="005F7AE5" w:rsidRDefault="005F7AE5" w:rsidP="005F7AE5">
      <w:pPr>
        <w:pStyle w:val="a3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F7AE5" w:rsidRDefault="005F7AE5" w:rsidP="005F7AE5">
      <w:pPr>
        <w:pStyle w:val="a3"/>
        <w:jc w:val="both"/>
      </w:pPr>
      <w:r>
        <w:t>2) </w:t>
      </w:r>
      <w:r>
        <w:rPr>
          <w:rStyle w:val="a5"/>
        </w:rPr>
        <w:t> 2,0 процента</w:t>
      </w:r>
      <w:r>
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</w:r>
    </w:p>
    <w:p w:rsidR="005F7AE5" w:rsidRDefault="005F7AE5" w:rsidP="005F7AE5">
      <w:pPr>
        <w:pStyle w:val="a3"/>
        <w:jc w:val="both"/>
      </w:pPr>
      <w:r>
        <w:t>3) </w:t>
      </w:r>
      <w:r>
        <w:rPr>
          <w:rStyle w:val="a5"/>
        </w:rPr>
        <w:t> 0,5 процента</w:t>
      </w:r>
      <w:r>
        <w:t xml:space="preserve"> в отношении прочих объектов налогообложения.</w:t>
      </w:r>
    </w:p>
    <w:p w:rsidR="005F7AE5" w:rsidRDefault="005F7AE5" w:rsidP="005F7AE5">
      <w:pPr>
        <w:pStyle w:val="a3"/>
        <w:jc w:val="both"/>
      </w:pPr>
      <w:proofErr w:type="gramStart"/>
      <w:r>
        <w:t>Представительными органами муниципальных образований налоговые ставки, за исключением указанных в пунктах 2 и 3, могут быть уменьшены до нуля или увеличены, но не более чем в три раза.</w:t>
      </w:r>
      <w:proofErr w:type="gramEnd"/>
    </w:p>
    <w:p w:rsidR="005F7AE5" w:rsidRDefault="005F7AE5" w:rsidP="005F7AE5">
      <w:pPr>
        <w:pStyle w:val="a3"/>
        <w:jc w:val="both"/>
      </w:pPr>
      <w:r>
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</w:pPr>
      <w:r>
        <w:rPr>
          <w:noProof/>
        </w:rPr>
        <w:drawing>
          <wp:inline distT="0" distB="0" distL="0" distR="0">
            <wp:extent cx="1035050" cy="1054100"/>
            <wp:effectExtent l="19050" t="0" r="0" b="0"/>
            <wp:docPr id="4" name="Рисунок 4" descr="кар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Льготы по уплате налога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 xml:space="preserve">Льготы, </w:t>
      </w:r>
      <w:r>
        <w:t xml:space="preserve">освобождающие от уплаты налога, установлены Налоговым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 </w:t>
      </w:r>
      <w:r>
        <w:rPr>
          <w:rStyle w:val="a5"/>
        </w:rPr>
        <w:t>в отношении 15 категорий налогоплательщиков:</w:t>
      </w:r>
    </w:p>
    <w:p w:rsidR="005F7AE5" w:rsidRDefault="005F7AE5" w:rsidP="005F7AE5">
      <w:pPr>
        <w:pStyle w:val="a3"/>
        <w:jc w:val="both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5F7AE5" w:rsidRDefault="005F7AE5" w:rsidP="005F7AE5">
      <w:pPr>
        <w:pStyle w:val="a3"/>
        <w:jc w:val="both"/>
      </w:pPr>
      <w:r>
        <w:t>2) инвалиды I и II групп инвалидности;</w:t>
      </w:r>
    </w:p>
    <w:p w:rsidR="005F7AE5" w:rsidRDefault="005F7AE5" w:rsidP="005F7AE5">
      <w:pPr>
        <w:pStyle w:val="a3"/>
        <w:jc w:val="both"/>
      </w:pPr>
      <w:r>
        <w:t>3) инвалиды с детства;</w:t>
      </w:r>
    </w:p>
    <w:p w:rsidR="005F7AE5" w:rsidRDefault="005F7AE5" w:rsidP="005F7AE5">
      <w:pPr>
        <w:pStyle w:val="a3"/>
        <w:jc w:val="both"/>
      </w:pPr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F7AE5" w:rsidRDefault="005F7AE5" w:rsidP="005F7AE5">
      <w:pPr>
        <w:pStyle w:val="a3"/>
        <w:jc w:val="both"/>
      </w:pPr>
      <w:proofErr w:type="gramStart"/>
      <w: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</w:t>
      </w:r>
      <w:r>
        <w:lastRenderedPageBreak/>
        <w:t>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t xml:space="preserve"> частей действующей армии;</w:t>
      </w:r>
    </w:p>
    <w:p w:rsidR="005F7AE5" w:rsidRDefault="005F7AE5" w:rsidP="005F7AE5">
      <w:pPr>
        <w:pStyle w:val="a3"/>
        <w:jc w:val="both"/>
      </w:pPr>
      <w:proofErr w:type="gramStart"/>
      <w:r>
        <w:t xml:space="preserve">6) лица, имеющие право на получение социальной поддержки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>
        <w:t xml:space="preserve"> </w:t>
      </w:r>
      <w:proofErr w:type="spellStart"/>
      <w:r>
        <w:t>Теча</w:t>
      </w:r>
      <w:proofErr w:type="spellEnd"/>
      <w:r>
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F7AE5" w:rsidRDefault="005F7AE5" w:rsidP="005F7AE5">
      <w:pPr>
        <w:pStyle w:val="a3"/>
        <w:jc w:val="both"/>
      </w:pPr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F7AE5" w:rsidRDefault="005F7AE5" w:rsidP="005F7AE5">
      <w:pPr>
        <w:pStyle w:val="a3"/>
        <w:jc w:val="both"/>
      </w:pPr>
      <w: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F7AE5" w:rsidRDefault="005F7AE5" w:rsidP="005F7AE5">
      <w:pPr>
        <w:pStyle w:val="a3"/>
        <w:jc w:val="both"/>
      </w:pPr>
      <w:r>
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</w:r>
    </w:p>
    <w:p w:rsidR="005F7AE5" w:rsidRDefault="005F7AE5" w:rsidP="005F7AE5">
      <w:pPr>
        <w:pStyle w:val="a3"/>
        <w:jc w:val="both"/>
      </w:pPr>
      <w:r>
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F7AE5" w:rsidRDefault="005F7AE5" w:rsidP="005F7AE5">
      <w:pPr>
        <w:pStyle w:val="a3"/>
        <w:jc w:val="both"/>
      </w:pPr>
      <w: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F7AE5" w:rsidRDefault="005F7AE5" w:rsidP="005F7AE5">
      <w:pPr>
        <w:pStyle w:val="a3"/>
        <w:jc w:val="both"/>
      </w:pPr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F7AE5" w:rsidRDefault="005F7AE5" w:rsidP="005F7AE5">
      <w:pPr>
        <w:pStyle w:val="a3"/>
        <w:jc w:val="both"/>
      </w:pPr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5F7AE5" w:rsidRDefault="005F7AE5" w:rsidP="005F7AE5">
      <w:pPr>
        <w:pStyle w:val="a3"/>
        <w:jc w:val="both"/>
      </w:pPr>
      <w:r>
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</w:r>
    </w:p>
    <w:p w:rsidR="005F7AE5" w:rsidRDefault="005F7AE5" w:rsidP="005F7AE5">
      <w:pPr>
        <w:pStyle w:val="a3"/>
        <w:jc w:val="both"/>
      </w:pPr>
      <w:r>
        <w:t xml:space="preserve"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</w:t>
      </w:r>
      <w: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>Представительные органы муниципальных образований вправе устанавливать дополнительные льготы.</w:t>
      </w:r>
    </w:p>
    <w:p w:rsidR="005F7AE5" w:rsidRDefault="005F7AE5" w:rsidP="005F7AE5">
      <w:pPr>
        <w:pStyle w:val="a3"/>
        <w:jc w:val="both"/>
      </w:pPr>
      <w:r>
        <w:t xml:space="preserve">Льготы предоставляются </w:t>
      </w:r>
      <w:proofErr w:type="gramStart"/>
      <w:r>
        <w:t xml:space="preserve">в отношении </w:t>
      </w:r>
      <w:r>
        <w:rPr>
          <w:rStyle w:val="a5"/>
        </w:rPr>
        <w:t>одного</w:t>
      </w:r>
      <w:r>
        <w:t xml:space="preserve"> объекта налогообложения </w:t>
      </w:r>
      <w:r>
        <w:rPr>
          <w:rStyle w:val="a5"/>
        </w:rPr>
        <w:t>каждого вида</w:t>
      </w:r>
      <w:r>
        <w:t xml:space="preserve">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5F7AE5" w:rsidRDefault="005F7AE5" w:rsidP="005F7AE5">
      <w:pPr>
        <w:pStyle w:val="a3"/>
        <w:jc w:val="both"/>
      </w:pPr>
      <w:r>
        <w:t xml:space="preserve">Лицо, имеющее право на налоговую льготу, представляет </w:t>
      </w:r>
      <w:hyperlink r:id="rId12" w:history="1">
        <w:r>
          <w:rPr>
            <w:rStyle w:val="a4"/>
          </w:rPr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>Уведомление</w:t>
      </w:r>
      <w: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>
        <w:rPr>
          <w:rStyle w:val="a5"/>
        </w:rPr>
        <w:t>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F7AE5" w:rsidRDefault="005F7AE5" w:rsidP="005F7AE5">
      <w:pPr>
        <w:pStyle w:val="a3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F7AE5" w:rsidRDefault="005F7AE5" w:rsidP="005F7AE5">
      <w:pPr>
        <w:pStyle w:val="a3"/>
        <w:jc w:val="both"/>
      </w:pPr>
      <w:r>
        <w:t xml:space="preserve">Налоговая льгота предоставляется в отношении объекта налогообложения, </w:t>
      </w:r>
      <w:r>
        <w:rPr>
          <w:rStyle w:val="a5"/>
        </w:rPr>
        <w:t>не используемого налогоплательщиком в предпринимательской деятельности.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</w:pPr>
      <w:r>
        <w:rPr>
          <w:noProof/>
        </w:rPr>
        <w:drawing>
          <wp:inline distT="0" distB="0" distL="0" distR="0">
            <wp:extent cx="1257300" cy="1054100"/>
            <wp:effectExtent l="19050" t="0" r="0" b="0"/>
            <wp:docPr id="5" name="Рисунок 5" descr="кар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E5" w:rsidRDefault="005F7AE5" w:rsidP="005F7AE5">
      <w:pPr>
        <w:pStyle w:val="a3"/>
      </w:pPr>
      <w:r>
        <w:rPr>
          <w:sz w:val="36"/>
          <w:szCs w:val="36"/>
        </w:rPr>
        <w:t>Расчет налога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  <w:jc w:val="both"/>
      </w:pPr>
      <w:r>
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</w:r>
    </w:p>
    <w:p w:rsidR="005F7AE5" w:rsidRDefault="005F7AE5" w:rsidP="005F7AE5">
      <w:pPr>
        <w:pStyle w:val="a3"/>
        <w:jc w:val="both"/>
      </w:pPr>
      <w:r>
        <w:t xml:space="preserve">Понижающие коэффициенты применяются в первые четыре налоговых периода. </w:t>
      </w:r>
      <w:r>
        <w:rPr>
          <w:rStyle w:val="a5"/>
        </w:rPr>
        <w:t>Полная сумма налога будет уплачиваться только через пять лет.</w:t>
      </w:r>
    </w:p>
    <w:p w:rsidR="005F7AE5" w:rsidRDefault="005F7AE5" w:rsidP="005F7AE5">
      <w:pPr>
        <w:pStyle w:val="a3"/>
        <w:jc w:val="both"/>
      </w:pPr>
      <w:r>
        <w:t>Расчет налога проводится по формуле: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</w:pPr>
      <w:r>
        <w:lastRenderedPageBreak/>
        <w:t>где понижающий коэффициент:</w:t>
      </w:r>
    </w:p>
    <w:p w:rsidR="005F7AE5" w:rsidRDefault="005F7AE5" w:rsidP="005F7AE5">
      <w:pPr>
        <w:pStyle w:val="a3"/>
      </w:pPr>
      <w:r>
        <w:t>0,2 – применяется в первом году введения налога,</w:t>
      </w:r>
    </w:p>
    <w:p w:rsidR="005F7AE5" w:rsidRDefault="005F7AE5" w:rsidP="005F7AE5">
      <w:pPr>
        <w:pStyle w:val="a3"/>
      </w:pPr>
      <w:r>
        <w:t>0,4 – во втором году введения налога,</w:t>
      </w:r>
    </w:p>
    <w:p w:rsidR="005F7AE5" w:rsidRDefault="005F7AE5" w:rsidP="005F7AE5">
      <w:pPr>
        <w:pStyle w:val="a3"/>
      </w:pPr>
      <w:r>
        <w:t>0,6 – в третьем году,</w:t>
      </w:r>
    </w:p>
    <w:p w:rsidR="005F7AE5" w:rsidRDefault="005F7AE5" w:rsidP="005F7AE5">
      <w:pPr>
        <w:pStyle w:val="a3"/>
      </w:pPr>
      <w:r>
        <w:t>0,8 – в четвертом году.</w:t>
      </w:r>
    </w:p>
    <w:p w:rsidR="005F7AE5" w:rsidRDefault="005F7AE5" w:rsidP="005F7AE5">
      <w:pPr>
        <w:pStyle w:val="a3"/>
        <w:jc w:val="both"/>
      </w:pPr>
      <w:r>
        <w:t xml:space="preserve">В случае если сумма налога исходя из инвентаризационной стоимости выше суммы налога исходя из кадастровой стоимости, сумма налога, подлежащая уплате, исчисляется исходя из кадастровой стоимости без учета понижающего </w:t>
      </w:r>
      <w:proofErr w:type="spellStart"/>
      <w:r>
        <w:t>коэффициента</w:t>
      </w:r>
      <w:proofErr w:type="gramStart"/>
      <w:r>
        <w:t>.Д</w:t>
      </w:r>
      <w:proofErr w:type="gramEnd"/>
      <w:r>
        <w:t>ля</w:t>
      </w:r>
      <w:proofErr w:type="spellEnd"/>
      <w:r>
        <w:t xml:space="preserve"> расчета налога на сайте ФНС России действует «Налоговый калькулятор».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  <w:jc w:val="both"/>
      </w:pPr>
      <w:r>
        <w:rPr>
          <w:noProof/>
        </w:rPr>
        <w:drawing>
          <wp:inline distT="0" distB="0" distL="0" distR="0">
            <wp:extent cx="927100" cy="914400"/>
            <wp:effectExtent l="19050" t="0" r="6350" b="0"/>
            <wp:docPr id="6" name="Рисунок 6" descr="кар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Основания уплаты налога</w:t>
      </w:r>
    </w:p>
    <w:p w:rsidR="005F7AE5" w:rsidRDefault="005F7AE5" w:rsidP="005F7AE5">
      <w:pPr>
        <w:pStyle w:val="a3"/>
        <w:jc w:val="both"/>
      </w:pPr>
      <w:r>
        <w:t xml:space="preserve">Налог уплачивается на основании </w:t>
      </w:r>
      <w:r>
        <w:rPr>
          <w:rStyle w:val="a5"/>
        </w:rPr>
        <w:t>налогового уведомления</w:t>
      </w:r>
      <w:r>
        <w:t>, направляемого налогоплательщику налоговым органом</w:t>
      </w:r>
      <w:r>
        <w:rPr>
          <w:rStyle w:val="a5"/>
        </w:rPr>
        <w:t xml:space="preserve"> путем размещения в «Личном кабинете налогоплательщика».</w:t>
      </w:r>
    </w:p>
    <w:p w:rsidR="005F7AE5" w:rsidRDefault="005F7AE5" w:rsidP="005F7AE5">
      <w:pPr>
        <w:pStyle w:val="a3"/>
        <w:jc w:val="both"/>
      </w:pPr>
      <w:r>
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rPr>
          <w:b/>
          <w:bCs/>
          <w:noProof/>
        </w:rPr>
        <w:drawing>
          <wp:inline distT="0" distB="0" distL="0" distR="0">
            <wp:extent cx="1035050" cy="1003300"/>
            <wp:effectExtent l="19050" t="0" r="0" b="0"/>
            <wp:docPr id="7" name="Рисунок 7" descr="карт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sz w:val="36"/>
          <w:szCs w:val="36"/>
        </w:rPr>
        <w:t>Сроки уплаты налога</w:t>
      </w:r>
    </w:p>
    <w:p w:rsidR="005F7AE5" w:rsidRDefault="005F7AE5" w:rsidP="005F7AE5">
      <w:pPr>
        <w:pStyle w:val="a3"/>
        <w:jc w:val="both"/>
      </w:pPr>
      <w:r>
        <w:rPr>
          <w:rStyle w:val="a5"/>
        </w:rPr>
        <w:t>Не позднее 1 декабря года,</w:t>
      </w:r>
      <w:r>
        <w:t xml:space="preserve"> следующего за истекшим налоговым периодом (например, за 2018 год – срок уплаты не позднее 01.12.2019).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130300" cy="800100"/>
            <wp:effectExtent l="19050" t="0" r="0" b="0"/>
            <wp:docPr id="8" name="Рисунок 8" descr="карт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Информация о кадастровой стоимости объектов недвижимости</w:t>
      </w:r>
    </w:p>
    <w:p w:rsidR="005F7AE5" w:rsidRDefault="005F7AE5" w:rsidP="005F7AE5">
      <w:pPr>
        <w:pStyle w:val="a3"/>
        <w:jc w:val="both"/>
      </w:pPr>
      <w:r>
        <w:t xml:space="preserve">на сайте </w:t>
      </w:r>
      <w:proofErr w:type="spellStart"/>
      <w:r>
        <w:t>Росреестра</w:t>
      </w:r>
      <w:proofErr w:type="spellEnd"/>
      <w:r>
        <w:t xml:space="preserve">  </w:t>
      </w:r>
      <w:hyperlink r:id="rId17" w:history="1">
        <w:r>
          <w:rPr>
            <w:rStyle w:val="a4"/>
          </w:rPr>
          <w:t xml:space="preserve">«Кадастровая стоимость </w:t>
        </w:r>
        <w:proofErr w:type="spellStart"/>
        <w:r>
          <w:rPr>
            <w:rStyle w:val="a4"/>
          </w:rPr>
          <w:t>онлайн</w:t>
        </w:r>
        <w:proofErr w:type="spellEnd"/>
        <w:r>
          <w:rPr>
            <w:rStyle w:val="a4"/>
          </w:rPr>
          <w:t>»</w:t>
        </w:r>
      </w:hyperlink>
      <w:r>
        <w:t>.</w:t>
      </w:r>
    </w:p>
    <w:p w:rsidR="005F7AE5" w:rsidRDefault="005F7AE5" w:rsidP="005F7AE5">
      <w:pPr>
        <w:pStyle w:val="a3"/>
        <w:jc w:val="both"/>
      </w:pPr>
      <w:r>
        <w:t> </w:t>
      </w:r>
    </w:p>
    <w:p w:rsidR="005F7AE5" w:rsidRDefault="005F7AE5" w:rsidP="005F7AE5">
      <w:pPr>
        <w:pStyle w:val="a3"/>
        <w:jc w:val="both"/>
      </w:pPr>
      <w:r>
        <w:rPr>
          <w:noProof/>
        </w:rPr>
        <w:drawing>
          <wp:inline distT="0" distB="0" distL="0" distR="0">
            <wp:extent cx="1371600" cy="800100"/>
            <wp:effectExtent l="19050" t="0" r="0" b="0"/>
            <wp:docPr id="9" name="Рисунок 9" descr="карт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Как оспорить кадастровую стоимость объектов недвижимости</w:t>
      </w:r>
    </w:p>
    <w:p w:rsidR="005F7AE5" w:rsidRDefault="005F7AE5" w:rsidP="005F7AE5">
      <w:pPr>
        <w:pStyle w:val="a3"/>
      </w:pPr>
      <w:r>
        <w:t>Оспаривание результатов кадастровой оценки может быть осуществлено:</w:t>
      </w:r>
    </w:p>
    <w:p w:rsidR="005F7AE5" w:rsidRDefault="005F7AE5" w:rsidP="005F7AE5">
      <w:pPr>
        <w:pStyle w:val="a3"/>
      </w:pPr>
      <w:r>
        <w:t>подача иска в суд.</w:t>
      </w:r>
    </w:p>
    <w:p w:rsidR="005F7AE5" w:rsidRDefault="005F7AE5" w:rsidP="005F7AE5">
      <w:pPr>
        <w:pStyle w:val="a3"/>
      </w:pPr>
      <w:r>
        <w:t xml:space="preserve">Комиссии по рассмотрению споров о кадастровой стоимости созданы и функционируют при каждом управлении </w:t>
      </w:r>
      <w:proofErr w:type="spellStart"/>
      <w:r>
        <w:t>Росреестра</w:t>
      </w:r>
      <w:proofErr w:type="spellEnd"/>
      <w:r>
        <w:t>.</w:t>
      </w:r>
    </w:p>
    <w:p w:rsidR="005F7AE5" w:rsidRDefault="005F7AE5" w:rsidP="005F7AE5">
      <w:pPr>
        <w:pStyle w:val="a3"/>
      </w:pPr>
      <w:r>
        <w:t> </w:t>
      </w:r>
    </w:p>
    <w:p w:rsidR="005F7AE5" w:rsidRDefault="005F7AE5" w:rsidP="005F7AE5">
      <w:pPr>
        <w:pStyle w:val="a3"/>
        <w:jc w:val="both"/>
      </w:pPr>
      <w:r>
        <w:t> </w:t>
      </w:r>
    </w:p>
    <w:sectPr w:rsidR="005F7AE5" w:rsidSect="008B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AE5"/>
    <w:rsid w:val="00502EF6"/>
    <w:rsid w:val="005F7AE5"/>
    <w:rsid w:val="008B304A"/>
    <w:rsid w:val="009953C0"/>
    <w:rsid w:val="00AB6343"/>
    <w:rsid w:val="00B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AE5"/>
    <w:rPr>
      <w:color w:val="0000FF"/>
      <w:u w:val="single"/>
    </w:rPr>
  </w:style>
  <w:style w:type="character" w:styleId="a5">
    <w:name w:val="Strong"/>
    <w:basedOn w:val="a0"/>
    <w:uiPriority w:val="22"/>
    <w:qFormat/>
    <w:rsid w:val="005F7AE5"/>
    <w:rPr>
      <w:b/>
      <w:bCs/>
    </w:rPr>
  </w:style>
  <w:style w:type="character" w:styleId="a6">
    <w:name w:val="Emphasis"/>
    <w:basedOn w:val="a0"/>
    <w:uiPriority w:val="20"/>
    <w:qFormat/>
    <w:rsid w:val="005F7A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279F53E942C3FE12F349D33B24211DFFE5CE5F2EF66764081418AB085AD42801A9C75B48916165295BB0P" TargetMode="External"/><Relationship Id="rId17" Type="http://schemas.openxmlformats.org/officeDocument/2006/relationships/hyperlink" Target="http://rosreestr-online.com/kadastrovaya-stoimos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56BD338A19B4AAC4592C186BF4E166B60E90B57A82716F8j3iAH" TargetMode="External"/><Relationship Id="rId11" Type="http://schemas.openxmlformats.org/officeDocument/2006/relationships/hyperlink" Target="consultantplus://offline/ref=CE0DB02085F042E6DDA63D9E8C157713218BA0D024AE247A2DFD4C75B4J66A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consultantplus://offline/ref=B38582C89143BC9616A09BA45EE25B96C683940CD7214FC50C78462531F52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26D6-8927-4628-8B3D-10B1ABC5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2017-08-29T10:43:00Z</dcterms:created>
  <dcterms:modified xsi:type="dcterms:W3CDTF">2017-08-31T10:00:00Z</dcterms:modified>
</cp:coreProperties>
</file>