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E4" w:rsidRDefault="00D033E4" w:rsidP="00D033E4">
      <w:pPr>
        <w:spacing w:line="260" w:lineRule="exact"/>
        <w:ind w:left="-426"/>
        <w:contextualSpacing/>
        <w:jc w:val="right"/>
        <w:rPr>
          <w:rFonts w:ascii="CharterC" w:hAnsi="CharterC"/>
          <w:b/>
          <w:color w:val="0F8061"/>
          <w:sz w:val="32"/>
          <w:szCs w:val="32"/>
        </w:rPr>
      </w:pPr>
      <w:bookmarkStart w:id="0" w:name="_GoBack"/>
      <w:bookmarkEnd w:id="0"/>
      <w:r>
        <w:rPr>
          <w:rFonts w:ascii="CharterC" w:hAnsi="CharterC"/>
          <w:b/>
          <w:color w:val="0F8061"/>
          <w:sz w:val="32"/>
          <w:szCs w:val="32"/>
        </w:rPr>
        <w:t>Справка</w:t>
      </w:r>
    </w:p>
    <w:p w:rsidR="00D033E4" w:rsidRDefault="00D033E4" w:rsidP="00D033E4">
      <w:pPr>
        <w:spacing w:line="260" w:lineRule="exact"/>
        <w:ind w:left="-426"/>
        <w:contextualSpacing/>
        <w:jc w:val="right"/>
        <w:rPr>
          <w:rFonts w:ascii="CharterC" w:hAnsi="CharterC"/>
          <w:b/>
          <w:color w:val="0F8061"/>
          <w:sz w:val="32"/>
          <w:szCs w:val="32"/>
        </w:rPr>
      </w:pPr>
    </w:p>
    <w:p w:rsidR="00D033E4" w:rsidRDefault="00D033E4" w:rsidP="00D033E4">
      <w:pPr>
        <w:spacing w:line="260" w:lineRule="exact"/>
        <w:ind w:left="-426"/>
        <w:contextualSpacing/>
        <w:jc w:val="right"/>
        <w:rPr>
          <w:rFonts w:ascii="CharterC" w:hAnsi="CharterC"/>
          <w:b/>
          <w:color w:val="0F8061"/>
          <w:sz w:val="32"/>
          <w:szCs w:val="32"/>
        </w:rPr>
      </w:pPr>
    </w:p>
    <w:p w:rsidR="00D033E4" w:rsidRDefault="00D033E4" w:rsidP="00D033E4">
      <w:pPr>
        <w:spacing w:line="260" w:lineRule="exact"/>
        <w:ind w:left="-426"/>
        <w:contextualSpacing/>
        <w:jc w:val="right"/>
        <w:rPr>
          <w:rFonts w:ascii="CharterC" w:hAnsi="CharterC"/>
          <w:b/>
          <w:color w:val="0F8061"/>
          <w:sz w:val="32"/>
          <w:szCs w:val="32"/>
        </w:rPr>
      </w:pPr>
    </w:p>
    <w:p w:rsidR="00D033E4" w:rsidRPr="00190067" w:rsidRDefault="00D033E4" w:rsidP="00D033E4">
      <w:pPr>
        <w:spacing w:after="160" w:line="259" w:lineRule="auto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190067">
        <w:rPr>
          <w:rFonts w:ascii="Times New Roman" w:hAnsi="Times New Roman" w:cs="Times New Roman"/>
          <w:b/>
          <w:sz w:val="24"/>
        </w:rPr>
        <w:t>Справка о динамике составляющей предельных уровней нерегулируемых цен на розничном рынке, соответствующей стоимости мощности (цена трансляции мощности)</w:t>
      </w:r>
    </w:p>
    <w:p w:rsidR="00D033E4" w:rsidRPr="00190067" w:rsidRDefault="00D033E4" w:rsidP="00D033E4">
      <w:pPr>
        <w:spacing w:after="160" w:line="259" w:lineRule="auto"/>
        <w:ind w:left="-284"/>
        <w:jc w:val="both"/>
        <w:rPr>
          <w:rFonts w:ascii="Times New Roman" w:hAnsi="Times New Roman" w:cs="Times New Roman"/>
        </w:rPr>
      </w:pPr>
      <w:r w:rsidRPr="00190067">
        <w:rPr>
          <w:rFonts w:ascii="Times New Roman" w:hAnsi="Times New Roman" w:cs="Times New Roman"/>
        </w:rPr>
        <w:t>В мае-июне 2017 года в первой ценовой зоне произошло существенное снижение цены трансляции мощности (на 6% и 16% относительно уровня прошлого месяца, соответственно).</w:t>
      </w:r>
    </w:p>
    <w:p w:rsidR="00D033E4" w:rsidRPr="00190067" w:rsidRDefault="00D033E4" w:rsidP="00D033E4">
      <w:pPr>
        <w:spacing w:after="160" w:line="259" w:lineRule="auto"/>
        <w:ind w:left="-284"/>
        <w:jc w:val="both"/>
        <w:rPr>
          <w:rFonts w:ascii="Times New Roman" w:hAnsi="Times New Roman" w:cs="Times New Roman"/>
        </w:rPr>
      </w:pPr>
      <w:r w:rsidRPr="00190067">
        <w:rPr>
          <w:rFonts w:ascii="Times New Roman" w:hAnsi="Times New Roman" w:cs="Times New Roman"/>
        </w:rPr>
        <w:t>Динамика средневзвешенной цены трансляции мощности и фактической нерегулируемой цены мощности для первой ценовой зоны за первое полугодие 2017 года приведена на графике.</w:t>
      </w:r>
    </w:p>
    <w:p w:rsidR="00D033E4" w:rsidRPr="00190067" w:rsidRDefault="00D033E4" w:rsidP="00D033E4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19006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B6B886" wp14:editId="45D1D20F">
            <wp:extent cx="50292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33E4" w:rsidRPr="00190067" w:rsidRDefault="00D033E4" w:rsidP="00D033E4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D033E4" w:rsidRPr="00190067" w:rsidRDefault="00D033E4" w:rsidP="00D033E4">
      <w:pPr>
        <w:spacing w:after="160" w:line="259" w:lineRule="auto"/>
        <w:ind w:left="-284"/>
        <w:jc w:val="both"/>
        <w:rPr>
          <w:rFonts w:ascii="Times New Roman" w:hAnsi="Times New Roman" w:cs="Times New Roman"/>
        </w:rPr>
      </w:pPr>
      <w:r w:rsidRPr="00190067">
        <w:rPr>
          <w:rFonts w:ascii="Times New Roman" w:hAnsi="Times New Roman" w:cs="Times New Roman"/>
        </w:rPr>
        <w:t>Цена трансляции мощности за июнь была ниже полугодового значения примерно на 8% и ниже фактической цены на мощность на оптовом рынке в июне примерно на 13%.</w:t>
      </w:r>
    </w:p>
    <w:p w:rsidR="00D033E4" w:rsidRPr="00190067" w:rsidRDefault="00D033E4" w:rsidP="00D033E4">
      <w:pPr>
        <w:spacing w:after="160" w:line="259" w:lineRule="auto"/>
        <w:ind w:left="-284"/>
        <w:jc w:val="both"/>
        <w:rPr>
          <w:rFonts w:ascii="Times New Roman" w:hAnsi="Times New Roman" w:cs="Times New Roman"/>
        </w:rPr>
      </w:pPr>
      <w:r w:rsidRPr="00190067">
        <w:rPr>
          <w:rFonts w:ascii="Times New Roman" w:hAnsi="Times New Roman" w:cs="Times New Roman"/>
        </w:rPr>
        <w:t>Относительно «низкий» уровень цены трансляции мощности за июнь относительно фактической цены на мощность оптового рынка, даст вклад в увеличение цены трансляции мощности за июль относительно июня примерно на 18%.</w:t>
      </w:r>
    </w:p>
    <w:p w:rsidR="00D033E4" w:rsidRPr="00190067" w:rsidRDefault="00D033E4" w:rsidP="00D033E4">
      <w:pPr>
        <w:spacing w:after="160" w:line="259" w:lineRule="auto"/>
        <w:ind w:left="-284"/>
        <w:jc w:val="both"/>
        <w:rPr>
          <w:rFonts w:ascii="Times New Roman" w:hAnsi="Times New Roman" w:cs="Times New Roman"/>
        </w:rPr>
      </w:pPr>
      <w:r w:rsidRPr="00190067">
        <w:rPr>
          <w:rFonts w:ascii="Times New Roman" w:hAnsi="Times New Roman" w:cs="Times New Roman"/>
        </w:rPr>
        <w:t xml:space="preserve">31 июля 2017 года опубликовано и вступило в силу постановление Правительства Российской Федерации от 28.07.2017 г. №895 «О достижении на территориях Дальневосточного федерального округа базовых уровней цен (тарифов) на </w:t>
      </w:r>
      <w:r w:rsidRPr="00190067">
        <w:rPr>
          <w:rFonts w:ascii="Times New Roman" w:hAnsi="Times New Roman" w:cs="Times New Roman"/>
        </w:rPr>
        <w:lastRenderedPageBreak/>
        <w:t>электрическую энергию (мощность)», в соответствии с которым, Ассоциация ожидает рост оптовой цены на мощность в июле относительно июня примерно на 13%. Остальные факторы, в частности изменение цен на объекты новых АЭС, приведут к дополнительному увеличению цены примерно еще 2%.</w:t>
      </w:r>
    </w:p>
    <w:p w:rsidR="00D033E4" w:rsidRPr="00190067" w:rsidRDefault="00D033E4" w:rsidP="00D033E4">
      <w:pPr>
        <w:spacing w:after="160" w:line="259" w:lineRule="auto"/>
        <w:ind w:left="-284"/>
        <w:jc w:val="both"/>
        <w:rPr>
          <w:rFonts w:ascii="Times New Roman" w:hAnsi="Times New Roman" w:cs="Times New Roman"/>
        </w:rPr>
      </w:pPr>
      <w:r w:rsidRPr="00190067">
        <w:rPr>
          <w:rFonts w:ascii="Times New Roman" w:hAnsi="Times New Roman" w:cs="Times New Roman"/>
        </w:rPr>
        <w:t>Кроме того, указанным постановлением внесены изменения в Правила определения и применения гарантирующими поставщиками нерегулируемых цен на электрическую энергию (мощность), в соответствии с которыми цена трансляции мощности за соответствующий месяц будет определяться исходя из цены оптового рынка данного, а не предыдущего месяца. Таким образом, при расчете цены трансляции за июль 2017 года будет учтен рост цен оптового рынка в июле относительно июня.</w:t>
      </w:r>
    </w:p>
    <w:p w:rsidR="00D033E4" w:rsidRPr="00190067" w:rsidRDefault="00D033E4" w:rsidP="00D033E4">
      <w:pPr>
        <w:spacing w:after="160" w:line="259" w:lineRule="auto"/>
        <w:ind w:left="-284"/>
        <w:jc w:val="both"/>
        <w:rPr>
          <w:rFonts w:ascii="Times New Roman" w:hAnsi="Times New Roman" w:cs="Times New Roman"/>
        </w:rPr>
      </w:pPr>
      <w:r w:rsidRPr="00190067">
        <w:rPr>
          <w:rFonts w:ascii="Times New Roman" w:hAnsi="Times New Roman" w:cs="Times New Roman"/>
        </w:rPr>
        <w:t>Итоговый совокупный эффект указанных выше факторов приведет к росту цены трансляции мощности в среднем по регионам около 40%.</w:t>
      </w:r>
    </w:p>
    <w:p w:rsidR="00D033E4" w:rsidRPr="00190067" w:rsidRDefault="00D033E4" w:rsidP="00D033E4">
      <w:pPr>
        <w:spacing w:after="160" w:line="259" w:lineRule="auto"/>
        <w:ind w:left="-284"/>
        <w:jc w:val="both"/>
        <w:rPr>
          <w:rFonts w:ascii="Times New Roman" w:hAnsi="Times New Roman" w:cs="Times New Roman"/>
        </w:rPr>
      </w:pPr>
      <w:r w:rsidRPr="00190067">
        <w:rPr>
          <w:rFonts w:ascii="Times New Roman" w:hAnsi="Times New Roman" w:cs="Times New Roman"/>
        </w:rPr>
        <w:t xml:space="preserve">При этом, с точки зрения Ассоциации, принятые изменения в Правила определения и применения гарантирующими поставщиками нерегулируемых цен на электрическую энергию (мощность) позволят в дальнейшем избежать повышенной волатильности цен трансляции в сравнении с динамикой цен оптового рынка. </w:t>
      </w:r>
    </w:p>
    <w:p w:rsidR="00D033E4" w:rsidRPr="00190067" w:rsidRDefault="00D033E4" w:rsidP="00D033E4">
      <w:pPr>
        <w:spacing w:after="160" w:line="259" w:lineRule="auto"/>
        <w:ind w:left="-284"/>
        <w:jc w:val="both"/>
        <w:rPr>
          <w:rFonts w:ascii="Times New Roman" w:hAnsi="Times New Roman" w:cs="Times New Roman"/>
        </w:rPr>
      </w:pPr>
    </w:p>
    <w:p w:rsidR="00D033E4" w:rsidRPr="00190067" w:rsidRDefault="00D033E4" w:rsidP="00D033E4">
      <w:pPr>
        <w:spacing w:line="260" w:lineRule="exact"/>
        <w:ind w:left="-426"/>
        <w:contextualSpacing/>
        <w:jc w:val="right"/>
        <w:rPr>
          <w:rFonts w:ascii="Times New Roman" w:hAnsi="Times New Roman" w:cs="Times New Roman"/>
          <w:b/>
          <w:color w:val="0F8061"/>
          <w:sz w:val="32"/>
          <w:szCs w:val="32"/>
        </w:rPr>
      </w:pPr>
    </w:p>
    <w:p w:rsidR="00D033E4" w:rsidRPr="00190067" w:rsidRDefault="00D033E4">
      <w:pPr>
        <w:rPr>
          <w:rFonts w:ascii="Times New Roman" w:hAnsi="Times New Roman" w:cs="Times New Roman"/>
        </w:rPr>
      </w:pPr>
    </w:p>
    <w:p w:rsidR="00D033E4" w:rsidRPr="00190067" w:rsidRDefault="00D033E4" w:rsidP="00D033E4">
      <w:pPr>
        <w:rPr>
          <w:rFonts w:ascii="Times New Roman" w:hAnsi="Times New Roman" w:cs="Times New Roman"/>
        </w:rPr>
      </w:pPr>
    </w:p>
    <w:p w:rsidR="00D033E4" w:rsidRDefault="00D033E4"/>
    <w:sectPr w:rsidR="00D033E4" w:rsidSect="00172147">
      <w:footerReference w:type="default" r:id="rId8"/>
      <w:headerReference w:type="first" r:id="rId9"/>
      <w:footerReference w:type="first" r:id="rId10"/>
      <w:pgSz w:w="11906" w:h="16838"/>
      <w:pgMar w:top="1134" w:right="1418" w:bottom="1418" w:left="2835" w:header="3062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B6" w:rsidRDefault="00C972B6">
      <w:pPr>
        <w:spacing w:after="0" w:line="240" w:lineRule="auto"/>
      </w:pPr>
      <w:r>
        <w:separator/>
      </w:r>
    </w:p>
  </w:endnote>
  <w:endnote w:type="continuationSeparator" w:id="0">
    <w:p w:rsidR="00C972B6" w:rsidRDefault="00C9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harter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04" w:rsidRDefault="0071484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D97E25B" wp14:editId="06D38525">
          <wp:simplePos x="0" y="0"/>
          <wp:positionH relativeFrom="page">
            <wp:posOffset>-19050</wp:posOffset>
          </wp:positionH>
          <wp:positionV relativeFrom="page">
            <wp:posOffset>9077325</wp:posOffset>
          </wp:positionV>
          <wp:extent cx="7582588" cy="1619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01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88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04" w:rsidRDefault="0071484F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01E9E09" wp14:editId="11A1A806">
          <wp:simplePos x="0" y="0"/>
          <wp:positionH relativeFrom="page">
            <wp:posOffset>0</wp:posOffset>
          </wp:positionH>
          <wp:positionV relativeFrom="page">
            <wp:posOffset>9090660</wp:posOffset>
          </wp:positionV>
          <wp:extent cx="7586622" cy="16200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01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22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B6" w:rsidRDefault="00C972B6">
      <w:pPr>
        <w:spacing w:after="0" w:line="240" w:lineRule="auto"/>
      </w:pPr>
      <w:r>
        <w:separator/>
      </w:r>
    </w:p>
  </w:footnote>
  <w:footnote w:type="continuationSeparator" w:id="0">
    <w:p w:rsidR="00C972B6" w:rsidRDefault="00C9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04" w:rsidRDefault="0071484F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BA785E0" wp14:editId="64C7CD5F">
          <wp:simplePos x="0" y="0"/>
          <wp:positionH relativeFrom="page">
            <wp:align>left</wp:align>
          </wp:positionH>
          <wp:positionV relativeFrom="paragraph">
            <wp:posOffset>-1944370</wp:posOffset>
          </wp:positionV>
          <wp:extent cx="7563600" cy="1608957"/>
          <wp:effectExtent l="0" t="0" r="0" b="0"/>
          <wp:wrapNone/>
          <wp:docPr id="2" name="Рисунок 2" descr="E:\Data\belova\NWS\BrandBook_new\Guideline_NP-Sovet_rinka\documents\press_release\bitmap!!_fv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ata\belova\NWS\BrandBook_new\Guideline_NP-Sovet_rinka\documents\press_release\bitmap!!_fv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608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57"/>
    <w:rsid w:val="00080283"/>
    <w:rsid w:val="00190067"/>
    <w:rsid w:val="001E2F94"/>
    <w:rsid w:val="005F613E"/>
    <w:rsid w:val="0071484F"/>
    <w:rsid w:val="008E650D"/>
    <w:rsid w:val="00943E10"/>
    <w:rsid w:val="00A64FA7"/>
    <w:rsid w:val="00C15657"/>
    <w:rsid w:val="00C972B6"/>
    <w:rsid w:val="00D0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657"/>
  </w:style>
  <w:style w:type="paragraph" w:styleId="a5">
    <w:name w:val="footer"/>
    <w:basedOn w:val="a"/>
    <w:link w:val="a6"/>
    <w:unhideWhenUsed/>
    <w:rsid w:val="00C1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15657"/>
  </w:style>
  <w:style w:type="character" w:styleId="a7">
    <w:name w:val="Hyperlink"/>
    <w:basedOn w:val="a0"/>
    <w:uiPriority w:val="99"/>
    <w:unhideWhenUsed/>
    <w:rsid w:val="00C1565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3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657"/>
  </w:style>
  <w:style w:type="paragraph" w:styleId="a5">
    <w:name w:val="footer"/>
    <w:basedOn w:val="a"/>
    <w:link w:val="a6"/>
    <w:unhideWhenUsed/>
    <w:rsid w:val="00C1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15657"/>
  </w:style>
  <w:style w:type="character" w:styleId="a7">
    <w:name w:val="Hyperlink"/>
    <w:basedOn w:val="a0"/>
    <w:uiPriority w:val="99"/>
    <w:unhideWhenUsed/>
    <w:rsid w:val="00C1565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88;&#1099;&#1085;&#1086;&#1082;%202017\&#1040;&#1085;&#1072;&#1083;&#1080;&#1090;&#1080;&#1082;&#1072;\&#1058;&#1088;&#1072;&#1085;&#1089;&#1083;&#1103;&#1094;&#1080;&#1103;\&#1048;&#1102;&#1083;&#1100;%20-%20&#1085;&#1086;&#1074;&#1086;&#1089;&#1090;&#1100;%20&#1085;&#1072;%20&#1089;&#1072;&#1081;&#1090;\2017-08-01_&#1076;&#1083;&#1103;_&#1085;&#1086;&#1074;&#1086;&#1089;&#1090;&#1080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569225721784773"/>
          <c:y val="0.22801035287255761"/>
          <c:w val="0.8237521872265966"/>
          <c:h val="0.66459025955088946"/>
        </c:manualLayout>
      </c:layout>
      <c:barChart>
        <c:barDir val="col"/>
        <c:grouping val="clustered"/>
        <c:varyColors val="0"/>
        <c:ser>
          <c:idx val="1"/>
          <c:order val="0"/>
          <c:tx>
            <c:v>цена трансляции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'Динамика СВНЦМ'!$B$27:$B$33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'Динамика СВНЦМ'!$C$15:$C$20</c:f>
              <c:numCache>
                <c:formatCode>#,##0</c:formatCode>
                <c:ptCount val="6"/>
                <c:pt idx="0">
                  <c:v>407634.4511214738</c:v>
                </c:pt>
                <c:pt idx="1">
                  <c:v>621709.13901238004</c:v>
                </c:pt>
                <c:pt idx="2">
                  <c:v>500242.54201625823</c:v>
                </c:pt>
                <c:pt idx="3">
                  <c:v>626395.54989310994</c:v>
                </c:pt>
                <c:pt idx="4">
                  <c:v>585843.27565618709</c:v>
                </c:pt>
                <c:pt idx="5">
                  <c:v>493641.63529462926</c:v>
                </c:pt>
              </c:numCache>
            </c:numRef>
          </c:val>
        </c:ser>
        <c:ser>
          <c:idx val="2"/>
          <c:order val="2"/>
          <c:tx>
            <c:v>цена оптового рынка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'Динамика СВНЦМ'!$B$27:$B$33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'Динамика СВНЦМ'!$U$2:$U$7</c:f>
              <c:numCache>
                <c:formatCode>#,##0</c:formatCode>
                <c:ptCount val="6"/>
                <c:pt idx="0">
                  <c:v>506658.64280289563</c:v>
                </c:pt>
                <c:pt idx="1">
                  <c:v>501025.00553943816</c:v>
                </c:pt>
                <c:pt idx="2">
                  <c:v>562213.62314686761</c:v>
                </c:pt>
                <c:pt idx="3">
                  <c:v>573127.2108987805</c:v>
                </c:pt>
                <c:pt idx="4">
                  <c:v>543938.44439350336</c:v>
                </c:pt>
                <c:pt idx="5">
                  <c:v>564698.91777650977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21748480"/>
        <c:axId val="124303616"/>
      </c:barChart>
      <c:lineChart>
        <c:grouping val="standard"/>
        <c:varyColors val="0"/>
        <c:ser>
          <c:idx val="0"/>
          <c:order val="1"/>
          <c:tx>
            <c:v>цена трансляции (за полугодие)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'Динамика СВНЦМ'!$B$27:$B$32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('Динамика СВНЦМ'!$G$20,'Динамика СВНЦМ'!$G$20,'Динамика СВНЦМ'!$G$20,'Динамика СВНЦМ'!$G$20,'Динамика СВНЦМ'!$G$20,'Динамика СВНЦМ'!$G$20)</c:f>
              <c:numCache>
                <c:formatCode>#,##0</c:formatCode>
                <c:ptCount val="6"/>
                <c:pt idx="0">
                  <c:v>537285.78523925238</c:v>
                </c:pt>
                <c:pt idx="1">
                  <c:v>537285.78523925238</c:v>
                </c:pt>
                <c:pt idx="2">
                  <c:v>537285.78523925238</c:v>
                </c:pt>
                <c:pt idx="3">
                  <c:v>537285.78523925238</c:v>
                </c:pt>
                <c:pt idx="4">
                  <c:v>537285.78523925238</c:v>
                </c:pt>
                <c:pt idx="5">
                  <c:v>537285.78523925238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748480"/>
        <c:axId val="124303616"/>
      </c:lineChart>
      <c:catAx>
        <c:axId val="12174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303616"/>
        <c:crosses val="autoZero"/>
        <c:auto val="1"/>
        <c:lblAlgn val="ctr"/>
        <c:lblOffset val="100"/>
        <c:noMultiLvlLbl val="0"/>
      </c:catAx>
      <c:valAx>
        <c:axId val="12430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руб/МВт</a:t>
                </a:r>
              </a:p>
            </c:rich>
          </c:tx>
          <c:layout>
            <c:manualLayout>
              <c:xMode val="edge"/>
              <c:yMode val="edge"/>
              <c:x val="0.13333333333333333"/>
              <c:y val="0.1972845581802274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74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9.1458223972003497E-2"/>
          <c:y val="2.7777777777777776E-2"/>
          <c:w val="0.84208355205599295"/>
          <c:h val="0.149306649168853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Можаева Влада Витальевна</dc:creator>
  <cp:lastModifiedBy>Губина Елена Николаевна</cp:lastModifiedBy>
  <cp:revision>2</cp:revision>
  <cp:lastPrinted>2017-08-02T10:55:00Z</cp:lastPrinted>
  <dcterms:created xsi:type="dcterms:W3CDTF">2017-08-03T11:46:00Z</dcterms:created>
  <dcterms:modified xsi:type="dcterms:W3CDTF">2017-08-03T11:46:00Z</dcterms:modified>
</cp:coreProperties>
</file>