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ayout w:type="fixed"/>
        <w:tblLook w:val="04A0"/>
      </w:tblPr>
      <w:tblGrid>
        <w:gridCol w:w="2552"/>
        <w:gridCol w:w="1134"/>
        <w:gridCol w:w="1134"/>
        <w:gridCol w:w="1418"/>
        <w:gridCol w:w="1417"/>
        <w:gridCol w:w="1276"/>
        <w:gridCol w:w="1417"/>
      </w:tblGrid>
      <w:tr w:rsidR="005F0439" w:rsidRPr="005F0439" w:rsidTr="00224478">
        <w:trPr>
          <w:trHeight w:val="567"/>
        </w:trPr>
        <w:tc>
          <w:tcPr>
            <w:tcW w:w="10348" w:type="dxa"/>
            <w:gridSpan w:val="7"/>
            <w:tcBorders>
              <w:top w:val="nil"/>
              <w:left w:val="nil"/>
              <w:right w:val="nil"/>
            </w:tcBorders>
            <w:shd w:val="clear" w:color="000000" w:fill="FFFFFF"/>
            <w:noWrap/>
            <w:vAlign w:val="bottom"/>
            <w:hideMark/>
          </w:tcPr>
          <w:p w:rsidR="005F0439" w:rsidRPr="005F0439" w:rsidRDefault="005F0439" w:rsidP="005F0439">
            <w:pPr>
              <w:jc w:val="right"/>
              <w:rPr>
                <w:color w:val="FF0000"/>
                <w:sz w:val="20"/>
                <w:szCs w:val="20"/>
              </w:rPr>
            </w:pPr>
            <w:r w:rsidRPr="005F0439">
              <w:t>Приложение 6</w:t>
            </w:r>
          </w:p>
          <w:p w:rsidR="005F0439" w:rsidRPr="005F0439" w:rsidRDefault="005F0439" w:rsidP="005F0439">
            <w:pPr>
              <w:rPr>
                <w:sz w:val="20"/>
                <w:szCs w:val="20"/>
              </w:rPr>
            </w:pPr>
            <w:r w:rsidRPr="005F0439">
              <w:rPr>
                <w:sz w:val="20"/>
                <w:szCs w:val="20"/>
              </w:rPr>
              <w:t> </w:t>
            </w:r>
          </w:p>
        </w:tc>
      </w:tr>
      <w:tr w:rsidR="005F0439" w:rsidRPr="005F0439" w:rsidTr="00224478">
        <w:trPr>
          <w:trHeight w:val="795"/>
        </w:trPr>
        <w:tc>
          <w:tcPr>
            <w:tcW w:w="10348" w:type="dxa"/>
            <w:gridSpan w:val="7"/>
            <w:tcBorders>
              <w:top w:val="nil"/>
              <w:left w:val="nil"/>
              <w:bottom w:val="nil"/>
              <w:right w:val="nil"/>
            </w:tcBorders>
            <w:shd w:val="clear" w:color="000000" w:fill="FFFFFF"/>
            <w:vAlign w:val="center"/>
            <w:hideMark/>
          </w:tcPr>
          <w:p w:rsidR="005F0439" w:rsidRPr="005F0439" w:rsidRDefault="005F0439" w:rsidP="005F0439">
            <w:pPr>
              <w:jc w:val="center"/>
            </w:pPr>
            <w:r w:rsidRPr="005F0439">
              <w:rPr>
                <w:b/>
                <w:bCs/>
              </w:rPr>
              <w:t>Показатели прогноза на среднесрочный период в разрезе муниципальных районов и городских округов</w:t>
            </w:r>
          </w:p>
        </w:tc>
      </w:tr>
      <w:tr w:rsidR="005F0439" w:rsidRPr="005F0439" w:rsidTr="00224478">
        <w:trPr>
          <w:trHeight w:val="405"/>
        </w:trPr>
        <w:tc>
          <w:tcPr>
            <w:tcW w:w="10348" w:type="dxa"/>
            <w:gridSpan w:val="7"/>
            <w:tcBorders>
              <w:top w:val="nil"/>
              <w:left w:val="nil"/>
              <w:bottom w:val="nil"/>
              <w:right w:val="nil"/>
            </w:tcBorders>
            <w:shd w:val="clear" w:color="auto" w:fill="auto"/>
            <w:noWrap/>
            <w:vAlign w:val="center"/>
            <w:hideMark/>
          </w:tcPr>
          <w:p w:rsidR="005F0439" w:rsidRPr="005F0439" w:rsidRDefault="005F0439" w:rsidP="00A564AA">
            <w:pPr>
              <w:jc w:val="center"/>
            </w:pPr>
            <w:r w:rsidRPr="005F0439">
              <w:rPr>
                <w:b/>
                <w:bCs/>
                <w:sz w:val="32"/>
                <w:szCs w:val="32"/>
              </w:rPr>
              <w:t>Демография, образование</w:t>
            </w:r>
          </w:p>
        </w:tc>
      </w:tr>
      <w:tr w:rsidR="005F0439" w:rsidRPr="005F0439" w:rsidTr="00224478">
        <w:trPr>
          <w:trHeight w:val="315"/>
        </w:trPr>
        <w:tc>
          <w:tcPr>
            <w:tcW w:w="10348" w:type="dxa"/>
            <w:gridSpan w:val="7"/>
            <w:tcBorders>
              <w:top w:val="nil"/>
              <w:left w:val="nil"/>
              <w:bottom w:val="nil"/>
              <w:right w:val="nil"/>
            </w:tcBorders>
            <w:shd w:val="clear" w:color="auto" w:fill="auto"/>
            <w:noWrap/>
            <w:vAlign w:val="center"/>
            <w:hideMark/>
          </w:tcPr>
          <w:p w:rsidR="005F0439" w:rsidRPr="005F0439" w:rsidRDefault="005F0439" w:rsidP="00A564AA">
            <w:pPr>
              <w:jc w:val="center"/>
            </w:pPr>
            <w:r w:rsidRPr="005F0439">
              <w:rPr>
                <w:b/>
                <w:bCs/>
                <w:u w:val="single"/>
              </w:rPr>
              <w:t>Кичменгско-Городецкий муниципальный район</w:t>
            </w:r>
          </w:p>
        </w:tc>
      </w:tr>
      <w:tr w:rsidR="005F0439" w:rsidRPr="005F0439" w:rsidTr="00224478">
        <w:trPr>
          <w:trHeight w:val="315"/>
        </w:trPr>
        <w:tc>
          <w:tcPr>
            <w:tcW w:w="10348" w:type="dxa"/>
            <w:gridSpan w:val="7"/>
            <w:tcBorders>
              <w:top w:val="nil"/>
              <w:left w:val="nil"/>
              <w:bottom w:val="nil"/>
              <w:right w:val="nil"/>
            </w:tcBorders>
            <w:shd w:val="clear" w:color="auto" w:fill="auto"/>
            <w:noWrap/>
            <w:vAlign w:val="center"/>
            <w:hideMark/>
          </w:tcPr>
          <w:p w:rsidR="005F0439" w:rsidRPr="005F0439" w:rsidRDefault="005F0439" w:rsidP="00A564AA">
            <w:pPr>
              <w:jc w:val="center"/>
            </w:pPr>
            <w:r w:rsidRPr="005F0439">
              <w:rPr>
                <w:b/>
                <w:bCs/>
              </w:rPr>
              <w:t>наименование района, города</w:t>
            </w:r>
          </w:p>
        </w:tc>
      </w:tr>
      <w:tr w:rsidR="00A564AA" w:rsidRPr="005F0439" w:rsidTr="00224478">
        <w:trPr>
          <w:trHeight w:val="315"/>
        </w:trPr>
        <w:tc>
          <w:tcPr>
            <w:tcW w:w="10348" w:type="dxa"/>
            <w:gridSpan w:val="7"/>
            <w:tcBorders>
              <w:top w:val="nil"/>
              <w:left w:val="nil"/>
              <w:bottom w:val="nil"/>
              <w:right w:val="nil"/>
            </w:tcBorders>
            <w:shd w:val="clear" w:color="auto" w:fill="auto"/>
            <w:noWrap/>
            <w:vAlign w:val="bottom"/>
            <w:hideMark/>
          </w:tcPr>
          <w:p w:rsidR="00A564AA" w:rsidRPr="005F0439" w:rsidRDefault="00A564AA" w:rsidP="005F0439"/>
        </w:tc>
      </w:tr>
      <w:tr w:rsidR="00A564AA" w:rsidRPr="005F0439" w:rsidTr="00224478">
        <w:trPr>
          <w:trHeight w:val="276"/>
        </w:trPr>
        <w:tc>
          <w:tcPr>
            <w:tcW w:w="2552" w:type="dxa"/>
            <w:vMerge w:val="restart"/>
            <w:tcBorders>
              <w:top w:val="single" w:sz="4" w:space="0" w:color="auto"/>
              <w:left w:val="single" w:sz="4" w:space="0" w:color="auto"/>
              <w:bottom w:val="nil"/>
              <w:right w:val="single" w:sz="4" w:space="0" w:color="auto"/>
            </w:tcBorders>
            <w:shd w:val="clear" w:color="auto" w:fill="auto"/>
            <w:vAlign w:val="center"/>
            <w:hideMark/>
          </w:tcPr>
          <w:p w:rsidR="005F0439" w:rsidRPr="005F0439" w:rsidRDefault="005F0439" w:rsidP="005F0439">
            <w:pPr>
              <w:rPr>
                <w:b/>
                <w:bCs/>
              </w:rPr>
            </w:pPr>
            <w:r w:rsidRPr="005F0439">
              <w:rPr>
                <w:b/>
                <w:bCs/>
              </w:rPr>
              <w:t>Наименование показателя</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439" w:rsidRPr="005F0439" w:rsidRDefault="005F0439" w:rsidP="005F0439">
            <w:pPr>
              <w:jc w:val="center"/>
              <w:rPr>
                <w:b/>
                <w:bCs/>
              </w:rPr>
            </w:pPr>
            <w:r w:rsidRPr="005F0439">
              <w:rPr>
                <w:b/>
                <w:bCs/>
              </w:rPr>
              <w:t>2015 отчет</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5F0439" w:rsidRPr="005F0439" w:rsidRDefault="005F0439" w:rsidP="005F0439">
            <w:pPr>
              <w:jc w:val="center"/>
              <w:rPr>
                <w:b/>
                <w:bCs/>
              </w:rPr>
            </w:pPr>
            <w:r w:rsidRPr="005F0439">
              <w:rPr>
                <w:b/>
                <w:bCs/>
              </w:rPr>
              <w:t>2016 отчет</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439" w:rsidRPr="005F0439" w:rsidRDefault="005F0439" w:rsidP="005F0439">
            <w:pPr>
              <w:jc w:val="center"/>
              <w:rPr>
                <w:b/>
                <w:bCs/>
              </w:rPr>
            </w:pPr>
            <w:r w:rsidRPr="005F0439">
              <w:rPr>
                <w:b/>
                <w:bCs/>
              </w:rPr>
              <w:t>2017 оценка</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439" w:rsidRPr="005F0439" w:rsidRDefault="005F0439" w:rsidP="005F0439">
            <w:pPr>
              <w:jc w:val="center"/>
              <w:rPr>
                <w:b/>
                <w:bCs/>
              </w:rPr>
            </w:pPr>
            <w:r w:rsidRPr="005F0439">
              <w:rPr>
                <w:b/>
                <w:bCs/>
              </w:rPr>
              <w:t>2018 прогноз</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439" w:rsidRPr="005F0439" w:rsidRDefault="005F0439" w:rsidP="005F0439">
            <w:pPr>
              <w:jc w:val="center"/>
              <w:rPr>
                <w:b/>
                <w:bCs/>
              </w:rPr>
            </w:pPr>
            <w:r w:rsidRPr="005F0439">
              <w:rPr>
                <w:b/>
                <w:bCs/>
              </w:rPr>
              <w:t>2019 прогноз</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439" w:rsidRPr="005F0439" w:rsidRDefault="005F0439" w:rsidP="005F0439">
            <w:pPr>
              <w:jc w:val="center"/>
              <w:rPr>
                <w:b/>
                <w:bCs/>
              </w:rPr>
            </w:pPr>
            <w:r w:rsidRPr="005F0439">
              <w:rPr>
                <w:b/>
                <w:bCs/>
              </w:rPr>
              <w:t>2020 прогноз</w:t>
            </w:r>
          </w:p>
        </w:tc>
      </w:tr>
      <w:tr w:rsidR="00224478" w:rsidRPr="005F0439" w:rsidTr="00224478">
        <w:trPr>
          <w:trHeight w:val="615"/>
        </w:trPr>
        <w:tc>
          <w:tcPr>
            <w:tcW w:w="2552" w:type="dxa"/>
            <w:vMerge/>
            <w:tcBorders>
              <w:top w:val="single" w:sz="4" w:space="0" w:color="auto"/>
              <w:left w:val="single" w:sz="4" w:space="0" w:color="auto"/>
              <w:bottom w:val="nil"/>
              <w:right w:val="single" w:sz="4" w:space="0" w:color="auto"/>
            </w:tcBorders>
            <w:vAlign w:val="center"/>
            <w:hideMark/>
          </w:tcPr>
          <w:p w:rsidR="005F0439" w:rsidRPr="005F0439" w:rsidRDefault="005F0439" w:rsidP="005F0439">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F0439" w:rsidRPr="005F0439" w:rsidRDefault="005F0439" w:rsidP="005F0439">
            <w:pPr>
              <w:rPr>
                <w:b/>
                <w:bCs/>
              </w:rPr>
            </w:pPr>
          </w:p>
        </w:tc>
        <w:tc>
          <w:tcPr>
            <w:tcW w:w="1134" w:type="dxa"/>
            <w:vMerge/>
            <w:tcBorders>
              <w:top w:val="single" w:sz="4" w:space="0" w:color="auto"/>
              <w:left w:val="single" w:sz="4" w:space="0" w:color="auto"/>
              <w:bottom w:val="nil"/>
              <w:right w:val="single" w:sz="4" w:space="0" w:color="auto"/>
            </w:tcBorders>
            <w:vAlign w:val="center"/>
            <w:hideMark/>
          </w:tcPr>
          <w:p w:rsidR="005F0439" w:rsidRPr="005F0439" w:rsidRDefault="005F0439" w:rsidP="005F0439">
            <w:pPr>
              <w:rPr>
                <w:b/>
                <w:b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F0439" w:rsidRPr="005F0439" w:rsidRDefault="005F0439" w:rsidP="005F0439">
            <w:pPr>
              <w:rPr>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F0439" w:rsidRPr="005F0439" w:rsidRDefault="005F0439" w:rsidP="005F0439">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F0439" w:rsidRPr="005F0439" w:rsidRDefault="005F0439" w:rsidP="005F0439">
            <w:pPr>
              <w:rPr>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F0439" w:rsidRPr="005F0439" w:rsidRDefault="005F0439" w:rsidP="005F0439">
            <w:pPr>
              <w:rPr>
                <w:b/>
                <w:bCs/>
              </w:rPr>
            </w:pPr>
          </w:p>
        </w:tc>
      </w:tr>
      <w:tr w:rsidR="00224478" w:rsidRPr="005F0439" w:rsidTr="00224478">
        <w:trPr>
          <w:trHeight w:val="12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439" w:rsidRPr="005F0439" w:rsidRDefault="005F0439" w:rsidP="005F0439">
            <w:pPr>
              <w:rPr>
                <w:b/>
                <w:bCs/>
              </w:rPr>
            </w:pPr>
            <w:r w:rsidRPr="005F0439">
              <w:rPr>
                <w:b/>
                <w:bCs/>
              </w:rPr>
              <w:t>Численность населения до 18 лет (17 лет включительно) - всего по району, городу</w:t>
            </w:r>
          </w:p>
        </w:tc>
        <w:tc>
          <w:tcPr>
            <w:tcW w:w="1134" w:type="dxa"/>
            <w:tcBorders>
              <w:top w:val="nil"/>
              <w:left w:val="nil"/>
              <w:bottom w:val="single" w:sz="4" w:space="0" w:color="auto"/>
              <w:right w:val="single" w:sz="4" w:space="0" w:color="auto"/>
            </w:tcBorders>
            <w:shd w:val="clear" w:color="auto" w:fill="auto"/>
            <w:vAlign w:val="center"/>
            <w:hideMark/>
          </w:tcPr>
          <w:p w:rsidR="005F0439" w:rsidRPr="005F0439" w:rsidRDefault="005F0439" w:rsidP="005F0439">
            <w:pPr>
              <w:jc w:val="center"/>
              <w:rPr>
                <w:b/>
                <w:bCs/>
              </w:rPr>
            </w:pPr>
            <w:r w:rsidRPr="005F0439">
              <w:rPr>
                <w:b/>
                <w:bCs/>
              </w:rPr>
              <w:t>3 493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0439" w:rsidRPr="005F0439" w:rsidRDefault="005F0439" w:rsidP="005F0439">
            <w:pPr>
              <w:jc w:val="center"/>
              <w:rPr>
                <w:b/>
                <w:bCs/>
              </w:rPr>
            </w:pPr>
            <w:r w:rsidRPr="005F0439">
              <w:rPr>
                <w:b/>
                <w:bCs/>
              </w:rPr>
              <w:t>3 540</w:t>
            </w:r>
          </w:p>
        </w:tc>
        <w:tc>
          <w:tcPr>
            <w:tcW w:w="1418" w:type="dxa"/>
            <w:tcBorders>
              <w:top w:val="nil"/>
              <w:left w:val="nil"/>
              <w:bottom w:val="single" w:sz="4" w:space="0" w:color="auto"/>
              <w:right w:val="single" w:sz="4" w:space="0" w:color="auto"/>
            </w:tcBorders>
            <w:shd w:val="clear" w:color="auto" w:fill="auto"/>
            <w:vAlign w:val="center"/>
            <w:hideMark/>
          </w:tcPr>
          <w:p w:rsidR="005F0439" w:rsidRPr="005F0439" w:rsidRDefault="005F0439" w:rsidP="005F0439">
            <w:pPr>
              <w:jc w:val="center"/>
              <w:rPr>
                <w:b/>
                <w:bCs/>
              </w:rPr>
            </w:pPr>
            <w:r w:rsidRPr="005F0439">
              <w:rPr>
                <w:b/>
                <w:bCs/>
              </w:rPr>
              <w:t>3 461</w:t>
            </w:r>
          </w:p>
        </w:tc>
        <w:tc>
          <w:tcPr>
            <w:tcW w:w="1417" w:type="dxa"/>
            <w:tcBorders>
              <w:top w:val="nil"/>
              <w:left w:val="nil"/>
              <w:bottom w:val="single" w:sz="4" w:space="0" w:color="auto"/>
              <w:right w:val="single" w:sz="4" w:space="0" w:color="auto"/>
            </w:tcBorders>
            <w:shd w:val="clear" w:color="auto" w:fill="auto"/>
            <w:vAlign w:val="center"/>
            <w:hideMark/>
          </w:tcPr>
          <w:p w:rsidR="005F0439" w:rsidRPr="005F0439" w:rsidRDefault="005F0439" w:rsidP="005F0439">
            <w:pPr>
              <w:jc w:val="center"/>
              <w:rPr>
                <w:b/>
                <w:bCs/>
              </w:rPr>
            </w:pPr>
            <w:r w:rsidRPr="005F0439">
              <w:rPr>
                <w:b/>
                <w:bCs/>
              </w:rPr>
              <w:t>3 475</w:t>
            </w:r>
          </w:p>
        </w:tc>
        <w:tc>
          <w:tcPr>
            <w:tcW w:w="1276" w:type="dxa"/>
            <w:tcBorders>
              <w:top w:val="nil"/>
              <w:left w:val="nil"/>
              <w:bottom w:val="single" w:sz="4" w:space="0" w:color="auto"/>
              <w:right w:val="single" w:sz="4" w:space="0" w:color="auto"/>
            </w:tcBorders>
            <w:shd w:val="clear" w:color="auto" w:fill="auto"/>
            <w:vAlign w:val="center"/>
            <w:hideMark/>
          </w:tcPr>
          <w:p w:rsidR="005F0439" w:rsidRPr="005F0439" w:rsidRDefault="005F0439" w:rsidP="005F0439">
            <w:pPr>
              <w:jc w:val="center"/>
              <w:rPr>
                <w:b/>
                <w:bCs/>
              </w:rPr>
            </w:pPr>
            <w:r w:rsidRPr="005F0439">
              <w:rPr>
                <w:b/>
                <w:bCs/>
              </w:rPr>
              <w:t>3 452</w:t>
            </w:r>
          </w:p>
        </w:tc>
        <w:tc>
          <w:tcPr>
            <w:tcW w:w="1417" w:type="dxa"/>
            <w:tcBorders>
              <w:top w:val="nil"/>
              <w:left w:val="nil"/>
              <w:bottom w:val="single" w:sz="4" w:space="0" w:color="auto"/>
              <w:right w:val="single" w:sz="4" w:space="0" w:color="auto"/>
            </w:tcBorders>
            <w:shd w:val="clear" w:color="auto" w:fill="auto"/>
            <w:vAlign w:val="center"/>
            <w:hideMark/>
          </w:tcPr>
          <w:p w:rsidR="005F0439" w:rsidRPr="005F0439" w:rsidRDefault="005F0439" w:rsidP="005F0439">
            <w:pPr>
              <w:jc w:val="center"/>
              <w:rPr>
                <w:b/>
                <w:bCs/>
              </w:rPr>
            </w:pPr>
            <w:r w:rsidRPr="005F0439">
              <w:rPr>
                <w:b/>
                <w:bCs/>
              </w:rPr>
              <w:t>3 418</w:t>
            </w:r>
          </w:p>
        </w:tc>
      </w:tr>
      <w:tr w:rsidR="00224478" w:rsidRPr="005F0439" w:rsidTr="00224478">
        <w:trPr>
          <w:trHeight w:val="12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F0439" w:rsidRPr="005F0439" w:rsidRDefault="005F0439" w:rsidP="005F0439">
            <w:pPr>
              <w:rPr>
                <w:b/>
                <w:bCs/>
              </w:rPr>
            </w:pPr>
            <w:r w:rsidRPr="005F0439">
              <w:rPr>
                <w:b/>
                <w:bCs/>
              </w:rPr>
              <w:t>Численность учащихся ВУЗ</w:t>
            </w:r>
            <w:r w:rsidR="00224478">
              <w:rPr>
                <w:b/>
                <w:bCs/>
              </w:rPr>
              <w:t xml:space="preserve"> </w:t>
            </w:r>
            <w:r w:rsidRPr="005F0439">
              <w:rPr>
                <w:b/>
                <w:bCs/>
              </w:rPr>
              <w:t>ов дневной формы обучения - всего по району, городу</w:t>
            </w:r>
          </w:p>
        </w:tc>
        <w:tc>
          <w:tcPr>
            <w:tcW w:w="1134" w:type="dxa"/>
            <w:tcBorders>
              <w:top w:val="nil"/>
              <w:left w:val="nil"/>
              <w:bottom w:val="single" w:sz="4" w:space="0" w:color="auto"/>
              <w:right w:val="single" w:sz="4" w:space="0" w:color="auto"/>
            </w:tcBorders>
            <w:shd w:val="clear" w:color="auto" w:fill="auto"/>
            <w:noWrap/>
            <w:vAlign w:val="center"/>
            <w:hideMark/>
          </w:tcPr>
          <w:p w:rsidR="005F0439" w:rsidRPr="005F0439" w:rsidRDefault="005F0439" w:rsidP="005F0439">
            <w:pPr>
              <w:jc w:val="center"/>
              <w:rPr>
                <w:b/>
                <w:bCs/>
              </w:rPr>
            </w:pPr>
            <w:r w:rsidRPr="005F0439">
              <w:rPr>
                <w:b/>
                <w:bCs/>
              </w:rPr>
              <w:t>159</w:t>
            </w:r>
          </w:p>
        </w:tc>
        <w:tc>
          <w:tcPr>
            <w:tcW w:w="1134" w:type="dxa"/>
            <w:tcBorders>
              <w:top w:val="nil"/>
              <w:left w:val="nil"/>
              <w:bottom w:val="single" w:sz="4" w:space="0" w:color="auto"/>
              <w:right w:val="single" w:sz="4" w:space="0" w:color="auto"/>
            </w:tcBorders>
            <w:shd w:val="clear" w:color="auto" w:fill="auto"/>
            <w:noWrap/>
            <w:vAlign w:val="center"/>
            <w:hideMark/>
          </w:tcPr>
          <w:p w:rsidR="005F0439" w:rsidRPr="005F0439" w:rsidRDefault="005F0439" w:rsidP="005F0439">
            <w:pPr>
              <w:jc w:val="center"/>
              <w:rPr>
                <w:b/>
                <w:bCs/>
              </w:rPr>
            </w:pPr>
            <w:r w:rsidRPr="005F0439">
              <w:rPr>
                <w:b/>
                <w:bCs/>
              </w:rPr>
              <w:t>182</w:t>
            </w:r>
          </w:p>
        </w:tc>
        <w:tc>
          <w:tcPr>
            <w:tcW w:w="1418" w:type="dxa"/>
            <w:tcBorders>
              <w:top w:val="nil"/>
              <w:left w:val="nil"/>
              <w:bottom w:val="single" w:sz="4" w:space="0" w:color="auto"/>
              <w:right w:val="single" w:sz="4" w:space="0" w:color="auto"/>
            </w:tcBorders>
            <w:shd w:val="clear" w:color="auto" w:fill="auto"/>
            <w:noWrap/>
            <w:vAlign w:val="center"/>
            <w:hideMark/>
          </w:tcPr>
          <w:p w:rsidR="005F0439" w:rsidRPr="005F0439" w:rsidRDefault="005F0439" w:rsidP="005F0439">
            <w:pPr>
              <w:jc w:val="center"/>
              <w:rPr>
                <w:b/>
                <w:bCs/>
              </w:rPr>
            </w:pPr>
            <w:r w:rsidRPr="005F0439">
              <w:rPr>
                <w:b/>
                <w:bCs/>
              </w:rPr>
              <w:t>186</w:t>
            </w:r>
          </w:p>
        </w:tc>
        <w:tc>
          <w:tcPr>
            <w:tcW w:w="1417" w:type="dxa"/>
            <w:tcBorders>
              <w:top w:val="nil"/>
              <w:left w:val="nil"/>
              <w:bottom w:val="single" w:sz="4" w:space="0" w:color="auto"/>
              <w:right w:val="single" w:sz="4" w:space="0" w:color="auto"/>
            </w:tcBorders>
            <w:shd w:val="clear" w:color="auto" w:fill="auto"/>
            <w:noWrap/>
            <w:vAlign w:val="center"/>
            <w:hideMark/>
          </w:tcPr>
          <w:p w:rsidR="005F0439" w:rsidRPr="005F0439" w:rsidRDefault="005F0439" w:rsidP="005F0439">
            <w:pPr>
              <w:jc w:val="center"/>
              <w:rPr>
                <w:b/>
                <w:bCs/>
              </w:rPr>
            </w:pPr>
            <w:r w:rsidRPr="005F0439">
              <w:rPr>
                <w:b/>
                <w:bCs/>
              </w:rPr>
              <w:t>199</w:t>
            </w:r>
          </w:p>
        </w:tc>
        <w:tc>
          <w:tcPr>
            <w:tcW w:w="1276" w:type="dxa"/>
            <w:tcBorders>
              <w:top w:val="nil"/>
              <w:left w:val="nil"/>
              <w:bottom w:val="single" w:sz="4" w:space="0" w:color="auto"/>
              <w:right w:val="single" w:sz="4" w:space="0" w:color="auto"/>
            </w:tcBorders>
            <w:shd w:val="clear" w:color="auto" w:fill="auto"/>
            <w:noWrap/>
            <w:vAlign w:val="center"/>
            <w:hideMark/>
          </w:tcPr>
          <w:p w:rsidR="005F0439" w:rsidRPr="005F0439" w:rsidRDefault="005F0439" w:rsidP="005F0439">
            <w:pPr>
              <w:jc w:val="center"/>
              <w:rPr>
                <w:b/>
                <w:bCs/>
              </w:rPr>
            </w:pPr>
            <w:r w:rsidRPr="005F0439">
              <w:rPr>
                <w:b/>
                <w:bCs/>
              </w:rPr>
              <w:t>213</w:t>
            </w:r>
          </w:p>
        </w:tc>
        <w:tc>
          <w:tcPr>
            <w:tcW w:w="1417" w:type="dxa"/>
            <w:tcBorders>
              <w:top w:val="nil"/>
              <w:left w:val="nil"/>
              <w:bottom w:val="single" w:sz="4" w:space="0" w:color="auto"/>
              <w:right w:val="single" w:sz="4" w:space="0" w:color="auto"/>
            </w:tcBorders>
            <w:shd w:val="clear" w:color="auto" w:fill="auto"/>
            <w:noWrap/>
            <w:vAlign w:val="center"/>
            <w:hideMark/>
          </w:tcPr>
          <w:p w:rsidR="005F0439" w:rsidRPr="005F0439" w:rsidRDefault="005F0439" w:rsidP="005F0439">
            <w:pPr>
              <w:jc w:val="center"/>
              <w:rPr>
                <w:b/>
                <w:bCs/>
              </w:rPr>
            </w:pPr>
            <w:r w:rsidRPr="005F0439">
              <w:rPr>
                <w:b/>
                <w:bCs/>
              </w:rPr>
              <w:t>213</w:t>
            </w:r>
          </w:p>
        </w:tc>
      </w:tr>
    </w:tbl>
    <w:p w:rsidR="00C01C5A" w:rsidRPr="005F0439" w:rsidRDefault="00C01C5A" w:rsidP="005F0439">
      <w:pPr>
        <w:rPr>
          <w:szCs w:val="28"/>
        </w:rPr>
      </w:pPr>
    </w:p>
    <w:sectPr w:rsidR="00C01C5A" w:rsidRPr="005F0439" w:rsidSect="00C42C3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88E" w:rsidRDefault="0073388E" w:rsidP="006B1A05">
      <w:r>
        <w:separator/>
      </w:r>
    </w:p>
  </w:endnote>
  <w:endnote w:type="continuationSeparator" w:id="0">
    <w:p w:rsidR="0073388E" w:rsidRDefault="0073388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88E" w:rsidRDefault="0073388E" w:rsidP="006B1A05">
      <w:r>
        <w:separator/>
      </w:r>
    </w:p>
  </w:footnote>
  <w:footnote w:type="continuationSeparator" w:id="0">
    <w:p w:rsidR="0073388E" w:rsidRDefault="0073388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7F466B">
        <w:pPr>
          <w:pStyle w:val="a8"/>
          <w:jc w:val="center"/>
        </w:pPr>
        <w:fldSimple w:instr=" PAGE   \* MERGEFORMAT ">
          <w:r w:rsidR="00DC1D6A">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2"/>
  </w:num>
  <w:num w:numId="4">
    <w:abstractNumId w:val="33"/>
  </w:num>
  <w:num w:numId="5">
    <w:abstractNumId w:val="28"/>
  </w:num>
  <w:num w:numId="6">
    <w:abstractNumId w:val="25"/>
  </w:num>
  <w:num w:numId="7">
    <w:abstractNumId w:val="23"/>
  </w:num>
  <w:num w:numId="8">
    <w:abstractNumId w:val="6"/>
  </w:num>
  <w:num w:numId="9">
    <w:abstractNumId w:val="21"/>
  </w:num>
  <w:num w:numId="10">
    <w:abstractNumId w:val="31"/>
  </w:num>
  <w:num w:numId="11">
    <w:abstractNumId w:val="10"/>
  </w:num>
  <w:num w:numId="12">
    <w:abstractNumId w:val="15"/>
  </w:num>
  <w:num w:numId="13">
    <w:abstractNumId w:val="12"/>
  </w:num>
  <w:num w:numId="14">
    <w:abstractNumId w:val="19"/>
  </w:num>
  <w:num w:numId="15">
    <w:abstractNumId w:val="36"/>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34"/>
  </w:num>
  <w:num w:numId="23">
    <w:abstractNumId w:val="27"/>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BB3"/>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40"/>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23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0959"/>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CD3"/>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478"/>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1CD"/>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4F7"/>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6B1"/>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2C10"/>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42"/>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86A"/>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7EF"/>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5EE"/>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362"/>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88E"/>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66B"/>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4E5C"/>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78D"/>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4AA"/>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87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CBA"/>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A47"/>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8C0"/>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1D6A"/>
    <w:rsid w:val="00DC237D"/>
    <w:rsid w:val="00DC281D"/>
    <w:rsid w:val="00DC2A25"/>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formattext">
    <w:name w:val="formattext"/>
    <w:basedOn w:val="a"/>
    <w:rsid w:val="003B43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28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5D4C-6CBA-4F1E-8FCB-62DCD8F9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2017-10-17T14:05:00Z</cp:lastPrinted>
  <dcterms:created xsi:type="dcterms:W3CDTF">2017-12-14T06:30:00Z</dcterms:created>
  <dcterms:modified xsi:type="dcterms:W3CDTF">2017-12-14T11:04:00Z</dcterms:modified>
</cp:coreProperties>
</file>