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29" w:rsidRPr="00CB768E" w:rsidRDefault="0051089F" w:rsidP="007505E3">
      <w:pPr>
        <w:jc w:val="right"/>
        <w:rPr>
          <w:sz w:val="20"/>
          <w:szCs w:val="20"/>
        </w:rPr>
      </w:pPr>
      <w:r>
        <w:rPr>
          <w:sz w:val="20"/>
          <w:szCs w:val="20"/>
        </w:rPr>
        <w:t>Приложение 4</w:t>
      </w:r>
    </w:p>
    <w:p w:rsidR="00DE4329" w:rsidRPr="00CB768E" w:rsidRDefault="00DE4329" w:rsidP="007505E3">
      <w:pPr>
        <w:tabs>
          <w:tab w:val="left" w:pos="6930"/>
        </w:tabs>
        <w:jc w:val="right"/>
        <w:rPr>
          <w:sz w:val="20"/>
          <w:szCs w:val="20"/>
        </w:rPr>
      </w:pPr>
      <w:r w:rsidRPr="00CB768E">
        <w:rPr>
          <w:sz w:val="20"/>
          <w:szCs w:val="20"/>
        </w:rPr>
        <w:t>к решению Муниципального Собрания</w:t>
      </w:r>
    </w:p>
    <w:p w:rsidR="00DE4329" w:rsidRPr="00CB768E" w:rsidRDefault="00DE4329" w:rsidP="007505E3">
      <w:pPr>
        <w:tabs>
          <w:tab w:val="left" w:pos="5835"/>
        </w:tabs>
        <w:jc w:val="right"/>
        <w:rPr>
          <w:sz w:val="20"/>
          <w:szCs w:val="20"/>
        </w:rPr>
      </w:pPr>
      <w:r w:rsidRPr="00CB768E">
        <w:rPr>
          <w:sz w:val="20"/>
          <w:szCs w:val="20"/>
        </w:rPr>
        <w:t xml:space="preserve">от </w:t>
      </w:r>
      <w:r>
        <w:rPr>
          <w:sz w:val="20"/>
          <w:szCs w:val="20"/>
        </w:rPr>
        <w:t xml:space="preserve"> 31.05.2019  </w:t>
      </w:r>
      <w:r w:rsidRPr="00CB768E">
        <w:rPr>
          <w:sz w:val="20"/>
          <w:szCs w:val="20"/>
        </w:rPr>
        <w:t>г</w:t>
      </w:r>
      <w:r>
        <w:rPr>
          <w:sz w:val="20"/>
          <w:szCs w:val="20"/>
        </w:rPr>
        <w:t>ода</w:t>
      </w:r>
      <w:r w:rsidRPr="00CB768E">
        <w:rPr>
          <w:sz w:val="20"/>
          <w:szCs w:val="20"/>
        </w:rPr>
        <w:t xml:space="preserve"> №</w:t>
      </w:r>
      <w:r>
        <w:rPr>
          <w:sz w:val="20"/>
          <w:szCs w:val="20"/>
        </w:rPr>
        <w:t xml:space="preserve"> 148</w:t>
      </w:r>
    </w:p>
    <w:p w:rsidR="00DE4329" w:rsidRDefault="00DE4329" w:rsidP="00DE4329">
      <w:pPr>
        <w:tabs>
          <w:tab w:val="left" w:pos="5835"/>
        </w:tabs>
        <w:rPr>
          <w:sz w:val="20"/>
          <w:szCs w:val="20"/>
        </w:rPr>
      </w:pPr>
    </w:p>
    <w:p w:rsidR="0051089F" w:rsidRDefault="0051089F" w:rsidP="00DE4329">
      <w:pPr>
        <w:tabs>
          <w:tab w:val="left" w:pos="5835"/>
        </w:tabs>
        <w:rPr>
          <w:sz w:val="20"/>
          <w:szCs w:val="20"/>
        </w:rPr>
      </w:pPr>
    </w:p>
    <w:tbl>
      <w:tblPr>
        <w:tblW w:w="9513" w:type="dxa"/>
        <w:tblInd w:w="93" w:type="dxa"/>
        <w:tblLook w:val="0000"/>
      </w:tblPr>
      <w:tblGrid>
        <w:gridCol w:w="3134"/>
        <w:gridCol w:w="2693"/>
        <w:gridCol w:w="1701"/>
        <w:gridCol w:w="1985"/>
      </w:tblGrid>
      <w:tr w:rsidR="0051089F" w:rsidRPr="004C12D8" w:rsidTr="0051089F">
        <w:trPr>
          <w:trHeight w:val="919"/>
        </w:trPr>
        <w:tc>
          <w:tcPr>
            <w:tcW w:w="9513" w:type="dxa"/>
            <w:gridSpan w:val="4"/>
            <w:tcBorders>
              <w:top w:val="nil"/>
              <w:left w:val="nil"/>
              <w:bottom w:val="nil"/>
              <w:right w:val="nil"/>
            </w:tcBorders>
            <w:shd w:val="clear" w:color="auto" w:fill="auto"/>
            <w:vAlign w:val="center"/>
          </w:tcPr>
          <w:p w:rsidR="0051089F" w:rsidRPr="004C12D8" w:rsidRDefault="0051089F" w:rsidP="0051089F">
            <w:pPr>
              <w:jc w:val="center"/>
              <w:rPr>
                <w:bCs/>
                <w:color w:val="000000"/>
                <w:sz w:val="28"/>
                <w:szCs w:val="28"/>
              </w:rPr>
            </w:pPr>
            <w:r w:rsidRPr="004C12D8">
              <w:rPr>
                <w:bCs/>
                <w:color w:val="000000"/>
                <w:sz w:val="28"/>
                <w:szCs w:val="28"/>
              </w:rPr>
              <w:t>Источники внутреннего финансирования дефицита районного бюджета за</w:t>
            </w:r>
            <w:r>
              <w:rPr>
                <w:bCs/>
                <w:color w:val="000000"/>
                <w:sz w:val="28"/>
                <w:szCs w:val="28"/>
              </w:rPr>
              <w:t> </w:t>
            </w:r>
            <w:r w:rsidRPr="004C12D8">
              <w:rPr>
                <w:bCs/>
                <w:color w:val="000000"/>
                <w:sz w:val="28"/>
                <w:szCs w:val="28"/>
              </w:rPr>
              <w:t>2018 год</w:t>
            </w:r>
          </w:p>
        </w:tc>
      </w:tr>
      <w:tr w:rsidR="0051089F" w:rsidRPr="004C12D8" w:rsidTr="0051089F">
        <w:tblPrEx>
          <w:tblLook w:val="04A0"/>
        </w:tblPrEx>
        <w:trPr>
          <w:trHeight w:val="552"/>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89F" w:rsidRPr="004C12D8" w:rsidRDefault="0051089F" w:rsidP="00C508B8">
            <w:pPr>
              <w:jc w:val="center"/>
              <w:rPr>
                <w:color w:val="000000"/>
                <w:sz w:val="20"/>
                <w:szCs w:val="20"/>
              </w:rPr>
            </w:pPr>
            <w:r w:rsidRPr="004C12D8">
              <w:rPr>
                <w:color w:val="000000"/>
                <w:sz w:val="20"/>
                <w:szCs w:val="20"/>
              </w:rPr>
              <w:t>Наименование показателя</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89F" w:rsidRPr="004C12D8" w:rsidRDefault="0051089F" w:rsidP="00C508B8">
            <w:pPr>
              <w:jc w:val="center"/>
              <w:rPr>
                <w:color w:val="000000"/>
                <w:sz w:val="20"/>
                <w:szCs w:val="20"/>
              </w:rPr>
            </w:pPr>
            <w:r w:rsidRPr="004C12D8">
              <w:rPr>
                <w:color w:val="000000"/>
                <w:sz w:val="20"/>
                <w:szCs w:val="20"/>
              </w:rPr>
              <w:t>Код источника финансирования дефицита бюджета по бюджетной классификации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89F" w:rsidRPr="004C12D8" w:rsidRDefault="0051089F" w:rsidP="00C508B8">
            <w:pPr>
              <w:jc w:val="center"/>
              <w:rPr>
                <w:color w:val="000000"/>
                <w:sz w:val="20"/>
                <w:szCs w:val="20"/>
              </w:rPr>
            </w:pPr>
            <w:r w:rsidRPr="004C12D8">
              <w:rPr>
                <w:color w:val="000000"/>
                <w:sz w:val="20"/>
                <w:szCs w:val="20"/>
              </w:rPr>
              <w:t>Утверждено</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89F" w:rsidRPr="004C12D8" w:rsidRDefault="0051089F" w:rsidP="00C508B8">
            <w:pPr>
              <w:jc w:val="center"/>
              <w:rPr>
                <w:color w:val="000000"/>
                <w:sz w:val="20"/>
                <w:szCs w:val="20"/>
              </w:rPr>
            </w:pPr>
            <w:r w:rsidRPr="004C12D8">
              <w:rPr>
                <w:color w:val="000000"/>
                <w:sz w:val="20"/>
                <w:szCs w:val="20"/>
              </w:rPr>
              <w:t>Исполнено</w:t>
            </w:r>
          </w:p>
        </w:tc>
      </w:tr>
      <w:tr w:rsidR="0051089F" w:rsidRPr="004C12D8" w:rsidTr="0051089F">
        <w:tblPrEx>
          <w:tblLook w:val="04A0"/>
        </w:tblPrEx>
        <w:trPr>
          <w:trHeight w:val="645"/>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51089F" w:rsidRPr="004C12D8" w:rsidRDefault="0051089F" w:rsidP="00C508B8">
            <w:pPr>
              <w:rPr>
                <w:color w:val="000000"/>
                <w:sz w:val="20"/>
                <w:szCs w:val="20"/>
              </w:rPr>
            </w:pPr>
          </w:p>
        </w:tc>
        <w:tc>
          <w:tcPr>
            <w:tcW w:w="2693" w:type="dxa"/>
            <w:vMerge/>
            <w:tcBorders>
              <w:top w:val="single" w:sz="4" w:space="0" w:color="000000"/>
              <w:left w:val="single" w:sz="4" w:space="0" w:color="000000"/>
              <w:bottom w:val="single" w:sz="2" w:space="0" w:color="auto"/>
              <w:right w:val="single" w:sz="4" w:space="0" w:color="000000"/>
            </w:tcBorders>
            <w:vAlign w:val="center"/>
            <w:hideMark/>
          </w:tcPr>
          <w:p w:rsidR="0051089F" w:rsidRPr="004C12D8" w:rsidRDefault="0051089F" w:rsidP="00C508B8">
            <w:pPr>
              <w:rPr>
                <w:color w:val="000000"/>
                <w:sz w:val="20"/>
                <w:szCs w:val="20"/>
              </w:rPr>
            </w:pPr>
          </w:p>
        </w:tc>
        <w:tc>
          <w:tcPr>
            <w:tcW w:w="1701" w:type="dxa"/>
            <w:vMerge/>
            <w:tcBorders>
              <w:top w:val="single" w:sz="4" w:space="0" w:color="000000"/>
              <w:left w:val="single" w:sz="4" w:space="0" w:color="000000"/>
              <w:bottom w:val="single" w:sz="2" w:space="0" w:color="auto"/>
              <w:right w:val="single" w:sz="4" w:space="0" w:color="000000"/>
            </w:tcBorders>
            <w:vAlign w:val="center"/>
            <w:hideMark/>
          </w:tcPr>
          <w:p w:rsidR="0051089F" w:rsidRPr="004C12D8" w:rsidRDefault="0051089F" w:rsidP="00C508B8">
            <w:pPr>
              <w:rPr>
                <w:color w:val="000000"/>
                <w:sz w:val="20"/>
                <w:szCs w:val="20"/>
              </w:rPr>
            </w:pPr>
          </w:p>
        </w:tc>
        <w:tc>
          <w:tcPr>
            <w:tcW w:w="1985" w:type="dxa"/>
            <w:vMerge/>
            <w:tcBorders>
              <w:top w:val="single" w:sz="4" w:space="0" w:color="000000"/>
              <w:left w:val="single" w:sz="4" w:space="0" w:color="000000"/>
              <w:bottom w:val="single" w:sz="2" w:space="0" w:color="auto"/>
              <w:right w:val="single" w:sz="4" w:space="0" w:color="000000"/>
            </w:tcBorders>
            <w:vAlign w:val="center"/>
            <w:hideMark/>
          </w:tcPr>
          <w:p w:rsidR="0051089F" w:rsidRPr="004C12D8" w:rsidRDefault="0051089F" w:rsidP="00C508B8">
            <w:pPr>
              <w:rPr>
                <w:color w:val="000000"/>
                <w:sz w:val="20"/>
                <w:szCs w:val="20"/>
              </w:rPr>
            </w:pPr>
          </w:p>
        </w:tc>
      </w:tr>
      <w:tr w:rsidR="0051089F" w:rsidRPr="004C12D8" w:rsidTr="0051089F">
        <w:tblPrEx>
          <w:tblLook w:val="04A0"/>
        </w:tblPrEx>
        <w:trPr>
          <w:trHeight w:val="105"/>
        </w:trPr>
        <w:tc>
          <w:tcPr>
            <w:tcW w:w="3134" w:type="dxa"/>
            <w:tcBorders>
              <w:top w:val="nil"/>
              <w:left w:val="single" w:sz="4" w:space="0" w:color="000000"/>
              <w:bottom w:val="single" w:sz="4" w:space="0" w:color="000000"/>
              <w:right w:val="single" w:sz="2" w:space="0" w:color="auto"/>
            </w:tcBorders>
            <w:shd w:val="clear" w:color="auto" w:fill="auto"/>
            <w:vAlign w:val="center"/>
            <w:hideMark/>
          </w:tcPr>
          <w:p w:rsidR="0051089F" w:rsidRPr="0051089F" w:rsidRDefault="0051089F" w:rsidP="00C508B8">
            <w:pPr>
              <w:jc w:val="center"/>
              <w:rPr>
                <w:color w:val="000000"/>
                <w:sz w:val="16"/>
                <w:szCs w:val="16"/>
              </w:rPr>
            </w:pPr>
            <w:r w:rsidRPr="0051089F">
              <w:rPr>
                <w:color w:val="000000"/>
                <w:sz w:val="16"/>
                <w:szCs w:val="16"/>
              </w:rPr>
              <w:t>1</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1089F" w:rsidRPr="0051089F" w:rsidRDefault="0051089F" w:rsidP="00C508B8">
            <w:pPr>
              <w:jc w:val="center"/>
              <w:rPr>
                <w:color w:val="000000"/>
                <w:sz w:val="16"/>
                <w:szCs w:val="16"/>
              </w:rPr>
            </w:pPr>
            <w:r w:rsidRPr="0051089F">
              <w:rPr>
                <w:color w:val="000000"/>
                <w:sz w:val="16"/>
                <w:szCs w:val="16"/>
              </w:rPr>
              <w:t>3</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1089F" w:rsidRPr="0051089F" w:rsidRDefault="0051089F" w:rsidP="00C508B8">
            <w:pPr>
              <w:jc w:val="center"/>
              <w:rPr>
                <w:color w:val="000000"/>
                <w:sz w:val="16"/>
                <w:szCs w:val="16"/>
              </w:rPr>
            </w:pPr>
            <w:r w:rsidRPr="0051089F">
              <w:rPr>
                <w:color w:val="000000"/>
                <w:sz w:val="16"/>
                <w:szCs w:val="16"/>
              </w:rPr>
              <w:t>4</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1089F" w:rsidRPr="0051089F" w:rsidRDefault="0051089F" w:rsidP="00C508B8">
            <w:pPr>
              <w:jc w:val="center"/>
              <w:rPr>
                <w:color w:val="000000"/>
                <w:sz w:val="16"/>
                <w:szCs w:val="16"/>
              </w:rPr>
            </w:pPr>
            <w:r w:rsidRPr="0051089F">
              <w:rPr>
                <w:color w:val="000000"/>
                <w:sz w:val="16"/>
                <w:szCs w:val="16"/>
              </w:rPr>
              <w:t>5</w:t>
            </w:r>
          </w:p>
        </w:tc>
      </w:tr>
      <w:tr w:rsidR="0051089F" w:rsidRPr="004C12D8" w:rsidTr="0051089F">
        <w:tblPrEx>
          <w:tblLook w:val="04A0"/>
        </w:tblPrEx>
        <w:trPr>
          <w:trHeight w:val="675"/>
        </w:trPr>
        <w:tc>
          <w:tcPr>
            <w:tcW w:w="3134" w:type="dxa"/>
            <w:tcBorders>
              <w:top w:val="nil"/>
              <w:left w:val="single" w:sz="4" w:space="0" w:color="000000"/>
              <w:bottom w:val="single" w:sz="4" w:space="0" w:color="000000"/>
              <w:right w:val="single" w:sz="2" w:space="0" w:color="auto"/>
            </w:tcBorders>
            <w:shd w:val="clear" w:color="auto" w:fill="auto"/>
            <w:hideMark/>
          </w:tcPr>
          <w:p w:rsidR="0051089F" w:rsidRPr="004C12D8" w:rsidRDefault="0051089F" w:rsidP="00C508B8">
            <w:pPr>
              <w:rPr>
                <w:color w:val="000000"/>
                <w:sz w:val="20"/>
                <w:szCs w:val="20"/>
              </w:rPr>
            </w:pPr>
            <w:r w:rsidRPr="004C12D8">
              <w:rPr>
                <w:color w:val="000000"/>
                <w:sz w:val="20"/>
                <w:szCs w:val="20"/>
              </w:rPr>
              <w:t xml:space="preserve">Источники финансирования дефицита бюджета - ВСЕГО </w:t>
            </w:r>
            <w:r w:rsidRPr="004C12D8">
              <w:rPr>
                <w:color w:val="000000"/>
                <w:sz w:val="20"/>
                <w:szCs w:val="20"/>
              </w:rPr>
              <w:br/>
              <w:t>В том числе:</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51089F" w:rsidRPr="004C12D8" w:rsidRDefault="0051089F" w:rsidP="00C508B8">
            <w:pPr>
              <w:jc w:val="center"/>
              <w:rPr>
                <w:color w:val="000000"/>
                <w:sz w:val="20"/>
                <w:szCs w:val="20"/>
              </w:rPr>
            </w:pPr>
            <w:r w:rsidRPr="004C12D8">
              <w:rPr>
                <w:color w:val="000000"/>
                <w:sz w:val="20"/>
                <w:szCs w:val="20"/>
              </w:rPr>
              <w:t>X</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-1 282 102,47</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-1 321 128,50</w:t>
            </w:r>
          </w:p>
        </w:tc>
      </w:tr>
      <w:tr w:rsidR="0051089F" w:rsidRPr="004C12D8" w:rsidTr="0051089F">
        <w:tblPrEx>
          <w:tblLook w:val="04A0"/>
        </w:tblPrEx>
        <w:trPr>
          <w:trHeight w:val="346"/>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51089F" w:rsidRPr="004C12D8" w:rsidRDefault="0051089F" w:rsidP="0051089F">
            <w:pPr>
              <w:rPr>
                <w:color w:val="000000"/>
                <w:sz w:val="20"/>
                <w:szCs w:val="20"/>
              </w:rPr>
            </w:pPr>
            <w:r w:rsidRPr="004C12D8">
              <w:rPr>
                <w:color w:val="000000"/>
                <w:sz w:val="20"/>
                <w:szCs w:val="20"/>
              </w:rPr>
              <w:t xml:space="preserve">Изменение остатков средств </w:t>
            </w:r>
          </w:p>
        </w:tc>
        <w:tc>
          <w:tcPr>
            <w:tcW w:w="2693" w:type="dxa"/>
            <w:tcBorders>
              <w:top w:val="single" w:sz="2" w:space="0" w:color="auto"/>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r w:rsidRPr="004C12D8">
              <w:rPr>
                <w:color w:val="000000"/>
                <w:sz w:val="20"/>
                <w:szCs w:val="20"/>
              </w:rPr>
              <w:t>000 01000000000000000</w:t>
            </w:r>
          </w:p>
        </w:tc>
        <w:tc>
          <w:tcPr>
            <w:tcW w:w="1701" w:type="dxa"/>
            <w:tcBorders>
              <w:top w:val="single" w:sz="2" w:space="0" w:color="auto"/>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-1 282 102,47</w:t>
            </w:r>
          </w:p>
        </w:tc>
        <w:tc>
          <w:tcPr>
            <w:tcW w:w="1985" w:type="dxa"/>
            <w:tcBorders>
              <w:top w:val="single" w:sz="2" w:space="0" w:color="auto"/>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-1 321 128,50</w:t>
            </w:r>
          </w:p>
        </w:tc>
      </w:tr>
      <w:tr w:rsidR="0051089F" w:rsidRPr="004C12D8" w:rsidTr="0051089F">
        <w:tblPrEx>
          <w:tblLook w:val="04A0"/>
        </w:tblPrEx>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51089F" w:rsidRPr="00654013" w:rsidRDefault="0051089F" w:rsidP="00C508B8">
            <w:pPr>
              <w:rPr>
                <w:b/>
                <w:color w:val="000000"/>
                <w:sz w:val="20"/>
                <w:szCs w:val="20"/>
              </w:rPr>
            </w:pPr>
            <w:r w:rsidRPr="00654013">
              <w:rPr>
                <w:b/>
                <w:color w:val="000000"/>
                <w:sz w:val="20"/>
                <w:szCs w:val="20"/>
              </w:rPr>
              <w:t>Управление финансов администрации Кичменгско-Городецкого муниципального района</w:t>
            </w:r>
          </w:p>
        </w:tc>
        <w:tc>
          <w:tcPr>
            <w:tcW w:w="2693"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-1 282 102,47</w:t>
            </w:r>
          </w:p>
        </w:tc>
        <w:tc>
          <w:tcPr>
            <w:tcW w:w="1985"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-1 321 128,50</w:t>
            </w:r>
          </w:p>
        </w:tc>
      </w:tr>
      <w:tr w:rsidR="0051089F" w:rsidRPr="004C12D8" w:rsidTr="0051089F">
        <w:tblPrEx>
          <w:tblLook w:val="04A0"/>
        </w:tblPrEx>
        <w:trPr>
          <w:trHeight w:val="346"/>
        </w:trPr>
        <w:tc>
          <w:tcPr>
            <w:tcW w:w="3134" w:type="dxa"/>
            <w:tcBorders>
              <w:top w:val="nil"/>
              <w:left w:val="single" w:sz="4" w:space="0" w:color="000000"/>
              <w:bottom w:val="single" w:sz="4" w:space="0" w:color="000000"/>
              <w:right w:val="single" w:sz="4" w:space="0" w:color="000000"/>
            </w:tcBorders>
            <w:shd w:val="clear" w:color="auto" w:fill="auto"/>
            <w:hideMark/>
          </w:tcPr>
          <w:p w:rsidR="0051089F" w:rsidRPr="004C12D8" w:rsidRDefault="0051089F" w:rsidP="00C508B8">
            <w:pPr>
              <w:rPr>
                <w:color w:val="000000"/>
                <w:sz w:val="20"/>
                <w:szCs w:val="20"/>
              </w:rPr>
            </w:pPr>
            <w:r w:rsidRPr="004C12D8">
              <w:rPr>
                <w:color w:val="000000"/>
                <w:sz w:val="20"/>
                <w:szCs w:val="20"/>
              </w:rPr>
              <w:t>Увеличение остатков средств, всего</w:t>
            </w:r>
          </w:p>
        </w:tc>
        <w:tc>
          <w:tcPr>
            <w:tcW w:w="2693"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r>
              <w:rPr>
                <w:color w:val="000000"/>
                <w:sz w:val="20"/>
                <w:szCs w:val="20"/>
              </w:rPr>
              <w:t>245</w:t>
            </w:r>
            <w:r w:rsidRPr="004C12D8">
              <w:rPr>
                <w:color w:val="000000"/>
                <w:sz w:val="20"/>
                <w:szCs w:val="20"/>
              </w:rPr>
              <w:t xml:space="preserve"> 01050000000000500</w:t>
            </w:r>
          </w:p>
        </w:tc>
        <w:tc>
          <w:tcPr>
            <w:tcW w:w="1701"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-597 593 827,53</w:t>
            </w:r>
          </w:p>
        </w:tc>
        <w:tc>
          <w:tcPr>
            <w:tcW w:w="1985"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-596 038 009,33</w:t>
            </w:r>
          </w:p>
        </w:tc>
      </w:tr>
      <w:tr w:rsidR="0051089F" w:rsidRPr="004C12D8" w:rsidTr="0051089F">
        <w:tblPrEx>
          <w:tblLook w:val="04A0"/>
        </w:tblPrEx>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51089F" w:rsidRPr="004C12D8" w:rsidRDefault="0051089F" w:rsidP="00C508B8">
            <w:pPr>
              <w:rPr>
                <w:color w:val="000000"/>
                <w:sz w:val="20"/>
                <w:szCs w:val="20"/>
              </w:rPr>
            </w:pPr>
            <w:r w:rsidRPr="004C12D8">
              <w:rPr>
                <w:color w:val="000000"/>
                <w:sz w:val="20"/>
                <w:szCs w:val="20"/>
              </w:rPr>
              <w:t>Увеличение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r w:rsidRPr="004C12D8">
              <w:rPr>
                <w:color w:val="000000"/>
                <w:sz w:val="20"/>
                <w:szCs w:val="20"/>
              </w:rPr>
              <w:t>245 01050201000000510</w:t>
            </w:r>
          </w:p>
        </w:tc>
        <w:tc>
          <w:tcPr>
            <w:tcW w:w="1701"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-597 593 827,53</w:t>
            </w:r>
          </w:p>
        </w:tc>
        <w:tc>
          <w:tcPr>
            <w:tcW w:w="1985"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-596 038 009,33</w:t>
            </w:r>
          </w:p>
        </w:tc>
      </w:tr>
      <w:tr w:rsidR="0051089F" w:rsidRPr="004C12D8" w:rsidTr="0051089F">
        <w:tblPrEx>
          <w:tblLook w:val="04A0"/>
        </w:tblPrEx>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51089F" w:rsidRPr="004C12D8" w:rsidRDefault="0051089F" w:rsidP="00C508B8">
            <w:pPr>
              <w:rPr>
                <w:color w:val="000000"/>
                <w:sz w:val="20"/>
                <w:szCs w:val="20"/>
              </w:rPr>
            </w:pPr>
            <w:r w:rsidRPr="004C12D8">
              <w:rPr>
                <w:color w:val="000000"/>
                <w:sz w:val="20"/>
                <w:szCs w:val="20"/>
              </w:rPr>
              <w:t>Увеличение прочих остатков денежных средств бюджетов муниципальных районов</w:t>
            </w:r>
          </w:p>
        </w:tc>
        <w:tc>
          <w:tcPr>
            <w:tcW w:w="2693"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r w:rsidRPr="004C12D8">
              <w:rPr>
                <w:color w:val="000000"/>
                <w:sz w:val="20"/>
                <w:szCs w:val="20"/>
              </w:rPr>
              <w:t>245 01050201050000510</w:t>
            </w:r>
          </w:p>
        </w:tc>
        <w:tc>
          <w:tcPr>
            <w:tcW w:w="1701"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-597 593 827,53</w:t>
            </w:r>
          </w:p>
        </w:tc>
        <w:tc>
          <w:tcPr>
            <w:tcW w:w="1985"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-596 038 009,33</w:t>
            </w:r>
          </w:p>
        </w:tc>
      </w:tr>
      <w:tr w:rsidR="0051089F" w:rsidRPr="004C12D8" w:rsidTr="0051089F">
        <w:tblPrEx>
          <w:tblLook w:val="04A0"/>
        </w:tblPrEx>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51089F" w:rsidRPr="004C12D8" w:rsidRDefault="0051089F" w:rsidP="00C508B8">
            <w:pPr>
              <w:rPr>
                <w:color w:val="000000"/>
                <w:sz w:val="20"/>
                <w:szCs w:val="20"/>
              </w:rPr>
            </w:pPr>
            <w:r w:rsidRPr="004C12D8">
              <w:rPr>
                <w:color w:val="000000"/>
                <w:sz w:val="20"/>
                <w:szCs w:val="20"/>
              </w:rPr>
              <w:t>Уменьшение остатков средств, всего</w:t>
            </w:r>
          </w:p>
        </w:tc>
        <w:tc>
          <w:tcPr>
            <w:tcW w:w="2693"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r>
              <w:rPr>
                <w:color w:val="000000"/>
                <w:sz w:val="20"/>
                <w:szCs w:val="20"/>
              </w:rPr>
              <w:t>245</w:t>
            </w:r>
            <w:r w:rsidRPr="004C12D8">
              <w:rPr>
                <w:color w:val="000000"/>
                <w:sz w:val="20"/>
                <w:szCs w:val="20"/>
              </w:rPr>
              <w:t xml:space="preserve"> 01050000000000600</w:t>
            </w:r>
          </w:p>
        </w:tc>
        <w:tc>
          <w:tcPr>
            <w:tcW w:w="1701"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596 311 725,06</w:t>
            </w:r>
          </w:p>
        </w:tc>
        <w:tc>
          <w:tcPr>
            <w:tcW w:w="1985"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594 716 880,83</w:t>
            </w:r>
          </w:p>
        </w:tc>
      </w:tr>
      <w:tr w:rsidR="0051089F" w:rsidRPr="004C12D8" w:rsidTr="0051089F">
        <w:tblPrEx>
          <w:tblLook w:val="04A0"/>
        </w:tblPrEx>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51089F" w:rsidRPr="004C12D8" w:rsidRDefault="0051089F" w:rsidP="00C508B8">
            <w:pPr>
              <w:rPr>
                <w:color w:val="000000"/>
                <w:sz w:val="20"/>
                <w:szCs w:val="20"/>
              </w:rPr>
            </w:pPr>
            <w:r w:rsidRPr="004C12D8">
              <w:rPr>
                <w:color w:val="000000"/>
                <w:sz w:val="20"/>
                <w:szCs w:val="20"/>
              </w:rPr>
              <w:t>Уменьшение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r w:rsidRPr="004C12D8">
              <w:rPr>
                <w:color w:val="000000"/>
                <w:sz w:val="20"/>
                <w:szCs w:val="20"/>
              </w:rPr>
              <w:t>245 01050201000000610</w:t>
            </w:r>
          </w:p>
        </w:tc>
        <w:tc>
          <w:tcPr>
            <w:tcW w:w="1701"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596 311 725,06</w:t>
            </w:r>
          </w:p>
        </w:tc>
        <w:tc>
          <w:tcPr>
            <w:tcW w:w="1985"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594 716 880,83</w:t>
            </w:r>
          </w:p>
        </w:tc>
      </w:tr>
      <w:tr w:rsidR="0051089F" w:rsidRPr="004C12D8" w:rsidTr="0051089F">
        <w:tblPrEx>
          <w:tblLook w:val="04A0"/>
        </w:tblPrEx>
        <w:trPr>
          <w:trHeight w:val="690"/>
        </w:trPr>
        <w:tc>
          <w:tcPr>
            <w:tcW w:w="3134" w:type="dxa"/>
            <w:tcBorders>
              <w:top w:val="nil"/>
              <w:left w:val="single" w:sz="4" w:space="0" w:color="000000"/>
              <w:bottom w:val="single" w:sz="4" w:space="0" w:color="000000"/>
              <w:right w:val="single" w:sz="4" w:space="0" w:color="000000"/>
            </w:tcBorders>
            <w:shd w:val="clear" w:color="auto" w:fill="auto"/>
            <w:hideMark/>
          </w:tcPr>
          <w:p w:rsidR="0051089F" w:rsidRPr="004C12D8" w:rsidRDefault="0051089F" w:rsidP="00C508B8">
            <w:pPr>
              <w:rPr>
                <w:color w:val="000000"/>
                <w:sz w:val="20"/>
                <w:szCs w:val="20"/>
              </w:rPr>
            </w:pPr>
            <w:r w:rsidRPr="004C12D8">
              <w:rPr>
                <w:color w:val="000000"/>
                <w:sz w:val="20"/>
                <w:szCs w:val="20"/>
              </w:rPr>
              <w:t>Уменьшение прочих остатков денежных средств бюджетов муниципальных районов</w:t>
            </w:r>
          </w:p>
        </w:tc>
        <w:tc>
          <w:tcPr>
            <w:tcW w:w="2693"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center"/>
              <w:rPr>
                <w:color w:val="000000"/>
                <w:sz w:val="20"/>
                <w:szCs w:val="20"/>
              </w:rPr>
            </w:pPr>
            <w:r w:rsidRPr="004C12D8">
              <w:rPr>
                <w:color w:val="000000"/>
                <w:sz w:val="20"/>
                <w:szCs w:val="20"/>
              </w:rPr>
              <w:t>245 01050201050000610</w:t>
            </w:r>
          </w:p>
        </w:tc>
        <w:tc>
          <w:tcPr>
            <w:tcW w:w="1701"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596 311 725,06</w:t>
            </w:r>
          </w:p>
        </w:tc>
        <w:tc>
          <w:tcPr>
            <w:tcW w:w="1985" w:type="dxa"/>
            <w:tcBorders>
              <w:top w:val="nil"/>
              <w:left w:val="nil"/>
              <w:bottom w:val="single" w:sz="4" w:space="0" w:color="000000"/>
              <w:right w:val="single" w:sz="4" w:space="0" w:color="000000"/>
            </w:tcBorders>
            <w:shd w:val="clear" w:color="auto" w:fill="auto"/>
            <w:vAlign w:val="bottom"/>
            <w:hideMark/>
          </w:tcPr>
          <w:p w:rsidR="0051089F" w:rsidRPr="004C12D8" w:rsidRDefault="0051089F" w:rsidP="00C508B8">
            <w:pPr>
              <w:jc w:val="right"/>
              <w:rPr>
                <w:color w:val="000000"/>
                <w:sz w:val="20"/>
                <w:szCs w:val="20"/>
              </w:rPr>
            </w:pPr>
            <w:r w:rsidRPr="004C12D8">
              <w:rPr>
                <w:color w:val="000000"/>
                <w:sz w:val="20"/>
                <w:szCs w:val="20"/>
              </w:rPr>
              <w:t>594 716 880,83</w:t>
            </w:r>
          </w:p>
        </w:tc>
      </w:tr>
    </w:tbl>
    <w:p w:rsidR="004267E1" w:rsidRPr="00DE4329" w:rsidRDefault="004267E1" w:rsidP="00DE4329">
      <w:pPr>
        <w:jc w:val="right"/>
        <w:rPr>
          <w:szCs w:val="28"/>
        </w:rPr>
      </w:pPr>
    </w:p>
    <w:sectPr w:rsidR="004267E1" w:rsidRPr="00DE4329"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427B56">
        <w:pPr>
          <w:pStyle w:val="a8"/>
          <w:jc w:val="center"/>
        </w:pPr>
        <w:fldSimple w:instr=" PAGE   \* MERGEFORMAT ">
          <w:r w:rsidR="00CA4B5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9"/>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8"/>
  </w:num>
  <w:num w:numId="12">
    <w:abstractNumId w:val="14"/>
  </w:num>
  <w:num w:numId="13">
    <w:abstractNumId w:val="1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C2F"/>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4B5"/>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8EC"/>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B56"/>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4C1"/>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9F"/>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C2E"/>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5E3"/>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2E4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3D9"/>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5E"/>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22A"/>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329"/>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3ED"/>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1D5"/>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EF9"/>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414C-9BEB-46C0-B2D3-B53BA796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2019-06-03T09:02:00Z</cp:lastPrinted>
  <dcterms:created xsi:type="dcterms:W3CDTF">2019-06-03T08:58:00Z</dcterms:created>
  <dcterms:modified xsi:type="dcterms:W3CDTF">2019-06-03T09:10:00Z</dcterms:modified>
</cp:coreProperties>
</file>