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FC0B48" w:rsidP="00FC0B48">
            <w:pPr>
              <w:jc w:val="center"/>
              <w:rPr>
                <w:szCs w:val="28"/>
              </w:rPr>
            </w:pPr>
            <w:r>
              <w:rPr>
                <w:sz w:val="28"/>
                <w:szCs w:val="28"/>
              </w:rPr>
              <w:t>03</w:t>
            </w:r>
            <w:r w:rsidR="008B53B7" w:rsidRPr="0043720E">
              <w:rPr>
                <w:sz w:val="28"/>
                <w:szCs w:val="28"/>
              </w:rPr>
              <w:t>.</w:t>
            </w:r>
            <w:r w:rsidR="004562C5">
              <w:rPr>
                <w:sz w:val="28"/>
                <w:szCs w:val="28"/>
              </w:rPr>
              <w:t>1</w:t>
            </w:r>
            <w:r>
              <w:rPr>
                <w:sz w:val="28"/>
                <w:szCs w:val="28"/>
              </w:rPr>
              <w:t>1</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E3547B" w:rsidRDefault="000D30A6" w:rsidP="000D30A6">
            <w:pPr>
              <w:jc w:val="center"/>
              <w:rPr>
                <w:szCs w:val="28"/>
              </w:rPr>
            </w:pPr>
            <w:r>
              <w:rPr>
                <w:sz w:val="28"/>
                <w:szCs w:val="28"/>
              </w:rPr>
              <w:t>10</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026551" w:rsidRDefault="00026551" w:rsidP="00D12C3C">
      <w:pPr>
        <w:ind w:left="720"/>
        <w:jc w:val="center"/>
        <w:rPr>
          <w:bCs/>
          <w:sz w:val="28"/>
          <w:szCs w:val="28"/>
        </w:rPr>
      </w:pPr>
    </w:p>
    <w:p w:rsidR="00026551" w:rsidRDefault="00026551" w:rsidP="00026551">
      <w:pPr>
        <w:widowControl w:val="0"/>
        <w:autoSpaceDE w:val="0"/>
        <w:autoSpaceDN w:val="0"/>
        <w:adjustRightInd w:val="0"/>
        <w:ind w:firstLine="540"/>
        <w:jc w:val="both"/>
        <w:rPr>
          <w:sz w:val="28"/>
          <w:szCs w:val="28"/>
        </w:rPr>
      </w:pPr>
      <w:r>
        <w:rPr>
          <w:sz w:val="28"/>
          <w:szCs w:val="28"/>
        </w:rPr>
        <w:t xml:space="preserve">«О пролонгации на 2018 год и </w:t>
      </w:r>
    </w:p>
    <w:p w:rsidR="00026551" w:rsidRDefault="00026551" w:rsidP="00026551">
      <w:pPr>
        <w:widowControl w:val="0"/>
        <w:autoSpaceDE w:val="0"/>
        <w:autoSpaceDN w:val="0"/>
        <w:adjustRightInd w:val="0"/>
        <w:ind w:firstLine="540"/>
        <w:jc w:val="both"/>
        <w:rPr>
          <w:sz w:val="28"/>
          <w:szCs w:val="28"/>
        </w:rPr>
      </w:pPr>
      <w:r>
        <w:rPr>
          <w:sz w:val="28"/>
          <w:szCs w:val="28"/>
        </w:rPr>
        <w:t>внесении изменений в решение</w:t>
      </w:r>
    </w:p>
    <w:p w:rsidR="00026551" w:rsidRDefault="00026551" w:rsidP="00026551">
      <w:pPr>
        <w:widowControl w:val="0"/>
        <w:autoSpaceDE w:val="0"/>
        <w:autoSpaceDN w:val="0"/>
        <w:adjustRightInd w:val="0"/>
        <w:ind w:firstLine="540"/>
        <w:jc w:val="both"/>
        <w:rPr>
          <w:sz w:val="28"/>
          <w:szCs w:val="28"/>
        </w:rPr>
      </w:pPr>
      <w:r>
        <w:rPr>
          <w:sz w:val="28"/>
          <w:szCs w:val="28"/>
        </w:rPr>
        <w:t>от 15.09.2005 года № 99»</w:t>
      </w:r>
    </w:p>
    <w:p w:rsidR="00026551" w:rsidRDefault="00026551" w:rsidP="00026551">
      <w:pPr>
        <w:widowControl w:val="0"/>
        <w:autoSpaceDE w:val="0"/>
        <w:autoSpaceDN w:val="0"/>
        <w:adjustRightInd w:val="0"/>
        <w:ind w:firstLine="540"/>
        <w:jc w:val="both"/>
        <w:rPr>
          <w:sz w:val="28"/>
          <w:szCs w:val="28"/>
        </w:rPr>
      </w:pPr>
    </w:p>
    <w:p w:rsidR="00026551" w:rsidRPr="008A46CA" w:rsidRDefault="00026551" w:rsidP="00026551">
      <w:pPr>
        <w:widowControl w:val="0"/>
        <w:autoSpaceDE w:val="0"/>
        <w:autoSpaceDN w:val="0"/>
        <w:adjustRightInd w:val="0"/>
        <w:ind w:firstLine="540"/>
        <w:jc w:val="both"/>
        <w:rPr>
          <w:sz w:val="28"/>
          <w:szCs w:val="28"/>
        </w:rPr>
      </w:pPr>
    </w:p>
    <w:p w:rsidR="00026551" w:rsidRPr="008A46CA" w:rsidRDefault="00026551" w:rsidP="00026551">
      <w:pPr>
        <w:widowControl w:val="0"/>
        <w:autoSpaceDE w:val="0"/>
        <w:autoSpaceDN w:val="0"/>
        <w:adjustRightInd w:val="0"/>
        <w:ind w:firstLine="567"/>
        <w:jc w:val="both"/>
        <w:rPr>
          <w:sz w:val="28"/>
          <w:szCs w:val="28"/>
        </w:rPr>
      </w:pPr>
      <w:r w:rsidRPr="008A46CA">
        <w:rPr>
          <w:sz w:val="28"/>
          <w:szCs w:val="28"/>
        </w:rPr>
        <w:t xml:space="preserve">Муниципальное Собрание </w:t>
      </w:r>
      <w:r w:rsidRPr="00026551">
        <w:rPr>
          <w:b/>
          <w:sz w:val="28"/>
          <w:szCs w:val="28"/>
        </w:rPr>
        <w:t>РЕШИЛО</w:t>
      </w:r>
      <w:r w:rsidRPr="008A46CA">
        <w:rPr>
          <w:sz w:val="28"/>
          <w:szCs w:val="28"/>
        </w:rPr>
        <w:t>:</w:t>
      </w:r>
    </w:p>
    <w:p w:rsidR="00026551" w:rsidRDefault="00026551" w:rsidP="00026551">
      <w:pPr>
        <w:widowControl w:val="0"/>
        <w:numPr>
          <w:ilvl w:val="0"/>
          <w:numId w:val="29"/>
        </w:numPr>
        <w:tabs>
          <w:tab w:val="left" w:pos="284"/>
          <w:tab w:val="left" w:pos="851"/>
        </w:tabs>
        <w:autoSpaceDE w:val="0"/>
        <w:autoSpaceDN w:val="0"/>
        <w:adjustRightInd w:val="0"/>
        <w:ind w:left="0" w:firstLine="567"/>
        <w:jc w:val="both"/>
        <w:rPr>
          <w:sz w:val="28"/>
          <w:szCs w:val="28"/>
        </w:rPr>
      </w:pPr>
      <w:r w:rsidRPr="00B857FD">
        <w:rPr>
          <w:sz w:val="28"/>
          <w:szCs w:val="28"/>
        </w:rPr>
        <w:t>Внести в решение Муниципального Собрания Кичменгско-Городецкого муниципального района  от 15.09.2005 года №99 «О введении на территории Кичменгско-Городецкого муниципального района системы налогообложения в виде единого налога на вмененный доход для отдельных видов деятельности» (с последующими изменениями и дополнениями) изменения, изложив  приложение 3 «Значение показателя, учитывающего уровень выплачиваемой заработной платы наемным работникам»  в новой редакции согласно приложению 1 к настоящему решению.</w:t>
      </w:r>
    </w:p>
    <w:p w:rsidR="00026551" w:rsidRPr="00E95BDF" w:rsidRDefault="00026551" w:rsidP="00EA1AB1">
      <w:pPr>
        <w:widowControl w:val="0"/>
        <w:tabs>
          <w:tab w:val="left" w:pos="1276"/>
        </w:tabs>
        <w:autoSpaceDE w:val="0"/>
        <w:autoSpaceDN w:val="0"/>
        <w:adjustRightInd w:val="0"/>
        <w:ind w:right="-2" w:firstLine="567"/>
        <w:jc w:val="both"/>
        <w:rPr>
          <w:sz w:val="28"/>
          <w:szCs w:val="28"/>
        </w:rPr>
      </w:pPr>
      <w:r>
        <w:rPr>
          <w:sz w:val="28"/>
          <w:szCs w:val="28"/>
        </w:rPr>
        <w:t>2</w:t>
      </w:r>
      <w:r w:rsidRPr="00E95BDF">
        <w:rPr>
          <w:sz w:val="28"/>
          <w:szCs w:val="28"/>
        </w:rPr>
        <w:t xml:space="preserve">. Настоящее решение вступает в силу </w:t>
      </w:r>
      <w:r>
        <w:rPr>
          <w:sz w:val="28"/>
          <w:szCs w:val="28"/>
        </w:rPr>
        <w:t>по истечению одного месяца со дня официального опубликования</w:t>
      </w:r>
      <w:r w:rsidRPr="00AF282A">
        <w:rPr>
          <w:sz w:val="28"/>
          <w:szCs w:val="28"/>
        </w:rPr>
        <w:t xml:space="preserve"> </w:t>
      </w:r>
      <w:r>
        <w:rPr>
          <w:sz w:val="28"/>
          <w:szCs w:val="28"/>
        </w:rPr>
        <w:t>в районной газете «Заря Севера", но не ранее</w:t>
      </w:r>
      <w:r w:rsidRPr="00E95BDF">
        <w:rPr>
          <w:sz w:val="28"/>
          <w:szCs w:val="28"/>
        </w:rPr>
        <w:t xml:space="preserve"> 1 января 201</w:t>
      </w:r>
      <w:r>
        <w:rPr>
          <w:sz w:val="28"/>
          <w:szCs w:val="28"/>
        </w:rPr>
        <w:t>8</w:t>
      </w:r>
      <w:r w:rsidRPr="00E95BDF">
        <w:rPr>
          <w:sz w:val="28"/>
          <w:szCs w:val="28"/>
        </w:rPr>
        <w:t xml:space="preserve"> года.</w:t>
      </w:r>
    </w:p>
    <w:p w:rsidR="00026551" w:rsidRPr="00E95BDF" w:rsidRDefault="00026551" w:rsidP="00EA1AB1">
      <w:pPr>
        <w:widowControl w:val="0"/>
        <w:autoSpaceDE w:val="0"/>
        <w:autoSpaceDN w:val="0"/>
        <w:adjustRightInd w:val="0"/>
        <w:ind w:right="-2" w:firstLine="567"/>
        <w:jc w:val="both"/>
        <w:rPr>
          <w:sz w:val="28"/>
          <w:szCs w:val="28"/>
        </w:rPr>
      </w:pPr>
      <w:r>
        <w:rPr>
          <w:sz w:val="28"/>
          <w:szCs w:val="28"/>
        </w:rPr>
        <w:t>3</w:t>
      </w:r>
      <w:r w:rsidRPr="00E95BDF">
        <w:rPr>
          <w:sz w:val="28"/>
          <w:szCs w:val="28"/>
        </w:rPr>
        <w:t xml:space="preserve">. Настоящее решение подлежит </w:t>
      </w:r>
      <w:r>
        <w:rPr>
          <w:sz w:val="28"/>
          <w:szCs w:val="28"/>
        </w:rPr>
        <w:t>размещению на официальном сайте Кичменгско-Городецкого муниципального района в информационно-телекоммуникационной сети «Интернет».</w:t>
      </w:r>
    </w:p>
    <w:p w:rsidR="00026551" w:rsidRDefault="00026551" w:rsidP="00026551">
      <w:pPr>
        <w:widowControl w:val="0"/>
        <w:autoSpaceDE w:val="0"/>
        <w:autoSpaceDN w:val="0"/>
        <w:adjustRightInd w:val="0"/>
        <w:jc w:val="both"/>
        <w:rPr>
          <w:sz w:val="28"/>
          <w:szCs w:val="28"/>
        </w:rPr>
      </w:pPr>
    </w:p>
    <w:p w:rsidR="00026551" w:rsidRDefault="00026551" w:rsidP="00026551">
      <w:pPr>
        <w:widowControl w:val="0"/>
        <w:autoSpaceDE w:val="0"/>
        <w:autoSpaceDN w:val="0"/>
        <w:adjustRightInd w:val="0"/>
        <w:jc w:val="both"/>
        <w:rPr>
          <w:sz w:val="28"/>
          <w:szCs w:val="28"/>
        </w:rPr>
      </w:pPr>
    </w:p>
    <w:p w:rsidR="00026551" w:rsidRDefault="00026551" w:rsidP="00026551">
      <w:pPr>
        <w:widowControl w:val="0"/>
        <w:autoSpaceDE w:val="0"/>
        <w:autoSpaceDN w:val="0"/>
        <w:adjustRightInd w:val="0"/>
        <w:jc w:val="both"/>
        <w:rPr>
          <w:b/>
          <w:sz w:val="28"/>
          <w:szCs w:val="28"/>
        </w:rPr>
      </w:pPr>
    </w:p>
    <w:p w:rsidR="00A67034" w:rsidRDefault="00EA1AB1" w:rsidP="00026551">
      <w:pPr>
        <w:widowControl w:val="0"/>
        <w:autoSpaceDE w:val="0"/>
        <w:autoSpaceDN w:val="0"/>
        <w:adjustRightInd w:val="0"/>
        <w:jc w:val="both"/>
        <w:rPr>
          <w:sz w:val="28"/>
          <w:szCs w:val="28"/>
        </w:rPr>
      </w:pPr>
      <w:r>
        <w:rPr>
          <w:sz w:val="28"/>
          <w:szCs w:val="28"/>
        </w:rPr>
        <w:t xml:space="preserve">Глава района </w:t>
      </w:r>
      <w:r>
        <w:rPr>
          <w:sz w:val="28"/>
          <w:szCs w:val="28"/>
        </w:rPr>
        <w:tab/>
      </w:r>
      <w:r>
        <w:rPr>
          <w:sz w:val="28"/>
          <w:szCs w:val="28"/>
        </w:rPr>
        <w:tab/>
      </w:r>
      <w:r>
        <w:rPr>
          <w:sz w:val="28"/>
          <w:szCs w:val="28"/>
        </w:rPr>
        <w:tab/>
        <w:t xml:space="preserve">  </w:t>
      </w:r>
      <w:r w:rsidR="00026551" w:rsidRPr="00E95BDF">
        <w:rPr>
          <w:sz w:val="28"/>
          <w:szCs w:val="28"/>
        </w:rPr>
        <w:t xml:space="preserve">      </w:t>
      </w:r>
      <w:r w:rsidR="00026551" w:rsidRPr="00E95BDF">
        <w:rPr>
          <w:sz w:val="28"/>
          <w:szCs w:val="28"/>
        </w:rPr>
        <w:tab/>
      </w:r>
      <w:r w:rsidR="00026551" w:rsidRPr="00E95BDF">
        <w:rPr>
          <w:sz w:val="28"/>
          <w:szCs w:val="28"/>
        </w:rPr>
        <w:tab/>
      </w:r>
      <w:r w:rsidR="00026551" w:rsidRPr="00E95BDF">
        <w:rPr>
          <w:sz w:val="28"/>
          <w:szCs w:val="28"/>
        </w:rPr>
        <w:tab/>
      </w:r>
      <w:r w:rsidR="00026551">
        <w:rPr>
          <w:sz w:val="28"/>
          <w:szCs w:val="28"/>
        </w:rPr>
        <w:t xml:space="preserve">                      </w:t>
      </w:r>
      <w:r w:rsidR="00026551">
        <w:rPr>
          <w:sz w:val="28"/>
          <w:szCs w:val="28"/>
        </w:rPr>
        <w:tab/>
        <w:t>Л.Н.Дьякова</w:t>
      </w:r>
    </w:p>
    <w:p w:rsidR="00A67034" w:rsidRDefault="00A67034">
      <w:pPr>
        <w:jc w:val="both"/>
        <w:rPr>
          <w:sz w:val="28"/>
          <w:szCs w:val="28"/>
        </w:rPr>
      </w:pPr>
      <w:r>
        <w:rPr>
          <w:sz w:val="28"/>
          <w:szCs w:val="28"/>
        </w:rPr>
        <w:br w:type="page"/>
      </w:r>
    </w:p>
    <w:p w:rsidR="00026551" w:rsidRPr="006D5ABD" w:rsidRDefault="00026551" w:rsidP="006D5ABD">
      <w:pPr>
        <w:ind w:left="3969"/>
        <w:jc w:val="right"/>
      </w:pPr>
      <w:r w:rsidRPr="006D5ABD">
        <w:lastRenderedPageBreak/>
        <w:t>Приложение 1</w:t>
      </w:r>
    </w:p>
    <w:p w:rsidR="00026551" w:rsidRPr="006D5ABD" w:rsidRDefault="00026551" w:rsidP="006D5ABD">
      <w:pPr>
        <w:ind w:left="3969"/>
        <w:jc w:val="right"/>
      </w:pPr>
      <w:r w:rsidRPr="006D5ABD">
        <w:t>к решению Муниципального Собрания</w:t>
      </w:r>
    </w:p>
    <w:p w:rsidR="00026551" w:rsidRPr="006D5ABD" w:rsidRDefault="00026551" w:rsidP="006D5ABD">
      <w:pPr>
        <w:ind w:left="3969"/>
        <w:jc w:val="right"/>
      </w:pPr>
      <w:r w:rsidRPr="006D5ABD">
        <w:t>Кичменгско-Городецкого муниципального района</w:t>
      </w:r>
    </w:p>
    <w:p w:rsidR="00026551" w:rsidRPr="006D5ABD" w:rsidRDefault="00026551" w:rsidP="006D5ABD">
      <w:pPr>
        <w:ind w:left="3969"/>
        <w:jc w:val="right"/>
      </w:pPr>
      <w:r w:rsidRPr="006D5ABD">
        <w:t xml:space="preserve">от </w:t>
      </w:r>
      <w:r w:rsidR="006D5ABD">
        <w:t xml:space="preserve">03.11.2017  </w:t>
      </w:r>
      <w:r w:rsidRPr="006D5ABD">
        <w:t xml:space="preserve">№ </w:t>
      </w:r>
      <w:r w:rsidR="006D5ABD">
        <w:t>10</w:t>
      </w:r>
    </w:p>
    <w:p w:rsidR="00026551" w:rsidRDefault="00026551" w:rsidP="00026551">
      <w:pPr>
        <w:rPr>
          <w:sz w:val="28"/>
          <w:szCs w:val="28"/>
        </w:rPr>
      </w:pPr>
    </w:p>
    <w:p w:rsidR="00026551" w:rsidRDefault="00026551" w:rsidP="00026551">
      <w:pPr>
        <w:rPr>
          <w:sz w:val="28"/>
          <w:szCs w:val="28"/>
        </w:rPr>
      </w:pPr>
    </w:p>
    <w:p w:rsidR="00026551" w:rsidRPr="005B0B3F" w:rsidRDefault="00026551" w:rsidP="006D5ABD">
      <w:pPr>
        <w:jc w:val="center"/>
        <w:rPr>
          <w:sz w:val="28"/>
          <w:szCs w:val="28"/>
        </w:rPr>
      </w:pPr>
      <w:r w:rsidRPr="005B0B3F">
        <w:rPr>
          <w:sz w:val="28"/>
          <w:szCs w:val="28"/>
        </w:rPr>
        <w:t>Значение показателя, учитывающего уровень</w:t>
      </w:r>
    </w:p>
    <w:p w:rsidR="00026551" w:rsidRDefault="00026551" w:rsidP="006D5ABD">
      <w:pPr>
        <w:spacing w:after="240"/>
        <w:jc w:val="center"/>
        <w:rPr>
          <w:sz w:val="28"/>
          <w:szCs w:val="28"/>
        </w:rPr>
      </w:pPr>
      <w:r w:rsidRPr="005B0B3F">
        <w:rPr>
          <w:sz w:val="28"/>
          <w:szCs w:val="28"/>
        </w:rPr>
        <w:t>выплачиваемой заработной платы наемным работникам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8"/>
        <w:gridCol w:w="3033"/>
        <w:gridCol w:w="1949"/>
      </w:tblGrid>
      <w:tr w:rsidR="00026551" w:rsidRPr="001A0373" w:rsidTr="006D5ABD">
        <w:tc>
          <w:tcPr>
            <w:tcW w:w="4588" w:type="dxa"/>
            <w:vAlign w:val="center"/>
          </w:tcPr>
          <w:p w:rsidR="00026551" w:rsidRPr="006D5ABD" w:rsidRDefault="00026551" w:rsidP="006D5ABD">
            <w:pPr>
              <w:jc w:val="center"/>
              <w:rPr>
                <w:sz w:val="28"/>
                <w:szCs w:val="28"/>
              </w:rPr>
            </w:pPr>
            <w:r w:rsidRPr="006D5ABD">
              <w:rPr>
                <w:sz w:val="28"/>
                <w:szCs w:val="28"/>
              </w:rPr>
              <w:t>Виды предпринимательской деятельности</w:t>
            </w:r>
          </w:p>
        </w:tc>
        <w:tc>
          <w:tcPr>
            <w:tcW w:w="3033" w:type="dxa"/>
            <w:vAlign w:val="center"/>
          </w:tcPr>
          <w:p w:rsidR="00026551" w:rsidRPr="006D5ABD" w:rsidRDefault="00026551" w:rsidP="006D5ABD">
            <w:pPr>
              <w:jc w:val="center"/>
              <w:rPr>
                <w:sz w:val="28"/>
                <w:szCs w:val="28"/>
              </w:rPr>
            </w:pPr>
            <w:r w:rsidRPr="006D5ABD">
              <w:rPr>
                <w:sz w:val="28"/>
                <w:szCs w:val="28"/>
              </w:rPr>
              <w:t>Величина среднемесячной заработной платы на одного работника (руб. в месяц)*</w:t>
            </w:r>
          </w:p>
        </w:tc>
        <w:tc>
          <w:tcPr>
            <w:tcW w:w="1949" w:type="dxa"/>
            <w:vAlign w:val="center"/>
          </w:tcPr>
          <w:p w:rsidR="00026551" w:rsidRPr="006D5ABD" w:rsidRDefault="00026551" w:rsidP="006D5ABD">
            <w:pPr>
              <w:jc w:val="center"/>
              <w:rPr>
                <w:sz w:val="28"/>
                <w:szCs w:val="28"/>
              </w:rPr>
            </w:pPr>
            <w:r w:rsidRPr="006D5ABD">
              <w:rPr>
                <w:sz w:val="28"/>
                <w:szCs w:val="28"/>
              </w:rPr>
              <w:t>Значение показателя</w:t>
            </w:r>
          </w:p>
        </w:tc>
      </w:tr>
      <w:tr w:rsidR="00026551" w:rsidRPr="001A0373" w:rsidTr="006D5ABD">
        <w:tc>
          <w:tcPr>
            <w:tcW w:w="4588" w:type="dxa"/>
          </w:tcPr>
          <w:p w:rsidR="00026551" w:rsidRPr="001A0373" w:rsidRDefault="00026551" w:rsidP="00B24D0C">
            <w:pPr>
              <w:rPr>
                <w:szCs w:val="28"/>
              </w:rPr>
            </w:pPr>
            <w:r w:rsidRPr="001A0373">
              <w:rPr>
                <w:sz w:val="28"/>
                <w:szCs w:val="28"/>
              </w:rPr>
              <w:t>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tc>
        <w:tc>
          <w:tcPr>
            <w:tcW w:w="3033" w:type="dxa"/>
          </w:tcPr>
          <w:p w:rsidR="00026551" w:rsidRPr="001A0373" w:rsidRDefault="00026551" w:rsidP="00B24D0C">
            <w:pPr>
              <w:jc w:val="center"/>
              <w:rPr>
                <w:szCs w:val="28"/>
              </w:rPr>
            </w:pPr>
            <w:r w:rsidRPr="001A0373">
              <w:rPr>
                <w:sz w:val="28"/>
                <w:szCs w:val="28"/>
              </w:rPr>
              <w:t xml:space="preserve">Менее </w:t>
            </w:r>
            <w:r>
              <w:rPr>
                <w:sz w:val="28"/>
                <w:szCs w:val="28"/>
              </w:rPr>
              <w:t>12 900</w:t>
            </w:r>
          </w:p>
        </w:tc>
        <w:tc>
          <w:tcPr>
            <w:tcW w:w="1949" w:type="dxa"/>
          </w:tcPr>
          <w:p w:rsidR="00026551" w:rsidRPr="001A0373" w:rsidRDefault="00026551" w:rsidP="006D5ABD">
            <w:pPr>
              <w:jc w:val="center"/>
              <w:rPr>
                <w:szCs w:val="28"/>
              </w:rPr>
            </w:pPr>
            <w:r w:rsidRPr="001A0373">
              <w:rPr>
                <w:sz w:val="28"/>
                <w:szCs w:val="28"/>
              </w:rPr>
              <w:t>1,5</w:t>
            </w:r>
          </w:p>
        </w:tc>
      </w:tr>
      <w:tr w:rsidR="00026551" w:rsidRPr="001A0373" w:rsidTr="006D5ABD">
        <w:tc>
          <w:tcPr>
            <w:tcW w:w="4588" w:type="dxa"/>
          </w:tcPr>
          <w:p w:rsidR="00026551" w:rsidRPr="001A0373" w:rsidRDefault="00026551" w:rsidP="00B24D0C">
            <w:pPr>
              <w:rPr>
                <w:szCs w:val="28"/>
              </w:rPr>
            </w:pPr>
            <w:r w:rsidRPr="001A0373">
              <w:rPr>
                <w:sz w:val="28"/>
                <w:szCs w:val="28"/>
              </w:rPr>
              <w:t>Розничная торговля, осуществляемая через объекты стационарной торговой сети, не имеющие торговых залов, а также объекты нестационарной сети</w:t>
            </w:r>
          </w:p>
        </w:tc>
        <w:tc>
          <w:tcPr>
            <w:tcW w:w="3033" w:type="dxa"/>
          </w:tcPr>
          <w:p w:rsidR="00026551" w:rsidRDefault="00026551" w:rsidP="00B24D0C">
            <w:pPr>
              <w:jc w:val="center"/>
            </w:pPr>
            <w:r w:rsidRPr="002760C3">
              <w:rPr>
                <w:sz w:val="28"/>
                <w:szCs w:val="28"/>
              </w:rPr>
              <w:t>Менее 12 900</w:t>
            </w:r>
          </w:p>
        </w:tc>
        <w:tc>
          <w:tcPr>
            <w:tcW w:w="1949" w:type="dxa"/>
          </w:tcPr>
          <w:p w:rsidR="00026551" w:rsidRPr="001A0373" w:rsidRDefault="00026551" w:rsidP="006D5ABD">
            <w:pPr>
              <w:jc w:val="center"/>
              <w:rPr>
                <w:szCs w:val="28"/>
              </w:rPr>
            </w:pPr>
            <w:r w:rsidRPr="001A0373">
              <w:rPr>
                <w:sz w:val="28"/>
                <w:szCs w:val="28"/>
              </w:rPr>
              <w:t>1,5</w:t>
            </w:r>
          </w:p>
        </w:tc>
      </w:tr>
      <w:tr w:rsidR="00026551" w:rsidRPr="001A0373" w:rsidTr="006D5ABD">
        <w:tc>
          <w:tcPr>
            <w:tcW w:w="4588" w:type="dxa"/>
          </w:tcPr>
          <w:p w:rsidR="00026551" w:rsidRPr="001A0373" w:rsidRDefault="00026551" w:rsidP="00B24D0C">
            <w:pPr>
              <w:rPr>
                <w:szCs w:val="28"/>
              </w:rPr>
            </w:pPr>
            <w:r w:rsidRPr="001A0373">
              <w:rPr>
                <w:sz w:val="28"/>
                <w:szCs w:val="28"/>
              </w:rPr>
              <w:t>Оказание услуг общественного питания</w:t>
            </w:r>
          </w:p>
        </w:tc>
        <w:tc>
          <w:tcPr>
            <w:tcW w:w="3033" w:type="dxa"/>
          </w:tcPr>
          <w:p w:rsidR="00026551" w:rsidRDefault="00026551" w:rsidP="00B24D0C">
            <w:pPr>
              <w:jc w:val="center"/>
            </w:pPr>
            <w:r w:rsidRPr="002760C3">
              <w:rPr>
                <w:sz w:val="28"/>
                <w:szCs w:val="28"/>
              </w:rPr>
              <w:t>Менее 12 900</w:t>
            </w:r>
          </w:p>
        </w:tc>
        <w:tc>
          <w:tcPr>
            <w:tcW w:w="1949" w:type="dxa"/>
          </w:tcPr>
          <w:p w:rsidR="00026551" w:rsidRPr="001A0373" w:rsidRDefault="00026551" w:rsidP="006D5ABD">
            <w:pPr>
              <w:jc w:val="center"/>
              <w:rPr>
                <w:szCs w:val="28"/>
              </w:rPr>
            </w:pPr>
            <w:r w:rsidRPr="001A0373">
              <w:rPr>
                <w:sz w:val="28"/>
                <w:szCs w:val="28"/>
              </w:rPr>
              <w:t>1,5</w:t>
            </w:r>
          </w:p>
        </w:tc>
      </w:tr>
      <w:tr w:rsidR="00026551" w:rsidRPr="001A0373" w:rsidTr="006D5ABD">
        <w:tc>
          <w:tcPr>
            <w:tcW w:w="4588" w:type="dxa"/>
          </w:tcPr>
          <w:p w:rsidR="00026551" w:rsidRPr="001A0373" w:rsidRDefault="00026551" w:rsidP="00B24D0C">
            <w:pPr>
              <w:rPr>
                <w:szCs w:val="28"/>
              </w:rPr>
            </w:pPr>
            <w:r w:rsidRPr="001A0373">
              <w:rPr>
                <w:sz w:val="28"/>
                <w:szCs w:val="28"/>
              </w:rPr>
              <w:t>Оказание автотранспортных услуг по перевозке грузов и пассажиров</w:t>
            </w:r>
          </w:p>
        </w:tc>
        <w:tc>
          <w:tcPr>
            <w:tcW w:w="3033" w:type="dxa"/>
          </w:tcPr>
          <w:p w:rsidR="00026551" w:rsidRDefault="00026551" w:rsidP="00B24D0C">
            <w:pPr>
              <w:jc w:val="center"/>
            </w:pPr>
            <w:r w:rsidRPr="002760C3">
              <w:rPr>
                <w:sz w:val="28"/>
                <w:szCs w:val="28"/>
              </w:rPr>
              <w:t>Менее 12 900</w:t>
            </w:r>
          </w:p>
        </w:tc>
        <w:tc>
          <w:tcPr>
            <w:tcW w:w="1949" w:type="dxa"/>
          </w:tcPr>
          <w:p w:rsidR="00026551" w:rsidRPr="001A0373" w:rsidRDefault="00026551" w:rsidP="006D5ABD">
            <w:pPr>
              <w:jc w:val="center"/>
              <w:rPr>
                <w:szCs w:val="28"/>
              </w:rPr>
            </w:pPr>
            <w:r w:rsidRPr="001A0373">
              <w:rPr>
                <w:sz w:val="28"/>
                <w:szCs w:val="28"/>
              </w:rPr>
              <w:t>1,5</w:t>
            </w:r>
          </w:p>
        </w:tc>
      </w:tr>
      <w:tr w:rsidR="00026551" w:rsidRPr="001A0373" w:rsidTr="006D5ABD">
        <w:tc>
          <w:tcPr>
            <w:tcW w:w="4588" w:type="dxa"/>
          </w:tcPr>
          <w:p w:rsidR="00026551" w:rsidRPr="001A0373" w:rsidRDefault="00026551" w:rsidP="00B24D0C">
            <w:pPr>
              <w:rPr>
                <w:szCs w:val="28"/>
              </w:rPr>
            </w:pPr>
            <w:r w:rsidRPr="001A0373">
              <w:rPr>
                <w:sz w:val="28"/>
                <w:szCs w:val="28"/>
              </w:rP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3033" w:type="dxa"/>
          </w:tcPr>
          <w:p w:rsidR="00026551" w:rsidRDefault="00026551" w:rsidP="00B24D0C">
            <w:pPr>
              <w:jc w:val="center"/>
            </w:pPr>
            <w:r w:rsidRPr="002760C3">
              <w:rPr>
                <w:sz w:val="28"/>
                <w:szCs w:val="28"/>
              </w:rPr>
              <w:t>Менее 12 900</w:t>
            </w:r>
          </w:p>
        </w:tc>
        <w:tc>
          <w:tcPr>
            <w:tcW w:w="1949" w:type="dxa"/>
          </w:tcPr>
          <w:p w:rsidR="00026551" w:rsidRPr="001A0373" w:rsidRDefault="00026551" w:rsidP="006D5ABD">
            <w:pPr>
              <w:jc w:val="center"/>
              <w:rPr>
                <w:szCs w:val="28"/>
              </w:rPr>
            </w:pPr>
            <w:r w:rsidRPr="001A0373">
              <w:rPr>
                <w:sz w:val="28"/>
                <w:szCs w:val="28"/>
              </w:rPr>
              <w:t>1,5</w:t>
            </w:r>
          </w:p>
        </w:tc>
      </w:tr>
    </w:tbl>
    <w:p w:rsidR="00026551" w:rsidRPr="00675453" w:rsidRDefault="00026551" w:rsidP="006D5ABD">
      <w:pPr>
        <w:ind w:firstLine="567"/>
        <w:jc w:val="both"/>
      </w:pPr>
      <w:r>
        <w:rPr>
          <w:sz w:val="28"/>
          <w:szCs w:val="28"/>
        </w:rPr>
        <w:t>*</w:t>
      </w:r>
      <w:r w:rsidRPr="00675453">
        <w:t>При отсутствии учета данных на выплату заработной платы (доходов) применяется значение показателя, равное 2.</w:t>
      </w:r>
    </w:p>
    <w:p w:rsidR="00026551" w:rsidRPr="00675453" w:rsidRDefault="00026551" w:rsidP="006D5ABD">
      <w:pPr>
        <w:ind w:firstLine="567"/>
        <w:jc w:val="both"/>
      </w:pPr>
      <w:r w:rsidRPr="00675453">
        <w:t xml:space="preserve">Величина выплачиваемой среднемесячной заработной платы на одного работника среднесписочной численности представляет собой общую сумму выплат работнику, отработавшему месячную норму рабочего времени, установленную законодательством РФ, включающую тарифную ставку (оклад) или оплату труда по бестарифной системе, а также доплаты, надбавки, премии и другие поощрительные выплаты. </w:t>
      </w:r>
    </w:p>
    <w:p w:rsidR="00026551" w:rsidRPr="00675453" w:rsidRDefault="00026551" w:rsidP="006D5ABD">
      <w:pPr>
        <w:ind w:firstLine="567"/>
        <w:jc w:val="both"/>
      </w:pPr>
      <w:r w:rsidRPr="00675453">
        <w:lastRenderedPageBreak/>
        <w:t>Для налогоплательщиков единого налога, не имеющих наемных работников, при исчислении ЕНВД значение показателя К2 в зависимости от уровня заработной платы работников не применяется.</w:t>
      </w:r>
    </w:p>
    <w:p w:rsidR="00026551" w:rsidRPr="00675453" w:rsidRDefault="00026551" w:rsidP="006D5ABD">
      <w:pPr>
        <w:ind w:firstLine="567"/>
        <w:jc w:val="both"/>
      </w:pPr>
      <w:r w:rsidRPr="00675453">
        <w:t>Среднемесячная заработная плата на одного работника рассчитывается нарастающим итогом с начала года путем деления заработной платы, начисленной работникам списочного состава (без внешних совместителей) по организации в целом (индивидуальному предпринимателю, имеющему наемных работников) за первый квартал, полугодие, девять месяцев, год, на среднесписочную численность работников (без внешних совместителей)  за первый квартал, полугодие, девять месяцев, год, и 3, 6, 9, 12 соответственно.</w:t>
      </w:r>
    </w:p>
    <w:p w:rsidR="00026551" w:rsidRPr="00675453" w:rsidRDefault="00026551" w:rsidP="006D5ABD">
      <w:pPr>
        <w:ind w:firstLine="567"/>
        <w:jc w:val="both"/>
      </w:pPr>
      <w:r w:rsidRPr="00675453">
        <w:t xml:space="preserve">Если размер среднемесячной заработной платы на 1 работника налогоплательщика по каждому месту осуществления предпринимательской деятельности равен или превышает уровень, указанный в графе 2 приложения </w:t>
      </w:r>
      <w:r>
        <w:t>1</w:t>
      </w:r>
      <w:r w:rsidRPr="00675453">
        <w:t>, показатель, учитывающий величину доходов в зависимости от уровня заработной платы наемных работников, применяется равным 1.</w:t>
      </w:r>
    </w:p>
    <w:p w:rsidR="00026551" w:rsidRDefault="00026551" w:rsidP="00026551"/>
    <w:p w:rsidR="00EE20EF" w:rsidRDefault="00EE20EF" w:rsidP="00D12C3C">
      <w:pPr>
        <w:ind w:left="720"/>
        <w:jc w:val="center"/>
        <w:rPr>
          <w:bCs/>
          <w:sz w:val="28"/>
          <w:szCs w:val="28"/>
        </w:rPr>
      </w:pPr>
    </w:p>
    <w:p w:rsidR="00044776" w:rsidRDefault="00044776" w:rsidP="00253B00">
      <w:pPr>
        <w:rPr>
          <w:bCs/>
          <w:sz w:val="28"/>
          <w:szCs w:val="28"/>
        </w:rPr>
      </w:pPr>
    </w:p>
    <w:sectPr w:rsidR="00044776" w:rsidSect="00FD23AB">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45C" w:rsidRDefault="006B345C" w:rsidP="006B1A05">
      <w:r>
        <w:separator/>
      </w:r>
    </w:p>
  </w:endnote>
  <w:endnote w:type="continuationSeparator" w:id="0">
    <w:p w:rsidR="006B345C" w:rsidRDefault="006B345C"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45C" w:rsidRDefault="006B345C" w:rsidP="006B1A05">
      <w:r>
        <w:separator/>
      </w:r>
    </w:p>
  </w:footnote>
  <w:footnote w:type="continuationSeparator" w:id="0">
    <w:p w:rsidR="006B345C" w:rsidRDefault="006B345C"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75350C">
        <w:pPr>
          <w:pStyle w:val="a8"/>
          <w:jc w:val="center"/>
        </w:pPr>
        <w:fldSimple w:instr=" PAGE   \* MERGEFORMAT ">
          <w:r w:rsidR="006D5ABD">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78" w:hanging="810"/>
      </w:pPr>
      <w:rPr>
        <w:rFonts w:ascii="Times New Roman" w:eastAsia="Times New Roman" w:hAnsi="Times New Roman" w:cs="Times New Roman"/>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1">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3">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7">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1">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3"/>
  </w:num>
  <w:num w:numId="3">
    <w:abstractNumId w:val="27"/>
  </w:num>
  <w:num w:numId="4">
    <w:abstractNumId w:val="28"/>
  </w:num>
  <w:num w:numId="5">
    <w:abstractNumId w:val="23"/>
  </w:num>
  <w:num w:numId="6">
    <w:abstractNumId w:val="21"/>
  </w:num>
  <w:num w:numId="7">
    <w:abstractNumId w:val="19"/>
  </w:num>
  <w:num w:numId="8">
    <w:abstractNumId w:val="5"/>
  </w:num>
  <w:num w:numId="9">
    <w:abstractNumId w:val="17"/>
  </w:num>
  <w:num w:numId="10">
    <w:abstractNumId w:val="26"/>
  </w:num>
  <w:num w:numId="11">
    <w:abstractNumId w:val="7"/>
  </w:num>
  <w:num w:numId="12">
    <w:abstractNumId w:val="11"/>
  </w:num>
  <w:num w:numId="13">
    <w:abstractNumId w:val="8"/>
  </w:num>
  <w:num w:numId="14">
    <w:abstractNumId w:val="15"/>
  </w:num>
  <w:num w:numId="15">
    <w:abstractNumId w:val="31"/>
  </w:num>
  <w:num w:numId="16">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29"/>
  </w:num>
  <w:num w:numId="23">
    <w:abstractNumId w:val="22"/>
  </w:num>
  <w:num w:numId="24">
    <w:abstractNumId w:val="14"/>
  </w:num>
  <w:num w:numId="25">
    <w:abstractNumId w:val="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551"/>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A6"/>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0"/>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B18"/>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30A"/>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28"/>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45C"/>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5ABD"/>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229"/>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350C"/>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034"/>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0BA"/>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AB1"/>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882"/>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2746D-56AD-4F88-B737-453D7798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559</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2017-10-17T14:05:00Z</cp:lastPrinted>
  <dcterms:created xsi:type="dcterms:W3CDTF">2017-10-27T08:48:00Z</dcterms:created>
  <dcterms:modified xsi:type="dcterms:W3CDTF">2017-11-03T11:02:00Z</dcterms:modified>
</cp:coreProperties>
</file>