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7A" w:rsidRPr="00CF6E45" w:rsidRDefault="00660970" w:rsidP="00F6017A">
      <w:pPr>
        <w:jc w:val="right"/>
      </w:pPr>
      <w:r>
        <w:t>Приложение 3</w:t>
      </w:r>
    </w:p>
    <w:p w:rsidR="00F6017A" w:rsidRPr="00CF6E45" w:rsidRDefault="00F6017A" w:rsidP="00F6017A">
      <w:pPr>
        <w:jc w:val="right"/>
      </w:pPr>
      <w:r w:rsidRPr="00CF6E45">
        <w:t xml:space="preserve">к решению Муниципального Собрания </w:t>
      </w:r>
    </w:p>
    <w:p w:rsidR="00F6017A" w:rsidRPr="00CF6E45" w:rsidRDefault="00F6017A" w:rsidP="00F6017A">
      <w:pPr>
        <w:jc w:val="right"/>
      </w:pPr>
      <w:r w:rsidRPr="00CF6E45">
        <w:t>от</w:t>
      </w:r>
      <w:r w:rsidR="00660970">
        <w:t> </w:t>
      </w:r>
      <w:r>
        <w:t>30.03.2018</w:t>
      </w:r>
      <w:r w:rsidRPr="00CF6E45">
        <w:t xml:space="preserve"> №</w:t>
      </w:r>
      <w:r w:rsidR="00660970">
        <w:t> </w:t>
      </w:r>
      <w:r>
        <w:t>50</w:t>
      </w:r>
    </w:p>
    <w:p w:rsidR="00F6017A" w:rsidRDefault="00F6017A" w:rsidP="00F6017A">
      <w:pPr>
        <w:tabs>
          <w:tab w:val="left" w:pos="4820"/>
        </w:tabs>
        <w:jc w:val="right"/>
      </w:pPr>
      <w:r>
        <w:t>«</w:t>
      </w:r>
      <w:r w:rsidRPr="00CF6E45">
        <w:t>О внесении изменений и дополнений</w:t>
      </w:r>
    </w:p>
    <w:p w:rsidR="00F6017A" w:rsidRPr="00CF6E45" w:rsidRDefault="00F6017A" w:rsidP="00F6017A">
      <w:pPr>
        <w:tabs>
          <w:tab w:val="left" w:pos="4820"/>
        </w:tabs>
        <w:jc w:val="right"/>
      </w:pPr>
      <w:r w:rsidRPr="00CF6E45">
        <w:t>в решение Муниципального Собрания</w:t>
      </w:r>
    </w:p>
    <w:p w:rsidR="00F6017A" w:rsidRDefault="00F6017A" w:rsidP="00F6017A">
      <w:pPr>
        <w:jc w:val="right"/>
      </w:pPr>
      <w:r>
        <w:t>о</w:t>
      </w:r>
      <w:r w:rsidRPr="00CF6E45">
        <w:t>т</w:t>
      </w:r>
      <w:r>
        <w:t> </w:t>
      </w:r>
      <w:r w:rsidRPr="00CF6E45">
        <w:t>12.12.2017</w:t>
      </w:r>
      <w:r>
        <w:t xml:space="preserve"> </w:t>
      </w:r>
      <w:r w:rsidRPr="00CF6E45">
        <w:t>№</w:t>
      </w:r>
      <w:r>
        <w:t> </w:t>
      </w:r>
      <w:r w:rsidRPr="00CF6E45">
        <w:t xml:space="preserve">17 «О районном </w:t>
      </w:r>
      <w:r>
        <w:t>бюджете</w:t>
      </w:r>
    </w:p>
    <w:p w:rsidR="00F6017A" w:rsidRPr="00CF6E45" w:rsidRDefault="00F6017A" w:rsidP="00F6017A">
      <w:pPr>
        <w:jc w:val="right"/>
      </w:pPr>
      <w:r w:rsidRPr="00CF6E45">
        <w:t xml:space="preserve">на 2018 год и плановый период 2019 и 2020 </w:t>
      </w:r>
      <w:r>
        <w:t xml:space="preserve">годов» </w:t>
      </w:r>
    </w:p>
    <w:p w:rsidR="00F6017A" w:rsidRDefault="00F6017A" w:rsidP="00F6017A">
      <w:pPr>
        <w:jc w:val="right"/>
        <w:rPr>
          <w:sz w:val="28"/>
          <w:szCs w:val="28"/>
        </w:rPr>
      </w:pPr>
    </w:p>
    <w:tbl>
      <w:tblPr>
        <w:tblW w:w="10632" w:type="dxa"/>
        <w:tblInd w:w="-743" w:type="dxa"/>
        <w:tblLayout w:type="fixed"/>
        <w:tblLook w:val="04A0"/>
      </w:tblPr>
      <w:tblGrid>
        <w:gridCol w:w="3970"/>
        <w:gridCol w:w="850"/>
        <w:gridCol w:w="851"/>
        <w:gridCol w:w="1559"/>
        <w:gridCol w:w="1701"/>
        <w:gridCol w:w="1701"/>
      </w:tblGrid>
      <w:tr w:rsidR="00660970" w:rsidRPr="00052C55" w:rsidTr="00660970">
        <w:trPr>
          <w:trHeight w:val="724"/>
        </w:trPr>
        <w:tc>
          <w:tcPr>
            <w:tcW w:w="10632" w:type="dxa"/>
            <w:gridSpan w:val="6"/>
            <w:tcBorders>
              <w:top w:val="nil"/>
              <w:left w:val="nil"/>
              <w:right w:val="nil"/>
            </w:tcBorders>
            <w:shd w:val="clear" w:color="auto" w:fill="auto"/>
            <w:vAlign w:val="bottom"/>
            <w:hideMark/>
          </w:tcPr>
          <w:p w:rsidR="00660970" w:rsidRDefault="00660970" w:rsidP="009C1C45">
            <w:pPr>
              <w:jc w:val="center"/>
              <w:rPr>
                <w:b/>
                <w:bCs/>
                <w:sz w:val="20"/>
                <w:szCs w:val="20"/>
              </w:rPr>
            </w:pPr>
            <w:r w:rsidRPr="00052C55">
              <w:rPr>
                <w:b/>
                <w:bCs/>
                <w:sz w:val="20"/>
                <w:szCs w:val="20"/>
              </w:rPr>
              <w:t>РАСПРЕДЕЛЕНИЕ БЮДЖЕТНЫХ АССИГНОВАНИЙ</w:t>
            </w:r>
          </w:p>
          <w:p w:rsidR="00660970" w:rsidRDefault="00660970" w:rsidP="009C1C45">
            <w:pPr>
              <w:jc w:val="center"/>
              <w:rPr>
                <w:b/>
                <w:bCs/>
                <w:sz w:val="20"/>
                <w:szCs w:val="20"/>
              </w:rPr>
            </w:pPr>
            <w:r w:rsidRPr="00052C55">
              <w:rPr>
                <w:b/>
                <w:bCs/>
                <w:sz w:val="20"/>
                <w:szCs w:val="20"/>
              </w:rPr>
              <w:t>ПО РАЗДЕЛ</w:t>
            </w:r>
            <w:r>
              <w:rPr>
                <w:b/>
                <w:bCs/>
                <w:sz w:val="20"/>
                <w:szCs w:val="20"/>
              </w:rPr>
              <w:t>АМ</w:t>
            </w:r>
            <w:r w:rsidRPr="00052C55">
              <w:rPr>
                <w:b/>
                <w:bCs/>
                <w:sz w:val="20"/>
                <w:szCs w:val="20"/>
              </w:rPr>
              <w:t xml:space="preserve"> И ПОДРАЗДЕЛАМ КЛАССИФИКАЦИИ РАСХОДОВ БЮДЖЕТОВ</w:t>
            </w:r>
          </w:p>
          <w:p w:rsidR="00660970" w:rsidRPr="00052C55" w:rsidRDefault="00660970" w:rsidP="00660970">
            <w:pPr>
              <w:jc w:val="center"/>
              <w:rPr>
                <w:b/>
                <w:bCs/>
                <w:sz w:val="20"/>
                <w:szCs w:val="20"/>
              </w:rPr>
            </w:pPr>
            <w:r w:rsidRPr="00052C55">
              <w:rPr>
                <w:b/>
                <w:bCs/>
                <w:sz w:val="20"/>
                <w:szCs w:val="20"/>
              </w:rPr>
              <w:t>НА 2018 ГОД И ПЛАНОВЫЙ ПЕРИОД 2019 и 2020 ГОДОВ</w:t>
            </w:r>
          </w:p>
        </w:tc>
      </w:tr>
      <w:tr w:rsidR="00660970" w:rsidRPr="00052C55" w:rsidTr="009C1C45">
        <w:trPr>
          <w:trHeight w:val="375"/>
        </w:trPr>
        <w:tc>
          <w:tcPr>
            <w:tcW w:w="3970" w:type="dxa"/>
            <w:tcBorders>
              <w:top w:val="nil"/>
              <w:left w:val="nil"/>
              <w:bottom w:val="nil"/>
              <w:right w:val="nil"/>
            </w:tcBorders>
            <w:shd w:val="clear" w:color="auto" w:fill="auto"/>
            <w:vAlign w:val="bottom"/>
            <w:hideMark/>
          </w:tcPr>
          <w:p w:rsidR="00660970" w:rsidRPr="00052C55" w:rsidRDefault="00660970" w:rsidP="009C1C45">
            <w:pPr>
              <w:rPr>
                <w:sz w:val="20"/>
                <w:szCs w:val="20"/>
              </w:rPr>
            </w:pPr>
          </w:p>
        </w:tc>
        <w:tc>
          <w:tcPr>
            <w:tcW w:w="850" w:type="dxa"/>
            <w:tcBorders>
              <w:top w:val="nil"/>
              <w:left w:val="nil"/>
              <w:bottom w:val="nil"/>
              <w:right w:val="nil"/>
            </w:tcBorders>
            <w:shd w:val="clear" w:color="auto" w:fill="auto"/>
            <w:vAlign w:val="bottom"/>
            <w:hideMark/>
          </w:tcPr>
          <w:p w:rsidR="00660970" w:rsidRPr="00052C55" w:rsidRDefault="00660970" w:rsidP="009C1C45">
            <w:pPr>
              <w:jc w:val="center"/>
              <w:rPr>
                <w:sz w:val="20"/>
                <w:szCs w:val="20"/>
              </w:rPr>
            </w:pPr>
          </w:p>
        </w:tc>
        <w:tc>
          <w:tcPr>
            <w:tcW w:w="851" w:type="dxa"/>
            <w:tcBorders>
              <w:top w:val="nil"/>
              <w:left w:val="nil"/>
              <w:bottom w:val="nil"/>
              <w:right w:val="nil"/>
            </w:tcBorders>
            <w:shd w:val="clear" w:color="auto" w:fill="auto"/>
            <w:vAlign w:val="bottom"/>
            <w:hideMark/>
          </w:tcPr>
          <w:p w:rsidR="00660970" w:rsidRPr="00052C55" w:rsidRDefault="00660970" w:rsidP="009C1C45">
            <w:pPr>
              <w:jc w:val="center"/>
              <w:rPr>
                <w:sz w:val="20"/>
                <w:szCs w:val="20"/>
              </w:rPr>
            </w:pPr>
          </w:p>
        </w:tc>
        <w:tc>
          <w:tcPr>
            <w:tcW w:w="1559" w:type="dxa"/>
            <w:tcBorders>
              <w:top w:val="nil"/>
              <w:left w:val="nil"/>
              <w:bottom w:val="nil"/>
              <w:right w:val="nil"/>
            </w:tcBorders>
            <w:shd w:val="clear" w:color="auto" w:fill="auto"/>
            <w:vAlign w:val="bottom"/>
            <w:hideMark/>
          </w:tcPr>
          <w:p w:rsidR="00660970" w:rsidRPr="00052C55" w:rsidRDefault="00660970" w:rsidP="009C1C45">
            <w:pPr>
              <w:jc w:val="center"/>
              <w:rPr>
                <w:sz w:val="20"/>
                <w:szCs w:val="20"/>
              </w:rPr>
            </w:pPr>
          </w:p>
        </w:tc>
        <w:tc>
          <w:tcPr>
            <w:tcW w:w="1701" w:type="dxa"/>
            <w:tcBorders>
              <w:top w:val="nil"/>
              <w:left w:val="nil"/>
              <w:bottom w:val="nil"/>
              <w:right w:val="nil"/>
            </w:tcBorders>
            <w:shd w:val="clear" w:color="auto" w:fill="auto"/>
            <w:vAlign w:val="bottom"/>
            <w:hideMark/>
          </w:tcPr>
          <w:p w:rsidR="00660970" w:rsidRPr="00052C55" w:rsidRDefault="00660970" w:rsidP="009C1C45">
            <w:pPr>
              <w:jc w:val="center"/>
              <w:rPr>
                <w:sz w:val="20"/>
                <w:szCs w:val="20"/>
              </w:rPr>
            </w:pPr>
          </w:p>
        </w:tc>
        <w:tc>
          <w:tcPr>
            <w:tcW w:w="1701" w:type="dxa"/>
            <w:tcBorders>
              <w:top w:val="nil"/>
              <w:left w:val="nil"/>
              <w:bottom w:val="nil"/>
              <w:right w:val="nil"/>
            </w:tcBorders>
            <w:shd w:val="clear" w:color="auto" w:fill="auto"/>
            <w:noWrap/>
            <w:vAlign w:val="bottom"/>
            <w:hideMark/>
          </w:tcPr>
          <w:p w:rsidR="00660970" w:rsidRPr="00052C55" w:rsidRDefault="00660970" w:rsidP="00660970">
            <w:pPr>
              <w:jc w:val="center"/>
              <w:rPr>
                <w:sz w:val="20"/>
                <w:szCs w:val="20"/>
              </w:rPr>
            </w:pPr>
            <w:r w:rsidRPr="00052C55">
              <w:rPr>
                <w:sz w:val="20"/>
                <w:szCs w:val="20"/>
              </w:rPr>
              <w:t>(тыс.</w:t>
            </w:r>
            <w:r>
              <w:rPr>
                <w:sz w:val="20"/>
                <w:szCs w:val="20"/>
              </w:rPr>
              <w:t> </w:t>
            </w:r>
            <w:r w:rsidRPr="00052C55">
              <w:rPr>
                <w:sz w:val="20"/>
                <w:szCs w:val="20"/>
              </w:rPr>
              <w:t>руб.)</w:t>
            </w:r>
          </w:p>
        </w:tc>
      </w:tr>
      <w:tr w:rsidR="00660970" w:rsidRPr="00052C55" w:rsidTr="00660970">
        <w:trPr>
          <w:trHeight w:val="334"/>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970" w:rsidRPr="00052C55" w:rsidRDefault="00660970" w:rsidP="00660970">
            <w:pPr>
              <w:jc w:val="center"/>
              <w:rPr>
                <w:b/>
                <w:bCs/>
                <w:sz w:val="20"/>
                <w:szCs w:val="20"/>
              </w:rPr>
            </w:pPr>
            <w:r w:rsidRPr="00052C55">
              <w:rPr>
                <w:b/>
                <w:bCs/>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b/>
                <w:bCs/>
                <w:sz w:val="20"/>
                <w:szCs w:val="20"/>
              </w:rPr>
            </w:pPr>
            <w:r w:rsidRPr="00052C55">
              <w:rPr>
                <w:b/>
                <w:bCs/>
                <w:sz w:val="20"/>
                <w:szCs w:val="20"/>
              </w:rP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b/>
                <w:bCs/>
                <w:sz w:val="20"/>
                <w:szCs w:val="20"/>
              </w:rPr>
            </w:pPr>
            <w:r w:rsidRPr="00052C55">
              <w:rPr>
                <w:b/>
                <w:bCs/>
                <w:sz w:val="20"/>
                <w:szCs w:val="20"/>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b/>
                <w:bCs/>
                <w:sz w:val="20"/>
                <w:szCs w:val="20"/>
              </w:rPr>
            </w:pPr>
            <w:r w:rsidRPr="00052C55">
              <w:rPr>
                <w:b/>
                <w:bCs/>
                <w:sz w:val="20"/>
                <w:szCs w:val="20"/>
              </w:rPr>
              <w:t>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b/>
                <w:bCs/>
                <w:sz w:val="20"/>
                <w:szCs w:val="20"/>
              </w:rPr>
            </w:pPr>
            <w:r w:rsidRPr="00052C55">
              <w:rPr>
                <w:b/>
                <w:bCs/>
                <w:sz w:val="20"/>
                <w:szCs w:val="20"/>
              </w:rPr>
              <w:t>2019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b/>
                <w:bCs/>
                <w:sz w:val="20"/>
                <w:szCs w:val="20"/>
              </w:rPr>
            </w:pPr>
            <w:r w:rsidRPr="00052C55">
              <w:rPr>
                <w:b/>
                <w:bCs/>
                <w:sz w:val="20"/>
                <w:szCs w:val="20"/>
              </w:rPr>
              <w:t>2020</w:t>
            </w:r>
          </w:p>
        </w:tc>
      </w:tr>
      <w:tr w:rsidR="00660970" w:rsidRPr="00052C55" w:rsidTr="00660970">
        <w:trPr>
          <w:trHeight w:val="26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660970">
            <w:pPr>
              <w:jc w:val="center"/>
              <w:rPr>
                <w:sz w:val="20"/>
                <w:szCs w:val="20"/>
              </w:rPr>
            </w:pPr>
            <w:r w:rsidRPr="00052C55">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660970" w:rsidRPr="00052C55" w:rsidRDefault="00660970" w:rsidP="00660970">
            <w:pPr>
              <w:jc w:val="center"/>
              <w:rPr>
                <w:sz w:val="20"/>
                <w:szCs w:val="20"/>
              </w:rPr>
            </w:pPr>
            <w:r w:rsidRPr="00052C55">
              <w:rPr>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sz w:val="20"/>
                <w:szCs w:val="20"/>
              </w:rPr>
            </w:pPr>
            <w:r w:rsidRPr="00052C55">
              <w:rPr>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660970">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660970" w:rsidRPr="00052C55" w:rsidRDefault="00660970" w:rsidP="00660970">
            <w:pPr>
              <w:jc w:val="center"/>
              <w:rPr>
                <w:sz w:val="20"/>
                <w:szCs w:val="20"/>
              </w:rPr>
            </w:pPr>
            <w:r w:rsidRPr="00052C55">
              <w:rPr>
                <w:sz w:val="20"/>
                <w:szCs w:val="20"/>
              </w:rPr>
              <w:t>4</w:t>
            </w:r>
          </w:p>
        </w:tc>
      </w:tr>
      <w:tr w:rsidR="00660970" w:rsidRPr="00052C55" w:rsidTr="008B5B34">
        <w:trPr>
          <w:trHeight w:val="56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175"/>
              <w:jc w:val="right"/>
              <w:rPr>
                <w:b/>
                <w:bCs/>
                <w:sz w:val="20"/>
                <w:szCs w:val="20"/>
              </w:rPr>
            </w:pPr>
            <w:r w:rsidRPr="00052C55">
              <w:rPr>
                <w:b/>
                <w:bCs/>
                <w:sz w:val="20"/>
                <w:szCs w:val="20"/>
              </w:rPr>
              <w:t>47</w:t>
            </w:r>
            <w:r>
              <w:rPr>
                <w:b/>
                <w:bCs/>
                <w:sz w:val="20"/>
                <w:szCs w:val="20"/>
              </w:rPr>
              <w:t> </w:t>
            </w:r>
            <w:r w:rsidRPr="00052C55">
              <w:rPr>
                <w:b/>
                <w:bCs/>
                <w:sz w:val="20"/>
                <w:szCs w:val="20"/>
              </w:rPr>
              <w:t>755,7</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45</w:t>
            </w:r>
            <w:r>
              <w:rPr>
                <w:b/>
                <w:bCs/>
                <w:sz w:val="20"/>
                <w:szCs w:val="20"/>
              </w:rPr>
              <w:t> 948,8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Pr>
                <w:b/>
                <w:bCs/>
                <w:sz w:val="20"/>
                <w:szCs w:val="20"/>
              </w:rPr>
              <w:t>46 024,0</w:t>
            </w:r>
          </w:p>
        </w:tc>
      </w:tr>
      <w:tr w:rsidR="00660970" w:rsidRPr="00052C55" w:rsidTr="008B5B34">
        <w:trPr>
          <w:trHeight w:val="7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sz w:val="20"/>
                <w:szCs w:val="20"/>
              </w:rPr>
            </w:pPr>
            <w:r w:rsidRPr="00052C55">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02</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175"/>
              <w:jc w:val="right"/>
              <w:rPr>
                <w:sz w:val="20"/>
                <w:szCs w:val="20"/>
              </w:rPr>
            </w:pPr>
            <w:r w:rsidRPr="00052C55">
              <w:rPr>
                <w:sz w:val="20"/>
                <w:szCs w:val="20"/>
              </w:rPr>
              <w:t>1</w:t>
            </w:r>
            <w:r>
              <w:rPr>
                <w:sz w:val="20"/>
                <w:szCs w:val="20"/>
              </w:rPr>
              <w:t> 172,0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1 130,0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1 130,0</w:t>
            </w:r>
          </w:p>
        </w:tc>
      </w:tr>
      <w:tr w:rsidR="00660970" w:rsidRPr="00052C55" w:rsidTr="008B5B34">
        <w:trPr>
          <w:trHeight w:val="109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175"/>
              <w:jc w:val="right"/>
              <w:rPr>
                <w:sz w:val="20"/>
                <w:szCs w:val="20"/>
              </w:rPr>
            </w:pPr>
            <w:r w:rsidRPr="00052C55">
              <w:rPr>
                <w:sz w:val="20"/>
                <w:szCs w:val="20"/>
              </w:rPr>
              <w:t>1</w:t>
            </w:r>
            <w:r>
              <w:rPr>
                <w:sz w:val="20"/>
                <w:szCs w:val="20"/>
              </w:rPr>
              <w:t> </w:t>
            </w:r>
            <w:r w:rsidRPr="00052C55">
              <w:rPr>
                <w:sz w:val="20"/>
                <w:szCs w:val="20"/>
              </w:rPr>
              <w:t>759,3</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1 365,5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1 365,5</w:t>
            </w:r>
          </w:p>
        </w:tc>
      </w:tr>
      <w:tr w:rsidR="00660970" w:rsidRPr="00052C55" w:rsidTr="008B5B34">
        <w:trPr>
          <w:trHeight w:val="121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04</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21</w:t>
            </w:r>
            <w:r>
              <w:rPr>
                <w:sz w:val="20"/>
                <w:szCs w:val="20"/>
              </w:rPr>
              <w:t> </w:t>
            </w:r>
            <w:r w:rsidRPr="00052C55">
              <w:rPr>
                <w:sz w:val="20"/>
                <w:szCs w:val="20"/>
              </w:rPr>
              <w:t>867,0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21 056,9</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21 057,9</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Судебная система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05</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23,0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1,2</w:t>
            </w:r>
          </w:p>
        </w:tc>
      </w:tr>
      <w:tr w:rsidR="00660970" w:rsidRPr="00052C55" w:rsidTr="008B5B34">
        <w:trPr>
          <w:trHeight w:val="93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06</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4</w:t>
            </w:r>
            <w:r>
              <w:rPr>
                <w:sz w:val="20"/>
                <w:szCs w:val="20"/>
              </w:rPr>
              <w:t> </w:t>
            </w:r>
            <w:r w:rsidRPr="00052C55">
              <w:rPr>
                <w:sz w:val="20"/>
                <w:szCs w:val="20"/>
              </w:rPr>
              <w:t>894,9</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4 697,0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4 697,0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18</w:t>
            </w:r>
            <w:r>
              <w:rPr>
                <w:sz w:val="20"/>
                <w:szCs w:val="20"/>
              </w:rPr>
              <w:t> </w:t>
            </w:r>
            <w:r w:rsidRPr="00052C55">
              <w:rPr>
                <w:sz w:val="20"/>
                <w:szCs w:val="20"/>
              </w:rPr>
              <w:t>039,5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 xml:space="preserve">17 </w:t>
            </w:r>
            <w:r>
              <w:rPr>
                <w:sz w:val="20"/>
                <w:szCs w:val="20"/>
              </w:rPr>
              <w:t>699</w:t>
            </w:r>
            <w:r w:rsidRPr="00052C55">
              <w:rPr>
                <w:sz w:val="20"/>
                <w:szCs w:val="20"/>
              </w:rPr>
              <w:t>,</w:t>
            </w:r>
            <w:r>
              <w:rPr>
                <w:sz w:val="20"/>
                <w:szCs w:val="20"/>
              </w:rPr>
              <w:t>4</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 xml:space="preserve">17 </w:t>
            </w:r>
            <w:r>
              <w:rPr>
                <w:sz w:val="20"/>
                <w:szCs w:val="20"/>
              </w:rPr>
              <w:t>772</w:t>
            </w:r>
            <w:r w:rsidRPr="00052C55">
              <w:rPr>
                <w:sz w:val="20"/>
                <w:szCs w:val="20"/>
              </w:rPr>
              <w:t>,</w:t>
            </w:r>
            <w:r>
              <w:rPr>
                <w:sz w:val="20"/>
                <w:szCs w:val="20"/>
              </w:rPr>
              <w:t>4</w:t>
            </w:r>
          </w:p>
        </w:tc>
      </w:tr>
      <w:tr w:rsidR="00660970" w:rsidRPr="00052C55" w:rsidTr="008B5B34">
        <w:trPr>
          <w:trHeight w:val="786"/>
        </w:trPr>
        <w:tc>
          <w:tcPr>
            <w:tcW w:w="3970" w:type="dxa"/>
            <w:tcBorders>
              <w:top w:val="nil"/>
              <w:left w:val="single" w:sz="4" w:space="0" w:color="auto"/>
              <w:bottom w:val="single" w:sz="4" w:space="0" w:color="auto"/>
              <w:right w:val="single" w:sz="4" w:space="0" w:color="auto"/>
            </w:tcBorders>
            <w:shd w:val="clear" w:color="auto" w:fill="auto"/>
            <w:hideMark/>
          </w:tcPr>
          <w:p w:rsidR="00660970" w:rsidRPr="00052C55" w:rsidRDefault="00660970" w:rsidP="009C1C45">
            <w:pPr>
              <w:rPr>
                <w:b/>
                <w:bCs/>
                <w:sz w:val="20"/>
                <w:szCs w:val="20"/>
              </w:rPr>
            </w:pPr>
            <w:r w:rsidRPr="00052C55">
              <w:rPr>
                <w:b/>
                <w:bCs/>
                <w:sz w:val="20"/>
                <w:szCs w:val="20"/>
              </w:rPr>
              <w:t>НАЦИОНАЛЬНАЯ БЕЗОПАСНОСТЬ И ПРАВАООХРАНИТЕЛЬНАЯ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1</w:t>
            </w:r>
            <w:r>
              <w:rPr>
                <w:b/>
                <w:bCs/>
                <w:sz w:val="20"/>
                <w:szCs w:val="20"/>
              </w:rPr>
              <w:t> </w:t>
            </w:r>
            <w:r w:rsidRPr="00052C55">
              <w:rPr>
                <w:b/>
                <w:bCs/>
                <w:sz w:val="20"/>
                <w:szCs w:val="20"/>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400,0</w:t>
            </w:r>
          </w:p>
        </w:tc>
      </w:tr>
      <w:tr w:rsidR="00660970" w:rsidRPr="00052C55" w:rsidTr="008B5B34">
        <w:trPr>
          <w:trHeight w:val="968"/>
        </w:trPr>
        <w:tc>
          <w:tcPr>
            <w:tcW w:w="3970" w:type="dxa"/>
            <w:tcBorders>
              <w:top w:val="nil"/>
              <w:left w:val="single" w:sz="4" w:space="0" w:color="auto"/>
              <w:bottom w:val="single" w:sz="4" w:space="0" w:color="auto"/>
              <w:right w:val="single" w:sz="4" w:space="0" w:color="auto"/>
            </w:tcBorders>
            <w:shd w:val="clear" w:color="auto" w:fill="auto"/>
            <w:hideMark/>
          </w:tcPr>
          <w:p w:rsidR="00660970" w:rsidRPr="00052C55" w:rsidRDefault="00660970" w:rsidP="009C1C45">
            <w:pPr>
              <w:rPr>
                <w:sz w:val="20"/>
                <w:szCs w:val="20"/>
              </w:rPr>
            </w:pPr>
            <w:r w:rsidRPr="00052C55">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09</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w:t>
            </w:r>
            <w:r>
              <w:rPr>
                <w:sz w:val="20"/>
                <w:szCs w:val="20"/>
              </w:rPr>
              <w:t> </w:t>
            </w:r>
            <w:r w:rsidRPr="00052C55">
              <w:rPr>
                <w:sz w:val="20"/>
                <w:szCs w:val="20"/>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400,0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8B5B34">
            <w:pPr>
              <w:ind w:right="175"/>
              <w:jc w:val="right"/>
              <w:rPr>
                <w:b/>
                <w:bCs/>
                <w:sz w:val="20"/>
                <w:szCs w:val="20"/>
              </w:rPr>
            </w:pPr>
            <w:r w:rsidRPr="00052C55">
              <w:rPr>
                <w:b/>
                <w:bCs/>
                <w:sz w:val="20"/>
                <w:szCs w:val="20"/>
              </w:rPr>
              <w:t>27</w:t>
            </w:r>
            <w:r>
              <w:rPr>
                <w:b/>
                <w:bCs/>
                <w:sz w:val="20"/>
                <w:szCs w:val="20"/>
              </w:rPr>
              <w:t> </w:t>
            </w:r>
            <w:r w:rsidRPr="00052C55">
              <w:rPr>
                <w:b/>
                <w:bCs/>
                <w:sz w:val="20"/>
                <w:szCs w:val="20"/>
              </w:rPr>
              <w:t>746,1</w:t>
            </w:r>
          </w:p>
        </w:tc>
        <w:tc>
          <w:tcPr>
            <w:tcW w:w="170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660970">
            <w:pPr>
              <w:ind w:right="317"/>
              <w:jc w:val="right"/>
              <w:rPr>
                <w:b/>
                <w:bCs/>
                <w:sz w:val="20"/>
                <w:szCs w:val="20"/>
              </w:rPr>
            </w:pPr>
            <w:r w:rsidRPr="00052C55">
              <w:rPr>
                <w:b/>
                <w:bCs/>
                <w:sz w:val="20"/>
                <w:szCs w:val="20"/>
              </w:rPr>
              <w:t>26 030,0</w:t>
            </w:r>
          </w:p>
        </w:tc>
        <w:tc>
          <w:tcPr>
            <w:tcW w:w="170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8B5B34">
            <w:pPr>
              <w:ind w:right="317"/>
              <w:jc w:val="right"/>
              <w:rPr>
                <w:b/>
                <w:bCs/>
                <w:sz w:val="20"/>
                <w:szCs w:val="20"/>
              </w:rPr>
            </w:pPr>
            <w:r w:rsidRPr="00052C55">
              <w:rPr>
                <w:b/>
                <w:bCs/>
                <w:sz w:val="20"/>
                <w:szCs w:val="20"/>
              </w:rPr>
              <w:t>26 857,0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sz w:val="20"/>
                <w:szCs w:val="20"/>
              </w:rPr>
            </w:pPr>
            <w:r w:rsidRPr="00052C55">
              <w:rPr>
                <w:sz w:val="20"/>
                <w:szCs w:val="20"/>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100,0</w:t>
            </w:r>
          </w:p>
        </w:tc>
        <w:tc>
          <w:tcPr>
            <w:tcW w:w="170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8B5B34">
            <w:pPr>
              <w:ind w:right="317"/>
              <w:jc w:val="right"/>
              <w:rPr>
                <w:sz w:val="20"/>
                <w:szCs w:val="20"/>
              </w:rPr>
            </w:pPr>
            <w:r w:rsidRPr="00052C55">
              <w:rPr>
                <w:sz w:val="20"/>
                <w:szCs w:val="20"/>
              </w:rPr>
              <w:t>100,0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05</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150,0</w:t>
            </w:r>
          </w:p>
        </w:tc>
      </w:tr>
      <w:tr w:rsidR="00660970" w:rsidRPr="00052C55" w:rsidTr="008B5B34">
        <w:trPr>
          <w:trHeight w:val="2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09</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26</w:t>
            </w:r>
            <w:r>
              <w:rPr>
                <w:sz w:val="20"/>
                <w:szCs w:val="20"/>
              </w:rPr>
              <w:t> </w:t>
            </w:r>
            <w:r w:rsidRPr="00052C55">
              <w:rPr>
                <w:sz w:val="20"/>
                <w:szCs w:val="20"/>
              </w:rPr>
              <w:t>929,4</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25 630,0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26 607,0</w:t>
            </w:r>
          </w:p>
        </w:tc>
      </w:tr>
      <w:tr w:rsidR="00660970" w:rsidRPr="00052C55" w:rsidTr="008B5B34">
        <w:trPr>
          <w:trHeight w:val="43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566,7</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0,0</w:t>
            </w:r>
          </w:p>
        </w:tc>
      </w:tr>
      <w:tr w:rsidR="00660970" w:rsidRPr="00052C55" w:rsidTr="008B5B34">
        <w:trPr>
          <w:trHeight w:val="52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9C1C45">
            <w:pPr>
              <w:jc w:val="center"/>
              <w:rPr>
                <w:b/>
                <w:bCs/>
                <w:sz w:val="20"/>
                <w:szCs w:val="20"/>
              </w:rPr>
            </w:pPr>
            <w:r w:rsidRPr="00052C55">
              <w:rPr>
                <w:b/>
                <w:bCs/>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3</w:t>
            </w:r>
            <w:r>
              <w:rPr>
                <w:b/>
                <w:bCs/>
                <w:sz w:val="20"/>
                <w:szCs w:val="20"/>
              </w:rPr>
              <w:t> </w:t>
            </w:r>
            <w:r w:rsidRPr="00052C55">
              <w:rPr>
                <w:b/>
                <w:bCs/>
                <w:sz w:val="20"/>
                <w:szCs w:val="20"/>
              </w:rPr>
              <w:t>001,8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0,0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sz w:val="20"/>
                <w:szCs w:val="20"/>
              </w:rPr>
            </w:pPr>
            <w:r w:rsidRPr="00052C55">
              <w:rPr>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9C1C45">
            <w:pPr>
              <w:jc w:val="center"/>
              <w:rPr>
                <w:sz w:val="20"/>
                <w:szCs w:val="20"/>
              </w:rPr>
            </w:pPr>
            <w:r w:rsidRPr="00052C55">
              <w:rPr>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9C1C45">
            <w:pPr>
              <w:jc w:val="center"/>
              <w:rPr>
                <w:sz w:val="20"/>
                <w:szCs w:val="20"/>
              </w:rPr>
            </w:pPr>
            <w:r w:rsidRPr="00052C55">
              <w:rPr>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8B5B34">
            <w:pPr>
              <w:ind w:right="175"/>
              <w:jc w:val="right"/>
              <w:rPr>
                <w:sz w:val="20"/>
                <w:szCs w:val="20"/>
              </w:rPr>
            </w:pPr>
            <w:r w:rsidRPr="00052C55">
              <w:rPr>
                <w:sz w:val="20"/>
                <w:szCs w:val="20"/>
              </w:rPr>
              <w:t>3</w:t>
            </w:r>
            <w:r>
              <w:rPr>
                <w:sz w:val="20"/>
                <w:szCs w:val="20"/>
              </w:rPr>
              <w:t> </w:t>
            </w:r>
            <w:r w:rsidRPr="00052C55">
              <w:rPr>
                <w:sz w:val="20"/>
                <w:szCs w:val="20"/>
              </w:rPr>
              <w:t xml:space="preserve">001,8 </w:t>
            </w:r>
          </w:p>
        </w:tc>
        <w:tc>
          <w:tcPr>
            <w:tcW w:w="170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660970">
            <w:pPr>
              <w:ind w:right="317"/>
              <w:jc w:val="right"/>
              <w:rPr>
                <w:sz w:val="20"/>
                <w:szCs w:val="20"/>
              </w:rPr>
            </w:pPr>
            <w:r w:rsidRPr="00052C55">
              <w:rPr>
                <w:sz w:val="20"/>
                <w:szCs w:val="20"/>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0,0</w:t>
            </w:r>
          </w:p>
        </w:tc>
      </w:tr>
      <w:tr w:rsidR="00660970" w:rsidRPr="00052C55" w:rsidTr="008B5B34">
        <w:trPr>
          <w:trHeight w:val="20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324,0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337,0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350,0</w:t>
            </w:r>
          </w:p>
        </w:tc>
      </w:tr>
      <w:tr w:rsidR="00660970" w:rsidRPr="00052C55" w:rsidTr="008B5B34">
        <w:trPr>
          <w:trHeight w:val="54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324,0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337,0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350,0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lastRenderedPageBreak/>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399</w:t>
            </w:r>
            <w:r>
              <w:rPr>
                <w:b/>
                <w:bCs/>
                <w:sz w:val="20"/>
                <w:szCs w:val="20"/>
              </w:rPr>
              <w:t> </w:t>
            </w:r>
            <w:r w:rsidRPr="00052C55">
              <w:rPr>
                <w:b/>
                <w:bCs/>
                <w:sz w:val="20"/>
                <w:szCs w:val="20"/>
              </w:rPr>
              <w:t>443,6</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299 332,3</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289 485,9</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68</w:t>
            </w:r>
            <w:r>
              <w:rPr>
                <w:sz w:val="20"/>
                <w:szCs w:val="20"/>
              </w:rPr>
              <w:t> </w:t>
            </w:r>
            <w:r w:rsidRPr="00052C55">
              <w:rPr>
                <w:sz w:val="20"/>
                <w:szCs w:val="20"/>
              </w:rPr>
              <w:t>577,2</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71 238,5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70 710,7</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Общее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02</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250</w:t>
            </w:r>
            <w:r>
              <w:rPr>
                <w:sz w:val="20"/>
                <w:szCs w:val="20"/>
              </w:rPr>
              <w:t> </w:t>
            </w:r>
            <w:r w:rsidRPr="00052C55">
              <w:rPr>
                <w:sz w:val="20"/>
                <w:szCs w:val="20"/>
              </w:rPr>
              <w:t>424,9</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151 035,1</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150 507,3</w:t>
            </w:r>
          </w:p>
        </w:tc>
      </w:tr>
      <w:tr w:rsidR="00660970" w:rsidRPr="00052C55" w:rsidTr="008B5B34">
        <w:trPr>
          <w:trHeight w:val="24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Pr>
                <w:sz w:val="20"/>
                <w:szCs w:val="2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11</w:t>
            </w:r>
            <w:r>
              <w:rPr>
                <w:sz w:val="20"/>
                <w:szCs w:val="20"/>
              </w:rPr>
              <w:t> </w:t>
            </w:r>
            <w:r w:rsidRPr="00052C55">
              <w:rPr>
                <w:sz w:val="20"/>
                <w:szCs w:val="20"/>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10 948,8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9 019,4</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 xml:space="preserve">Молодежная политика </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07</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243,1</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243,1</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243,1</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hideMark/>
          </w:tcPr>
          <w:p w:rsidR="00660970" w:rsidRPr="00052C55" w:rsidRDefault="00660970" w:rsidP="009C1C45">
            <w:pPr>
              <w:rPr>
                <w:sz w:val="20"/>
                <w:szCs w:val="20"/>
              </w:rPr>
            </w:pPr>
            <w:r w:rsidRPr="00052C55">
              <w:rPr>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09</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69</w:t>
            </w:r>
            <w:r>
              <w:rPr>
                <w:sz w:val="20"/>
                <w:szCs w:val="20"/>
              </w:rPr>
              <w:t> </w:t>
            </w:r>
            <w:r w:rsidRPr="00052C55">
              <w:rPr>
                <w:sz w:val="20"/>
                <w:szCs w:val="20"/>
              </w:rPr>
              <w:t>128,4</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65 866,8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59 005,4</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32</w:t>
            </w:r>
            <w:r>
              <w:rPr>
                <w:b/>
                <w:bCs/>
                <w:sz w:val="20"/>
                <w:szCs w:val="20"/>
              </w:rPr>
              <w:t> </w:t>
            </w:r>
            <w:r w:rsidRPr="00052C55">
              <w:rPr>
                <w:b/>
                <w:bCs/>
                <w:sz w:val="20"/>
                <w:szCs w:val="20"/>
              </w:rPr>
              <w:t>391,8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31 284,2</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21 850,6</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175"/>
              <w:jc w:val="right"/>
              <w:rPr>
                <w:sz w:val="20"/>
                <w:szCs w:val="20"/>
              </w:rPr>
            </w:pPr>
            <w:r w:rsidRPr="00052C55">
              <w:rPr>
                <w:sz w:val="20"/>
                <w:szCs w:val="20"/>
              </w:rPr>
              <w:t>23</w:t>
            </w:r>
            <w:r>
              <w:rPr>
                <w:sz w:val="20"/>
                <w:szCs w:val="20"/>
              </w:rPr>
              <w:t> </w:t>
            </w:r>
            <w:r w:rsidRPr="00052C55">
              <w:rPr>
                <w:sz w:val="20"/>
                <w:szCs w:val="20"/>
              </w:rPr>
              <w:t xml:space="preserve">539,1  </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22 586,8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13 561,9</w:t>
            </w:r>
          </w:p>
        </w:tc>
      </w:tr>
      <w:tr w:rsidR="00660970" w:rsidRPr="00052C55" w:rsidTr="008B5B34">
        <w:trPr>
          <w:trHeight w:val="4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04</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8</w:t>
            </w:r>
            <w:r>
              <w:rPr>
                <w:sz w:val="20"/>
                <w:szCs w:val="20"/>
              </w:rPr>
              <w:t> </w:t>
            </w:r>
            <w:r w:rsidRPr="00052C55">
              <w:rPr>
                <w:sz w:val="20"/>
                <w:szCs w:val="20"/>
              </w:rPr>
              <w:t>852,7</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8 697,4</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8 288,7</w:t>
            </w:r>
          </w:p>
        </w:tc>
      </w:tr>
      <w:tr w:rsidR="00660970" w:rsidRPr="00052C55" w:rsidTr="008B5B34">
        <w:trPr>
          <w:trHeight w:val="330"/>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b/>
                <w:bCs/>
                <w:sz w:val="20"/>
                <w:szCs w:val="20"/>
              </w:rPr>
            </w:pPr>
            <w:r w:rsidRPr="00052C55">
              <w:rPr>
                <w:b/>
                <w:bCs/>
                <w:sz w:val="20"/>
                <w:szCs w:val="20"/>
              </w:rPr>
              <w:t>ЗДРАВООХРАНЕНИЕ</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1</w:t>
            </w:r>
            <w:r>
              <w:rPr>
                <w:b/>
                <w:bCs/>
                <w:sz w:val="20"/>
                <w:szCs w:val="20"/>
              </w:rPr>
              <w:t> </w:t>
            </w:r>
            <w:r w:rsidRPr="00052C55">
              <w:rPr>
                <w:b/>
                <w:bCs/>
                <w:sz w:val="20"/>
                <w:szCs w:val="20"/>
              </w:rPr>
              <w:t>224,6</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112,6</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112,6</w:t>
            </w:r>
          </w:p>
        </w:tc>
      </w:tr>
      <w:tr w:rsidR="00660970" w:rsidRPr="00052C55" w:rsidTr="008B5B34">
        <w:trPr>
          <w:trHeight w:val="505"/>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sz w:val="20"/>
                <w:szCs w:val="20"/>
              </w:rPr>
            </w:pPr>
            <w:r w:rsidRPr="00052C55">
              <w:rPr>
                <w:sz w:val="20"/>
                <w:szCs w:val="20"/>
              </w:rPr>
              <w:t>Санитарно-эпидемиологическое благополучие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60970" w:rsidRPr="00052C55" w:rsidRDefault="00660970" w:rsidP="009C1C45">
            <w:pPr>
              <w:jc w:val="center"/>
              <w:rPr>
                <w:sz w:val="20"/>
                <w:szCs w:val="20"/>
              </w:rPr>
            </w:pPr>
            <w:r w:rsidRPr="00052C55">
              <w:rPr>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660970" w:rsidRPr="00052C55" w:rsidRDefault="00660970" w:rsidP="009C1C45">
            <w:pPr>
              <w:jc w:val="center"/>
              <w:rPr>
                <w:sz w:val="20"/>
                <w:szCs w:val="20"/>
              </w:rPr>
            </w:pPr>
            <w:r w:rsidRPr="00052C55">
              <w:rPr>
                <w:sz w:val="20"/>
                <w:szCs w:val="20"/>
              </w:rPr>
              <w:t>07</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112,6</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112,6</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112,6</w:t>
            </w:r>
          </w:p>
        </w:tc>
      </w:tr>
      <w:tr w:rsidR="00660970" w:rsidRPr="00052C55" w:rsidTr="008B5B34">
        <w:trPr>
          <w:trHeight w:val="413"/>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sz w:val="20"/>
                <w:szCs w:val="20"/>
              </w:rPr>
            </w:pPr>
            <w:r w:rsidRPr="00052C55">
              <w:rPr>
                <w:sz w:val="20"/>
                <w:szCs w:val="20"/>
              </w:rPr>
              <w:t>Другие вопросы в области здравоохранения</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09</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w:t>
            </w:r>
            <w:r>
              <w:rPr>
                <w:sz w:val="20"/>
                <w:szCs w:val="20"/>
              </w:rPr>
              <w:t> </w:t>
            </w:r>
            <w:r w:rsidRPr="00052C55">
              <w:rPr>
                <w:sz w:val="20"/>
                <w:szCs w:val="20"/>
              </w:rPr>
              <w:t>112,0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0,0</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hideMark/>
          </w:tcPr>
          <w:p w:rsidR="00660970" w:rsidRPr="00052C55" w:rsidRDefault="00660970" w:rsidP="009C1C45">
            <w:pPr>
              <w:rPr>
                <w:b/>
                <w:bCs/>
                <w:sz w:val="20"/>
                <w:szCs w:val="20"/>
              </w:rPr>
            </w:pPr>
            <w:r w:rsidRPr="00052C55">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8B5B34">
            <w:pPr>
              <w:ind w:right="175"/>
              <w:jc w:val="right"/>
              <w:rPr>
                <w:b/>
                <w:bCs/>
                <w:sz w:val="20"/>
                <w:szCs w:val="20"/>
              </w:rPr>
            </w:pPr>
            <w:r w:rsidRPr="00052C55">
              <w:rPr>
                <w:b/>
                <w:bCs/>
                <w:sz w:val="20"/>
                <w:szCs w:val="20"/>
              </w:rPr>
              <w:t>15</w:t>
            </w:r>
            <w:r>
              <w:rPr>
                <w:b/>
                <w:bCs/>
                <w:sz w:val="20"/>
                <w:szCs w:val="20"/>
              </w:rPr>
              <w:t> </w:t>
            </w:r>
            <w:r w:rsidRPr="00052C55">
              <w:rPr>
                <w:b/>
                <w:bCs/>
                <w:sz w:val="20"/>
                <w:szCs w:val="20"/>
              </w:rPr>
              <w:t>823,2</w:t>
            </w:r>
          </w:p>
        </w:tc>
        <w:tc>
          <w:tcPr>
            <w:tcW w:w="170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660970">
            <w:pPr>
              <w:ind w:right="317"/>
              <w:jc w:val="right"/>
              <w:rPr>
                <w:b/>
                <w:bCs/>
                <w:sz w:val="20"/>
                <w:szCs w:val="20"/>
              </w:rPr>
            </w:pPr>
            <w:r w:rsidRPr="00052C55">
              <w:rPr>
                <w:b/>
                <w:bCs/>
                <w:sz w:val="20"/>
                <w:szCs w:val="20"/>
              </w:rPr>
              <w:t>7 773,3</w:t>
            </w:r>
          </w:p>
        </w:tc>
        <w:tc>
          <w:tcPr>
            <w:tcW w:w="1701" w:type="dxa"/>
            <w:tcBorders>
              <w:top w:val="nil"/>
              <w:left w:val="nil"/>
              <w:bottom w:val="single" w:sz="4" w:space="0" w:color="auto"/>
              <w:right w:val="single" w:sz="4" w:space="0" w:color="auto"/>
            </w:tcBorders>
            <w:shd w:val="clear" w:color="auto" w:fill="auto"/>
            <w:vAlign w:val="bottom"/>
            <w:hideMark/>
          </w:tcPr>
          <w:p w:rsidR="00660970" w:rsidRPr="00052C55" w:rsidRDefault="00660970" w:rsidP="008B5B34">
            <w:pPr>
              <w:ind w:right="317"/>
              <w:jc w:val="right"/>
              <w:rPr>
                <w:b/>
                <w:bCs/>
                <w:sz w:val="20"/>
                <w:szCs w:val="20"/>
              </w:rPr>
            </w:pPr>
            <w:r w:rsidRPr="00052C55">
              <w:rPr>
                <w:b/>
                <w:bCs/>
                <w:sz w:val="20"/>
                <w:szCs w:val="20"/>
              </w:rPr>
              <w:t>7 773,3</w:t>
            </w:r>
          </w:p>
        </w:tc>
      </w:tr>
      <w:tr w:rsidR="00660970" w:rsidRPr="00052C55" w:rsidTr="008B5B34">
        <w:trPr>
          <w:trHeight w:val="16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14</w:t>
            </w:r>
            <w:r>
              <w:rPr>
                <w:sz w:val="20"/>
                <w:szCs w:val="20"/>
              </w:rPr>
              <w:t> </w:t>
            </w:r>
            <w:r w:rsidRPr="00052C55">
              <w:rPr>
                <w:sz w:val="20"/>
                <w:szCs w:val="20"/>
              </w:rPr>
              <w:t>829,4</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6 842,5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6 842,5</w:t>
            </w:r>
          </w:p>
        </w:tc>
      </w:tr>
      <w:tr w:rsidR="00660970" w:rsidRPr="00052C55" w:rsidTr="008B5B34">
        <w:trPr>
          <w:trHeight w:val="35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06</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993,8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930,8</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930,8</w:t>
            </w:r>
          </w:p>
        </w:tc>
      </w:tr>
      <w:tr w:rsidR="00660970" w:rsidRPr="00052C55" w:rsidTr="008B5B34">
        <w:trPr>
          <w:trHeight w:val="30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b/>
                <w:bCs/>
                <w:sz w:val="20"/>
                <w:szCs w:val="20"/>
              </w:rPr>
            </w:pPr>
            <w:r w:rsidRPr="00052C55">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368,5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368,5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368,5</w:t>
            </w:r>
          </w:p>
        </w:tc>
      </w:tr>
      <w:tr w:rsidR="00660970" w:rsidRPr="00052C55" w:rsidTr="008B5B34">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60970" w:rsidRPr="00052C55" w:rsidRDefault="00660970" w:rsidP="009C1C45">
            <w:pPr>
              <w:rPr>
                <w:sz w:val="20"/>
                <w:szCs w:val="20"/>
              </w:rPr>
            </w:pPr>
            <w:r w:rsidRPr="00052C55">
              <w:rPr>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368,5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368,5</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368,5</w:t>
            </w:r>
          </w:p>
        </w:tc>
      </w:tr>
      <w:tr w:rsidR="00660970" w:rsidRPr="00052C55" w:rsidTr="008B5B34">
        <w:trPr>
          <w:trHeight w:val="1082"/>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b/>
                <w:bCs/>
                <w:sz w:val="20"/>
                <w:szCs w:val="20"/>
              </w:rPr>
            </w:pPr>
            <w:r w:rsidRPr="00052C55">
              <w:rPr>
                <w:b/>
                <w:bCs/>
                <w:sz w:val="20"/>
                <w:szCs w:val="20"/>
              </w:rPr>
              <w:t xml:space="preserve">МЕЖБЮДЖЕТНЫЕ ТРАНСФЕРТЫ ОБЩЕГО ХАРАКТЕРА БЮДЖЕТАМ  БЮДЖЕТНОЙ СИСТЕМЫ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14</w:t>
            </w:r>
          </w:p>
        </w:tc>
        <w:tc>
          <w:tcPr>
            <w:tcW w:w="85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9C1C45">
            <w:pPr>
              <w:jc w:val="center"/>
              <w:rPr>
                <w:b/>
                <w:bCs/>
                <w:sz w:val="20"/>
                <w:szCs w:val="20"/>
              </w:rPr>
            </w:pPr>
            <w:r w:rsidRPr="00052C55">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31</w:t>
            </w:r>
            <w:r>
              <w:rPr>
                <w:b/>
                <w:bCs/>
                <w:sz w:val="20"/>
                <w:szCs w:val="20"/>
              </w:rPr>
              <w:t> </w:t>
            </w:r>
            <w:r w:rsidRPr="00052C55">
              <w:rPr>
                <w:b/>
                <w:bCs/>
                <w:sz w:val="20"/>
                <w:szCs w:val="20"/>
              </w:rPr>
              <w:t>539,6</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35 614,9</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41 600,8</w:t>
            </w:r>
          </w:p>
        </w:tc>
      </w:tr>
      <w:tr w:rsidR="00660970" w:rsidRPr="00052C55" w:rsidTr="008B5B34">
        <w:trPr>
          <w:trHeight w:val="829"/>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sz w:val="20"/>
                <w:szCs w:val="20"/>
              </w:rPr>
            </w:pPr>
            <w:r w:rsidRPr="00052C55">
              <w:rPr>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14</w:t>
            </w:r>
          </w:p>
        </w:tc>
        <w:tc>
          <w:tcPr>
            <w:tcW w:w="85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01</w:t>
            </w:r>
          </w:p>
        </w:tc>
        <w:tc>
          <w:tcPr>
            <w:tcW w:w="1559"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6</w:t>
            </w:r>
            <w:r>
              <w:rPr>
                <w:sz w:val="20"/>
                <w:szCs w:val="20"/>
              </w:rPr>
              <w:t> </w:t>
            </w:r>
            <w:r w:rsidRPr="00052C55">
              <w:rPr>
                <w:sz w:val="20"/>
                <w:szCs w:val="20"/>
              </w:rPr>
              <w:t xml:space="preserve">946,4 </w:t>
            </w:r>
          </w:p>
        </w:tc>
        <w:tc>
          <w:tcPr>
            <w:tcW w:w="170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6 743,0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6 767,6</w:t>
            </w:r>
          </w:p>
        </w:tc>
      </w:tr>
      <w:tr w:rsidR="00660970" w:rsidRPr="00052C55" w:rsidTr="008B5B34">
        <w:trPr>
          <w:trHeight w:val="330"/>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sz w:val="20"/>
                <w:szCs w:val="20"/>
              </w:rPr>
            </w:pPr>
            <w:r w:rsidRPr="00052C55">
              <w:rPr>
                <w:sz w:val="20"/>
                <w:szCs w:val="20"/>
              </w:rPr>
              <w:t>Иные дотации</w:t>
            </w:r>
          </w:p>
        </w:tc>
        <w:tc>
          <w:tcPr>
            <w:tcW w:w="850"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14</w:t>
            </w:r>
          </w:p>
        </w:tc>
        <w:tc>
          <w:tcPr>
            <w:tcW w:w="85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02</w:t>
            </w:r>
          </w:p>
        </w:tc>
        <w:tc>
          <w:tcPr>
            <w:tcW w:w="1559"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8B5B34">
            <w:pPr>
              <w:ind w:right="175"/>
              <w:jc w:val="right"/>
              <w:rPr>
                <w:sz w:val="20"/>
                <w:szCs w:val="20"/>
              </w:rPr>
            </w:pPr>
            <w:r w:rsidRPr="00052C55">
              <w:rPr>
                <w:sz w:val="20"/>
                <w:szCs w:val="20"/>
              </w:rPr>
              <w:t>24</w:t>
            </w:r>
            <w:r>
              <w:rPr>
                <w:sz w:val="20"/>
                <w:szCs w:val="20"/>
              </w:rPr>
              <w:t> </w:t>
            </w:r>
            <w:r w:rsidRPr="00052C55">
              <w:rPr>
                <w:sz w:val="20"/>
                <w:szCs w:val="20"/>
              </w:rPr>
              <w:t>593,2</w:t>
            </w:r>
          </w:p>
        </w:tc>
        <w:tc>
          <w:tcPr>
            <w:tcW w:w="170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28 871,9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34 833,2</w:t>
            </w:r>
          </w:p>
        </w:tc>
      </w:tr>
      <w:tr w:rsidR="00660970" w:rsidRPr="00052C55" w:rsidTr="008B5B34">
        <w:trPr>
          <w:trHeight w:val="330"/>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sz w:val="20"/>
                <w:szCs w:val="20"/>
              </w:rPr>
            </w:pPr>
            <w:r w:rsidRPr="00052C55">
              <w:rPr>
                <w:sz w:val="20"/>
                <w:szCs w:val="20"/>
              </w:rPr>
              <w:t>ИТОГО РАСХОДОВ</w:t>
            </w:r>
          </w:p>
        </w:tc>
        <w:tc>
          <w:tcPr>
            <w:tcW w:w="850"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 </w:t>
            </w:r>
          </w:p>
        </w:tc>
        <w:tc>
          <w:tcPr>
            <w:tcW w:w="85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8B5B34">
            <w:pPr>
              <w:ind w:right="175"/>
              <w:jc w:val="right"/>
              <w:rPr>
                <w:b/>
                <w:bCs/>
                <w:sz w:val="20"/>
                <w:szCs w:val="20"/>
              </w:rPr>
            </w:pPr>
            <w:r w:rsidRPr="00052C55">
              <w:rPr>
                <w:b/>
                <w:bCs/>
                <w:sz w:val="20"/>
                <w:szCs w:val="20"/>
              </w:rPr>
              <w:t>561</w:t>
            </w:r>
            <w:r>
              <w:rPr>
                <w:b/>
                <w:bCs/>
                <w:sz w:val="20"/>
                <w:szCs w:val="20"/>
              </w:rPr>
              <w:t> </w:t>
            </w:r>
            <w:r w:rsidRPr="00052C55">
              <w:rPr>
                <w:b/>
                <w:bCs/>
                <w:sz w:val="20"/>
                <w:szCs w:val="20"/>
              </w:rPr>
              <w:t>018,9</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660970">
            <w:pPr>
              <w:ind w:right="317"/>
              <w:jc w:val="right"/>
              <w:rPr>
                <w:b/>
                <w:bCs/>
                <w:sz w:val="20"/>
                <w:szCs w:val="20"/>
              </w:rPr>
            </w:pPr>
            <w:r w:rsidRPr="00052C55">
              <w:rPr>
                <w:b/>
                <w:bCs/>
                <w:sz w:val="20"/>
                <w:szCs w:val="20"/>
              </w:rPr>
              <w:t>447 511,4</w:t>
            </w:r>
          </w:p>
        </w:tc>
        <w:tc>
          <w:tcPr>
            <w:tcW w:w="1701" w:type="dxa"/>
            <w:tcBorders>
              <w:top w:val="nil"/>
              <w:left w:val="nil"/>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b/>
                <w:bCs/>
                <w:sz w:val="20"/>
                <w:szCs w:val="20"/>
              </w:rPr>
            </w:pPr>
            <w:r w:rsidRPr="00052C55">
              <w:rPr>
                <w:b/>
                <w:bCs/>
                <w:sz w:val="20"/>
                <w:szCs w:val="20"/>
              </w:rPr>
              <w:t>434 331,5</w:t>
            </w:r>
          </w:p>
        </w:tc>
      </w:tr>
      <w:tr w:rsidR="00660970" w:rsidRPr="00052C55" w:rsidTr="008B5B34">
        <w:trPr>
          <w:trHeight w:val="330"/>
        </w:trPr>
        <w:tc>
          <w:tcPr>
            <w:tcW w:w="3970" w:type="dxa"/>
            <w:tcBorders>
              <w:top w:val="nil"/>
              <w:left w:val="single" w:sz="4" w:space="0" w:color="auto"/>
              <w:bottom w:val="single" w:sz="4" w:space="0" w:color="auto"/>
              <w:right w:val="nil"/>
            </w:tcBorders>
            <w:shd w:val="clear" w:color="auto" w:fill="auto"/>
            <w:vAlign w:val="center"/>
            <w:hideMark/>
          </w:tcPr>
          <w:p w:rsidR="00660970" w:rsidRPr="00052C55" w:rsidRDefault="00660970" w:rsidP="009C1C45">
            <w:pPr>
              <w:rPr>
                <w:sz w:val="20"/>
                <w:szCs w:val="20"/>
              </w:rPr>
            </w:pPr>
            <w:r w:rsidRPr="00052C55">
              <w:rPr>
                <w:sz w:val="20"/>
                <w:szCs w:val="20"/>
              </w:rPr>
              <w:t>Условно-утверждаемые расходы</w:t>
            </w:r>
          </w:p>
        </w:tc>
        <w:tc>
          <w:tcPr>
            <w:tcW w:w="850"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 </w:t>
            </w:r>
          </w:p>
        </w:tc>
        <w:tc>
          <w:tcPr>
            <w:tcW w:w="85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9C1C45">
            <w:pPr>
              <w:jc w:val="center"/>
              <w:rPr>
                <w:sz w:val="20"/>
                <w:szCs w:val="20"/>
              </w:rPr>
            </w:pPr>
            <w:r w:rsidRPr="00052C55">
              <w:rPr>
                <w:sz w:val="20"/>
                <w:szCs w:val="20"/>
              </w:rPr>
              <w:t> </w:t>
            </w:r>
          </w:p>
        </w:tc>
        <w:tc>
          <w:tcPr>
            <w:tcW w:w="1559"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660970">
            <w:pPr>
              <w:ind w:right="175"/>
              <w:jc w:val="right"/>
              <w:rPr>
                <w:sz w:val="20"/>
                <w:szCs w:val="20"/>
              </w:rPr>
            </w:pPr>
            <w:r>
              <w:rPr>
                <w:sz w:val="20"/>
                <w:szCs w:val="20"/>
              </w:rPr>
              <w:t>0,0</w:t>
            </w:r>
            <w:r w:rsidRPr="00052C55">
              <w:rPr>
                <w:sz w:val="20"/>
                <w:szCs w:val="20"/>
              </w:rPr>
              <w:t> </w:t>
            </w:r>
          </w:p>
        </w:tc>
        <w:tc>
          <w:tcPr>
            <w:tcW w:w="1701" w:type="dxa"/>
            <w:tcBorders>
              <w:top w:val="nil"/>
              <w:left w:val="single" w:sz="4" w:space="0" w:color="auto"/>
              <w:bottom w:val="single" w:sz="4" w:space="0" w:color="auto"/>
              <w:right w:val="nil"/>
            </w:tcBorders>
            <w:shd w:val="clear" w:color="auto" w:fill="auto"/>
            <w:noWrap/>
            <w:vAlign w:val="bottom"/>
            <w:hideMark/>
          </w:tcPr>
          <w:p w:rsidR="00660970" w:rsidRPr="00052C55" w:rsidRDefault="00660970" w:rsidP="00660970">
            <w:pPr>
              <w:ind w:right="317"/>
              <w:jc w:val="right"/>
              <w:rPr>
                <w:sz w:val="20"/>
                <w:szCs w:val="20"/>
              </w:rPr>
            </w:pPr>
            <w:r w:rsidRPr="00052C55">
              <w:rPr>
                <w:sz w:val="20"/>
                <w:szCs w:val="20"/>
              </w:rPr>
              <w:t>13 015,1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60970" w:rsidRPr="00052C55" w:rsidRDefault="00660970" w:rsidP="008B5B34">
            <w:pPr>
              <w:ind w:right="317"/>
              <w:jc w:val="right"/>
              <w:rPr>
                <w:sz w:val="20"/>
                <w:szCs w:val="20"/>
              </w:rPr>
            </w:pPr>
            <w:r w:rsidRPr="00052C55">
              <w:rPr>
                <w:sz w:val="20"/>
                <w:szCs w:val="20"/>
              </w:rPr>
              <w:t>30 585,4</w:t>
            </w:r>
          </w:p>
        </w:tc>
      </w:tr>
      <w:tr w:rsidR="00660970" w:rsidRPr="00052C55" w:rsidTr="008B5B34">
        <w:trPr>
          <w:trHeight w:val="38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ВСЕГО РАСХОДОВ</w:t>
            </w:r>
          </w:p>
        </w:tc>
        <w:tc>
          <w:tcPr>
            <w:tcW w:w="850"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9C1C45">
            <w:pPr>
              <w:rPr>
                <w:b/>
                <w:bCs/>
                <w:sz w:val="20"/>
                <w:szCs w:val="20"/>
              </w:rPr>
            </w:pPr>
            <w:r w:rsidRPr="00052C55">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0970" w:rsidRPr="00052C55" w:rsidRDefault="00660970" w:rsidP="00660970">
            <w:pPr>
              <w:ind w:right="175"/>
              <w:jc w:val="right"/>
              <w:rPr>
                <w:b/>
                <w:bCs/>
                <w:sz w:val="20"/>
                <w:szCs w:val="20"/>
              </w:rPr>
            </w:pPr>
            <w:r w:rsidRPr="00052C55">
              <w:rPr>
                <w:b/>
                <w:bCs/>
                <w:sz w:val="20"/>
                <w:szCs w:val="20"/>
              </w:rPr>
              <w:t>561</w:t>
            </w:r>
            <w:r>
              <w:rPr>
                <w:b/>
                <w:bCs/>
                <w:sz w:val="20"/>
                <w:szCs w:val="20"/>
              </w:rPr>
              <w:t> </w:t>
            </w:r>
            <w:r w:rsidRPr="00052C55">
              <w:rPr>
                <w:b/>
                <w:bCs/>
                <w:sz w:val="20"/>
                <w:szCs w:val="20"/>
              </w:rPr>
              <w:t>018,9</w:t>
            </w:r>
          </w:p>
        </w:tc>
        <w:tc>
          <w:tcPr>
            <w:tcW w:w="1701"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8B5B34">
            <w:pPr>
              <w:ind w:right="317"/>
              <w:jc w:val="right"/>
              <w:rPr>
                <w:b/>
                <w:bCs/>
                <w:sz w:val="20"/>
                <w:szCs w:val="20"/>
              </w:rPr>
            </w:pPr>
            <w:r>
              <w:rPr>
                <w:b/>
                <w:bCs/>
                <w:sz w:val="20"/>
                <w:szCs w:val="20"/>
              </w:rPr>
              <w:t>461</w:t>
            </w:r>
            <w:r w:rsidRPr="00052C55">
              <w:rPr>
                <w:b/>
                <w:bCs/>
                <w:sz w:val="20"/>
                <w:szCs w:val="20"/>
              </w:rPr>
              <w:t xml:space="preserve"> </w:t>
            </w:r>
            <w:r>
              <w:rPr>
                <w:b/>
                <w:bCs/>
                <w:sz w:val="20"/>
                <w:szCs w:val="20"/>
              </w:rPr>
              <w:t>017</w:t>
            </w:r>
            <w:r w:rsidRPr="00052C55">
              <w:rPr>
                <w:b/>
                <w:bCs/>
                <w:sz w:val="20"/>
                <w:szCs w:val="20"/>
              </w:rPr>
              <w:t>,</w:t>
            </w:r>
            <w:r>
              <w:rPr>
                <w:b/>
                <w:bCs/>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660970" w:rsidRPr="00052C55" w:rsidRDefault="00660970" w:rsidP="008B5B34">
            <w:pPr>
              <w:ind w:right="317"/>
              <w:jc w:val="right"/>
              <w:rPr>
                <w:b/>
                <w:bCs/>
                <w:sz w:val="20"/>
                <w:szCs w:val="20"/>
              </w:rPr>
            </w:pPr>
            <w:r>
              <w:rPr>
                <w:b/>
                <w:bCs/>
                <w:sz w:val="20"/>
                <w:szCs w:val="20"/>
              </w:rPr>
              <w:t>465 408,1</w:t>
            </w:r>
          </w:p>
        </w:tc>
      </w:tr>
    </w:tbl>
    <w:p w:rsidR="00660970" w:rsidRPr="00052C55" w:rsidRDefault="00660970" w:rsidP="00660970">
      <w:pPr>
        <w:rPr>
          <w:sz w:val="20"/>
          <w:szCs w:val="20"/>
        </w:rPr>
      </w:pPr>
    </w:p>
    <w:p w:rsidR="00660970" w:rsidRDefault="00660970" w:rsidP="007C648A">
      <w:pPr>
        <w:jc w:val="center"/>
        <w:rPr>
          <w:b/>
          <w:sz w:val="20"/>
          <w:szCs w:val="20"/>
        </w:rPr>
      </w:pPr>
    </w:p>
    <w:sectPr w:rsidR="00660970" w:rsidSect="00F6017A">
      <w:headerReference w:type="default" r:id="rId8"/>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15" w:rsidRDefault="00AC1A15" w:rsidP="006B1A05">
      <w:r>
        <w:separator/>
      </w:r>
    </w:p>
  </w:endnote>
  <w:endnote w:type="continuationSeparator" w:id="0">
    <w:p w:rsidR="00AC1A15" w:rsidRDefault="00AC1A1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15" w:rsidRDefault="00AC1A15" w:rsidP="006B1A05">
      <w:r>
        <w:separator/>
      </w:r>
    </w:p>
  </w:footnote>
  <w:footnote w:type="continuationSeparator" w:id="0">
    <w:p w:rsidR="00AC1A15" w:rsidRDefault="00AC1A1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9E34B2">
        <w:pPr>
          <w:pStyle w:val="a8"/>
          <w:jc w:val="center"/>
        </w:pPr>
        <w:fldSimple w:instr=" PAGE   \* MERGEFORMAT ">
          <w:r w:rsidR="008B5B3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4"/>
  </w:num>
  <w:num w:numId="4">
    <w:abstractNumId w:val="7"/>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291"/>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BE3"/>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A0B"/>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92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970"/>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6BEB"/>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48A"/>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B34"/>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98A"/>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4B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A15"/>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5A"/>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65C"/>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05D"/>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E0A"/>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17A"/>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A7BA-50A5-4BD5-95FD-F3BAEA89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2018-04-02T13:40:00Z</cp:lastPrinted>
  <dcterms:created xsi:type="dcterms:W3CDTF">2018-04-02T13:16:00Z</dcterms:created>
  <dcterms:modified xsi:type="dcterms:W3CDTF">2018-04-02T13:42:00Z</dcterms:modified>
</cp:coreProperties>
</file>