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893C75">
              <w:rPr>
                <w:color w:val="000000" w:themeColor="text1"/>
                <w:sz w:val="28"/>
                <w:szCs w:val="28"/>
              </w:rPr>
              <w:t>1</w:t>
            </w:r>
            <w:r w:rsidR="009702F9">
              <w:rPr>
                <w:color w:val="000000" w:themeColor="text1"/>
                <w:sz w:val="28"/>
                <w:szCs w:val="28"/>
              </w:rPr>
              <w:t>1</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C229A4" w:rsidRDefault="00C229A4" w:rsidP="00C229A4">
      <w:pPr>
        <w:ind w:left="709" w:right="3685"/>
        <w:rPr>
          <w:sz w:val="28"/>
          <w:szCs w:val="28"/>
        </w:rPr>
      </w:pPr>
      <w:r>
        <w:rPr>
          <w:sz w:val="28"/>
          <w:szCs w:val="28"/>
        </w:rPr>
        <w:t>О принятии полномочий по исполнению местного бюджета в части ведения бюджетного (бухгалтерского) учета и составлению отчетности</w:t>
      </w:r>
    </w:p>
    <w:p w:rsidR="00C229A4" w:rsidRDefault="00C229A4" w:rsidP="00C229A4">
      <w:pPr>
        <w:jc w:val="both"/>
        <w:rPr>
          <w:sz w:val="28"/>
          <w:szCs w:val="28"/>
        </w:rPr>
      </w:pPr>
    </w:p>
    <w:p w:rsidR="00C229A4" w:rsidRDefault="00C229A4" w:rsidP="00C229A4">
      <w:pPr>
        <w:jc w:val="both"/>
        <w:rPr>
          <w:sz w:val="28"/>
          <w:szCs w:val="28"/>
        </w:rPr>
      </w:pPr>
    </w:p>
    <w:p w:rsidR="00C229A4" w:rsidRDefault="00C229A4" w:rsidP="00C229A4">
      <w:pPr>
        <w:tabs>
          <w:tab w:val="left" w:pos="284"/>
          <w:tab w:val="left" w:pos="1134"/>
        </w:tabs>
        <w:ind w:firstLine="708"/>
        <w:jc w:val="both"/>
        <w:rPr>
          <w:sz w:val="28"/>
          <w:szCs w:val="28"/>
        </w:rPr>
      </w:pPr>
      <w:proofErr w:type="gramStart"/>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постановлением администрации Кичменгско-Городецкого муниципального района от 01.03.2018 года № 166 «О плане мероприятий («дорожной карте») по централизации бюджетного (бухгалтерского) учета и отчетности в органах местного самоуправления, органах администрации и муниципальных учреждениях Кичменгско-Городецкого района» (с</w:t>
      </w:r>
      <w:proofErr w:type="gramEnd"/>
      <w:r>
        <w:rPr>
          <w:sz w:val="28"/>
          <w:szCs w:val="28"/>
        </w:rPr>
        <w:t xml:space="preserve"> последующими изменениями) Муниципальное Собрание </w:t>
      </w:r>
      <w:r w:rsidRPr="00C229A4">
        <w:rPr>
          <w:b/>
          <w:sz w:val="28"/>
          <w:szCs w:val="28"/>
        </w:rPr>
        <w:t>РЕШИЛО</w:t>
      </w:r>
      <w:r>
        <w:rPr>
          <w:sz w:val="28"/>
          <w:szCs w:val="28"/>
        </w:rPr>
        <w:t>:</w:t>
      </w:r>
    </w:p>
    <w:p w:rsidR="00C229A4" w:rsidRDefault="00C229A4" w:rsidP="00C229A4">
      <w:pPr>
        <w:pStyle w:val="a5"/>
        <w:numPr>
          <w:ilvl w:val="0"/>
          <w:numId w:val="38"/>
        </w:numPr>
        <w:tabs>
          <w:tab w:val="left" w:pos="284"/>
          <w:tab w:val="left" w:pos="1134"/>
        </w:tabs>
        <w:spacing w:line="276" w:lineRule="auto"/>
        <w:ind w:left="0" w:firstLine="708"/>
        <w:jc w:val="both"/>
        <w:rPr>
          <w:sz w:val="28"/>
          <w:szCs w:val="28"/>
        </w:rPr>
      </w:pPr>
      <w:proofErr w:type="gramStart"/>
      <w:r>
        <w:rPr>
          <w:sz w:val="28"/>
          <w:szCs w:val="28"/>
        </w:rPr>
        <w:t>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Городецкое, сельского поселения Енангское, сельского поселения Кичменгское полномочия по исполнению местного бюджета в части ведения бюджетного (бухгалтерского) учета и составлению отчетности муниципальными учреждениями и органами местного самоуправления поселений с 01 янв</w:t>
      </w:r>
      <w:r w:rsidR="00C95910">
        <w:rPr>
          <w:sz w:val="28"/>
          <w:szCs w:val="28"/>
        </w:rPr>
        <w:t>аря 2019 года по 31 декабря 2019</w:t>
      </w:r>
      <w:r>
        <w:rPr>
          <w:sz w:val="28"/>
          <w:szCs w:val="28"/>
        </w:rPr>
        <w:t> года.</w:t>
      </w:r>
      <w:proofErr w:type="gramEnd"/>
    </w:p>
    <w:p w:rsidR="00C229A4" w:rsidRDefault="00C229A4" w:rsidP="00C229A4">
      <w:pPr>
        <w:pStyle w:val="a5"/>
        <w:numPr>
          <w:ilvl w:val="0"/>
          <w:numId w:val="38"/>
        </w:numPr>
        <w:tabs>
          <w:tab w:val="left" w:pos="284"/>
          <w:tab w:val="left" w:pos="1134"/>
        </w:tabs>
        <w:spacing w:line="276" w:lineRule="auto"/>
        <w:ind w:left="0" w:firstLine="708"/>
        <w:jc w:val="both"/>
        <w:rPr>
          <w:sz w:val="28"/>
          <w:szCs w:val="28"/>
        </w:rPr>
      </w:pPr>
      <w:r>
        <w:rPr>
          <w:sz w:val="28"/>
          <w:szCs w:val="28"/>
        </w:rPr>
        <w:t xml:space="preserve">Администрации Кичменгско-Городецкого муниципального района заключить соответствующие соглашения с администрацией муниципального образования </w:t>
      </w:r>
      <w:proofErr w:type="gramStart"/>
      <w:r>
        <w:rPr>
          <w:sz w:val="28"/>
          <w:szCs w:val="28"/>
        </w:rPr>
        <w:t>Городецкое</w:t>
      </w:r>
      <w:proofErr w:type="gramEnd"/>
      <w:r>
        <w:rPr>
          <w:sz w:val="28"/>
          <w:szCs w:val="28"/>
        </w:rPr>
        <w:t>, администрацией сельского поселения Енангское, администрацией сельского поселения Кичменгское.</w:t>
      </w:r>
    </w:p>
    <w:p w:rsidR="00C229A4" w:rsidRDefault="00C229A4" w:rsidP="00C229A4">
      <w:pPr>
        <w:pStyle w:val="a5"/>
        <w:numPr>
          <w:ilvl w:val="0"/>
          <w:numId w:val="38"/>
        </w:numPr>
        <w:tabs>
          <w:tab w:val="left" w:pos="284"/>
          <w:tab w:val="left" w:pos="1134"/>
        </w:tabs>
        <w:spacing w:line="276" w:lineRule="auto"/>
        <w:ind w:left="0" w:firstLine="708"/>
        <w:jc w:val="both"/>
        <w:rPr>
          <w:sz w:val="28"/>
          <w:szCs w:val="28"/>
        </w:rPr>
      </w:pPr>
      <w:r>
        <w:rPr>
          <w:sz w:val="28"/>
          <w:szCs w:val="28"/>
        </w:rPr>
        <w:lastRenderedPageBreak/>
        <w:t>Настоящее решение вступает в силу после его официального опубликования в районной газете «Заря Севера», но не ранее 01 января 2019 го</w:t>
      </w:r>
      <w:r w:rsidR="00C95910">
        <w:rPr>
          <w:sz w:val="28"/>
          <w:szCs w:val="28"/>
        </w:rPr>
        <w:t>да и действует до 31 декабря 2019</w:t>
      </w:r>
      <w:r>
        <w:rPr>
          <w:sz w:val="28"/>
          <w:szCs w:val="28"/>
        </w:rPr>
        <w:t> года.</w:t>
      </w:r>
    </w:p>
    <w:p w:rsidR="005F2428" w:rsidRDefault="005F2428" w:rsidP="005F2428">
      <w:pPr>
        <w:ind w:firstLine="708"/>
        <w:jc w:val="both"/>
        <w:rPr>
          <w:sz w:val="28"/>
          <w:szCs w:val="28"/>
        </w:rPr>
      </w:pPr>
    </w:p>
    <w:p w:rsidR="00067B1C" w:rsidRDefault="00067B1C"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sidR="00365993">
        <w:rPr>
          <w:sz w:val="28"/>
          <w:szCs w:val="28"/>
        </w:rPr>
        <w:t xml:space="preserve">     </w:t>
      </w:r>
      <w:r w:rsidRPr="00CC7087">
        <w:rPr>
          <w:sz w:val="28"/>
          <w:szCs w:val="28"/>
        </w:rPr>
        <w:t xml:space="preserve">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290D2A" w:rsidRDefault="00645175">
        <w:pPr>
          <w:pStyle w:val="a8"/>
          <w:jc w:val="center"/>
        </w:pPr>
        <w:fldSimple w:instr=" PAGE   \* MERGEFORMAT ">
          <w:r w:rsidR="00C95910">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8"/>
  </w:num>
  <w:num w:numId="5">
    <w:abstractNumId w:val="34"/>
  </w:num>
  <w:num w:numId="6">
    <w:abstractNumId w:val="5"/>
  </w:num>
  <w:num w:numId="7">
    <w:abstractNumId w:val="7"/>
  </w:num>
  <w:num w:numId="8">
    <w:abstractNumId w:val="22"/>
  </w:num>
  <w:num w:numId="9">
    <w:abstractNumId w:val="30"/>
  </w:num>
  <w:num w:numId="10">
    <w:abstractNumId w:val="29"/>
  </w:num>
  <w:num w:numId="11">
    <w:abstractNumId w:val="36"/>
  </w:num>
  <w:num w:numId="12">
    <w:abstractNumId w:val="32"/>
  </w:num>
  <w:num w:numId="13">
    <w:abstractNumId w:val="21"/>
  </w:num>
  <w:num w:numId="14">
    <w:abstractNumId w:val="26"/>
  </w:num>
  <w:num w:numId="15">
    <w:abstractNumId w:val="35"/>
  </w:num>
  <w:num w:numId="16">
    <w:abstractNumId w:val="23"/>
  </w:num>
  <w:num w:numId="17">
    <w:abstractNumId w:val="33"/>
  </w:num>
  <w:num w:numId="18">
    <w:abstractNumId w:val="31"/>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9"/>
  </w:num>
  <w:num w:numId="33">
    <w:abstractNumId w:val="13"/>
  </w:num>
  <w:num w:numId="34">
    <w:abstractNumId w:val="14"/>
  </w:num>
  <w:num w:numId="35">
    <w:abstractNumId w:val="18"/>
  </w:num>
  <w:num w:numId="36">
    <w:abstractNumId w:val="4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175"/>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10"/>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2CB-1134-4F7E-B9FB-5B76FBE9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5</cp:revision>
  <cp:lastPrinted>2018-12-13T11:56:00Z</cp:lastPrinted>
  <dcterms:created xsi:type="dcterms:W3CDTF">2018-12-12T09:22:00Z</dcterms:created>
  <dcterms:modified xsi:type="dcterms:W3CDTF">2018-12-13T11:56:00Z</dcterms:modified>
</cp:coreProperties>
</file>