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ayout w:type="fixed"/>
        <w:tblLook w:val="0000"/>
      </w:tblPr>
      <w:tblGrid>
        <w:gridCol w:w="10800"/>
      </w:tblGrid>
      <w:tr w:rsidR="00F56FCD" w:rsidRPr="00920806" w:rsidTr="00B144F9">
        <w:trPr>
          <w:trHeight w:val="173"/>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Приложение </w:t>
            </w:r>
            <w:r w:rsidR="00CA7E1D">
              <w:rPr>
                <w:sz w:val="20"/>
                <w:szCs w:val="20"/>
              </w:rPr>
              <w:t>7</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к решению Муниципального Собрания</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Pr>
                <w:sz w:val="20"/>
                <w:szCs w:val="20"/>
              </w:rPr>
              <w:t>Кичменгско-Городецкого муниципального района</w:t>
            </w:r>
          </w:p>
        </w:tc>
      </w:tr>
      <w:tr w:rsidR="00F56FCD" w:rsidRPr="00920806" w:rsidTr="00B144F9">
        <w:trPr>
          <w:trHeight w:val="80"/>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от </w:t>
            </w:r>
            <w:r>
              <w:rPr>
                <w:sz w:val="20"/>
                <w:szCs w:val="20"/>
              </w:rPr>
              <w:t>31.03.2017</w:t>
            </w:r>
            <w:r w:rsidRPr="00920806">
              <w:rPr>
                <w:sz w:val="20"/>
                <w:szCs w:val="20"/>
              </w:rPr>
              <w:t xml:space="preserve">  №  </w:t>
            </w:r>
            <w:r>
              <w:rPr>
                <w:sz w:val="20"/>
                <w:szCs w:val="20"/>
              </w:rPr>
              <w:t>357</w:t>
            </w:r>
            <w:r w:rsidRPr="00920806">
              <w:rPr>
                <w:sz w:val="20"/>
                <w:szCs w:val="20"/>
              </w:rPr>
              <w:t xml:space="preserve"> </w:t>
            </w:r>
          </w:p>
        </w:tc>
      </w:tr>
      <w:tr w:rsidR="00F56FCD" w:rsidRPr="00920806" w:rsidTr="00B144F9">
        <w:trPr>
          <w:trHeight w:val="330"/>
        </w:trPr>
        <w:tc>
          <w:tcPr>
            <w:tcW w:w="4657" w:type="dxa"/>
            <w:tcBorders>
              <w:top w:val="nil"/>
              <w:left w:val="nil"/>
              <w:bottom w:val="nil"/>
              <w:right w:val="nil"/>
            </w:tcBorders>
            <w:shd w:val="clear" w:color="auto" w:fill="auto"/>
          </w:tcPr>
          <w:p w:rsidR="00F56FCD" w:rsidRDefault="00F56FCD" w:rsidP="00F56FCD">
            <w:pPr>
              <w:jc w:val="right"/>
              <w:rPr>
                <w:sz w:val="20"/>
                <w:szCs w:val="20"/>
              </w:rPr>
            </w:pPr>
            <w:r w:rsidRPr="00DC0B01">
              <w:rPr>
                <w:sz w:val="20"/>
                <w:szCs w:val="20"/>
              </w:rPr>
              <w:t>"О районном бюджете на 2017 год и плановый</w:t>
            </w:r>
          </w:p>
          <w:p w:rsidR="00F56FCD" w:rsidRPr="00920806" w:rsidRDefault="00F56FCD" w:rsidP="00F56FCD">
            <w:pPr>
              <w:jc w:val="right"/>
              <w:rPr>
                <w:sz w:val="20"/>
                <w:szCs w:val="20"/>
              </w:rPr>
            </w:pPr>
            <w:r w:rsidRPr="00DC0B01">
              <w:rPr>
                <w:sz w:val="20"/>
                <w:szCs w:val="20"/>
              </w:rPr>
              <w:t>период 201</w:t>
            </w:r>
            <w:r>
              <w:rPr>
                <w:sz w:val="20"/>
                <w:szCs w:val="20"/>
              </w:rPr>
              <w:t>8</w:t>
            </w:r>
            <w:r w:rsidRPr="00DC0B01">
              <w:rPr>
                <w:sz w:val="20"/>
                <w:szCs w:val="20"/>
              </w:rPr>
              <w:t xml:space="preserve"> и 201</w:t>
            </w:r>
            <w:r>
              <w:rPr>
                <w:sz w:val="20"/>
                <w:szCs w:val="20"/>
              </w:rPr>
              <w:t>9</w:t>
            </w:r>
            <w:r w:rsidRPr="00DC0B01">
              <w:rPr>
                <w:sz w:val="20"/>
                <w:szCs w:val="20"/>
              </w:rPr>
              <w:t xml:space="preserve"> годов"</w:t>
            </w:r>
          </w:p>
        </w:tc>
      </w:tr>
    </w:tbl>
    <w:p w:rsidR="00F56FCD" w:rsidRDefault="00F56FCD" w:rsidP="00F56FCD">
      <w:pPr>
        <w:pStyle w:val="ac"/>
        <w:rPr>
          <w:b w:val="0"/>
        </w:rPr>
      </w:pPr>
    </w:p>
    <w:tbl>
      <w:tblPr>
        <w:tblW w:w="10603" w:type="dxa"/>
        <w:tblInd w:w="-792" w:type="dxa"/>
        <w:tblLayout w:type="fixed"/>
        <w:tblLook w:val="0000"/>
      </w:tblPr>
      <w:tblGrid>
        <w:gridCol w:w="4444"/>
        <w:gridCol w:w="1496"/>
        <w:gridCol w:w="540"/>
        <w:gridCol w:w="540"/>
        <w:gridCol w:w="705"/>
        <w:gridCol w:w="1455"/>
        <w:gridCol w:w="1423"/>
      </w:tblGrid>
      <w:tr w:rsidR="00CA7E1D" w:rsidRPr="00312E26" w:rsidTr="00CC3DAA">
        <w:trPr>
          <w:trHeight w:val="1106"/>
        </w:trPr>
        <w:tc>
          <w:tcPr>
            <w:tcW w:w="10603" w:type="dxa"/>
            <w:gridSpan w:val="7"/>
            <w:tcBorders>
              <w:top w:val="nil"/>
              <w:left w:val="nil"/>
              <w:bottom w:val="nil"/>
              <w:right w:val="nil"/>
            </w:tcBorders>
            <w:shd w:val="clear" w:color="auto" w:fill="auto"/>
            <w:vAlign w:val="center"/>
          </w:tcPr>
          <w:p w:rsidR="00CA7E1D" w:rsidRDefault="00CA7E1D" w:rsidP="00CC3DAA">
            <w:pPr>
              <w:jc w:val="center"/>
              <w:rPr>
                <w:b/>
                <w:bCs/>
                <w:sz w:val="20"/>
                <w:szCs w:val="20"/>
              </w:rPr>
            </w:pPr>
            <w:r w:rsidRPr="00312E26">
              <w:rPr>
                <w:b/>
                <w:bCs/>
                <w:sz w:val="20"/>
                <w:szCs w:val="20"/>
              </w:rPr>
              <w:t>РАСПРЕДЕЛЕНИЕ БЮДЖЕТНЫХ АССИГНОВАНИЙ ПО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БЮДЖЕТА</w:t>
            </w:r>
          </w:p>
          <w:p w:rsidR="00CA7E1D" w:rsidRPr="00312E26" w:rsidRDefault="00CA7E1D" w:rsidP="00CC3DAA">
            <w:pPr>
              <w:jc w:val="center"/>
              <w:rPr>
                <w:b/>
                <w:bCs/>
                <w:sz w:val="20"/>
                <w:szCs w:val="20"/>
              </w:rPr>
            </w:pPr>
            <w:r w:rsidRPr="00312E26">
              <w:rPr>
                <w:b/>
                <w:bCs/>
                <w:sz w:val="20"/>
                <w:szCs w:val="20"/>
              </w:rPr>
              <w:t xml:space="preserve"> НА ПЛАНОВЫЙ ПЕРИОД </w:t>
            </w:r>
            <w:r w:rsidRPr="00312E26">
              <w:rPr>
                <w:b/>
                <w:bCs/>
                <w:sz w:val="28"/>
                <w:szCs w:val="28"/>
              </w:rPr>
              <w:t>2018-2019</w:t>
            </w:r>
            <w:r w:rsidRPr="00312E26">
              <w:rPr>
                <w:b/>
                <w:bCs/>
                <w:sz w:val="20"/>
                <w:szCs w:val="20"/>
              </w:rPr>
              <w:t xml:space="preserve"> ГОДОВ</w:t>
            </w:r>
          </w:p>
        </w:tc>
      </w:tr>
      <w:tr w:rsidR="00CA7E1D" w:rsidRPr="00312E26" w:rsidTr="00CA7E1D">
        <w:trPr>
          <w:trHeight w:val="270"/>
        </w:trPr>
        <w:tc>
          <w:tcPr>
            <w:tcW w:w="4444" w:type="dxa"/>
            <w:tcBorders>
              <w:top w:val="nil"/>
              <w:left w:val="nil"/>
              <w:bottom w:val="nil"/>
              <w:right w:val="nil"/>
            </w:tcBorders>
            <w:shd w:val="clear" w:color="auto" w:fill="auto"/>
            <w:vAlign w:val="center"/>
          </w:tcPr>
          <w:p w:rsidR="00CA7E1D" w:rsidRPr="00312E26" w:rsidRDefault="00CA7E1D" w:rsidP="00CC3DAA">
            <w:pPr>
              <w:jc w:val="center"/>
              <w:rPr>
                <w:b/>
                <w:bCs/>
                <w:sz w:val="22"/>
                <w:szCs w:val="22"/>
              </w:rPr>
            </w:pPr>
          </w:p>
        </w:tc>
        <w:tc>
          <w:tcPr>
            <w:tcW w:w="1496" w:type="dxa"/>
            <w:tcBorders>
              <w:top w:val="nil"/>
              <w:left w:val="nil"/>
              <w:bottom w:val="nil"/>
              <w:right w:val="nil"/>
            </w:tcBorders>
            <w:shd w:val="clear" w:color="auto" w:fill="auto"/>
            <w:vAlign w:val="bottom"/>
          </w:tcPr>
          <w:p w:rsidR="00CA7E1D" w:rsidRPr="00312E26" w:rsidRDefault="00CA7E1D" w:rsidP="00CC3DAA">
            <w:pPr>
              <w:jc w:val="center"/>
              <w:rPr>
                <w:b/>
                <w:bCs/>
                <w:sz w:val="22"/>
                <w:szCs w:val="22"/>
              </w:rPr>
            </w:pPr>
          </w:p>
        </w:tc>
        <w:tc>
          <w:tcPr>
            <w:tcW w:w="540" w:type="dxa"/>
            <w:tcBorders>
              <w:top w:val="nil"/>
              <w:left w:val="nil"/>
              <w:bottom w:val="nil"/>
              <w:right w:val="nil"/>
            </w:tcBorders>
            <w:shd w:val="clear" w:color="auto" w:fill="auto"/>
            <w:vAlign w:val="bottom"/>
          </w:tcPr>
          <w:p w:rsidR="00CA7E1D" w:rsidRPr="00312E26" w:rsidRDefault="00CA7E1D" w:rsidP="00CC3DAA">
            <w:pPr>
              <w:jc w:val="center"/>
              <w:rPr>
                <w:b/>
                <w:bCs/>
                <w:sz w:val="22"/>
                <w:szCs w:val="22"/>
              </w:rPr>
            </w:pPr>
          </w:p>
        </w:tc>
        <w:tc>
          <w:tcPr>
            <w:tcW w:w="540" w:type="dxa"/>
            <w:tcBorders>
              <w:top w:val="nil"/>
              <w:left w:val="nil"/>
              <w:bottom w:val="nil"/>
              <w:right w:val="nil"/>
            </w:tcBorders>
            <w:shd w:val="clear" w:color="auto" w:fill="auto"/>
            <w:vAlign w:val="bottom"/>
          </w:tcPr>
          <w:p w:rsidR="00CA7E1D" w:rsidRPr="00312E26" w:rsidRDefault="00CA7E1D" w:rsidP="00CC3DAA">
            <w:pPr>
              <w:jc w:val="center"/>
              <w:rPr>
                <w:b/>
                <w:bCs/>
                <w:sz w:val="22"/>
                <w:szCs w:val="22"/>
              </w:rPr>
            </w:pPr>
          </w:p>
        </w:tc>
        <w:tc>
          <w:tcPr>
            <w:tcW w:w="705" w:type="dxa"/>
            <w:tcBorders>
              <w:top w:val="nil"/>
              <w:left w:val="nil"/>
              <w:bottom w:val="nil"/>
              <w:right w:val="nil"/>
            </w:tcBorders>
            <w:shd w:val="clear" w:color="auto" w:fill="auto"/>
            <w:vAlign w:val="bottom"/>
          </w:tcPr>
          <w:p w:rsidR="00CA7E1D" w:rsidRPr="00312E26" w:rsidRDefault="00CA7E1D" w:rsidP="00CC3DAA">
            <w:pPr>
              <w:jc w:val="center"/>
              <w:rPr>
                <w:b/>
                <w:bCs/>
                <w:sz w:val="22"/>
                <w:szCs w:val="22"/>
              </w:rPr>
            </w:pPr>
          </w:p>
        </w:tc>
        <w:tc>
          <w:tcPr>
            <w:tcW w:w="1455" w:type="dxa"/>
            <w:tcBorders>
              <w:top w:val="nil"/>
              <w:left w:val="nil"/>
              <w:bottom w:val="nil"/>
              <w:right w:val="nil"/>
            </w:tcBorders>
            <w:shd w:val="clear" w:color="auto" w:fill="auto"/>
            <w:vAlign w:val="bottom"/>
          </w:tcPr>
          <w:p w:rsidR="00CA7E1D" w:rsidRPr="00312E26" w:rsidRDefault="00CA7E1D" w:rsidP="00CC3DAA">
            <w:pPr>
              <w:jc w:val="center"/>
              <w:rPr>
                <w:b/>
                <w:bCs/>
                <w:sz w:val="22"/>
                <w:szCs w:val="22"/>
              </w:rPr>
            </w:pPr>
          </w:p>
        </w:tc>
        <w:tc>
          <w:tcPr>
            <w:tcW w:w="1423" w:type="dxa"/>
            <w:tcBorders>
              <w:top w:val="nil"/>
              <w:left w:val="nil"/>
              <w:bottom w:val="nil"/>
              <w:right w:val="nil"/>
            </w:tcBorders>
            <w:shd w:val="clear" w:color="auto" w:fill="auto"/>
            <w:vAlign w:val="bottom"/>
          </w:tcPr>
          <w:p w:rsidR="00CA7E1D" w:rsidRPr="00312E26" w:rsidRDefault="00CA7E1D" w:rsidP="00CC3DAA">
            <w:pPr>
              <w:jc w:val="center"/>
              <w:rPr>
                <w:b/>
                <w:bCs/>
                <w:sz w:val="22"/>
                <w:szCs w:val="22"/>
              </w:rPr>
            </w:pPr>
          </w:p>
        </w:tc>
      </w:tr>
      <w:tr w:rsidR="00CA7E1D" w:rsidRPr="00312E26" w:rsidTr="00CA7E1D">
        <w:trPr>
          <w:trHeight w:val="375"/>
        </w:trPr>
        <w:tc>
          <w:tcPr>
            <w:tcW w:w="4444" w:type="dxa"/>
            <w:tcBorders>
              <w:top w:val="nil"/>
              <w:left w:val="nil"/>
              <w:bottom w:val="nil"/>
              <w:right w:val="nil"/>
            </w:tcBorders>
            <w:shd w:val="clear" w:color="auto" w:fill="auto"/>
            <w:vAlign w:val="bottom"/>
          </w:tcPr>
          <w:p w:rsidR="00CA7E1D" w:rsidRPr="00312E26" w:rsidRDefault="00CA7E1D" w:rsidP="00CC3DAA">
            <w:pPr>
              <w:rPr>
                <w:sz w:val="22"/>
                <w:szCs w:val="22"/>
              </w:rPr>
            </w:pPr>
          </w:p>
        </w:tc>
        <w:tc>
          <w:tcPr>
            <w:tcW w:w="1496" w:type="dxa"/>
            <w:tcBorders>
              <w:top w:val="nil"/>
              <w:left w:val="nil"/>
              <w:bottom w:val="nil"/>
              <w:right w:val="nil"/>
            </w:tcBorders>
            <w:shd w:val="clear" w:color="auto" w:fill="auto"/>
            <w:vAlign w:val="bottom"/>
          </w:tcPr>
          <w:p w:rsidR="00CA7E1D" w:rsidRPr="00312E26" w:rsidRDefault="00CA7E1D" w:rsidP="00CC3DAA">
            <w:pPr>
              <w:jc w:val="center"/>
              <w:rPr>
                <w:sz w:val="22"/>
                <w:szCs w:val="22"/>
              </w:rPr>
            </w:pPr>
          </w:p>
        </w:tc>
        <w:tc>
          <w:tcPr>
            <w:tcW w:w="540" w:type="dxa"/>
            <w:tcBorders>
              <w:top w:val="nil"/>
              <w:left w:val="nil"/>
              <w:bottom w:val="nil"/>
              <w:right w:val="nil"/>
            </w:tcBorders>
            <w:shd w:val="clear" w:color="auto" w:fill="auto"/>
            <w:vAlign w:val="bottom"/>
          </w:tcPr>
          <w:p w:rsidR="00CA7E1D" w:rsidRPr="00312E26" w:rsidRDefault="00CA7E1D" w:rsidP="00CC3DAA">
            <w:pPr>
              <w:jc w:val="center"/>
              <w:rPr>
                <w:sz w:val="22"/>
                <w:szCs w:val="22"/>
              </w:rPr>
            </w:pPr>
          </w:p>
        </w:tc>
        <w:tc>
          <w:tcPr>
            <w:tcW w:w="540" w:type="dxa"/>
            <w:tcBorders>
              <w:top w:val="nil"/>
              <w:left w:val="nil"/>
              <w:bottom w:val="nil"/>
              <w:right w:val="nil"/>
            </w:tcBorders>
            <w:shd w:val="clear" w:color="auto" w:fill="auto"/>
            <w:vAlign w:val="bottom"/>
          </w:tcPr>
          <w:p w:rsidR="00CA7E1D" w:rsidRPr="00312E26" w:rsidRDefault="00CA7E1D" w:rsidP="00CC3DAA">
            <w:pPr>
              <w:jc w:val="center"/>
              <w:rPr>
                <w:sz w:val="22"/>
                <w:szCs w:val="22"/>
              </w:rPr>
            </w:pPr>
          </w:p>
        </w:tc>
        <w:tc>
          <w:tcPr>
            <w:tcW w:w="705" w:type="dxa"/>
            <w:tcBorders>
              <w:top w:val="nil"/>
              <w:left w:val="nil"/>
              <w:bottom w:val="nil"/>
              <w:right w:val="nil"/>
            </w:tcBorders>
            <w:shd w:val="clear" w:color="auto" w:fill="auto"/>
            <w:vAlign w:val="bottom"/>
          </w:tcPr>
          <w:p w:rsidR="00CA7E1D" w:rsidRPr="00312E26" w:rsidRDefault="00CA7E1D" w:rsidP="00CC3DAA">
            <w:pPr>
              <w:jc w:val="center"/>
              <w:rPr>
                <w:sz w:val="22"/>
                <w:szCs w:val="22"/>
              </w:rPr>
            </w:pPr>
          </w:p>
        </w:tc>
        <w:tc>
          <w:tcPr>
            <w:tcW w:w="2878" w:type="dxa"/>
            <w:gridSpan w:val="2"/>
            <w:tcBorders>
              <w:top w:val="nil"/>
              <w:left w:val="nil"/>
              <w:bottom w:val="nil"/>
              <w:right w:val="nil"/>
            </w:tcBorders>
            <w:shd w:val="clear" w:color="auto" w:fill="auto"/>
            <w:vAlign w:val="bottom"/>
          </w:tcPr>
          <w:p w:rsidR="00CA7E1D" w:rsidRPr="00312E26" w:rsidRDefault="00CA7E1D" w:rsidP="00CC3DAA">
            <w:pPr>
              <w:jc w:val="center"/>
              <w:rPr>
                <w:sz w:val="20"/>
                <w:szCs w:val="20"/>
              </w:rPr>
            </w:pPr>
            <w:r w:rsidRPr="00312E26">
              <w:rPr>
                <w:sz w:val="20"/>
                <w:szCs w:val="20"/>
              </w:rPr>
              <w:t>(тыс.рублей)</w:t>
            </w:r>
          </w:p>
        </w:tc>
      </w:tr>
      <w:tr w:rsidR="00CA7E1D" w:rsidRPr="00312E26" w:rsidTr="00CA7E1D">
        <w:trPr>
          <w:trHeight w:val="593"/>
        </w:trPr>
        <w:tc>
          <w:tcPr>
            <w:tcW w:w="4444" w:type="dxa"/>
            <w:tcBorders>
              <w:top w:val="single" w:sz="4" w:space="0" w:color="auto"/>
              <w:left w:val="single" w:sz="4" w:space="0" w:color="auto"/>
              <w:bottom w:val="single" w:sz="4" w:space="0" w:color="auto"/>
              <w:right w:val="nil"/>
            </w:tcBorders>
            <w:shd w:val="clear" w:color="auto" w:fill="auto"/>
            <w:vAlign w:val="center"/>
          </w:tcPr>
          <w:p w:rsidR="00CA7E1D" w:rsidRPr="00312E26" w:rsidRDefault="00CA7E1D" w:rsidP="00CC3DAA">
            <w:pPr>
              <w:jc w:val="center"/>
              <w:rPr>
                <w:b/>
                <w:bCs/>
                <w:sz w:val="22"/>
                <w:szCs w:val="22"/>
              </w:rPr>
            </w:pPr>
            <w:r w:rsidRPr="00312E26">
              <w:rPr>
                <w:b/>
                <w:bCs/>
                <w:sz w:val="22"/>
                <w:szCs w:val="22"/>
              </w:rPr>
              <w:t>Наименование</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CA7E1D" w:rsidRPr="00312E26" w:rsidRDefault="00CA7E1D" w:rsidP="00CC3DAA">
            <w:pPr>
              <w:jc w:val="center"/>
              <w:rPr>
                <w:b/>
                <w:bCs/>
                <w:sz w:val="22"/>
                <w:szCs w:val="22"/>
              </w:rPr>
            </w:pPr>
            <w:r w:rsidRPr="00312E26">
              <w:rPr>
                <w:b/>
                <w:bCs/>
                <w:sz w:val="22"/>
                <w:szCs w:val="22"/>
              </w:rPr>
              <w:t>КЦСР</w:t>
            </w:r>
          </w:p>
        </w:tc>
        <w:tc>
          <w:tcPr>
            <w:tcW w:w="540" w:type="dxa"/>
            <w:tcBorders>
              <w:top w:val="single" w:sz="4" w:space="0" w:color="auto"/>
              <w:left w:val="nil"/>
              <w:bottom w:val="single" w:sz="4" w:space="0" w:color="auto"/>
              <w:right w:val="single" w:sz="4" w:space="0" w:color="auto"/>
            </w:tcBorders>
            <w:shd w:val="clear" w:color="auto" w:fill="auto"/>
            <w:vAlign w:val="center"/>
          </w:tcPr>
          <w:p w:rsidR="00CA7E1D" w:rsidRPr="00312E26" w:rsidRDefault="00CA7E1D" w:rsidP="00CC3DAA">
            <w:pPr>
              <w:jc w:val="center"/>
              <w:rPr>
                <w:b/>
                <w:bCs/>
                <w:sz w:val="22"/>
                <w:szCs w:val="22"/>
              </w:rPr>
            </w:pPr>
            <w:r w:rsidRPr="00312E26">
              <w:rPr>
                <w:b/>
                <w:bCs/>
                <w:sz w:val="22"/>
                <w:szCs w:val="22"/>
              </w:rPr>
              <w:t>РЗ</w:t>
            </w:r>
          </w:p>
        </w:tc>
        <w:tc>
          <w:tcPr>
            <w:tcW w:w="540" w:type="dxa"/>
            <w:tcBorders>
              <w:top w:val="single" w:sz="4" w:space="0" w:color="auto"/>
              <w:left w:val="nil"/>
              <w:bottom w:val="single" w:sz="4" w:space="0" w:color="auto"/>
              <w:right w:val="single" w:sz="4" w:space="0" w:color="auto"/>
            </w:tcBorders>
            <w:shd w:val="clear" w:color="auto" w:fill="auto"/>
            <w:vAlign w:val="center"/>
          </w:tcPr>
          <w:p w:rsidR="00CA7E1D" w:rsidRPr="00312E26" w:rsidRDefault="00CA7E1D" w:rsidP="00CC3DAA">
            <w:pPr>
              <w:jc w:val="center"/>
              <w:rPr>
                <w:b/>
                <w:bCs/>
                <w:sz w:val="22"/>
                <w:szCs w:val="22"/>
              </w:rPr>
            </w:pPr>
            <w:r w:rsidRPr="00312E26">
              <w:rPr>
                <w:b/>
                <w:bCs/>
                <w:sz w:val="22"/>
                <w:szCs w:val="22"/>
              </w:rPr>
              <w:t>ПР</w:t>
            </w:r>
          </w:p>
        </w:tc>
        <w:tc>
          <w:tcPr>
            <w:tcW w:w="705" w:type="dxa"/>
            <w:tcBorders>
              <w:top w:val="single" w:sz="4" w:space="0" w:color="auto"/>
              <w:left w:val="nil"/>
              <w:bottom w:val="single" w:sz="4" w:space="0" w:color="auto"/>
              <w:right w:val="single" w:sz="4" w:space="0" w:color="auto"/>
            </w:tcBorders>
            <w:shd w:val="clear" w:color="auto" w:fill="auto"/>
            <w:vAlign w:val="center"/>
          </w:tcPr>
          <w:p w:rsidR="00CA7E1D" w:rsidRPr="00312E26" w:rsidRDefault="00CA7E1D" w:rsidP="00CC3DAA">
            <w:pPr>
              <w:jc w:val="center"/>
              <w:rPr>
                <w:b/>
                <w:bCs/>
                <w:sz w:val="22"/>
                <w:szCs w:val="22"/>
              </w:rPr>
            </w:pPr>
            <w:r w:rsidRPr="00312E26">
              <w:rPr>
                <w:b/>
                <w:bCs/>
                <w:sz w:val="22"/>
                <w:szCs w:val="22"/>
              </w:rPr>
              <w:t>КВР</w:t>
            </w:r>
          </w:p>
        </w:tc>
        <w:tc>
          <w:tcPr>
            <w:tcW w:w="1455" w:type="dxa"/>
            <w:tcBorders>
              <w:top w:val="single" w:sz="4" w:space="0" w:color="auto"/>
              <w:left w:val="nil"/>
              <w:bottom w:val="single" w:sz="4" w:space="0" w:color="auto"/>
              <w:right w:val="single" w:sz="4" w:space="0" w:color="auto"/>
            </w:tcBorders>
            <w:shd w:val="clear" w:color="auto" w:fill="auto"/>
            <w:noWrap/>
            <w:vAlign w:val="center"/>
          </w:tcPr>
          <w:p w:rsidR="00CA7E1D" w:rsidRPr="00312E26" w:rsidRDefault="00CA7E1D" w:rsidP="00CC3DAA">
            <w:pPr>
              <w:jc w:val="center"/>
              <w:rPr>
                <w:b/>
                <w:bCs/>
                <w:sz w:val="22"/>
                <w:szCs w:val="22"/>
              </w:rPr>
            </w:pPr>
            <w:r w:rsidRPr="00312E26">
              <w:rPr>
                <w:b/>
                <w:bCs/>
                <w:sz w:val="22"/>
                <w:szCs w:val="22"/>
              </w:rPr>
              <w:t>2018 год</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CA7E1D" w:rsidRPr="00312E26" w:rsidRDefault="00CA7E1D" w:rsidP="00CC3DAA">
            <w:pPr>
              <w:jc w:val="center"/>
              <w:rPr>
                <w:b/>
                <w:bCs/>
                <w:sz w:val="22"/>
                <w:szCs w:val="22"/>
              </w:rPr>
            </w:pPr>
            <w:r w:rsidRPr="00312E26">
              <w:rPr>
                <w:b/>
                <w:bCs/>
                <w:sz w:val="22"/>
                <w:szCs w:val="22"/>
              </w:rPr>
              <w:t>2019 год</w:t>
            </w:r>
          </w:p>
        </w:tc>
      </w:tr>
      <w:tr w:rsidR="00CA7E1D" w:rsidRPr="00312E26"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312E26" w:rsidRDefault="00CA7E1D" w:rsidP="00CC3DAA">
            <w:pPr>
              <w:jc w:val="center"/>
              <w:rPr>
                <w:sz w:val="16"/>
                <w:szCs w:val="16"/>
              </w:rPr>
            </w:pPr>
            <w:r w:rsidRPr="00312E26">
              <w:rPr>
                <w:sz w:val="16"/>
                <w:szCs w:val="16"/>
              </w:rPr>
              <w:t>1</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312E26" w:rsidRDefault="00CA7E1D" w:rsidP="00CC3DAA">
            <w:pPr>
              <w:jc w:val="center"/>
              <w:rPr>
                <w:sz w:val="16"/>
                <w:szCs w:val="16"/>
              </w:rPr>
            </w:pPr>
            <w:r w:rsidRPr="00312E26">
              <w:rPr>
                <w:sz w:val="16"/>
                <w:szCs w:val="16"/>
              </w:rPr>
              <w:t>2</w:t>
            </w:r>
          </w:p>
        </w:tc>
        <w:tc>
          <w:tcPr>
            <w:tcW w:w="540" w:type="dxa"/>
            <w:tcBorders>
              <w:top w:val="nil"/>
              <w:left w:val="nil"/>
              <w:bottom w:val="single" w:sz="4" w:space="0" w:color="auto"/>
              <w:right w:val="single" w:sz="4" w:space="0" w:color="auto"/>
            </w:tcBorders>
            <w:shd w:val="clear" w:color="auto" w:fill="auto"/>
            <w:vAlign w:val="bottom"/>
          </w:tcPr>
          <w:p w:rsidR="00CA7E1D" w:rsidRPr="00312E26" w:rsidRDefault="00CA7E1D" w:rsidP="00CC3DAA">
            <w:pPr>
              <w:jc w:val="center"/>
              <w:rPr>
                <w:sz w:val="16"/>
                <w:szCs w:val="16"/>
              </w:rPr>
            </w:pPr>
            <w:r w:rsidRPr="00312E26">
              <w:rPr>
                <w:sz w:val="16"/>
                <w:szCs w:val="16"/>
              </w:rPr>
              <w:t>3</w:t>
            </w:r>
          </w:p>
        </w:tc>
        <w:tc>
          <w:tcPr>
            <w:tcW w:w="540" w:type="dxa"/>
            <w:tcBorders>
              <w:top w:val="nil"/>
              <w:left w:val="nil"/>
              <w:bottom w:val="single" w:sz="4" w:space="0" w:color="auto"/>
              <w:right w:val="single" w:sz="4" w:space="0" w:color="auto"/>
            </w:tcBorders>
            <w:shd w:val="clear" w:color="auto" w:fill="auto"/>
            <w:vAlign w:val="bottom"/>
          </w:tcPr>
          <w:p w:rsidR="00CA7E1D" w:rsidRPr="00312E26" w:rsidRDefault="00CA7E1D" w:rsidP="00CC3DAA">
            <w:pPr>
              <w:jc w:val="center"/>
              <w:rPr>
                <w:sz w:val="16"/>
                <w:szCs w:val="16"/>
              </w:rPr>
            </w:pPr>
            <w:r w:rsidRPr="00312E26">
              <w:rPr>
                <w:sz w:val="16"/>
                <w:szCs w:val="16"/>
              </w:rPr>
              <w:t>4</w:t>
            </w:r>
          </w:p>
        </w:tc>
        <w:tc>
          <w:tcPr>
            <w:tcW w:w="705" w:type="dxa"/>
            <w:tcBorders>
              <w:top w:val="nil"/>
              <w:left w:val="nil"/>
              <w:bottom w:val="single" w:sz="4" w:space="0" w:color="auto"/>
              <w:right w:val="single" w:sz="4" w:space="0" w:color="auto"/>
            </w:tcBorders>
            <w:shd w:val="clear" w:color="auto" w:fill="auto"/>
            <w:vAlign w:val="bottom"/>
          </w:tcPr>
          <w:p w:rsidR="00CA7E1D" w:rsidRPr="00312E26" w:rsidRDefault="00CA7E1D" w:rsidP="00CC3DAA">
            <w:pPr>
              <w:jc w:val="center"/>
              <w:rPr>
                <w:sz w:val="16"/>
                <w:szCs w:val="16"/>
              </w:rPr>
            </w:pPr>
            <w:r w:rsidRPr="00312E26">
              <w:rPr>
                <w:sz w:val="16"/>
                <w:szCs w:val="16"/>
              </w:rPr>
              <w:t>5</w:t>
            </w:r>
          </w:p>
        </w:tc>
        <w:tc>
          <w:tcPr>
            <w:tcW w:w="1455" w:type="dxa"/>
            <w:tcBorders>
              <w:top w:val="nil"/>
              <w:left w:val="nil"/>
              <w:bottom w:val="single" w:sz="4" w:space="0" w:color="auto"/>
              <w:right w:val="single" w:sz="4" w:space="0" w:color="auto"/>
            </w:tcBorders>
            <w:shd w:val="clear" w:color="auto" w:fill="auto"/>
            <w:vAlign w:val="bottom"/>
          </w:tcPr>
          <w:p w:rsidR="00CA7E1D" w:rsidRPr="00312E26" w:rsidRDefault="00CA7E1D" w:rsidP="00CC3DAA">
            <w:pPr>
              <w:jc w:val="center"/>
              <w:rPr>
                <w:sz w:val="16"/>
                <w:szCs w:val="16"/>
              </w:rPr>
            </w:pPr>
            <w:r w:rsidRPr="00312E26">
              <w:rPr>
                <w:sz w:val="16"/>
                <w:szCs w:val="16"/>
              </w:rPr>
              <w:t>6</w:t>
            </w:r>
          </w:p>
        </w:tc>
        <w:tc>
          <w:tcPr>
            <w:tcW w:w="1423" w:type="dxa"/>
            <w:tcBorders>
              <w:top w:val="nil"/>
              <w:left w:val="nil"/>
              <w:bottom w:val="single" w:sz="4" w:space="0" w:color="auto"/>
              <w:right w:val="single" w:sz="4" w:space="0" w:color="auto"/>
            </w:tcBorders>
            <w:shd w:val="clear" w:color="auto" w:fill="auto"/>
            <w:vAlign w:val="bottom"/>
          </w:tcPr>
          <w:p w:rsidR="00CA7E1D" w:rsidRPr="00312E26" w:rsidRDefault="00CA7E1D" w:rsidP="00CC3DAA">
            <w:pPr>
              <w:jc w:val="center"/>
              <w:rPr>
                <w:sz w:val="16"/>
                <w:szCs w:val="16"/>
              </w:rPr>
            </w:pPr>
            <w:r>
              <w:rPr>
                <w:sz w:val="16"/>
                <w:szCs w:val="16"/>
              </w:rPr>
              <w:t>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"Развитие образования Кичменгско-Городецкого муниципального района Вологодской области на 2014-2018 годы"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203 635,2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203 635,2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01 1 00 00000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68 927,8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68 927,8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«Обеспечение доступности дошкольного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01 1 01 00000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65 028,2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65 028,2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Детские дошкольные учреждения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Дошкольное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7 813,8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Дошкольное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57 214,4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01 1 02 00000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D75CF2" w:rsidRDefault="00CA7E1D" w:rsidP="00CC3DAA">
            <w:pPr>
              <w:rPr>
                <w:sz w:val="20"/>
                <w:szCs w:val="20"/>
              </w:rPr>
            </w:pPr>
            <w:r w:rsidRPr="00D75CF2">
              <w:rPr>
                <w:sz w:val="20"/>
                <w:szCs w:val="20"/>
              </w:rPr>
              <w:t>Социальное обеспечение населения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w:t>
            </w:r>
            <w:r>
              <w:rPr>
                <w:sz w:val="20"/>
                <w:szCs w:val="20"/>
              </w:rPr>
              <w:t>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Социальные выплаты гражданам, кроме публичных нормативных социальных выплат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3 899,6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"Развитие общего и дополнительного образования детей"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131 405,4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131 405,4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117 510,7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117 510,7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Школы - детские сады, школы начальные, </w:t>
            </w:r>
            <w:r w:rsidRPr="007F6582">
              <w:rPr>
                <w:sz w:val="20"/>
                <w:szCs w:val="20"/>
              </w:rPr>
              <w:lastRenderedPageBreak/>
              <w:t>неполные средние и средние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lastRenderedPageBreak/>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101 310,7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101 310,7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 </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 </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101 310,7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101 310,7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101 310,7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101 310,7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01 2 04 00000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Учреждения по внешкольной работе с детьми (Дом детского творчества)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Дополнительное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01 2 05 00000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Специальные (коррекционные) учреждения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7 994,7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7 994,7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7 994,7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7 994,7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7 994,7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7 994,7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938,4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938,4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938,4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938,4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7 056,3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7 056,3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Социальные выплаты гражданам, кроме публичных нормативных социальных выплат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1 273,4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1 273,4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5 782,9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5 782,9</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3 302,0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3 302,0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«Обеспечение безопасности образовательного процесса»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01 5 02 00000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Укрепление материально-технических условий и обеспечение комплексной безопасности образовательных организаций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Основное мероприятие «Ресурсное обеспечение образовательного процесса, в том числе капитальный  ремонт и реконструкция зданий </w:t>
            </w:r>
            <w:r w:rsidRPr="007F6582">
              <w:rPr>
                <w:sz w:val="20"/>
                <w:szCs w:val="20"/>
              </w:rPr>
              <w:lastRenderedPageBreak/>
              <w:t>образовательных организаций района»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lastRenderedPageBreak/>
              <w:t xml:space="preserve"> 01 5 03 00000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Укрепление материально-технических условий и обеспечение комплексной безопасности образовательных организаций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3 242,0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"Содействие занятости населения на 2015-2020 годы"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Организация временного трудоустройства несовершеннолетних граждан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Национальная экономика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Общеэкономические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"Развитие сферы "Культура" в Кичменгско-Городецком муниципальном районе на 2015-2020гг."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25 505,4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25 505,4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"Дополнительное образование, поддержка творческих инициатив, библиотечное обслуживание, музейное дело"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18 429,0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18 429,0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«Реализация программ дополнительного образования детей в сфере культуры и искусства»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Детская школа искусств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Дополнительное 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«Библиотечное  информационно-справочное обслуживание населения»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03 1 02 00000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Библиотека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 кинематография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6 960,0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«Предоставление услуг населению в области культурно-досуговой деятельности»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03 1 03 00000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Дом культуры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 кинематография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5 803,3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«Осуществление музейной деятельности»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03 1 04 00000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Музеи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 кинематография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1 500,7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«Обеспечение условий реализации муниципальной программы»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7 076,4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7 076,4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«Развитие системы управления в сфере культуры»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Выполнение функций органов местного самоуправления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 кинематография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культуры, кинематографии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2 316,2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1 756,2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1 756,2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297,0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297,0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Уплата налогов, сборов и иных платежей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263,0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263,0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03 2 02 00000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работы по организации и ведению бухгалтерского (бюджетного) учета и</w:t>
            </w:r>
            <w:r w:rsidRPr="007F6582">
              <w:rPr>
                <w:sz w:val="20"/>
                <w:szCs w:val="20"/>
              </w:rPr>
              <w:br/>
              <w:t>отчетности, обеспечение финансово-хозяйственной деятельности учреждений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Культура, кинематография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культуры, кинематографии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4 760,2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Фонд оплаты труда казенных учреждений и взносы по обязательному социальному страхованию</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4 189,0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4 189,0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564,7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564,7</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Уплата налогов, сборов и иных платежей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6,5</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6,5</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"Поддержка субъектов малого и среднего предпринимательства в Кичм</w:t>
            </w:r>
            <w:r>
              <w:rPr>
                <w:sz w:val="20"/>
                <w:szCs w:val="20"/>
              </w:rPr>
              <w:t>енгско</w:t>
            </w:r>
            <w:r w:rsidRPr="007F6582">
              <w:rPr>
                <w:sz w:val="20"/>
                <w:szCs w:val="20"/>
              </w:rPr>
              <w:t>-Городецком районе» на 2015-2020гг.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04 0 00 00000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04 0 01 00000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Мероприятия по поддержке предпринимательства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"Безбарьерная среда на 2016-2018гг."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05 0 03 00000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Мероприятия в области социальной политики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социальной политики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«Капитальный ремонт санитарно-гигиенических помещений путем расширения дверного проема, замена дверной коробки, установка унитаза, раковины, опорных поручней в здании»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05 0 04 00000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Мероприятия в области социальной политики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социальной политики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06 0 00 00000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06 0 01 00000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Мероприятия по устойчивому развитию сельских территорий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Социальное обеспечение населения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Социальные выплаты гражданам, кроме публичных нормативных социальных выплат</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"Развитие сети автомобильных дорог общего пользования местного значения на период 2015-2017гг."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22 500,0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«Содержание муниципальных дорог, мостов»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Содержание муниципальных дорог, мостов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Национальная экономика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Дорожное хозяйство (дорожные фонды)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«Ремонт муниципальных дорог, мостов»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07 0 02 00000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Ремонт муниципальных дорог, мостов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Национальная экономика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Дорожное хозяйство (дорожные фонды)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10 500,0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539,5</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539,5</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«Обеспечение экологической безопасности граждан и сохранение природных систем»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539,5</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539,5</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Природоохранные мероприятия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Охрана окружающей среды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Охрана объектов растительного и животного мира и среды их обитания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235,0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213,6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w:t>
            </w:r>
            <w:r w:rsidRPr="007F6582">
              <w:rPr>
                <w:sz w:val="20"/>
                <w:szCs w:val="20"/>
              </w:rPr>
              <w:lastRenderedPageBreak/>
              <w:t>содержанию безнадзорных животных"</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lastRenderedPageBreak/>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Здравоохранение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Санитарно-эпидемиологическое благополучие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90,9</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"Кадровое обеспечение Кич-Городецкого муниципального района на 2015-2020гг."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334,0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222,0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Повышение профессионального мастерства работников АПК</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Национальная экономика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Сельское хозяйство и рыболовство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«Выплата стипендии студенту ГБОУ ВПО «Северный государственный медицинский университет»</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09 0 05 00000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Выплата стипендии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Здравоохранение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здравоохранения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Стипендии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09 0 06 00000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Выплата стипендии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Стипендии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"Развитие физической культуры и спорта в Кичменгско-Городецком муниципальном районе на 2015-2020гг."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10 0 00 00000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5</w:t>
            </w: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«Организация и проведение спортивных мероприятий»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10 0 01 00000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Организация, проведение мероприятий и содержание объектов спорта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Физическая культура и спорт</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Физическая культура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344,1</w:t>
            </w:r>
          </w:p>
        </w:tc>
      </w:tr>
      <w:tr w:rsidR="00CA7E1D" w:rsidRPr="007F6582" w:rsidTr="00CA7E1D">
        <w:trPr>
          <w:trHeight w:val="150"/>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563191">
              <w:rPr>
                <w:sz w:val="20"/>
                <w:szCs w:val="20"/>
              </w:rPr>
              <w:t>Основное мероприятие «Строительство спортивных сооружений»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10 0 02</w:t>
            </w:r>
            <w:r w:rsidRPr="007F6582">
              <w:rPr>
                <w:sz w:val="20"/>
                <w:szCs w:val="20"/>
              </w:rPr>
              <w:t xml:space="preserve">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5000,0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180"/>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563191">
              <w:rPr>
                <w:sz w:val="20"/>
                <w:szCs w:val="20"/>
              </w:rPr>
              <w:t>Генеральный план, архитектурные решения, архитектурно-строительные решения на объекты спорта и строительство спортивных сооружений</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10 0 02 20110</w:t>
            </w:r>
            <w:r w:rsidRPr="007F6582">
              <w:rPr>
                <w:sz w:val="20"/>
                <w:szCs w:val="20"/>
              </w:rPr>
              <w:t xml:space="preserve"> </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5000,0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95"/>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Физическая культура и спорт</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10 0 02 20110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00</w:t>
            </w: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5000,0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120"/>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Физическая культура</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10 0 02 20110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01</w:t>
            </w: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5000,0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135"/>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563191">
              <w:rPr>
                <w:sz w:val="20"/>
                <w:szCs w:val="20"/>
              </w:rPr>
              <w:t>Бюджетные инвестиции</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10 0 02 20110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01</w:t>
            </w: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410</w:t>
            </w: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5000,0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1134"/>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2017-2020гг."</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11 0 00 00000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343,1</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343,1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11 1 00 00000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Основное мероприятие «Содействие </w:t>
            </w:r>
            <w:r w:rsidRPr="007F6582">
              <w:rPr>
                <w:sz w:val="20"/>
                <w:szCs w:val="20"/>
              </w:rPr>
              <w:lastRenderedPageBreak/>
              <w:t>патриотическому и духовно- нравственному воспитанию молодежи»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lastRenderedPageBreak/>
              <w:t xml:space="preserve"> 11 1 01 00000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Мероприятия по патриотическому и духовно- нравственному воспитанию молодежи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Молодежная политика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"Обеспечение жильем молодых семей на 2017-2020 годы"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11 2 00 00000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"Содействие улучшению жилищных условий молодых семей"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11 2 01 00000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жильем молодых семей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Социальное обеспечение населения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Социальные выплаты гражданам, кроме публичных нормативных социальных выплат</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"Организация молодежного движения Кичменгско-Городецкого муниципального района"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11 3 00 00000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11 3 01 0000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Содействие развитию молодежной инициативы, молодежного общественного движения, самореализации и самоопределения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Молодежная политика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43,1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"Энергосбережение на территории Кич-Городецкого муниципального района на 2015-2020 год"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12 0 00 00000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«Энергосбережение и повышение энергетической эффективности в бюджетной сфере»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12 0 01 00000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Мероприятия по энергосбережению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Жилищно-коммунальное хозяйство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Жилищное хозяйство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"Развитие архивного дела в Кичменгско-Городецком муниципальном районе на 2015-2020 годы"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14 0 00 00000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178,3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14 0 01 00000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178,3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178,3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178,3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178,3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119,9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123,3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15 0 00 00000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w:t>
            </w: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15 0 01 00000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w:t>
            </w: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Водоснабжение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w:t>
            </w: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Жилищно-коммунальное хозяйство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w:t>
            </w: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Жилищное хозяйство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w:t>
            </w: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300,0</w:t>
            </w:r>
          </w:p>
        </w:tc>
      </w:tr>
      <w:tr w:rsidR="00CA7E1D" w:rsidRPr="007F6582" w:rsidTr="00CA7E1D">
        <w:trPr>
          <w:trHeight w:val="190"/>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10</w:t>
            </w:r>
            <w:r w:rsidRPr="007F6582">
              <w:rPr>
                <w:sz w:val="20"/>
                <w:szCs w:val="20"/>
              </w:rPr>
              <w:t>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945"/>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Субсидии юридическим лицам (кроме коммерческих организа</w:t>
            </w:r>
            <w:r>
              <w:rPr>
                <w:sz w:val="20"/>
                <w:szCs w:val="20"/>
              </w:rPr>
              <w:t>ц</w:t>
            </w:r>
            <w:r w:rsidRPr="007F6582">
              <w:rPr>
                <w:sz w:val="20"/>
                <w:szCs w:val="20"/>
              </w:rPr>
              <w:t>ий, индивидуальным предпринимателям, физическим лицам - производителям товаров, работ, услуг)</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15 0 01 20170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01</w:t>
            </w: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810</w:t>
            </w: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300,0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Подпрограмма «Профилактика преступлений и иных правонарушений»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16 1 01 00000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Мероприятия по профилактике правонарушений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16 1 02 00000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Мероприятия по профилактике правонарушений и безопасности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Подпрограмма «Безопасность дорожного движения»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16 2 00 00000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16 2 02 00000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Мероприятия по профилактике правонарушений и безопасности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Муниципальная программа "Управление и распоряжение муниципальным имуществом и земельными участками на 2014-2016 годы"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27</w:t>
            </w:r>
            <w:r w:rsidRPr="007F6582">
              <w:rPr>
                <w:sz w:val="20"/>
                <w:szCs w:val="20"/>
              </w:rPr>
              <w:t>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Основное мероприятие «Проведение кадастровых работ по формированию земельных </w:t>
            </w:r>
            <w:r w:rsidRPr="007F6582">
              <w:rPr>
                <w:sz w:val="20"/>
                <w:szCs w:val="20"/>
              </w:rPr>
              <w:lastRenderedPageBreak/>
              <w:t>участков, предназначенных для предоставления бесплатно в собственность отдельным категориям граждан»</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lastRenderedPageBreak/>
              <w:t>17 0 04 00000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Национальная экономика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национальной экономики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17 0 05 00000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Национальная экономика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национальной экономики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w:t>
            </w:r>
          </w:p>
        </w:tc>
      </w:tr>
      <w:tr w:rsidR="00CA7E1D" w:rsidRPr="007F6582" w:rsidTr="00CA7E1D">
        <w:trPr>
          <w:trHeight w:val="160"/>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133EE5">
              <w:rPr>
                <w:sz w:val="20"/>
                <w:szCs w:val="20"/>
              </w:rPr>
              <w:t>Основное мероприятие " Проведение работ по подготовке проекта межевания территорий"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17 0 07 00000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120,0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330"/>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120,0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195"/>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Национальная экономика</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00</w:t>
            </w: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120,0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105"/>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Другие вопросы в области национальной экономики</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12</w:t>
            </w: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120,0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150"/>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12</w:t>
            </w: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Pr>
                <w:sz w:val="20"/>
                <w:szCs w:val="20"/>
              </w:rPr>
              <w:t>240</w:t>
            </w: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120,0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p>
        </w:tc>
      </w:tr>
      <w:tr w:rsidR="00CA7E1D" w:rsidRPr="007F6582" w:rsidTr="00CA7E1D">
        <w:trPr>
          <w:trHeight w:val="907"/>
        </w:trPr>
        <w:tc>
          <w:tcPr>
            <w:tcW w:w="4444" w:type="dxa"/>
            <w:tcBorders>
              <w:top w:val="single" w:sz="4" w:space="0" w:color="auto"/>
              <w:left w:val="single" w:sz="4" w:space="0" w:color="auto"/>
              <w:bottom w:val="single" w:sz="4" w:space="0" w:color="auto"/>
              <w:right w:val="nil"/>
            </w:tcBorders>
            <w:shd w:val="clear" w:color="auto" w:fill="auto"/>
            <w:vAlign w:val="bottom"/>
          </w:tcPr>
          <w:p w:rsidR="00CA7E1D" w:rsidRDefault="00CA7E1D" w:rsidP="00CC3DAA">
            <w:pPr>
              <w:rPr>
                <w:sz w:val="20"/>
                <w:szCs w:val="20"/>
              </w:rPr>
            </w:pPr>
            <w:r w:rsidRPr="007F6582">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2016 -2019гг.»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18 0 00 00000</w:t>
            </w: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70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p>
        </w:tc>
        <w:tc>
          <w:tcPr>
            <w:tcW w:w="1455"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c>
          <w:tcPr>
            <w:tcW w:w="1423" w:type="dxa"/>
            <w:tcBorders>
              <w:top w:val="single" w:sz="4" w:space="0" w:color="auto"/>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Основное мероприятие «Проведение работ по капитальному ремонту и реконструкции жилых домов»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18 0 01 00000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Капитальный и текущий ремонт муниципального жилищного фонда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Жилищно-коммунальное хозяйство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Жилищное хозяйство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юридическим лицам (кроме коммерческих организа</w:t>
            </w:r>
            <w:r>
              <w:rPr>
                <w:sz w:val="20"/>
                <w:szCs w:val="20"/>
              </w:rPr>
              <w:t>ц</w:t>
            </w:r>
            <w:r w:rsidRPr="007F6582">
              <w:rPr>
                <w:sz w:val="20"/>
                <w:szCs w:val="20"/>
              </w:rPr>
              <w:t>ий, индивидуальным предпринимателям, физическим лицам - производителям товаров, работ, услуг)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1 218,0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Выравнивание бюджетной обеспеченности муниципальных образований </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7 735,3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7 719,4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1 389,6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1 389,6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Дотации на выравнивание бюджетной обеспеченности субъектов Российской Федерации и муниципальных образований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1 389,6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510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1 389,6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6 329,8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Межбюджетные трансферты общего характера бюджетам субъектов Российской Федерации и муниципальных образований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6 329,8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Дотации на выравнивание бюджетной обеспеченности субъектов Российской Федерации и муниципальных образований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6 329,8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510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6 329,8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Поддержка мер по обеспечению сбалансированности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72 0 00 00000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14 962,3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Поддержка мер по обеспечению сбалансированности бюджетов муниципальных образований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72 2 00 00000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14 962,3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Дотации на поддержку мер по обеспечению сбалансированности бюджетов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14 962,3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Межбюджетные трансферты общего характера бюджетам субъектов Российской Федерации и муниципальных образований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14 962,3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дотации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14 962,3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Дотации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510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14 962,3</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обеспечение деятельности (оказание услуг) муниципального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63 505,1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63 505,1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Реализация мероприятий по предупреждению и ликвидации последствий чрезвычайных ситуаций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Национальная безопасность и правоохранительная деятельность</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подвоза обучающихся образовательных организаций и обратно</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7 820,0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40 279,2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40 279,2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40 279,2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40 279,2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40 279,2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40 279,2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Фонд оплаты труда казенных учреждений и взносы по обязательному социальному страхованию</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38 454,2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38 454,2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1 813,0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1 813,0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Уплата налогов, сборов и иных платежей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Организация деятельности многофункционального центра предоставления государственных и муниципальных услуг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12 300,0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бюджетным учреждениям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1 909,1</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Социальное обеспечение населения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Социальные выплаты гражданам, кроме публичных нормативных социальных выплат</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636,8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Социальное обеспечение населения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Социальные выплаты гражданам, кроме публичных нормативных социальных выплат</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 </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 </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органов местного самоуправления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30 726,0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30 726,0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деятельности органов местного самоуправления по решению вопросов местного значения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30 726,0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30 726,0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Выполнение функций органов местного самоуправления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29 417,8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29 417,8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26 815,2</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26 815,2</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высшего должностного лица субъекта Российской Федерации и муниципального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1 045,0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1 045,0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1 045,0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1 045,0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1 413,9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1 413,9</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813,9</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813,9</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599,0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599,0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Уплата налогов, сборов и иных платежей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19 514,5</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19 514,5</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13 754,5</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13 754,5</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Иные закупки товаров, работ и услуг для </w:t>
            </w:r>
            <w:r w:rsidRPr="007F6582">
              <w:rPr>
                <w:sz w:val="20"/>
                <w:szCs w:val="20"/>
              </w:rPr>
              <w:lastRenderedPageBreak/>
              <w:t>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lastRenderedPageBreak/>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5 700,0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5 700,0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Уплата налогов, сборов и иных платежей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4 841,8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4 841,8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4 161,8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4 161,8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679,0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679,0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Уплата налогов, сборов и иных платежей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Образование</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2 602,6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2 602,6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образования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2 602,6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2 602,6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2 052,6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2 052,6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525,0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525,0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Уплата налогов, сборов и иных платежей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25,0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25,0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724,8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724,8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724,8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724,8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социальной политики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724,8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724,8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556,0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556,0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168,8</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168,8</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518,4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518,4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518,4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518,4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518,4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518,4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500,0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Иные закупки товаров, работ и услуг для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18,4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18,4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социальной политики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30,6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17,0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 xml:space="preserve">Иные закупки товаров, работ и услуг для </w:t>
            </w:r>
            <w:r w:rsidRPr="007F6582">
              <w:rPr>
                <w:sz w:val="20"/>
                <w:szCs w:val="20"/>
              </w:rPr>
              <w:lastRenderedPageBreak/>
              <w:t>обеспечения государственных (муниципальных) нужд</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lastRenderedPageBreak/>
              <w:t>91 1 00 72200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13,6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13,6</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Расходы на выплаты персоналу государственных (муниципальных) органов</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34,4</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Реализация иных муниципальных функций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99 0 00 00000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3 360,0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3 360,0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общественным организациям</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360,0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360,0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154,0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154,0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общегосударственные вопросы</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154,0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154,0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некоммерческим организациям (за исключением государственных (муниципальных) учреждений)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630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154,0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154,0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206,0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206,0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Другие вопросы в области социальной политики</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206,0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206,0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некоммерческим организациям (за исключением государственных (муниципальных) учреждений)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630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206,0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206,0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Предоставление мер социальной поддержки отдельным категориям граждан (ЕДК)</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Социальная политика</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Социальное обеспечение населения</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r>
      <w:tr w:rsidR="00CA7E1D" w:rsidRPr="007F6582" w:rsidTr="00CA7E1D">
        <w:trPr>
          <w:trHeight w:val="171"/>
        </w:trPr>
        <w:tc>
          <w:tcPr>
            <w:tcW w:w="4444" w:type="dxa"/>
            <w:tcBorders>
              <w:top w:val="nil"/>
              <w:left w:val="single" w:sz="4" w:space="0" w:color="auto"/>
              <w:bottom w:val="single" w:sz="4" w:space="0" w:color="auto"/>
              <w:right w:val="nil"/>
            </w:tcBorders>
            <w:shd w:val="clear" w:color="auto" w:fill="auto"/>
            <w:vAlign w:val="bottom"/>
          </w:tcPr>
          <w:p w:rsidR="00CA7E1D" w:rsidRPr="007F6582" w:rsidRDefault="00CA7E1D" w:rsidP="00CC3DAA">
            <w:pPr>
              <w:rPr>
                <w:sz w:val="20"/>
                <w:szCs w:val="20"/>
              </w:rPr>
            </w:pPr>
            <w:r w:rsidRPr="007F6582">
              <w:rPr>
                <w:sz w:val="20"/>
                <w:szCs w:val="20"/>
              </w:rPr>
              <w:t>Субсидии некоммерческим организациям (за исключением государственных (муниципальных) учреждений)</w:t>
            </w:r>
          </w:p>
        </w:tc>
        <w:tc>
          <w:tcPr>
            <w:tcW w:w="1496" w:type="dxa"/>
            <w:tcBorders>
              <w:top w:val="nil"/>
              <w:left w:val="single" w:sz="4" w:space="0" w:color="auto"/>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A7E1D" w:rsidRPr="007F6582" w:rsidRDefault="00CA7E1D" w:rsidP="00CC3DAA">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sidRPr="007F6582">
              <w:rPr>
                <w:sz w:val="20"/>
                <w:szCs w:val="20"/>
              </w:rPr>
              <w:t>3 000,0</w:t>
            </w:r>
          </w:p>
        </w:tc>
      </w:tr>
      <w:tr w:rsidR="00CA7E1D" w:rsidRPr="00255DED" w:rsidTr="00CC3DAA">
        <w:trPr>
          <w:trHeight w:val="197"/>
        </w:trPr>
        <w:tc>
          <w:tcPr>
            <w:tcW w:w="772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A7E1D" w:rsidRPr="00255DED" w:rsidRDefault="00CA7E1D" w:rsidP="00CC3DAA">
            <w:pPr>
              <w:rPr>
                <w:bCs/>
                <w:sz w:val="22"/>
                <w:szCs w:val="22"/>
              </w:rPr>
            </w:pPr>
            <w:r w:rsidRPr="00255DED">
              <w:rPr>
                <w:bCs/>
                <w:sz w:val="22"/>
                <w:szCs w:val="22"/>
              </w:rPr>
              <w:t>ИТОГО РАСХОДОВ:</w:t>
            </w:r>
          </w:p>
        </w:tc>
        <w:tc>
          <w:tcPr>
            <w:tcW w:w="1455" w:type="dxa"/>
            <w:tcBorders>
              <w:top w:val="nil"/>
              <w:left w:val="nil"/>
              <w:bottom w:val="single" w:sz="4" w:space="0" w:color="auto"/>
              <w:right w:val="single" w:sz="4" w:space="0" w:color="auto"/>
            </w:tcBorders>
            <w:shd w:val="clear" w:color="auto" w:fill="auto"/>
            <w:vAlign w:val="bottom"/>
          </w:tcPr>
          <w:p w:rsidR="00CA7E1D" w:rsidRPr="00255DED" w:rsidRDefault="00CA7E1D" w:rsidP="00CA7E1D">
            <w:pPr>
              <w:ind w:right="234"/>
              <w:jc w:val="right"/>
              <w:rPr>
                <w:bCs/>
                <w:sz w:val="22"/>
                <w:szCs w:val="22"/>
              </w:rPr>
            </w:pPr>
            <w:r>
              <w:rPr>
                <w:bCs/>
                <w:sz w:val="22"/>
                <w:szCs w:val="22"/>
              </w:rPr>
              <w:t>385 54</w:t>
            </w:r>
            <w:r w:rsidRPr="00255DED">
              <w:rPr>
                <w:bCs/>
                <w:sz w:val="22"/>
                <w:szCs w:val="22"/>
              </w:rPr>
              <w:t>7,9</w:t>
            </w:r>
          </w:p>
        </w:tc>
        <w:tc>
          <w:tcPr>
            <w:tcW w:w="1423" w:type="dxa"/>
            <w:tcBorders>
              <w:top w:val="nil"/>
              <w:left w:val="nil"/>
              <w:bottom w:val="single" w:sz="4" w:space="0" w:color="auto"/>
              <w:right w:val="single" w:sz="4" w:space="0" w:color="auto"/>
            </w:tcBorders>
            <w:shd w:val="clear" w:color="auto" w:fill="auto"/>
            <w:vAlign w:val="bottom"/>
          </w:tcPr>
          <w:p w:rsidR="00CA7E1D" w:rsidRPr="00255DED" w:rsidRDefault="00CA7E1D" w:rsidP="00CA7E1D">
            <w:pPr>
              <w:ind w:right="239"/>
              <w:jc w:val="right"/>
              <w:rPr>
                <w:bCs/>
                <w:sz w:val="22"/>
                <w:szCs w:val="22"/>
              </w:rPr>
            </w:pPr>
            <w:r w:rsidRPr="00255DED">
              <w:rPr>
                <w:bCs/>
                <w:sz w:val="22"/>
                <w:szCs w:val="22"/>
              </w:rPr>
              <w:t>377 968,4</w:t>
            </w:r>
          </w:p>
        </w:tc>
      </w:tr>
      <w:tr w:rsidR="00CA7E1D" w:rsidRPr="007F6582" w:rsidTr="00CC3DAA">
        <w:trPr>
          <w:trHeight w:val="111"/>
        </w:trPr>
        <w:tc>
          <w:tcPr>
            <w:tcW w:w="772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7E1D" w:rsidRPr="007F6582" w:rsidRDefault="00CA7E1D" w:rsidP="00CC3DAA">
            <w:pPr>
              <w:rPr>
                <w:sz w:val="20"/>
                <w:szCs w:val="20"/>
              </w:rPr>
            </w:pPr>
            <w:r w:rsidRPr="007F6582">
              <w:rPr>
                <w:sz w:val="20"/>
                <w:szCs w:val="20"/>
              </w:rPr>
              <w:t>Условно утверждаемые расходы</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sz w:val="20"/>
                <w:szCs w:val="20"/>
              </w:rPr>
            </w:pPr>
            <w:r>
              <w:rPr>
                <w:sz w:val="20"/>
                <w:szCs w:val="20"/>
              </w:rPr>
              <w:t>20 041,7</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9"/>
              <w:jc w:val="right"/>
              <w:rPr>
                <w:sz w:val="20"/>
                <w:szCs w:val="20"/>
              </w:rPr>
            </w:pPr>
            <w:r>
              <w:rPr>
                <w:sz w:val="20"/>
                <w:szCs w:val="20"/>
              </w:rPr>
              <w:t>29083,7</w:t>
            </w:r>
          </w:p>
        </w:tc>
      </w:tr>
      <w:tr w:rsidR="00CA7E1D" w:rsidRPr="007F6582" w:rsidTr="00CC3DAA">
        <w:trPr>
          <w:trHeight w:val="405"/>
        </w:trPr>
        <w:tc>
          <w:tcPr>
            <w:tcW w:w="772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7E1D" w:rsidRPr="007F6582" w:rsidRDefault="00CA7E1D" w:rsidP="00CC3DAA">
            <w:pPr>
              <w:rPr>
                <w:b/>
                <w:bCs/>
                <w:sz w:val="22"/>
                <w:szCs w:val="22"/>
              </w:rPr>
            </w:pPr>
            <w:r w:rsidRPr="007F6582">
              <w:rPr>
                <w:b/>
                <w:bCs/>
                <w:sz w:val="22"/>
                <w:szCs w:val="22"/>
              </w:rPr>
              <w:t>ВСЕГО РАСХОДОВ:</w:t>
            </w:r>
          </w:p>
        </w:tc>
        <w:tc>
          <w:tcPr>
            <w:tcW w:w="1455"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4"/>
              <w:jc w:val="right"/>
              <w:rPr>
                <w:b/>
                <w:bCs/>
                <w:sz w:val="22"/>
                <w:szCs w:val="22"/>
              </w:rPr>
            </w:pPr>
            <w:r>
              <w:rPr>
                <w:b/>
                <w:bCs/>
                <w:sz w:val="22"/>
                <w:szCs w:val="22"/>
              </w:rPr>
              <w:t>405 589,6</w:t>
            </w:r>
          </w:p>
        </w:tc>
        <w:tc>
          <w:tcPr>
            <w:tcW w:w="1423" w:type="dxa"/>
            <w:tcBorders>
              <w:top w:val="nil"/>
              <w:left w:val="nil"/>
              <w:bottom w:val="single" w:sz="4" w:space="0" w:color="auto"/>
              <w:right w:val="single" w:sz="4" w:space="0" w:color="auto"/>
            </w:tcBorders>
            <w:shd w:val="clear" w:color="auto" w:fill="auto"/>
            <w:vAlign w:val="bottom"/>
          </w:tcPr>
          <w:p w:rsidR="00CA7E1D" w:rsidRPr="007F6582" w:rsidRDefault="00CA7E1D" w:rsidP="00CA7E1D">
            <w:pPr>
              <w:ind w:right="239"/>
              <w:jc w:val="right"/>
              <w:rPr>
                <w:b/>
                <w:bCs/>
                <w:sz w:val="22"/>
                <w:szCs w:val="22"/>
              </w:rPr>
            </w:pPr>
            <w:r>
              <w:rPr>
                <w:b/>
                <w:bCs/>
                <w:sz w:val="22"/>
                <w:szCs w:val="22"/>
              </w:rPr>
              <w:t>407 052,1,</w:t>
            </w:r>
          </w:p>
        </w:tc>
      </w:tr>
    </w:tbl>
    <w:p w:rsidR="00CA7E1D" w:rsidRDefault="00CA7E1D" w:rsidP="00F56FCD">
      <w:pPr>
        <w:pStyle w:val="ac"/>
        <w:rPr>
          <w:b w:val="0"/>
        </w:rPr>
      </w:pPr>
    </w:p>
    <w:sectPr w:rsidR="00CA7E1D" w:rsidSect="0050493E">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315" w:rsidRDefault="009B7315" w:rsidP="006B1A05">
      <w:r>
        <w:separator/>
      </w:r>
    </w:p>
  </w:endnote>
  <w:endnote w:type="continuationSeparator" w:id="0">
    <w:p w:rsidR="009B7315" w:rsidRDefault="009B7315"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315" w:rsidRDefault="009B7315" w:rsidP="006B1A05">
      <w:r>
        <w:separator/>
      </w:r>
    </w:p>
  </w:footnote>
  <w:footnote w:type="continuationSeparator" w:id="0">
    <w:p w:rsidR="009B7315" w:rsidRDefault="009B731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7E1804">
        <w:pPr>
          <w:pStyle w:val="a8"/>
          <w:jc w:val="center"/>
        </w:pPr>
        <w:fldSimple w:instr=" PAGE   \* MERGEFORMAT ">
          <w:r w:rsidR="00CA7E1D">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2"/>
  </w:num>
  <w:num w:numId="16">
    <w:abstractNumId w:val="3"/>
  </w:num>
  <w:num w:numId="17">
    <w:abstractNumId w:val="38"/>
  </w:num>
  <w:num w:numId="18">
    <w:abstractNumId w:val="9"/>
  </w:num>
  <w:num w:numId="19">
    <w:abstractNumId w:val="0"/>
  </w:num>
  <w:num w:numId="20">
    <w:abstractNumId w:val="37"/>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0"/>
  </w:num>
  <w:num w:numId="29">
    <w:abstractNumId w:val="26"/>
  </w:num>
  <w:num w:numId="30">
    <w:abstractNumId w:val="5"/>
  </w:num>
  <w:num w:numId="31">
    <w:abstractNumId w:val="18"/>
  </w:num>
  <w:num w:numId="32">
    <w:abstractNumId w:val="36"/>
  </w:num>
  <w:num w:numId="33">
    <w:abstractNumId w:val="31"/>
  </w:num>
  <w:num w:numId="34">
    <w:abstractNumId w:val="34"/>
  </w:num>
  <w:num w:numId="35">
    <w:abstractNumId w:val="21"/>
  </w:num>
  <w:num w:numId="36">
    <w:abstractNumId w:val="28"/>
  </w:num>
  <w:num w:numId="37">
    <w:abstractNumId w:val="22"/>
  </w:num>
  <w:num w:numId="38">
    <w:abstractNumId w:val="11"/>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669"/>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346"/>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9FD"/>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5DA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13"/>
    <w:rsid w:val="007D79F0"/>
    <w:rsid w:val="007E00B9"/>
    <w:rsid w:val="007E05A8"/>
    <w:rsid w:val="007E074E"/>
    <w:rsid w:val="007E0778"/>
    <w:rsid w:val="007E08A5"/>
    <w:rsid w:val="007E08EC"/>
    <w:rsid w:val="007E0A90"/>
    <w:rsid w:val="007E0BD2"/>
    <w:rsid w:val="007E1663"/>
    <w:rsid w:val="007E1804"/>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942"/>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12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5AD0"/>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315"/>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770"/>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3F"/>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E1D"/>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615"/>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6FCD"/>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BA7B-A064-4AF5-AB57-FCFC50F1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6008</Words>
  <Characters>34248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2017-04-04T09:14:00Z</cp:lastPrinted>
  <dcterms:created xsi:type="dcterms:W3CDTF">2017-04-04T09:05:00Z</dcterms:created>
  <dcterms:modified xsi:type="dcterms:W3CDTF">2017-04-04T09:15:00Z</dcterms:modified>
</cp:coreProperties>
</file>