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Default Extension="png" ContentType="image/png"/>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21" w:type="dxa"/>
        <w:tblLayout w:type="fixed"/>
        <w:tblCellMar>
          <w:left w:w="107" w:type="dxa"/>
          <w:right w:w="107" w:type="dxa"/>
        </w:tblCellMar>
        <w:tblLook w:val="0000"/>
      </w:tblPr>
      <w:tblGrid>
        <w:gridCol w:w="3827"/>
        <w:gridCol w:w="1328"/>
        <w:gridCol w:w="4166"/>
      </w:tblGrid>
      <w:tr w:rsidR="00D12C3C" w:rsidRPr="00177CBE" w:rsidTr="00177CBE">
        <w:tc>
          <w:tcPr>
            <w:tcW w:w="3827" w:type="dxa"/>
          </w:tcPr>
          <w:p w:rsidR="00D12C3C" w:rsidRPr="00177CBE" w:rsidRDefault="00D12C3C" w:rsidP="00177CBE"/>
        </w:tc>
        <w:tc>
          <w:tcPr>
            <w:tcW w:w="1328" w:type="dxa"/>
          </w:tcPr>
          <w:p w:rsidR="00D12C3C" w:rsidRPr="00177CBE" w:rsidRDefault="00AF1C9A" w:rsidP="00177CBE">
            <w:pPr>
              <w:jc w:val="center"/>
            </w:pPr>
            <w:r w:rsidRPr="00177CBE">
              <w:rPr>
                <w:noProof/>
              </w:rPr>
              <w:drawing>
                <wp:inline distT="0" distB="0" distL="0" distR="0">
                  <wp:extent cx="551815" cy="517525"/>
                  <wp:effectExtent l="1905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24000" contrast="36000"/>
                            <a:grayscl/>
                          </a:blip>
                          <a:srcRect/>
                          <a:stretch>
                            <a:fillRect/>
                          </a:stretch>
                        </pic:blipFill>
                        <pic:spPr bwMode="auto">
                          <a:xfrm>
                            <a:off x="0" y="0"/>
                            <a:ext cx="551815" cy="517525"/>
                          </a:xfrm>
                          <a:prstGeom prst="rect">
                            <a:avLst/>
                          </a:prstGeom>
                          <a:noFill/>
                          <a:ln w="9525">
                            <a:noFill/>
                            <a:miter lim="800000"/>
                            <a:headEnd/>
                            <a:tailEnd/>
                          </a:ln>
                        </pic:spPr>
                      </pic:pic>
                    </a:graphicData>
                  </a:graphic>
                </wp:inline>
              </w:drawing>
            </w:r>
          </w:p>
        </w:tc>
        <w:tc>
          <w:tcPr>
            <w:tcW w:w="4166" w:type="dxa"/>
          </w:tcPr>
          <w:p w:rsidR="00D12C3C" w:rsidRPr="00177CBE" w:rsidRDefault="00D12C3C" w:rsidP="00177CBE"/>
        </w:tc>
      </w:tr>
      <w:tr w:rsidR="00D12C3C" w:rsidRPr="00177CBE" w:rsidTr="00177CBE">
        <w:tc>
          <w:tcPr>
            <w:tcW w:w="9321" w:type="dxa"/>
            <w:gridSpan w:val="3"/>
          </w:tcPr>
          <w:p w:rsidR="00D12C3C" w:rsidRPr="00177CBE" w:rsidRDefault="00D12C3C" w:rsidP="00177CBE">
            <w:pPr>
              <w:jc w:val="center"/>
            </w:pPr>
          </w:p>
        </w:tc>
      </w:tr>
      <w:tr w:rsidR="00D12C3C" w:rsidRPr="00177CBE" w:rsidTr="00AF1C9A">
        <w:trPr>
          <w:trHeight w:val="1035"/>
        </w:trPr>
        <w:tc>
          <w:tcPr>
            <w:tcW w:w="9321" w:type="dxa"/>
            <w:gridSpan w:val="3"/>
            <w:vAlign w:val="center"/>
          </w:tcPr>
          <w:p w:rsidR="00D12C3C" w:rsidRPr="00177CBE" w:rsidRDefault="00D12C3C" w:rsidP="00AF1C9A">
            <w:pPr>
              <w:pStyle w:val="a3"/>
              <w:rPr>
                <w:bCs w:val="0"/>
                <w:sz w:val="24"/>
                <w:szCs w:val="24"/>
              </w:rPr>
            </w:pPr>
            <w:r w:rsidRPr="00177CBE">
              <w:rPr>
                <w:bCs w:val="0"/>
                <w:sz w:val="24"/>
                <w:szCs w:val="24"/>
              </w:rPr>
              <w:t>МУНИЦИПАЛЬНОЕ СОБРАНИЕ</w:t>
            </w:r>
          </w:p>
          <w:p w:rsidR="00D12C3C" w:rsidRPr="00177CBE" w:rsidRDefault="00D12C3C" w:rsidP="00AF1C9A">
            <w:pPr>
              <w:pStyle w:val="a3"/>
              <w:rPr>
                <w:bCs w:val="0"/>
                <w:sz w:val="24"/>
                <w:szCs w:val="24"/>
              </w:rPr>
            </w:pPr>
            <w:r w:rsidRPr="00177CBE">
              <w:rPr>
                <w:bCs w:val="0"/>
                <w:sz w:val="24"/>
                <w:szCs w:val="24"/>
              </w:rPr>
              <w:t>КИЧМЕНГСКО-ГОРОДЕЦКОГО МУНИЦИПАЛЬНОГО РАЙОНА</w:t>
            </w:r>
          </w:p>
          <w:p w:rsidR="00D12C3C" w:rsidRPr="00177CBE" w:rsidRDefault="00D12C3C" w:rsidP="00AF1C9A">
            <w:pPr>
              <w:pStyle w:val="a3"/>
              <w:rPr>
                <w:b w:val="0"/>
              </w:rPr>
            </w:pPr>
            <w:r w:rsidRPr="00177CBE">
              <w:rPr>
                <w:bCs w:val="0"/>
                <w:sz w:val="24"/>
                <w:szCs w:val="24"/>
              </w:rPr>
              <w:t>ВОЛОГОДСКОЙ ОБЛАСТИ</w:t>
            </w:r>
          </w:p>
        </w:tc>
      </w:tr>
      <w:tr w:rsidR="00D12C3C" w:rsidRPr="00177CBE" w:rsidTr="00177CBE">
        <w:tc>
          <w:tcPr>
            <w:tcW w:w="9321" w:type="dxa"/>
            <w:gridSpan w:val="3"/>
          </w:tcPr>
          <w:p w:rsidR="00D12C3C" w:rsidRPr="00177CBE" w:rsidRDefault="00D12C3C" w:rsidP="00177CBE">
            <w:pPr>
              <w:jc w:val="center"/>
              <w:rPr>
                <w:b/>
              </w:rPr>
            </w:pPr>
          </w:p>
        </w:tc>
      </w:tr>
      <w:tr w:rsidR="00D12C3C" w:rsidRPr="00177CBE" w:rsidTr="00177CBE">
        <w:tc>
          <w:tcPr>
            <w:tcW w:w="9321" w:type="dxa"/>
            <w:gridSpan w:val="3"/>
          </w:tcPr>
          <w:p w:rsidR="00D12C3C" w:rsidRPr="00177CBE" w:rsidRDefault="00D12C3C" w:rsidP="00177CBE">
            <w:pPr>
              <w:jc w:val="center"/>
              <w:rPr>
                <w:b/>
              </w:rPr>
            </w:pPr>
            <w:r w:rsidRPr="00177CBE">
              <w:rPr>
                <w:b/>
              </w:rPr>
              <w:t>РЕШЕНИЕ</w:t>
            </w:r>
          </w:p>
        </w:tc>
      </w:tr>
      <w:tr w:rsidR="00D12C3C" w:rsidRPr="00177CBE" w:rsidTr="00177CBE">
        <w:tc>
          <w:tcPr>
            <w:tcW w:w="9321" w:type="dxa"/>
            <w:gridSpan w:val="3"/>
          </w:tcPr>
          <w:p w:rsidR="00D12C3C" w:rsidRPr="00177CBE" w:rsidRDefault="00D12C3C" w:rsidP="00177CBE">
            <w:pPr>
              <w:jc w:val="center"/>
            </w:pPr>
          </w:p>
        </w:tc>
      </w:tr>
    </w:tbl>
    <w:p w:rsidR="00D12C3C" w:rsidRPr="00177CBE" w:rsidRDefault="00D12C3C" w:rsidP="00D12C3C">
      <w:pPr>
        <w:ind w:firstLine="567"/>
        <w:jc w:val="center"/>
      </w:pPr>
    </w:p>
    <w:p w:rsidR="00D12C3C" w:rsidRPr="00177CBE" w:rsidRDefault="00D12C3C" w:rsidP="00D12C3C">
      <w:pPr>
        <w:ind w:firstLine="567"/>
        <w:jc w:val="cente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
        <w:gridCol w:w="236"/>
        <w:gridCol w:w="1496"/>
        <w:gridCol w:w="236"/>
        <w:gridCol w:w="484"/>
        <w:gridCol w:w="849"/>
      </w:tblGrid>
      <w:tr w:rsidR="00D12C3C" w:rsidRPr="00177CBE" w:rsidTr="00177CBE">
        <w:trPr>
          <w:trHeight w:val="108"/>
        </w:trPr>
        <w:tc>
          <w:tcPr>
            <w:tcW w:w="479" w:type="dxa"/>
            <w:tcBorders>
              <w:top w:val="nil"/>
              <w:left w:val="nil"/>
              <w:bottom w:val="nil"/>
              <w:right w:val="nil"/>
            </w:tcBorders>
            <w:vAlign w:val="bottom"/>
          </w:tcPr>
          <w:p w:rsidR="00D12C3C" w:rsidRPr="00177CBE" w:rsidRDefault="00D12C3C" w:rsidP="00177CBE">
            <w:pPr>
              <w:rPr>
                <w:szCs w:val="28"/>
              </w:rPr>
            </w:pPr>
            <w:r w:rsidRPr="00177CBE">
              <w:rPr>
                <w:sz w:val="28"/>
                <w:szCs w:val="28"/>
              </w:rPr>
              <w:t>от</w:t>
            </w:r>
          </w:p>
        </w:tc>
        <w:tc>
          <w:tcPr>
            <w:tcW w:w="236" w:type="dxa"/>
            <w:tcBorders>
              <w:top w:val="nil"/>
              <w:left w:val="nil"/>
              <w:bottom w:val="nil"/>
              <w:right w:val="nil"/>
            </w:tcBorders>
          </w:tcPr>
          <w:p w:rsidR="00D12C3C" w:rsidRPr="00177CBE" w:rsidRDefault="00D12C3C" w:rsidP="00177CBE">
            <w:pPr>
              <w:rPr>
                <w:szCs w:val="28"/>
              </w:rPr>
            </w:pPr>
          </w:p>
        </w:tc>
        <w:tc>
          <w:tcPr>
            <w:tcW w:w="1496" w:type="dxa"/>
            <w:tcBorders>
              <w:top w:val="nil"/>
              <w:left w:val="nil"/>
              <w:bottom w:val="single" w:sz="4" w:space="0" w:color="auto"/>
              <w:right w:val="nil"/>
            </w:tcBorders>
            <w:vAlign w:val="bottom"/>
          </w:tcPr>
          <w:p w:rsidR="00D12C3C" w:rsidRPr="00177CBE" w:rsidRDefault="009D4C9C" w:rsidP="00177CBE">
            <w:pPr>
              <w:jc w:val="center"/>
              <w:rPr>
                <w:szCs w:val="28"/>
              </w:rPr>
            </w:pPr>
            <w:r w:rsidRPr="00177CBE">
              <w:rPr>
                <w:sz w:val="28"/>
                <w:szCs w:val="28"/>
              </w:rPr>
              <w:t>27</w:t>
            </w:r>
            <w:r w:rsidR="00D12C3C" w:rsidRPr="00177CBE">
              <w:rPr>
                <w:sz w:val="28"/>
                <w:szCs w:val="28"/>
              </w:rPr>
              <w:t>.05.2016</w:t>
            </w:r>
          </w:p>
        </w:tc>
        <w:tc>
          <w:tcPr>
            <w:tcW w:w="236" w:type="dxa"/>
            <w:tcBorders>
              <w:top w:val="nil"/>
              <w:left w:val="nil"/>
              <w:bottom w:val="nil"/>
              <w:right w:val="nil"/>
            </w:tcBorders>
            <w:vAlign w:val="bottom"/>
          </w:tcPr>
          <w:p w:rsidR="00D12C3C" w:rsidRPr="00177CBE" w:rsidRDefault="00D12C3C" w:rsidP="00177CBE">
            <w:pPr>
              <w:jc w:val="center"/>
              <w:rPr>
                <w:szCs w:val="28"/>
              </w:rPr>
            </w:pPr>
          </w:p>
        </w:tc>
        <w:tc>
          <w:tcPr>
            <w:tcW w:w="484" w:type="dxa"/>
            <w:tcBorders>
              <w:top w:val="nil"/>
              <w:left w:val="nil"/>
              <w:bottom w:val="nil"/>
              <w:right w:val="nil"/>
            </w:tcBorders>
            <w:vAlign w:val="bottom"/>
          </w:tcPr>
          <w:p w:rsidR="00D12C3C" w:rsidRPr="00177CBE" w:rsidRDefault="00D12C3C" w:rsidP="00177CBE">
            <w:pPr>
              <w:jc w:val="center"/>
              <w:rPr>
                <w:szCs w:val="28"/>
              </w:rPr>
            </w:pPr>
            <w:r w:rsidRPr="00177CBE">
              <w:rPr>
                <w:sz w:val="28"/>
                <w:szCs w:val="28"/>
              </w:rPr>
              <w:t>№</w:t>
            </w:r>
          </w:p>
        </w:tc>
        <w:tc>
          <w:tcPr>
            <w:tcW w:w="849" w:type="dxa"/>
            <w:tcBorders>
              <w:top w:val="nil"/>
              <w:left w:val="nil"/>
              <w:bottom w:val="single" w:sz="4" w:space="0" w:color="auto"/>
              <w:right w:val="nil"/>
            </w:tcBorders>
            <w:vAlign w:val="bottom"/>
          </w:tcPr>
          <w:p w:rsidR="00D12C3C" w:rsidRPr="00177CBE" w:rsidRDefault="009D4C9C" w:rsidP="00177CBE">
            <w:pPr>
              <w:jc w:val="center"/>
              <w:rPr>
                <w:szCs w:val="28"/>
              </w:rPr>
            </w:pPr>
            <w:r w:rsidRPr="00177CBE">
              <w:rPr>
                <w:sz w:val="28"/>
                <w:szCs w:val="28"/>
              </w:rPr>
              <w:t>27</w:t>
            </w:r>
            <w:r w:rsidR="009E499E" w:rsidRPr="00177CBE">
              <w:rPr>
                <w:sz w:val="28"/>
                <w:szCs w:val="28"/>
              </w:rPr>
              <w:t>7</w:t>
            </w:r>
          </w:p>
        </w:tc>
      </w:tr>
    </w:tbl>
    <w:p w:rsidR="00D12C3C" w:rsidRPr="00177CBE" w:rsidRDefault="00D12C3C" w:rsidP="00D12C3C">
      <w:pPr>
        <w:ind w:firstLine="1276"/>
      </w:pPr>
      <w:r w:rsidRPr="00177CBE">
        <w:t>с. Кичменгский Городок</w:t>
      </w:r>
    </w:p>
    <w:p w:rsidR="00D12C3C" w:rsidRPr="00177CBE" w:rsidRDefault="00D12C3C" w:rsidP="00D12C3C">
      <w:pPr>
        <w:ind w:left="720"/>
        <w:jc w:val="center"/>
        <w:rPr>
          <w:bCs/>
        </w:rPr>
      </w:pPr>
    </w:p>
    <w:p w:rsidR="00D12C3C" w:rsidRPr="00177CBE" w:rsidRDefault="00D12C3C" w:rsidP="00D12C3C">
      <w:pPr>
        <w:ind w:left="720"/>
        <w:jc w:val="center"/>
        <w:rPr>
          <w:bCs/>
        </w:rPr>
      </w:pPr>
    </w:p>
    <w:p w:rsidR="00D12C3C" w:rsidRPr="00177CBE" w:rsidRDefault="00D12C3C" w:rsidP="00D12C3C">
      <w:pPr>
        <w:ind w:left="567" w:right="4534"/>
        <w:rPr>
          <w:sz w:val="28"/>
          <w:szCs w:val="28"/>
        </w:rPr>
      </w:pPr>
      <w:r w:rsidRPr="00177CBE">
        <w:rPr>
          <w:sz w:val="28"/>
          <w:szCs w:val="28"/>
        </w:rPr>
        <w:t xml:space="preserve">Об </w:t>
      </w:r>
      <w:r w:rsidR="009E499E" w:rsidRPr="00177CBE">
        <w:rPr>
          <w:sz w:val="28"/>
          <w:szCs w:val="28"/>
        </w:rPr>
        <w:t>итогах социально-экономического развития района за 2015 год</w:t>
      </w:r>
    </w:p>
    <w:p w:rsidR="00D12C3C" w:rsidRPr="00177CBE" w:rsidRDefault="00D12C3C" w:rsidP="00D12C3C">
      <w:pPr>
        <w:ind w:firstLine="720"/>
        <w:rPr>
          <w:bCs/>
          <w:spacing w:val="-6"/>
          <w:sz w:val="28"/>
          <w:szCs w:val="28"/>
        </w:rPr>
      </w:pPr>
    </w:p>
    <w:p w:rsidR="00D12C3C" w:rsidRPr="00177CBE" w:rsidRDefault="00D12C3C" w:rsidP="00D12C3C">
      <w:pPr>
        <w:ind w:firstLine="720"/>
        <w:rPr>
          <w:bCs/>
          <w:spacing w:val="-6"/>
          <w:sz w:val="28"/>
          <w:szCs w:val="28"/>
        </w:rPr>
      </w:pPr>
    </w:p>
    <w:p w:rsidR="00D12C3C" w:rsidRPr="00177CBE" w:rsidRDefault="009E499E" w:rsidP="00D12C3C">
      <w:pPr>
        <w:ind w:firstLine="567"/>
        <w:jc w:val="both"/>
        <w:rPr>
          <w:bCs/>
          <w:sz w:val="28"/>
          <w:szCs w:val="28"/>
        </w:rPr>
      </w:pPr>
      <w:r w:rsidRPr="00177CBE">
        <w:rPr>
          <w:bCs/>
          <w:sz w:val="28"/>
          <w:szCs w:val="28"/>
        </w:rPr>
        <w:t xml:space="preserve">Заслушав и обсудив доклад Главы района Л.Н. Дьяковой, </w:t>
      </w:r>
      <w:r w:rsidR="00D12C3C" w:rsidRPr="00177CBE">
        <w:rPr>
          <w:bCs/>
          <w:sz w:val="28"/>
          <w:szCs w:val="28"/>
        </w:rPr>
        <w:t>Муниципальное Собрание</w:t>
      </w:r>
      <w:r w:rsidR="00D12C3C" w:rsidRPr="00177CBE">
        <w:rPr>
          <w:b/>
          <w:bCs/>
          <w:spacing w:val="40"/>
          <w:sz w:val="28"/>
          <w:szCs w:val="28"/>
        </w:rPr>
        <w:t xml:space="preserve"> РЕШИЛО:</w:t>
      </w:r>
    </w:p>
    <w:p w:rsidR="00D12C3C" w:rsidRPr="00177CBE" w:rsidRDefault="009E499E" w:rsidP="00D12C3C">
      <w:pPr>
        <w:ind w:firstLine="567"/>
        <w:jc w:val="both"/>
        <w:rPr>
          <w:sz w:val="28"/>
          <w:szCs w:val="28"/>
        </w:rPr>
      </w:pPr>
      <w:r w:rsidRPr="00177CBE">
        <w:rPr>
          <w:sz w:val="28"/>
          <w:szCs w:val="28"/>
        </w:rPr>
        <w:t>Доклад Главы района Л.Н. Дьяковой «Об итогах социально-экономического развития Кичменгско-Городецкого района за 2015 год» принять к сведению.</w:t>
      </w:r>
    </w:p>
    <w:p w:rsidR="00D12C3C" w:rsidRPr="00177CBE" w:rsidRDefault="00D12C3C" w:rsidP="00D12C3C">
      <w:pPr>
        <w:ind w:left="180"/>
        <w:jc w:val="both"/>
        <w:rPr>
          <w:sz w:val="28"/>
          <w:szCs w:val="28"/>
        </w:rPr>
      </w:pPr>
    </w:p>
    <w:p w:rsidR="00D12C3C" w:rsidRPr="00177CBE" w:rsidRDefault="00D12C3C" w:rsidP="00D12C3C">
      <w:pPr>
        <w:ind w:left="180"/>
        <w:jc w:val="both"/>
        <w:rPr>
          <w:sz w:val="28"/>
          <w:szCs w:val="28"/>
        </w:rPr>
      </w:pPr>
    </w:p>
    <w:p w:rsidR="00D12C3C" w:rsidRPr="00177CBE" w:rsidRDefault="00D12C3C" w:rsidP="00D12C3C">
      <w:pPr>
        <w:ind w:left="180"/>
        <w:jc w:val="both"/>
        <w:rPr>
          <w:sz w:val="28"/>
          <w:szCs w:val="28"/>
        </w:rPr>
      </w:pPr>
    </w:p>
    <w:p w:rsidR="00D12C3C" w:rsidRPr="00177CBE" w:rsidRDefault="00D12C3C" w:rsidP="00D12C3C">
      <w:pPr>
        <w:jc w:val="both"/>
        <w:rPr>
          <w:sz w:val="28"/>
          <w:szCs w:val="28"/>
        </w:rPr>
      </w:pPr>
      <w:r w:rsidRPr="00177CBE">
        <w:rPr>
          <w:sz w:val="28"/>
          <w:szCs w:val="28"/>
        </w:rPr>
        <w:t>Глава района</w:t>
      </w:r>
      <w:r w:rsidR="00177CBE" w:rsidRPr="00177CBE">
        <w:rPr>
          <w:sz w:val="28"/>
          <w:szCs w:val="28"/>
        </w:rPr>
        <w:t xml:space="preserve">                     </w:t>
      </w:r>
      <w:r w:rsidR="002010A3">
        <w:rPr>
          <w:sz w:val="28"/>
          <w:szCs w:val="28"/>
        </w:rPr>
        <w:t xml:space="preserve">                                     </w:t>
      </w:r>
      <w:r w:rsidR="00177CBE" w:rsidRPr="00177CBE">
        <w:rPr>
          <w:sz w:val="28"/>
          <w:szCs w:val="28"/>
        </w:rPr>
        <w:t xml:space="preserve">                  </w:t>
      </w:r>
      <w:r w:rsidRPr="00177CBE">
        <w:rPr>
          <w:sz w:val="28"/>
          <w:szCs w:val="28"/>
        </w:rPr>
        <w:t xml:space="preserve"> Л.Н. Дьякова</w:t>
      </w:r>
    </w:p>
    <w:p w:rsidR="00177CBE" w:rsidRPr="00177CBE" w:rsidRDefault="00177CBE">
      <w:pPr>
        <w:jc w:val="both"/>
        <w:rPr>
          <w:sz w:val="28"/>
          <w:szCs w:val="28"/>
        </w:rPr>
      </w:pPr>
      <w:r w:rsidRPr="00177CBE">
        <w:rPr>
          <w:sz w:val="28"/>
          <w:szCs w:val="28"/>
        </w:rPr>
        <w:br w:type="page"/>
      </w:r>
    </w:p>
    <w:p w:rsidR="00177CBE" w:rsidRPr="00177CBE" w:rsidRDefault="00177CBE" w:rsidP="00D12C3C">
      <w:pPr>
        <w:jc w:val="both"/>
        <w:rPr>
          <w:sz w:val="28"/>
          <w:szCs w:val="28"/>
        </w:rPr>
      </w:pPr>
    </w:p>
    <w:p w:rsidR="00177CBE" w:rsidRPr="00177CBE" w:rsidRDefault="00177CBE" w:rsidP="00177CBE">
      <w:pPr>
        <w:pStyle w:val="ae"/>
        <w:spacing w:line="0" w:lineRule="atLeast"/>
        <w:ind w:firstLine="567"/>
        <w:jc w:val="center"/>
        <w:rPr>
          <w:rFonts w:ascii="Times New Roman" w:hAnsi="Times New Roman"/>
          <w:b/>
          <w:sz w:val="28"/>
          <w:szCs w:val="28"/>
        </w:rPr>
      </w:pPr>
      <w:r w:rsidRPr="00177CBE">
        <w:rPr>
          <w:rFonts w:ascii="Times New Roman" w:hAnsi="Times New Roman"/>
          <w:b/>
          <w:sz w:val="28"/>
          <w:szCs w:val="28"/>
        </w:rPr>
        <w:t>Аннотация</w:t>
      </w:r>
    </w:p>
    <w:p w:rsidR="00177CBE" w:rsidRPr="00177CBE" w:rsidRDefault="00177CBE" w:rsidP="00177CBE">
      <w:pPr>
        <w:pStyle w:val="ae"/>
        <w:spacing w:line="0" w:lineRule="atLeast"/>
        <w:ind w:firstLine="567"/>
        <w:jc w:val="both"/>
        <w:rPr>
          <w:rFonts w:ascii="Times New Roman" w:hAnsi="Times New Roman"/>
          <w:sz w:val="28"/>
          <w:szCs w:val="28"/>
        </w:rPr>
      </w:pPr>
      <w:r w:rsidRPr="00177CBE">
        <w:rPr>
          <w:rFonts w:ascii="Times New Roman" w:hAnsi="Times New Roman"/>
          <w:sz w:val="28"/>
          <w:szCs w:val="28"/>
        </w:rPr>
        <w:tab/>
        <w:t xml:space="preserve">Кичменгско-Городецкий муниципальный район расположен в восточной части Вологодской области, расстояние до областного центра </w:t>
      </w:r>
      <w:smartTag w:uri="urn:schemas-microsoft-com:office:smarttags" w:element="metricconverter">
        <w:smartTagPr>
          <w:attr w:name="ProductID" w:val="473 км"/>
        </w:smartTagPr>
        <w:r w:rsidRPr="00177CBE">
          <w:rPr>
            <w:rFonts w:ascii="Times New Roman" w:hAnsi="Times New Roman"/>
            <w:sz w:val="28"/>
            <w:szCs w:val="28"/>
          </w:rPr>
          <w:t>473 км</w:t>
        </w:r>
      </w:smartTag>
      <w:r w:rsidRPr="00177CBE">
        <w:rPr>
          <w:rFonts w:ascii="Times New Roman" w:hAnsi="Times New Roman"/>
          <w:sz w:val="28"/>
          <w:szCs w:val="28"/>
        </w:rPr>
        <w:t>. Район занимает площадь 706,1 тыс. га, что составляет 4,9% в общеобластном показателе.</w:t>
      </w:r>
    </w:p>
    <w:p w:rsidR="00177CBE" w:rsidRPr="00177CBE" w:rsidRDefault="00177CBE" w:rsidP="00177CBE">
      <w:pPr>
        <w:pStyle w:val="ae"/>
        <w:spacing w:line="0" w:lineRule="atLeast"/>
        <w:ind w:firstLine="567"/>
        <w:jc w:val="both"/>
        <w:rPr>
          <w:rFonts w:ascii="Times New Roman" w:hAnsi="Times New Roman"/>
          <w:bCs/>
          <w:sz w:val="28"/>
          <w:szCs w:val="28"/>
        </w:rPr>
      </w:pPr>
      <w:r w:rsidRPr="00177CBE">
        <w:rPr>
          <w:rFonts w:ascii="Times New Roman" w:hAnsi="Times New Roman"/>
          <w:sz w:val="28"/>
          <w:szCs w:val="28"/>
        </w:rPr>
        <w:tab/>
      </w:r>
      <w:r w:rsidRPr="00177CBE">
        <w:rPr>
          <w:rFonts w:ascii="Times New Roman" w:hAnsi="Times New Roman"/>
          <w:bCs/>
          <w:sz w:val="28"/>
          <w:szCs w:val="28"/>
        </w:rPr>
        <w:t>На территории района расположены 357 населенных пунктов, которые с 01.01.2014 года административно входят в 3 сельских поселения: Городецкое, Енангское, Кичменгское.</w:t>
      </w:r>
    </w:p>
    <w:p w:rsidR="00177CBE" w:rsidRPr="00177CBE" w:rsidRDefault="00177CBE" w:rsidP="00177CBE">
      <w:pPr>
        <w:spacing w:line="0" w:lineRule="atLeast"/>
        <w:ind w:firstLine="567"/>
        <w:jc w:val="both"/>
        <w:rPr>
          <w:sz w:val="28"/>
          <w:szCs w:val="28"/>
        </w:rPr>
      </w:pPr>
      <w:r w:rsidRPr="00177CBE">
        <w:rPr>
          <w:sz w:val="28"/>
          <w:szCs w:val="28"/>
        </w:rPr>
        <w:t xml:space="preserve">Публичный доклад об основных результатах деятельности органов исполнительной власти подготовлен с целью обеспечения информационной открытости и прозрачности системы органов местного самоуправления района. </w:t>
      </w:r>
    </w:p>
    <w:p w:rsidR="00177CBE" w:rsidRPr="00177CBE" w:rsidRDefault="00177CBE" w:rsidP="00177CBE">
      <w:pPr>
        <w:spacing w:line="0" w:lineRule="atLeast"/>
        <w:ind w:firstLine="567"/>
        <w:jc w:val="both"/>
        <w:rPr>
          <w:sz w:val="28"/>
          <w:szCs w:val="28"/>
        </w:rPr>
      </w:pPr>
      <w:r w:rsidRPr="00177CBE">
        <w:rPr>
          <w:sz w:val="28"/>
          <w:szCs w:val="28"/>
        </w:rPr>
        <w:t xml:space="preserve">Документ является аналитическим описанием итогов, тенденций и задач развития отраслей экономики района и социальной сферы и путей их решения. </w:t>
      </w:r>
    </w:p>
    <w:p w:rsidR="00177CBE" w:rsidRPr="00177CBE" w:rsidRDefault="00177CBE" w:rsidP="00177CBE">
      <w:pPr>
        <w:spacing w:line="0" w:lineRule="atLeast"/>
        <w:ind w:firstLine="567"/>
        <w:jc w:val="both"/>
        <w:rPr>
          <w:sz w:val="28"/>
          <w:szCs w:val="28"/>
        </w:rPr>
      </w:pPr>
      <w:r w:rsidRPr="00177CBE">
        <w:rPr>
          <w:sz w:val="28"/>
          <w:szCs w:val="28"/>
        </w:rPr>
        <w:t>Публичный доклад концентрирует внимание на важнейших аспектах развития района, создает информационную основу для диалога. Его назначение - не только привлечь внимание граждан ко всем сферам и отраслям экономики района, но и способствовать вовлечению большого круга людей к участию в управлении.</w:t>
      </w:r>
    </w:p>
    <w:p w:rsidR="00177CBE" w:rsidRPr="00177CBE" w:rsidRDefault="00177CBE" w:rsidP="00177CBE">
      <w:pPr>
        <w:spacing w:line="0" w:lineRule="atLeast"/>
        <w:ind w:firstLine="567"/>
        <w:jc w:val="both"/>
        <w:rPr>
          <w:sz w:val="28"/>
          <w:szCs w:val="28"/>
        </w:rPr>
      </w:pPr>
      <w:r w:rsidRPr="00177CBE">
        <w:rPr>
          <w:sz w:val="28"/>
          <w:szCs w:val="28"/>
        </w:rPr>
        <w:t>Деятельность органов местного самоуправления на территории района направлена на реализацию планов социально-экономического развития района в соответствии с утвержденной стратегией, муниципальными и ведомственными программами, исходя из возможностей районного бюджета.</w:t>
      </w:r>
    </w:p>
    <w:p w:rsidR="00177CBE" w:rsidRPr="00177CBE" w:rsidRDefault="00177CBE" w:rsidP="00177CBE">
      <w:pPr>
        <w:pStyle w:val="ae"/>
        <w:spacing w:line="0" w:lineRule="atLeast"/>
        <w:ind w:firstLine="567"/>
        <w:jc w:val="both"/>
        <w:rPr>
          <w:rFonts w:ascii="Times New Roman" w:hAnsi="Times New Roman"/>
          <w:sz w:val="28"/>
          <w:szCs w:val="28"/>
        </w:rPr>
      </w:pPr>
      <w:r w:rsidRPr="00177CBE">
        <w:rPr>
          <w:rFonts w:ascii="Times New Roman" w:hAnsi="Times New Roman"/>
          <w:sz w:val="28"/>
          <w:szCs w:val="28"/>
        </w:rPr>
        <w:t xml:space="preserve">В 2015 году в районе сохранилась положительная тенденция в социально-экономическом развитии района, обеспечена социальная стабильность: растет социальная поддержка населения, отсутствует задолженность по заработной плате работникам бюджетной сферы,  увеличивается уровень заработной платы, сохранены рабочие места. Социальная инфраструктура района удовлетворяет запросы населения района в вопросах общего и дошкольного образования, здравоохранения, социальной защиты населения, в организации досуговой деятельности. </w:t>
      </w:r>
    </w:p>
    <w:p w:rsidR="00177CBE" w:rsidRPr="00177CBE" w:rsidRDefault="00177CBE" w:rsidP="00177CBE">
      <w:pPr>
        <w:pStyle w:val="af6"/>
        <w:spacing w:line="0" w:lineRule="atLeast"/>
        <w:ind w:firstLine="567"/>
        <w:jc w:val="both"/>
        <w:rPr>
          <w:sz w:val="28"/>
          <w:szCs w:val="28"/>
        </w:rPr>
      </w:pPr>
      <w:r w:rsidRPr="00177CBE">
        <w:rPr>
          <w:sz w:val="28"/>
          <w:szCs w:val="28"/>
        </w:rPr>
        <w:t>Повышается заработная плата отдельных категорий работников социальной сферы в рамках реализации Указа Президента Российской Федерации от 7 мая 2012 года №597 «О мероприятиях по реализации государственной социальной политики».</w:t>
      </w:r>
    </w:p>
    <w:p w:rsidR="00177CBE" w:rsidRPr="00177CBE" w:rsidRDefault="00177CBE" w:rsidP="00177CBE">
      <w:pPr>
        <w:pStyle w:val="ae"/>
        <w:spacing w:line="0" w:lineRule="atLeast"/>
        <w:ind w:firstLine="567"/>
        <w:jc w:val="both"/>
        <w:rPr>
          <w:rFonts w:ascii="Times New Roman" w:hAnsi="Times New Roman"/>
          <w:sz w:val="28"/>
          <w:szCs w:val="28"/>
        </w:rPr>
      </w:pPr>
      <w:r w:rsidRPr="00177CBE">
        <w:rPr>
          <w:rFonts w:ascii="Times New Roman" w:hAnsi="Times New Roman"/>
          <w:sz w:val="28"/>
          <w:szCs w:val="28"/>
        </w:rPr>
        <w:t>Введено в эксплуатацию 12,2 тыс. кв. м жилья, увеличение к 2014 году 165,4 %. По темпам роста ввода жилья район занимает 3 место в области.</w:t>
      </w:r>
    </w:p>
    <w:p w:rsidR="00177CBE" w:rsidRPr="00177CBE" w:rsidRDefault="00177CBE" w:rsidP="00177CBE">
      <w:pPr>
        <w:pStyle w:val="ae"/>
        <w:spacing w:line="0" w:lineRule="atLeast"/>
        <w:ind w:firstLine="567"/>
        <w:jc w:val="both"/>
        <w:rPr>
          <w:rFonts w:ascii="Times New Roman" w:hAnsi="Times New Roman"/>
          <w:sz w:val="28"/>
          <w:szCs w:val="28"/>
        </w:rPr>
      </w:pPr>
      <w:r w:rsidRPr="00177CBE">
        <w:rPr>
          <w:rFonts w:ascii="Times New Roman" w:hAnsi="Times New Roman"/>
          <w:sz w:val="28"/>
          <w:szCs w:val="28"/>
        </w:rPr>
        <w:t xml:space="preserve">  Завершено строительство пристройки к БОУ «Первомайская СОШ», разработана проектно-сметная документация на строительство зданий школы в с.Косково на 140 мест, детского сада на 200 мест, физкультурно-оздоровительного комплекса, пристройки к БОУ "Кичм-Городецкая СОШ" на 200 мест.</w:t>
      </w:r>
    </w:p>
    <w:p w:rsidR="00177CBE" w:rsidRPr="00177CBE" w:rsidRDefault="00177CBE" w:rsidP="00177CBE">
      <w:pPr>
        <w:pStyle w:val="ae"/>
        <w:spacing w:line="0" w:lineRule="atLeast"/>
        <w:ind w:firstLine="567"/>
        <w:jc w:val="both"/>
        <w:rPr>
          <w:rFonts w:ascii="Times New Roman" w:hAnsi="Times New Roman"/>
          <w:sz w:val="28"/>
          <w:szCs w:val="28"/>
        </w:rPr>
      </w:pPr>
      <w:r w:rsidRPr="00177CBE">
        <w:rPr>
          <w:rFonts w:ascii="Times New Roman" w:hAnsi="Times New Roman"/>
          <w:sz w:val="28"/>
          <w:szCs w:val="28"/>
        </w:rPr>
        <w:lastRenderedPageBreak/>
        <w:t xml:space="preserve">За 9 месяцев 2015 года в основной капитал направлено инвестиций 92,5 млн. руб., увеличение  более чем в 3 раза к соответствующему уровню 2014 года. </w:t>
      </w:r>
    </w:p>
    <w:p w:rsidR="00177CBE" w:rsidRPr="00177CBE" w:rsidRDefault="00177CBE" w:rsidP="00177CBE">
      <w:pPr>
        <w:pStyle w:val="ae"/>
        <w:spacing w:line="0" w:lineRule="atLeast"/>
        <w:jc w:val="center"/>
        <w:rPr>
          <w:rFonts w:ascii="Times New Roman" w:hAnsi="Times New Roman"/>
          <w:b/>
          <w:sz w:val="28"/>
          <w:szCs w:val="28"/>
        </w:rPr>
      </w:pP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Анализ социально-экономического положения муниципального района</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2.1 Социально-демографическая ситуация</w:t>
      </w:r>
    </w:p>
    <w:p w:rsidR="00177CBE" w:rsidRPr="00177CBE" w:rsidRDefault="00177CBE" w:rsidP="00177CBE">
      <w:pPr>
        <w:pStyle w:val="ae"/>
        <w:spacing w:line="0" w:lineRule="atLeast"/>
        <w:jc w:val="center"/>
        <w:rPr>
          <w:rFonts w:ascii="Times New Roman" w:hAnsi="Times New Roman"/>
          <w:b/>
          <w:sz w:val="28"/>
          <w:szCs w:val="28"/>
        </w:rPr>
      </w:pPr>
    </w:p>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ab/>
        <w:t xml:space="preserve">По состоянию на </w:t>
      </w:r>
      <w:r w:rsidRPr="00177CBE">
        <w:rPr>
          <w:rFonts w:ascii="Times New Roman" w:hAnsi="Times New Roman"/>
          <w:sz w:val="28"/>
          <w:szCs w:val="28"/>
        </w:rPr>
        <w:t xml:space="preserve">1 января 2015 года </w:t>
      </w:r>
      <w:r w:rsidRPr="00177CBE">
        <w:rPr>
          <w:rFonts w:ascii="Times New Roman" w:hAnsi="Times New Roman"/>
          <w:bCs/>
          <w:sz w:val="28"/>
          <w:szCs w:val="28"/>
        </w:rPr>
        <w:t>численность населения района составляет 16616 человек. В районном центре проживает 6058 человек (36,5% от населения района).</w:t>
      </w:r>
    </w:p>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noProof/>
          <w:sz w:val="28"/>
          <w:szCs w:val="28"/>
          <w:lang w:eastAsia="ru-RU"/>
        </w:rPr>
        <w:drawing>
          <wp:inline distT="0" distB="0" distL="0" distR="0">
            <wp:extent cx="4810125" cy="10001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Численность населения района в последние 5 лет имеет тенденцию к сокращению. Сокращение происходит как за счет естественной убыли, так и за счет миграционных процессов. Тем не менее, в последние годы темпы убыли численности населения несколько замедлились.</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Демографические процессы, происходящие в </w:t>
      </w:r>
      <w:smartTag w:uri="urn:schemas-microsoft-com:office:smarttags" w:element="metricconverter">
        <w:smartTagPr>
          <w:attr w:name="ProductID" w:val="2011 г"/>
        </w:smartTagPr>
        <w:r w:rsidRPr="00177CBE">
          <w:rPr>
            <w:rFonts w:ascii="Times New Roman" w:hAnsi="Times New Roman"/>
            <w:sz w:val="28"/>
            <w:szCs w:val="28"/>
          </w:rPr>
          <w:t>2011 г</w:t>
        </w:r>
      </w:smartTag>
      <w:r w:rsidRPr="00177CBE">
        <w:rPr>
          <w:rFonts w:ascii="Times New Roman" w:hAnsi="Times New Roman"/>
          <w:sz w:val="28"/>
          <w:szCs w:val="28"/>
        </w:rPr>
        <w:t xml:space="preserve">. - 10 мес. </w:t>
      </w:r>
      <w:smartTag w:uri="urn:schemas-microsoft-com:office:smarttags" w:element="metricconverter">
        <w:smartTagPr>
          <w:attr w:name="ProductID" w:val="2015 г"/>
        </w:smartTagPr>
        <w:r w:rsidRPr="00177CBE">
          <w:rPr>
            <w:rFonts w:ascii="Times New Roman" w:hAnsi="Times New Roman"/>
            <w:sz w:val="28"/>
            <w:szCs w:val="28"/>
          </w:rPr>
          <w:t>2015 г</w:t>
        </w:r>
      </w:smartTag>
      <w:r w:rsidRPr="00177CBE">
        <w:rPr>
          <w:rFonts w:ascii="Times New Roman" w:hAnsi="Times New Roman"/>
          <w:sz w:val="28"/>
          <w:szCs w:val="28"/>
        </w:rPr>
        <w:t>. представлены ниже.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5981700" cy="2667000"/>
            <wp:effectExtent l="0" t="0" r="0" b="0"/>
            <wp:docPr id="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Ключевой показатель трудового потенциала района - удельный вес в структуре населения лиц в трудоспособном возрасте. По половозрастному составу 53,4% населения – трудоспособного возраста, 27,3% - старше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трудоспособного возраста, 19,3% - моложе трудоспособного возраста.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Согласно данным Всероссийской переписи населения 2010 года население района в возрастной группе старше 15 лет имеет следующий уровень образования: 8,9% - высшее (в т.ч. незаконченное); 31,8% - среднее специальное; 7,6% - начальное профессиональное; 16,4% - полное среднее образование; 20,9% - основное начальное, 13% - начальное общее; 1,4% - не имеют начального общего образования.</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lastRenderedPageBreak/>
        <w:tab/>
        <w:t>Структура занятости населения по отраслям значительного изменения в последние годы не претерпела. Наибольшая численность населения занята в таких отраслях, как образование, здравоохранение, торговля, лесопромышленный комплекс.</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5753100" cy="25146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Ситуация на рынке труда в течение 2015 года большими колебаниями не отличалась.</w:t>
      </w:r>
    </w:p>
    <w:p w:rsidR="00177CBE" w:rsidRPr="00177CBE" w:rsidRDefault="00177CBE" w:rsidP="00177CBE">
      <w:pPr>
        <w:pStyle w:val="ae"/>
        <w:spacing w:line="0" w:lineRule="atLeast"/>
        <w:jc w:val="center"/>
        <w:rPr>
          <w:rFonts w:ascii="Times New Roman" w:hAnsi="Times New Roman"/>
          <w:sz w:val="28"/>
          <w:szCs w:val="28"/>
        </w:rPr>
      </w:pPr>
      <w:r w:rsidRPr="00177CBE">
        <w:rPr>
          <w:rFonts w:ascii="Times New Roman" w:hAnsi="Times New Roman"/>
          <w:sz w:val="28"/>
          <w:szCs w:val="28"/>
        </w:rPr>
        <w:t>Уровень зарегистрированной безработицы</w:t>
      </w:r>
    </w:p>
    <w:tbl>
      <w:tblPr>
        <w:tblW w:w="0" w:type="auto"/>
        <w:tblBorders>
          <w:top w:val="single" w:sz="18" w:space="0" w:color="CF7B79"/>
          <w:left w:val="single" w:sz="18" w:space="0" w:color="CF7B79"/>
          <w:bottom w:val="single" w:sz="18" w:space="0" w:color="CF7B79"/>
          <w:right w:val="single" w:sz="18" w:space="0" w:color="CF7B79"/>
          <w:insideH w:val="single" w:sz="18" w:space="0" w:color="CF7B79"/>
          <w:insideV w:val="single" w:sz="18" w:space="0" w:color="CF7B79"/>
        </w:tblBorders>
        <w:tblLook w:val="00A0"/>
      </w:tblPr>
      <w:tblGrid>
        <w:gridCol w:w="3935"/>
        <w:gridCol w:w="1127"/>
        <w:gridCol w:w="1127"/>
        <w:gridCol w:w="1127"/>
        <w:gridCol w:w="1127"/>
        <w:gridCol w:w="1127"/>
      </w:tblGrid>
      <w:tr w:rsidR="00177CBE" w:rsidRPr="00177CBE" w:rsidTr="00177CBE">
        <w:tc>
          <w:tcPr>
            <w:tcW w:w="3936" w:type="dxa"/>
            <w:shd w:val="clear" w:color="auto" w:fill="EFD3D2"/>
          </w:tcPr>
          <w:p w:rsidR="00177CBE" w:rsidRPr="00177CBE" w:rsidRDefault="00177CBE" w:rsidP="00177CBE">
            <w:pPr>
              <w:pStyle w:val="ae"/>
              <w:spacing w:line="0" w:lineRule="atLeast"/>
              <w:jc w:val="both"/>
              <w:rPr>
                <w:rFonts w:ascii="Times New Roman" w:hAnsi="Times New Roman"/>
                <w:b/>
                <w:bCs/>
                <w:sz w:val="24"/>
                <w:szCs w:val="24"/>
              </w:rPr>
            </w:pPr>
            <w:r w:rsidRPr="00177CBE">
              <w:rPr>
                <w:rFonts w:ascii="Times New Roman" w:hAnsi="Times New Roman"/>
                <w:bCs/>
                <w:sz w:val="24"/>
                <w:szCs w:val="24"/>
              </w:rPr>
              <w:t>Уровень зарегистрированной безработицы, в % к экономически активному населению</w:t>
            </w:r>
          </w:p>
        </w:tc>
        <w:tc>
          <w:tcPr>
            <w:tcW w:w="1127" w:type="dxa"/>
            <w:shd w:val="clear" w:color="auto" w:fill="EFD3D2"/>
          </w:tcPr>
          <w:p w:rsidR="00177CBE" w:rsidRPr="00177CBE" w:rsidRDefault="00177CBE" w:rsidP="00177CBE">
            <w:pPr>
              <w:pStyle w:val="ae"/>
              <w:spacing w:line="0" w:lineRule="atLeast"/>
              <w:jc w:val="both"/>
              <w:rPr>
                <w:rFonts w:ascii="Times New Roman" w:hAnsi="Times New Roman"/>
                <w:b/>
                <w:bCs/>
                <w:sz w:val="24"/>
                <w:szCs w:val="24"/>
              </w:rPr>
            </w:pPr>
            <w:smartTag w:uri="urn:schemas-microsoft-com:office:smarttags" w:element="metricconverter">
              <w:smartTagPr>
                <w:attr w:name="ProductID" w:val="2011 г"/>
              </w:smartTagPr>
              <w:r w:rsidRPr="00177CBE">
                <w:rPr>
                  <w:rFonts w:ascii="Times New Roman" w:hAnsi="Times New Roman"/>
                  <w:bCs/>
                  <w:sz w:val="24"/>
                  <w:szCs w:val="24"/>
                </w:rPr>
                <w:t>2011 г</w:t>
              </w:r>
            </w:smartTag>
            <w:r w:rsidRPr="00177CBE">
              <w:rPr>
                <w:rFonts w:ascii="Times New Roman" w:hAnsi="Times New Roman"/>
                <w:bCs/>
                <w:sz w:val="24"/>
                <w:szCs w:val="24"/>
              </w:rPr>
              <w:t>.</w:t>
            </w:r>
          </w:p>
        </w:tc>
        <w:tc>
          <w:tcPr>
            <w:tcW w:w="1127" w:type="dxa"/>
            <w:shd w:val="clear" w:color="auto" w:fill="EFD3D2"/>
          </w:tcPr>
          <w:p w:rsidR="00177CBE" w:rsidRPr="00177CBE" w:rsidRDefault="00177CBE" w:rsidP="00177CBE">
            <w:pPr>
              <w:pStyle w:val="ae"/>
              <w:spacing w:line="0" w:lineRule="atLeast"/>
              <w:jc w:val="both"/>
              <w:rPr>
                <w:rFonts w:ascii="Times New Roman" w:hAnsi="Times New Roman"/>
                <w:b/>
                <w:bCs/>
                <w:sz w:val="24"/>
                <w:szCs w:val="24"/>
              </w:rPr>
            </w:pPr>
            <w:smartTag w:uri="urn:schemas-microsoft-com:office:smarttags" w:element="metricconverter">
              <w:smartTagPr>
                <w:attr w:name="ProductID" w:val="2012 г"/>
              </w:smartTagPr>
              <w:r w:rsidRPr="00177CBE">
                <w:rPr>
                  <w:rFonts w:ascii="Times New Roman" w:hAnsi="Times New Roman"/>
                  <w:bCs/>
                  <w:sz w:val="24"/>
                  <w:szCs w:val="24"/>
                </w:rPr>
                <w:t>2012 г</w:t>
              </w:r>
            </w:smartTag>
            <w:r w:rsidRPr="00177CBE">
              <w:rPr>
                <w:rFonts w:ascii="Times New Roman" w:hAnsi="Times New Roman"/>
                <w:bCs/>
                <w:sz w:val="24"/>
                <w:szCs w:val="24"/>
              </w:rPr>
              <w:t>.</w:t>
            </w:r>
          </w:p>
        </w:tc>
        <w:tc>
          <w:tcPr>
            <w:tcW w:w="1127" w:type="dxa"/>
            <w:shd w:val="clear" w:color="auto" w:fill="EFD3D2"/>
          </w:tcPr>
          <w:p w:rsidR="00177CBE" w:rsidRPr="00177CBE" w:rsidRDefault="00177CBE" w:rsidP="00177CBE">
            <w:pPr>
              <w:pStyle w:val="ae"/>
              <w:spacing w:line="0" w:lineRule="atLeast"/>
              <w:jc w:val="both"/>
              <w:rPr>
                <w:rFonts w:ascii="Times New Roman" w:hAnsi="Times New Roman"/>
                <w:b/>
                <w:bCs/>
                <w:sz w:val="24"/>
                <w:szCs w:val="24"/>
              </w:rPr>
            </w:pPr>
            <w:smartTag w:uri="urn:schemas-microsoft-com:office:smarttags" w:element="metricconverter">
              <w:smartTagPr>
                <w:attr w:name="ProductID" w:val="2013 г"/>
              </w:smartTagPr>
              <w:r w:rsidRPr="00177CBE">
                <w:rPr>
                  <w:rFonts w:ascii="Times New Roman" w:hAnsi="Times New Roman"/>
                  <w:bCs/>
                  <w:sz w:val="24"/>
                  <w:szCs w:val="24"/>
                </w:rPr>
                <w:t>2013 г</w:t>
              </w:r>
            </w:smartTag>
            <w:r w:rsidRPr="00177CBE">
              <w:rPr>
                <w:rFonts w:ascii="Times New Roman" w:hAnsi="Times New Roman"/>
                <w:bCs/>
                <w:sz w:val="24"/>
                <w:szCs w:val="24"/>
              </w:rPr>
              <w:t>.</w:t>
            </w:r>
          </w:p>
        </w:tc>
        <w:tc>
          <w:tcPr>
            <w:tcW w:w="1127" w:type="dxa"/>
            <w:shd w:val="clear" w:color="auto" w:fill="EFD3D2"/>
          </w:tcPr>
          <w:p w:rsidR="00177CBE" w:rsidRPr="00177CBE" w:rsidRDefault="00177CBE" w:rsidP="00177CBE">
            <w:pPr>
              <w:pStyle w:val="ae"/>
              <w:spacing w:line="0" w:lineRule="atLeast"/>
              <w:jc w:val="both"/>
              <w:rPr>
                <w:rFonts w:ascii="Times New Roman" w:hAnsi="Times New Roman"/>
                <w:b/>
                <w:bCs/>
                <w:sz w:val="24"/>
                <w:szCs w:val="24"/>
              </w:rPr>
            </w:pPr>
            <w:smartTag w:uri="urn:schemas-microsoft-com:office:smarttags" w:element="metricconverter">
              <w:smartTagPr>
                <w:attr w:name="ProductID" w:val="2014 г"/>
              </w:smartTagPr>
              <w:r w:rsidRPr="00177CBE">
                <w:rPr>
                  <w:rFonts w:ascii="Times New Roman" w:hAnsi="Times New Roman"/>
                  <w:bCs/>
                  <w:sz w:val="24"/>
                  <w:szCs w:val="24"/>
                </w:rPr>
                <w:t>2014 г</w:t>
              </w:r>
            </w:smartTag>
            <w:r w:rsidRPr="00177CBE">
              <w:rPr>
                <w:rFonts w:ascii="Times New Roman" w:hAnsi="Times New Roman"/>
                <w:bCs/>
                <w:sz w:val="24"/>
                <w:szCs w:val="24"/>
              </w:rPr>
              <w:t>.</w:t>
            </w:r>
          </w:p>
        </w:tc>
        <w:tc>
          <w:tcPr>
            <w:tcW w:w="1127" w:type="dxa"/>
            <w:shd w:val="clear" w:color="auto" w:fill="EFD3D2"/>
          </w:tcPr>
          <w:p w:rsidR="00177CBE" w:rsidRPr="00177CBE" w:rsidRDefault="00177CBE" w:rsidP="00177CBE">
            <w:pPr>
              <w:pStyle w:val="ae"/>
              <w:spacing w:line="0" w:lineRule="atLeast"/>
              <w:jc w:val="both"/>
              <w:rPr>
                <w:rFonts w:ascii="Times New Roman" w:hAnsi="Times New Roman"/>
                <w:b/>
                <w:bCs/>
                <w:sz w:val="24"/>
                <w:szCs w:val="24"/>
              </w:rPr>
            </w:pPr>
            <w:r w:rsidRPr="00177CBE">
              <w:rPr>
                <w:rFonts w:ascii="Times New Roman" w:hAnsi="Times New Roman"/>
                <w:bCs/>
                <w:sz w:val="24"/>
                <w:szCs w:val="24"/>
              </w:rPr>
              <w:t xml:space="preserve"> </w:t>
            </w:r>
            <w:smartTag w:uri="urn:schemas-microsoft-com:office:smarttags" w:element="metricconverter">
              <w:smartTagPr>
                <w:attr w:name="ProductID" w:val="2015 г"/>
              </w:smartTagPr>
              <w:r w:rsidRPr="00177CBE">
                <w:rPr>
                  <w:rFonts w:ascii="Times New Roman" w:hAnsi="Times New Roman"/>
                  <w:bCs/>
                  <w:sz w:val="24"/>
                  <w:szCs w:val="24"/>
                </w:rPr>
                <w:t>2015 г</w:t>
              </w:r>
            </w:smartTag>
            <w:r w:rsidRPr="00177CBE">
              <w:rPr>
                <w:rFonts w:ascii="Times New Roman" w:hAnsi="Times New Roman"/>
                <w:bCs/>
                <w:sz w:val="24"/>
                <w:szCs w:val="24"/>
              </w:rPr>
              <w:t>.</w:t>
            </w:r>
          </w:p>
        </w:tc>
      </w:tr>
      <w:tr w:rsidR="00177CBE" w:rsidRPr="00177CBE" w:rsidTr="00177CBE">
        <w:tc>
          <w:tcPr>
            <w:tcW w:w="3936" w:type="dxa"/>
            <w:shd w:val="clear" w:color="auto" w:fill="FFFFFF"/>
          </w:tcPr>
          <w:p w:rsidR="00177CBE" w:rsidRPr="00177CBE" w:rsidRDefault="00177CBE" w:rsidP="00177CBE">
            <w:pPr>
              <w:pStyle w:val="ae"/>
              <w:spacing w:line="0" w:lineRule="atLeast"/>
              <w:jc w:val="both"/>
              <w:rPr>
                <w:rFonts w:ascii="Times New Roman" w:hAnsi="Times New Roman"/>
                <w:b/>
                <w:bCs/>
                <w:sz w:val="24"/>
                <w:szCs w:val="24"/>
              </w:rPr>
            </w:pPr>
            <w:r w:rsidRPr="00177CBE">
              <w:rPr>
                <w:rFonts w:ascii="Times New Roman" w:hAnsi="Times New Roman"/>
                <w:bCs/>
                <w:sz w:val="24"/>
                <w:szCs w:val="24"/>
              </w:rPr>
              <w:t>Кичменгско-Городецкий район</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2,2</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2,4</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1,7</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1,9</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2,1</w:t>
            </w:r>
          </w:p>
        </w:tc>
      </w:tr>
      <w:tr w:rsidR="00177CBE" w:rsidRPr="00177CBE" w:rsidTr="00177CBE">
        <w:tc>
          <w:tcPr>
            <w:tcW w:w="3936" w:type="dxa"/>
            <w:shd w:val="clear" w:color="auto" w:fill="FFFFFF"/>
          </w:tcPr>
          <w:p w:rsidR="00177CBE" w:rsidRPr="00177CBE" w:rsidRDefault="00177CBE" w:rsidP="00177CBE">
            <w:pPr>
              <w:pStyle w:val="ae"/>
              <w:spacing w:line="0" w:lineRule="atLeast"/>
              <w:jc w:val="both"/>
              <w:rPr>
                <w:rFonts w:ascii="Times New Roman" w:hAnsi="Times New Roman"/>
                <w:b/>
                <w:bCs/>
                <w:sz w:val="24"/>
                <w:szCs w:val="24"/>
              </w:rPr>
            </w:pPr>
            <w:r w:rsidRPr="00177CBE">
              <w:rPr>
                <w:rFonts w:ascii="Times New Roman" w:hAnsi="Times New Roman"/>
                <w:bCs/>
                <w:sz w:val="24"/>
                <w:szCs w:val="24"/>
              </w:rPr>
              <w:t>В среднем по Вологодской области</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1,8</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1,5</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1,3</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1,3</w:t>
            </w:r>
          </w:p>
        </w:tc>
        <w:tc>
          <w:tcPr>
            <w:tcW w:w="1127" w:type="dxa"/>
            <w:shd w:val="clear" w:color="auto" w:fill="FFFFFF"/>
          </w:tcPr>
          <w:p w:rsidR="00177CBE" w:rsidRPr="00177CBE" w:rsidRDefault="00177CBE" w:rsidP="00177CBE">
            <w:pPr>
              <w:pStyle w:val="ae"/>
              <w:spacing w:line="0" w:lineRule="atLeast"/>
              <w:jc w:val="both"/>
              <w:rPr>
                <w:rFonts w:ascii="Times New Roman" w:hAnsi="Times New Roman"/>
                <w:sz w:val="24"/>
                <w:szCs w:val="24"/>
              </w:rPr>
            </w:pPr>
            <w:r w:rsidRPr="00177CBE">
              <w:rPr>
                <w:rFonts w:ascii="Times New Roman" w:hAnsi="Times New Roman"/>
                <w:sz w:val="24"/>
                <w:szCs w:val="24"/>
              </w:rPr>
              <w:t>1,5</w:t>
            </w:r>
          </w:p>
        </w:tc>
      </w:tr>
    </w:tbl>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6019800" cy="1228725"/>
            <wp:effectExtent l="0" t="0" r="0"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Сохранилась тенденция роста качественных показателей уровня жизни населения района. За 9 месяцев 2015 года среднемесячная начисленная заработная плата по крупным и средним предприятиям составила 19393 рублей, рост к соответствующему уровню 2014 года - 11,8%. Отношение к средней заработной плате по Вологодской области – 62,7%. Темп роста заработной платы в районе выше среднеобластного показателя (5,1%), но заработная плата остается одной из самых низких среди других районов области. </w:t>
      </w:r>
      <w:r w:rsidRPr="00177CBE">
        <w:rPr>
          <w:rFonts w:ascii="Times New Roman" w:hAnsi="Times New Roman"/>
          <w:noProof/>
          <w:sz w:val="28"/>
          <w:szCs w:val="28"/>
          <w:lang w:eastAsia="ru-RU"/>
        </w:rPr>
        <w:lastRenderedPageBreak/>
        <w:drawing>
          <wp:inline distT="0" distB="0" distL="0" distR="0">
            <wp:extent cx="6019800" cy="12668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77CBE">
        <w:rPr>
          <w:rFonts w:ascii="Times New Roman" w:hAnsi="Times New Roman"/>
          <w:noProof/>
          <w:sz w:val="28"/>
          <w:szCs w:val="28"/>
        </w:rPr>
        <w:tab/>
        <w:t>Уровень оплаты труда в разрезе видов экономической деятельности представлен на диаграмме.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5981700" cy="235267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В рамках реализации Указа Президента Российской Федерации от 7 мая 2012 года №597 «О мероприятиях по реализации государственной социальной политики» продолжается повышение заработных плат отдельных категорий работников бюджетной сферы. Показатели реализации данного указа за период 2013-2015 гг. представлен в таблице.</w:t>
      </w:r>
    </w:p>
    <w:tbl>
      <w:tblPr>
        <w:tblW w:w="8940" w:type="dxa"/>
        <w:jc w:val="center"/>
        <w:tblInd w:w="-318" w:type="dxa"/>
        <w:tblBorders>
          <w:top w:val="single" w:sz="18" w:space="0" w:color="CF7B79"/>
          <w:left w:val="single" w:sz="18" w:space="0" w:color="CF7B79"/>
          <w:bottom w:val="single" w:sz="18" w:space="0" w:color="CF7B79"/>
          <w:right w:val="single" w:sz="18" w:space="0" w:color="CF7B79"/>
          <w:insideH w:val="single" w:sz="18" w:space="0" w:color="CF7B79"/>
          <w:insideV w:val="single" w:sz="18" w:space="0" w:color="CF7B79"/>
        </w:tblBorders>
        <w:tblLook w:val="00A0"/>
      </w:tblPr>
      <w:tblGrid>
        <w:gridCol w:w="6096"/>
        <w:gridCol w:w="948"/>
        <w:gridCol w:w="948"/>
        <w:gridCol w:w="948"/>
      </w:tblGrid>
      <w:tr w:rsidR="00177CBE" w:rsidRPr="00177CBE" w:rsidTr="00177CBE">
        <w:trPr>
          <w:trHeight w:val="929"/>
          <w:jc w:val="center"/>
        </w:trPr>
        <w:tc>
          <w:tcPr>
            <w:tcW w:w="6096" w:type="dxa"/>
            <w:shd w:val="clear" w:color="auto" w:fill="EFD3D2"/>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Показатель</w:t>
            </w:r>
          </w:p>
        </w:tc>
        <w:tc>
          <w:tcPr>
            <w:tcW w:w="948" w:type="dxa"/>
            <w:shd w:val="clear" w:color="auto" w:fill="EFD3D2"/>
          </w:tcPr>
          <w:p w:rsidR="00177CBE" w:rsidRPr="00177CBE" w:rsidRDefault="00177CBE" w:rsidP="00177CBE">
            <w:pPr>
              <w:pStyle w:val="ae"/>
              <w:spacing w:line="0" w:lineRule="atLeast"/>
              <w:jc w:val="center"/>
              <w:rPr>
                <w:rFonts w:ascii="Times New Roman" w:hAnsi="Times New Roman"/>
                <w:bCs/>
                <w:sz w:val="24"/>
                <w:szCs w:val="24"/>
              </w:rPr>
            </w:pPr>
            <w:smartTag w:uri="urn:schemas-microsoft-com:office:smarttags" w:element="metricconverter">
              <w:smartTagPr>
                <w:attr w:name="ProductID" w:val="2013 г"/>
              </w:smartTagPr>
              <w:r w:rsidRPr="00177CBE">
                <w:rPr>
                  <w:rFonts w:ascii="Times New Roman" w:hAnsi="Times New Roman"/>
                  <w:bCs/>
                  <w:sz w:val="24"/>
                  <w:szCs w:val="24"/>
                </w:rPr>
                <w:t>2013 г</w:t>
              </w:r>
            </w:smartTag>
            <w:r w:rsidRPr="00177CBE">
              <w:rPr>
                <w:rFonts w:ascii="Times New Roman" w:hAnsi="Times New Roman"/>
                <w:bCs/>
                <w:sz w:val="24"/>
                <w:szCs w:val="24"/>
              </w:rPr>
              <w:t>.</w:t>
            </w:r>
          </w:p>
        </w:tc>
        <w:tc>
          <w:tcPr>
            <w:tcW w:w="948" w:type="dxa"/>
            <w:shd w:val="clear" w:color="auto" w:fill="EFD3D2"/>
          </w:tcPr>
          <w:p w:rsidR="00177CBE" w:rsidRPr="00177CBE" w:rsidRDefault="00177CBE" w:rsidP="00177CBE">
            <w:pPr>
              <w:pStyle w:val="ae"/>
              <w:spacing w:line="0" w:lineRule="atLeast"/>
              <w:jc w:val="center"/>
              <w:rPr>
                <w:rFonts w:ascii="Times New Roman" w:hAnsi="Times New Roman"/>
                <w:bCs/>
                <w:sz w:val="24"/>
                <w:szCs w:val="24"/>
              </w:rPr>
            </w:pPr>
            <w:smartTag w:uri="urn:schemas-microsoft-com:office:smarttags" w:element="metricconverter">
              <w:smartTagPr>
                <w:attr w:name="ProductID" w:val="2014 г"/>
              </w:smartTagPr>
              <w:r w:rsidRPr="00177CBE">
                <w:rPr>
                  <w:rFonts w:ascii="Times New Roman" w:hAnsi="Times New Roman"/>
                  <w:bCs/>
                  <w:sz w:val="24"/>
                  <w:szCs w:val="24"/>
                </w:rPr>
                <w:t>2014 г</w:t>
              </w:r>
            </w:smartTag>
            <w:r w:rsidRPr="00177CBE">
              <w:rPr>
                <w:rFonts w:ascii="Times New Roman" w:hAnsi="Times New Roman"/>
                <w:bCs/>
                <w:sz w:val="24"/>
                <w:szCs w:val="24"/>
              </w:rPr>
              <w:t>.</w:t>
            </w:r>
          </w:p>
        </w:tc>
        <w:tc>
          <w:tcPr>
            <w:tcW w:w="948" w:type="dxa"/>
            <w:shd w:val="clear" w:color="auto" w:fill="EFD3D2"/>
          </w:tcPr>
          <w:p w:rsidR="00177CBE" w:rsidRPr="00177CBE" w:rsidRDefault="00177CBE" w:rsidP="00177CBE">
            <w:pPr>
              <w:pStyle w:val="ae"/>
              <w:spacing w:line="0" w:lineRule="atLeast"/>
              <w:jc w:val="center"/>
              <w:rPr>
                <w:rFonts w:ascii="Times New Roman" w:hAnsi="Times New Roman"/>
                <w:bCs/>
                <w:sz w:val="24"/>
                <w:szCs w:val="24"/>
              </w:rPr>
            </w:pPr>
            <w:smartTag w:uri="urn:schemas-microsoft-com:office:smarttags" w:element="metricconverter">
              <w:smartTagPr>
                <w:attr w:name="ProductID" w:val="2015 г"/>
              </w:smartTagPr>
              <w:r w:rsidRPr="00177CBE">
                <w:rPr>
                  <w:rFonts w:ascii="Times New Roman" w:hAnsi="Times New Roman"/>
                  <w:bCs/>
                  <w:sz w:val="24"/>
                  <w:szCs w:val="24"/>
                </w:rPr>
                <w:t>2015 г</w:t>
              </w:r>
            </w:smartTag>
            <w:r w:rsidRPr="00177CBE">
              <w:rPr>
                <w:rFonts w:ascii="Times New Roman" w:hAnsi="Times New Roman"/>
                <w:bCs/>
                <w:sz w:val="24"/>
                <w:szCs w:val="24"/>
              </w:rPr>
              <w:t>.</w:t>
            </w:r>
          </w:p>
        </w:tc>
      </w:tr>
      <w:tr w:rsidR="00177CBE" w:rsidRPr="00177CBE" w:rsidTr="00177CBE">
        <w:trPr>
          <w:trHeight w:val="264"/>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 xml:space="preserve">Средняя заработная плата </w:t>
            </w:r>
            <w:r w:rsidRPr="00177CBE">
              <w:rPr>
                <w:rFonts w:ascii="Times New Roman" w:hAnsi="Times New Roman"/>
                <w:b/>
                <w:bCs/>
                <w:i/>
                <w:sz w:val="24"/>
                <w:szCs w:val="24"/>
              </w:rPr>
              <w:t>педагогических работников образовательных учреждений общего образования</w:t>
            </w:r>
            <w:r w:rsidRPr="00177CBE">
              <w:rPr>
                <w:rFonts w:ascii="Times New Roman" w:hAnsi="Times New Roman"/>
                <w:bCs/>
                <w:sz w:val="24"/>
                <w:szCs w:val="24"/>
              </w:rPr>
              <w:t>, руб.</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25490</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26819</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26629</w:t>
            </w:r>
          </w:p>
        </w:tc>
      </w:tr>
      <w:tr w:rsidR="00177CBE" w:rsidRPr="00177CBE" w:rsidTr="00177CBE">
        <w:trPr>
          <w:trHeight w:val="982"/>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 xml:space="preserve">Средняя заработная плата </w:t>
            </w:r>
            <w:r w:rsidRPr="00177CBE">
              <w:rPr>
                <w:rFonts w:ascii="Times New Roman" w:hAnsi="Times New Roman"/>
                <w:b/>
                <w:bCs/>
                <w:i/>
                <w:sz w:val="24"/>
                <w:szCs w:val="24"/>
              </w:rPr>
              <w:t>педагогических работников дошкольных образовательных учреждений, руб.</w:t>
            </w:r>
            <w:r w:rsidRPr="00177CBE">
              <w:rPr>
                <w:rFonts w:ascii="Times New Roman" w:hAnsi="Times New Roman"/>
                <w:bCs/>
                <w:sz w:val="24"/>
                <w:szCs w:val="24"/>
              </w:rPr>
              <w:t xml:space="preserve"> </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15933</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26334</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26627</w:t>
            </w:r>
          </w:p>
        </w:tc>
      </w:tr>
      <w:tr w:rsidR="00177CBE" w:rsidRPr="00177CBE" w:rsidTr="00177CBE">
        <w:trPr>
          <w:trHeight w:val="982"/>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 xml:space="preserve">Средняя заработная плата </w:t>
            </w:r>
            <w:r w:rsidRPr="00177CBE">
              <w:rPr>
                <w:rFonts w:ascii="Times New Roman" w:hAnsi="Times New Roman"/>
                <w:b/>
                <w:bCs/>
                <w:i/>
                <w:sz w:val="24"/>
                <w:szCs w:val="24"/>
              </w:rPr>
              <w:t>педагогов учреждений дополнительного образования детей</w:t>
            </w:r>
            <w:r w:rsidRPr="00177CBE">
              <w:rPr>
                <w:rFonts w:ascii="Times New Roman" w:hAnsi="Times New Roman"/>
                <w:bCs/>
                <w:sz w:val="24"/>
                <w:szCs w:val="24"/>
              </w:rPr>
              <w:t>, в т.ч. педагогов в системе учреждений культуры , руб.</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11265</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18747</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21858</w:t>
            </w:r>
          </w:p>
        </w:tc>
      </w:tr>
      <w:tr w:rsidR="00177CBE" w:rsidRPr="00177CBE" w:rsidTr="00177CBE">
        <w:trPr>
          <w:trHeight w:val="392"/>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 xml:space="preserve">Средняя заработная плата </w:t>
            </w:r>
            <w:r w:rsidRPr="00177CBE">
              <w:rPr>
                <w:rFonts w:ascii="Times New Roman" w:hAnsi="Times New Roman"/>
                <w:b/>
                <w:bCs/>
                <w:i/>
                <w:sz w:val="24"/>
                <w:szCs w:val="24"/>
              </w:rPr>
              <w:t>работников учреждений культуры, руб.</w:t>
            </w:r>
            <w:r w:rsidRPr="00177CBE">
              <w:rPr>
                <w:rFonts w:ascii="Times New Roman" w:hAnsi="Times New Roman"/>
                <w:b/>
                <w:bCs/>
                <w:sz w:val="24"/>
                <w:szCs w:val="24"/>
              </w:rPr>
              <w:t xml:space="preserve"> </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7732</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12768</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15776</w:t>
            </w:r>
          </w:p>
        </w:tc>
      </w:tr>
      <w:tr w:rsidR="00177CBE" w:rsidRPr="00177CBE" w:rsidTr="00177CBE">
        <w:trPr>
          <w:trHeight w:val="699"/>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 xml:space="preserve">Средняя заработная плата </w:t>
            </w:r>
            <w:r w:rsidRPr="00177CBE">
              <w:rPr>
                <w:rFonts w:ascii="Times New Roman" w:hAnsi="Times New Roman"/>
                <w:b/>
                <w:bCs/>
                <w:i/>
                <w:sz w:val="24"/>
                <w:szCs w:val="24"/>
              </w:rPr>
              <w:t>врачей и работников медицинских организаций</w:t>
            </w:r>
            <w:r w:rsidRPr="00177CBE">
              <w:rPr>
                <w:rFonts w:ascii="Times New Roman" w:hAnsi="Times New Roman"/>
                <w:bCs/>
                <w:sz w:val="24"/>
                <w:szCs w:val="24"/>
              </w:rPr>
              <w:t xml:space="preserve">, имеющих высшее медицинское (фармацевтическое) образование, руб. </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33313</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37262</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36110</w:t>
            </w:r>
          </w:p>
        </w:tc>
      </w:tr>
      <w:tr w:rsidR="00177CBE" w:rsidRPr="00177CBE" w:rsidTr="00177CBE">
        <w:trPr>
          <w:trHeight w:val="456"/>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 xml:space="preserve">Средняя заработная плата </w:t>
            </w:r>
            <w:r w:rsidRPr="00177CBE">
              <w:rPr>
                <w:rFonts w:ascii="Times New Roman" w:hAnsi="Times New Roman"/>
                <w:b/>
                <w:bCs/>
                <w:i/>
                <w:sz w:val="24"/>
                <w:szCs w:val="24"/>
              </w:rPr>
              <w:t>социальных работников, руб.</w:t>
            </w:r>
            <w:r w:rsidRPr="00177CBE">
              <w:rPr>
                <w:rFonts w:ascii="Times New Roman" w:hAnsi="Times New Roman"/>
                <w:bCs/>
                <w:sz w:val="24"/>
                <w:szCs w:val="24"/>
              </w:rPr>
              <w:t xml:space="preserve"> </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10084</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12530</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15317</w:t>
            </w:r>
          </w:p>
        </w:tc>
      </w:tr>
      <w:tr w:rsidR="00177CBE" w:rsidRPr="00177CBE" w:rsidTr="00177CBE">
        <w:trPr>
          <w:trHeight w:val="1013"/>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lastRenderedPageBreak/>
              <w:t xml:space="preserve">Средняя заработная плата </w:t>
            </w:r>
            <w:r w:rsidRPr="00177CBE">
              <w:rPr>
                <w:rFonts w:ascii="Times New Roman" w:hAnsi="Times New Roman"/>
                <w:b/>
                <w:bCs/>
                <w:i/>
                <w:sz w:val="24"/>
                <w:szCs w:val="24"/>
              </w:rPr>
              <w:t>младшего медицинского персонала</w:t>
            </w:r>
            <w:r w:rsidRPr="00177CBE">
              <w:rPr>
                <w:rFonts w:ascii="Times New Roman" w:hAnsi="Times New Roman"/>
                <w:b/>
                <w:bCs/>
                <w:sz w:val="24"/>
                <w:szCs w:val="24"/>
              </w:rPr>
              <w:t xml:space="preserve"> </w:t>
            </w:r>
            <w:r w:rsidRPr="00177CBE">
              <w:rPr>
                <w:rFonts w:ascii="Times New Roman" w:hAnsi="Times New Roman"/>
                <w:bCs/>
                <w:sz w:val="24"/>
                <w:szCs w:val="24"/>
              </w:rPr>
              <w:t>(персонала, обеспечивающего условия предоставления медицинских услуг) , руб.</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9877</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8325</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8690</w:t>
            </w:r>
          </w:p>
        </w:tc>
      </w:tr>
      <w:tr w:rsidR="00177CBE" w:rsidRPr="00177CBE" w:rsidTr="00177CBE">
        <w:trPr>
          <w:trHeight w:val="629"/>
          <w:jc w:val="center"/>
        </w:trPr>
        <w:tc>
          <w:tcPr>
            <w:tcW w:w="6096" w:type="dxa"/>
            <w:shd w:val="clear" w:color="auto" w:fill="FFFFFF"/>
          </w:tcPr>
          <w:p w:rsidR="00177CBE" w:rsidRPr="00177CBE" w:rsidRDefault="00177CBE" w:rsidP="00177CBE">
            <w:pPr>
              <w:pStyle w:val="ae"/>
              <w:spacing w:line="0" w:lineRule="atLeast"/>
              <w:jc w:val="both"/>
              <w:rPr>
                <w:rFonts w:ascii="Times New Roman" w:hAnsi="Times New Roman"/>
                <w:bCs/>
                <w:sz w:val="24"/>
                <w:szCs w:val="24"/>
              </w:rPr>
            </w:pPr>
            <w:r w:rsidRPr="00177CBE">
              <w:rPr>
                <w:rFonts w:ascii="Times New Roman" w:hAnsi="Times New Roman"/>
                <w:bCs/>
                <w:sz w:val="24"/>
                <w:szCs w:val="24"/>
              </w:rPr>
              <w:t xml:space="preserve">Средняя заработная плата </w:t>
            </w:r>
            <w:r w:rsidRPr="00177CBE">
              <w:rPr>
                <w:rFonts w:ascii="Times New Roman" w:hAnsi="Times New Roman"/>
                <w:b/>
                <w:bCs/>
                <w:i/>
                <w:sz w:val="24"/>
                <w:szCs w:val="24"/>
              </w:rPr>
              <w:t>среднего медицинского персонала</w:t>
            </w:r>
            <w:r w:rsidRPr="00177CBE">
              <w:rPr>
                <w:rFonts w:ascii="Times New Roman" w:hAnsi="Times New Roman"/>
                <w:bCs/>
                <w:sz w:val="24"/>
                <w:szCs w:val="24"/>
              </w:rPr>
              <w:t>, руб.</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10646</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bCs/>
                <w:sz w:val="24"/>
                <w:szCs w:val="24"/>
              </w:rPr>
            </w:pPr>
            <w:r w:rsidRPr="00177CBE">
              <w:rPr>
                <w:rFonts w:ascii="Times New Roman" w:hAnsi="Times New Roman"/>
                <w:bCs/>
                <w:sz w:val="24"/>
                <w:szCs w:val="24"/>
              </w:rPr>
              <w:t>17579</w:t>
            </w:r>
          </w:p>
        </w:tc>
        <w:tc>
          <w:tcPr>
            <w:tcW w:w="948" w:type="dxa"/>
            <w:shd w:val="clear" w:color="auto" w:fill="FFFFFF"/>
          </w:tcPr>
          <w:p w:rsidR="00177CBE" w:rsidRPr="00177CBE" w:rsidRDefault="00177CBE" w:rsidP="00177CBE">
            <w:pPr>
              <w:pStyle w:val="ae"/>
              <w:spacing w:line="0" w:lineRule="atLeast"/>
              <w:jc w:val="center"/>
              <w:rPr>
                <w:rFonts w:ascii="Times New Roman" w:hAnsi="Times New Roman"/>
                <w:sz w:val="24"/>
                <w:szCs w:val="24"/>
              </w:rPr>
            </w:pPr>
            <w:r w:rsidRPr="00177CBE">
              <w:rPr>
                <w:rFonts w:ascii="Times New Roman" w:hAnsi="Times New Roman"/>
                <w:sz w:val="24"/>
                <w:szCs w:val="24"/>
              </w:rPr>
              <w:t>16680</w:t>
            </w:r>
          </w:p>
        </w:tc>
      </w:tr>
    </w:tbl>
    <w:p w:rsidR="00177CBE" w:rsidRPr="00177CBE" w:rsidRDefault="00177CBE" w:rsidP="00177CBE">
      <w:pPr>
        <w:pStyle w:val="ae"/>
        <w:spacing w:line="0" w:lineRule="atLeast"/>
        <w:jc w:val="center"/>
        <w:rPr>
          <w:rFonts w:ascii="Times New Roman" w:hAnsi="Times New Roman"/>
          <w:b/>
          <w:sz w:val="28"/>
          <w:szCs w:val="28"/>
        </w:rPr>
      </w:pP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2.2 Экономический потенциал</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sz w:val="28"/>
          <w:szCs w:val="28"/>
        </w:rPr>
        <w:tab/>
        <w:t xml:space="preserve">В реальном секторе экономики района осуществляют деятельность предприятия и организации </w:t>
      </w:r>
      <w:r w:rsidRPr="00177CBE">
        <w:rPr>
          <w:rFonts w:ascii="Times New Roman" w:hAnsi="Times New Roman"/>
          <w:color w:val="000000"/>
          <w:sz w:val="28"/>
          <w:szCs w:val="28"/>
        </w:rPr>
        <w:t xml:space="preserve">пищевой промышленности, торговли, лесопромышленного комплекс и сельского хозяйства. Все они представлены только малыми и средними предприятиями и индивидуальными предпринимателями. Крупные предприятия в районе отсутствуют. </w:t>
      </w:r>
    </w:p>
    <w:p w:rsidR="00177CBE" w:rsidRPr="00177CBE" w:rsidRDefault="00177CBE" w:rsidP="00177CBE">
      <w:pPr>
        <w:pStyle w:val="ae"/>
        <w:spacing w:line="0" w:lineRule="atLeast"/>
        <w:jc w:val="both"/>
        <w:rPr>
          <w:rFonts w:ascii="Times New Roman" w:hAnsi="Times New Roman"/>
          <w:b/>
          <w:i/>
          <w:sz w:val="28"/>
          <w:szCs w:val="28"/>
        </w:rPr>
      </w:pPr>
      <w:r w:rsidRPr="00177CBE">
        <w:rPr>
          <w:rFonts w:ascii="Times New Roman" w:hAnsi="Times New Roman"/>
          <w:color w:val="000000"/>
          <w:sz w:val="28"/>
          <w:szCs w:val="28"/>
        </w:rPr>
        <w:tab/>
      </w:r>
      <w:r w:rsidRPr="00177CBE">
        <w:rPr>
          <w:rFonts w:ascii="Times New Roman" w:hAnsi="Times New Roman"/>
          <w:sz w:val="28"/>
          <w:szCs w:val="28"/>
        </w:rPr>
        <w:t xml:space="preserve">Развитие малого и среднего предпринимательства является одним из приоритетных направлений социально-экономического развития района. Именно малый бизнес во многом определяет темпы экономического роста, формирование налогооблагаемой базы и наполнение муниципального бюджета, а так же состояние занятости населения и обеспечение социальной стабильности. </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noProof/>
          <w:color w:val="000000"/>
          <w:sz w:val="28"/>
          <w:szCs w:val="28"/>
          <w:lang w:eastAsia="ru-RU"/>
        </w:rPr>
        <w:drawing>
          <wp:inline distT="0" distB="0" distL="0" distR="0">
            <wp:extent cx="5981700" cy="187642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7CBE" w:rsidRPr="00177CBE" w:rsidRDefault="00177CBE" w:rsidP="00177CBE">
      <w:pPr>
        <w:pStyle w:val="ae"/>
        <w:spacing w:line="0" w:lineRule="atLeast"/>
        <w:jc w:val="both"/>
        <w:rPr>
          <w:rFonts w:ascii="Times New Roman" w:hAnsi="Times New Roman"/>
          <w:b/>
          <w:sz w:val="28"/>
          <w:szCs w:val="28"/>
        </w:rPr>
      </w:pPr>
      <w:r w:rsidRPr="00177CBE">
        <w:rPr>
          <w:rFonts w:ascii="Times New Roman" w:hAnsi="Times New Roman"/>
          <w:b/>
          <w:noProof/>
          <w:sz w:val="28"/>
          <w:szCs w:val="28"/>
          <w:lang w:eastAsia="ru-RU"/>
        </w:rPr>
        <w:drawing>
          <wp:inline distT="0" distB="0" distL="0" distR="0">
            <wp:extent cx="2771775" cy="1857375"/>
            <wp:effectExtent l="0" t="0" r="0" b="0"/>
            <wp:docPr id="9"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77CBE">
        <w:rPr>
          <w:rFonts w:ascii="Times New Roman" w:hAnsi="Times New Roman"/>
          <w:b/>
          <w:noProof/>
          <w:sz w:val="28"/>
          <w:szCs w:val="28"/>
          <w:lang w:eastAsia="ru-RU"/>
        </w:rPr>
        <w:drawing>
          <wp:inline distT="0" distB="0" distL="0" distR="0">
            <wp:extent cx="3000375" cy="1876425"/>
            <wp:effectExtent l="0" t="0" r="0" b="0"/>
            <wp:docPr id="10"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Отраслевая структура действующих субъектов малого и среднего предпринимательства района представлена на диаграмме.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lastRenderedPageBreak/>
        <w:drawing>
          <wp:inline distT="0" distB="0" distL="0" distR="0">
            <wp:extent cx="5905500" cy="1943100"/>
            <wp:effectExtent l="0" t="0" r="0" b="0"/>
            <wp:docPr id="11"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7CBE" w:rsidRPr="00177CBE" w:rsidRDefault="00177CBE" w:rsidP="00177CBE">
      <w:pPr>
        <w:pStyle w:val="ae"/>
        <w:spacing w:line="0" w:lineRule="atLeast"/>
        <w:jc w:val="both"/>
        <w:rPr>
          <w:rFonts w:ascii="Times New Roman" w:hAnsi="Times New Roman"/>
          <w:color w:val="C00000"/>
          <w:sz w:val="28"/>
          <w:szCs w:val="28"/>
        </w:rPr>
      </w:pPr>
      <w:r w:rsidRPr="00177CBE">
        <w:rPr>
          <w:rFonts w:ascii="Times New Roman" w:hAnsi="Times New Roman"/>
          <w:color w:val="C00000"/>
          <w:sz w:val="28"/>
          <w:szCs w:val="28"/>
        </w:rPr>
        <w:tab/>
      </w:r>
    </w:p>
    <w:p w:rsidR="00177CBE" w:rsidRPr="00177CBE" w:rsidRDefault="00177CBE" w:rsidP="00177CBE">
      <w:pPr>
        <w:pStyle w:val="ae"/>
        <w:spacing w:line="0" w:lineRule="atLeast"/>
        <w:ind w:firstLine="709"/>
        <w:jc w:val="both"/>
        <w:rPr>
          <w:rFonts w:ascii="Times New Roman" w:hAnsi="Times New Roman"/>
          <w:sz w:val="28"/>
          <w:szCs w:val="28"/>
        </w:rPr>
      </w:pPr>
      <w:r w:rsidRPr="00177CBE">
        <w:rPr>
          <w:rFonts w:ascii="Times New Roman" w:hAnsi="Times New Roman"/>
          <w:sz w:val="28"/>
          <w:szCs w:val="28"/>
        </w:rPr>
        <w:t>В структуре промышленного производства ведущее место принадлежит производству пищевых продуктов (85%), обработка и производство изделий из дерева занимает 15%. Индекс производства промышленной продукции за 10 месяцев 2015 года составил 81,9% к аналогичному периоду 2014 года.</w:t>
      </w:r>
    </w:p>
    <w:p w:rsidR="00177CBE" w:rsidRPr="00177CBE" w:rsidRDefault="00177CBE" w:rsidP="00177CBE">
      <w:pPr>
        <w:pStyle w:val="ae"/>
        <w:spacing w:line="0" w:lineRule="atLeast"/>
        <w:jc w:val="both"/>
        <w:rPr>
          <w:rFonts w:ascii="Times New Roman" w:hAnsi="Times New Roman"/>
          <w:color w:val="FF0000"/>
          <w:sz w:val="28"/>
          <w:szCs w:val="28"/>
        </w:rPr>
      </w:pPr>
      <w:r w:rsidRPr="00177CBE">
        <w:rPr>
          <w:rFonts w:ascii="Times New Roman" w:hAnsi="Times New Roman"/>
          <w:sz w:val="28"/>
          <w:szCs w:val="28"/>
        </w:rPr>
        <w:tab/>
      </w:r>
      <w:r w:rsidRPr="00177CBE">
        <w:rPr>
          <w:rFonts w:ascii="Times New Roman" w:hAnsi="Times New Roman"/>
          <w:b/>
          <w:i/>
          <w:sz w:val="28"/>
          <w:szCs w:val="28"/>
        </w:rPr>
        <w:t>Пищевая промышленность</w:t>
      </w:r>
      <w:r w:rsidRPr="00177CBE">
        <w:rPr>
          <w:rFonts w:ascii="Times New Roman" w:hAnsi="Times New Roman"/>
          <w:sz w:val="28"/>
          <w:szCs w:val="28"/>
        </w:rPr>
        <w:t xml:space="preserve"> района представлена предприятиями пищевой промышленности – ОАО «Мясо», ПО «Хлеб» и ООО «Хлеб». Предприятиями пищевой промышленности выпускаются мясные продукты, хлебобулочные, кондитерские и макаронные изделия.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FF0000"/>
          <w:sz w:val="28"/>
          <w:szCs w:val="28"/>
        </w:rPr>
        <w:tab/>
      </w:r>
      <w:r w:rsidRPr="00177CBE">
        <w:rPr>
          <w:rFonts w:ascii="Times New Roman" w:hAnsi="Times New Roman"/>
          <w:sz w:val="28"/>
          <w:szCs w:val="28"/>
        </w:rPr>
        <w:t>В 2015 году в пищевой промышленности наблюдается спад производства основных видов продукции. Снижение объемов производства мяса и субпродуктов, колбасных изделий, полуфабрикатов мясных  объясняется нехваткой оборотных средств у предприятий, усилением конкуренции на потребительском рынке, появлением новых поставщиков товаров, аналогичных производимым в районе.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r w:rsidRPr="00177CBE">
        <w:rPr>
          <w:rFonts w:ascii="Times New Roman" w:hAnsi="Times New Roman"/>
          <w:b/>
          <w:i/>
          <w:sz w:val="28"/>
          <w:szCs w:val="28"/>
        </w:rPr>
        <w:t>В лесопромышленном комплексе</w:t>
      </w:r>
      <w:r w:rsidRPr="00177CBE">
        <w:rPr>
          <w:rFonts w:ascii="Times New Roman" w:hAnsi="Times New Roman"/>
          <w:sz w:val="28"/>
          <w:szCs w:val="28"/>
        </w:rPr>
        <w:t xml:space="preserve"> предприятия и индивидуальные предприниматели заняты лесозаготовкой и производством пиломатериалов. Объем заготовки древесины в 2015 году увеличился на 5%, производство пиломатериалов снизилась на 5%. Снижение объемов производства пиломатериалов связано с ухудшением товарного состава древесины.</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219456" distB="492319" distL="1729740" distR="1232662" simplePos="0" relativeHeight="251667456" behindDoc="0" locked="0" layoutInCell="1" allowOverlap="1">
            <wp:simplePos x="0" y="0"/>
            <wp:positionH relativeFrom="column">
              <wp:posOffset>748665</wp:posOffset>
            </wp:positionH>
            <wp:positionV relativeFrom="paragraph">
              <wp:posOffset>175260</wp:posOffset>
            </wp:positionV>
            <wp:extent cx="4581525" cy="933450"/>
            <wp:effectExtent l="0" t="0" r="0" b="0"/>
            <wp:wrapNone/>
            <wp:docPr id="51"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В структуре эксплуатационного лесного фонда района преобладают лиственные насаждения, поэтому основная задача ЛПКа - повышение качества и расширение ассортимента выпускаемой продукции, углубление переработки древесины при более широком использовании лиственной и низкосортной составляющей древесного сырья. </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sz w:val="28"/>
          <w:szCs w:val="28"/>
        </w:rPr>
        <w:tab/>
      </w:r>
      <w:r w:rsidRPr="00177CBE">
        <w:rPr>
          <w:rFonts w:ascii="Times New Roman" w:hAnsi="Times New Roman"/>
          <w:color w:val="000000"/>
          <w:sz w:val="28"/>
          <w:szCs w:val="28"/>
        </w:rPr>
        <w:t xml:space="preserve">На сегодняшний день лесопромышленный комплекс района характеризуется малоэффективным уровнем комплексного использования </w:t>
      </w:r>
      <w:r w:rsidRPr="00177CBE">
        <w:rPr>
          <w:rFonts w:ascii="Times New Roman" w:hAnsi="Times New Roman"/>
          <w:color w:val="000000"/>
          <w:sz w:val="28"/>
          <w:szCs w:val="28"/>
        </w:rPr>
        <w:lastRenderedPageBreak/>
        <w:t xml:space="preserve">древесного сырья и низкой отдачей, так как отсутствует широкомасштабное применение современных технологий. </w:t>
      </w:r>
    </w:p>
    <w:p w:rsidR="00177CBE" w:rsidRPr="00177CBE" w:rsidRDefault="00177CBE" w:rsidP="00177CBE">
      <w:pPr>
        <w:pStyle w:val="ae"/>
        <w:spacing w:line="0" w:lineRule="atLeast"/>
        <w:jc w:val="both"/>
        <w:rPr>
          <w:rFonts w:ascii="Times New Roman" w:hAnsi="Times New Roman"/>
          <w:color w:val="C00000"/>
          <w:sz w:val="28"/>
          <w:szCs w:val="28"/>
        </w:rPr>
      </w:pPr>
      <w:r w:rsidRPr="00177CBE">
        <w:rPr>
          <w:rFonts w:ascii="Times New Roman" w:hAnsi="Times New Roman"/>
          <w:color w:val="000000"/>
          <w:sz w:val="28"/>
          <w:szCs w:val="28"/>
        </w:rPr>
        <w:tab/>
        <w:t>С</w:t>
      </w:r>
      <w:r w:rsidRPr="00177CBE">
        <w:rPr>
          <w:rFonts w:ascii="Times New Roman" w:hAnsi="Times New Roman"/>
          <w:b/>
          <w:i/>
          <w:color w:val="000000"/>
          <w:sz w:val="28"/>
          <w:szCs w:val="28"/>
        </w:rPr>
        <w:t>ельскохозяйственная отрасль</w:t>
      </w:r>
      <w:r w:rsidRPr="00177CBE">
        <w:rPr>
          <w:rFonts w:ascii="Times New Roman" w:hAnsi="Times New Roman"/>
          <w:color w:val="000000"/>
          <w:sz w:val="28"/>
          <w:szCs w:val="28"/>
        </w:rPr>
        <w:t xml:space="preserve"> района представлена 17 сельхозпредприятиями и 5 крестьянско-фермерскими хозяйствами. Основное направлениями деятельности сельхозпредприятий района - животноводство, отрасль растениеводства выполняет функцию обеспечения поголовья сельскохозяйственных животных высококачественными кормами.</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noProof/>
          <w:sz w:val="28"/>
          <w:szCs w:val="28"/>
          <w:lang w:eastAsia="ru-RU"/>
        </w:rPr>
        <w:drawing>
          <wp:anchor distT="262128" distB="328295" distL="1120140" distR="566928" simplePos="0" relativeHeight="251663360" behindDoc="0" locked="0" layoutInCell="1" allowOverlap="1">
            <wp:simplePos x="0" y="0"/>
            <wp:positionH relativeFrom="column">
              <wp:posOffset>293370</wp:posOffset>
            </wp:positionH>
            <wp:positionV relativeFrom="paragraph">
              <wp:posOffset>25400</wp:posOffset>
            </wp:positionV>
            <wp:extent cx="5527040" cy="1271905"/>
            <wp:effectExtent l="0" t="0" r="0" b="0"/>
            <wp:wrapTight wrapText="bothSides">
              <wp:wrapPolygon edited="0">
                <wp:start x="8418" y="1607"/>
                <wp:lineTo x="1241" y="4292"/>
                <wp:lineTo x="1174" y="5899"/>
                <wp:lineTo x="3658" y="5899"/>
                <wp:lineTo x="3658" y="6438"/>
                <wp:lineTo x="10075" y="10201"/>
                <wp:lineTo x="10765" y="10201"/>
                <wp:lineTo x="10765" y="18785"/>
                <wp:lineTo x="1380" y="19325"/>
                <wp:lineTo x="1380" y="20662"/>
                <wp:lineTo x="12217" y="20662"/>
                <wp:lineTo x="20012" y="20662"/>
                <wp:lineTo x="21186" y="20662"/>
                <wp:lineTo x="20910" y="19325"/>
                <wp:lineTo x="10696" y="18785"/>
                <wp:lineTo x="10765" y="10201"/>
                <wp:lineTo x="20359" y="7516"/>
                <wp:lineTo x="20290" y="5899"/>
                <wp:lineTo x="7522" y="5899"/>
                <wp:lineTo x="13527" y="2955"/>
                <wp:lineTo x="13733" y="1607"/>
                <wp:lineTo x="12076" y="1607"/>
                <wp:lineTo x="8418" y="1607"/>
              </wp:wrapPolygon>
            </wp:wrapTight>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72390</wp:posOffset>
            </wp:positionH>
            <wp:positionV relativeFrom="paragraph">
              <wp:posOffset>445135</wp:posOffset>
            </wp:positionV>
            <wp:extent cx="2352040" cy="1724025"/>
            <wp:effectExtent l="19050" t="0" r="0" b="0"/>
            <wp:wrapSquare wrapText="right"/>
            <wp:docPr id="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 cstate="print"/>
                    <a:srcRect/>
                    <a:stretch>
                      <a:fillRect/>
                    </a:stretch>
                  </pic:blipFill>
                  <pic:spPr bwMode="auto">
                    <a:xfrm>
                      <a:off x="0" y="0"/>
                      <a:ext cx="2352040" cy="1724025"/>
                    </a:xfrm>
                    <a:prstGeom prst="rect">
                      <a:avLst/>
                    </a:prstGeom>
                    <a:noFill/>
                    <a:ln w="9525">
                      <a:noFill/>
                      <a:miter lim="800000"/>
                      <a:headEnd/>
                      <a:tailEnd/>
                    </a:ln>
                  </pic:spPr>
                </pic:pic>
              </a:graphicData>
            </a:graphic>
          </wp:anchor>
        </w:drawing>
      </w:r>
      <w:r w:rsidRPr="00177CBE">
        <w:rPr>
          <w:rFonts w:ascii="Times New Roman" w:hAnsi="Times New Roman"/>
          <w:color w:val="000000"/>
          <w:sz w:val="28"/>
          <w:szCs w:val="28"/>
        </w:rPr>
        <w:tab/>
      </w:r>
      <w:r w:rsidRPr="00177CBE">
        <w:rPr>
          <w:rFonts w:ascii="Times New Roman" w:hAnsi="Times New Roman"/>
          <w:sz w:val="28"/>
          <w:szCs w:val="28"/>
        </w:rPr>
        <w:t>В 2015 году, несмотря на снижение дойного стада, объём производства молока вырос на 0,2 % по сравнению с прошлым годом. В 2015 году в хозяйствах района получен средний надой на корову 4300 кг., что выше уровня 2014 года. Основное производство сосредоточено в двух хозяйствах района – СПК (к-з) «Майский», СПК «Правда», на долю</w:t>
      </w:r>
      <w:r w:rsidRPr="00177CBE">
        <w:rPr>
          <w:rFonts w:ascii="Times New Roman" w:hAnsi="Times New Roman"/>
          <w:color w:val="000000"/>
          <w:sz w:val="28"/>
          <w:szCs w:val="28"/>
        </w:rPr>
        <w:t xml:space="preserve"> этих хозяйств приходится 57 % производства молока в районе. </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color w:val="000000"/>
          <w:sz w:val="28"/>
          <w:szCs w:val="28"/>
        </w:rPr>
        <w:tab/>
        <w:t>В декабре 2015 года СПК (к-з) «Майский» по итогам 10-го областного смотра-конкурса качества сырого молока «Лучшее молоко – 2015» завоевал 2 место по восточной зоне и тем самым доказал, что качество молока-сырья в этом хозяйстве находится на очень высоком уровне. Это результат огромной работы, проделанной специалистами хозяйства.</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noProof/>
          <w:color w:val="000000"/>
          <w:sz w:val="28"/>
          <w:szCs w:val="28"/>
          <w:lang w:eastAsia="ru-RU"/>
        </w:rPr>
        <w:drawing>
          <wp:anchor distT="262128" distB="334899" distL="1114044" distR="223774" simplePos="0" relativeHeight="251662336" behindDoc="1" locked="0" layoutInCell="1" allowOverlap="1">
            <wp:simplePos x="0" y="0"/>
            <wp:positionH relativeFrom="column">
              <wp:posOffset>224790</wp:posOffset>
            </wp:positionH>
            <wp:positionV relativeFrom="paragraph">
              <wp:posOffset>373380</wp:posOffset>
            </wp:positionV>
            <wp:extent cx="5610225" cy="1190625"/>
            <wp:effectExtent l="0" t="0" r="0" b="0"/>
            <wp:wrapTight wrapText="bothSides">
              <wp:wrapPolygon edited="0">
                <wp:start x="6528" y="1382"/>
                <wp:lineTo x="1907" y="4838"/>
                <wp:lineTo x="1027" y="5875"/>
                <wp:lineTo x="1100" y="7603"/>
                <wp:lineTo x="4034" y="11405"/>
                <wp:lineTo x="10782" y="12442"/>
                <wp:lineTo x="10782" y="17971"/>
                <wp:lineTo x="1467" y="18662"/>
                <wp:lineTo x="1467" y="20390"/>
                <wp:lineTo x="12469" y="20390"/>
                <wp:lineTo x="20390" y="20390"/>
                <wp:lineTo x="21563" y="20390"/>
                <wp:lineTo x="21417" y="18662"/>
                <wp:lineTo x="10708" y="17971"/>
                <wp:lineTo x="10782" y="12442"/>
                <wp:lineTo x="20977" y="9331"/>
                <wp:lineTo x="20830" y="7258"/>
                <wp:lineTo x="17823" y="6566"/>
                <wp:lineTo x="18043" y="1728"/>
                <wp:lineTo x="13129" y="1382"/>
                <wp:lineTo x="6528" y="1382"/>
              </wp:wrapPolygon>
            </wp:wrapTight>
            <wp:docPr id="49"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177CBE">
        <w:rPr>
          <w:rFonts w:ascii="Times New Roman" w:hAnsi="Times New Roman"/>
          <w:color w:val="000000"/>
          <w:sz w:val="28"/>
          <w:szCs w:val="28"/>
        </w:rPr>
        <w:tab/>
        <w:t>Основные показатели отрасли животноводства представлены на графиках:</w:t>
      </w: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noProof/>
          <w:color w:val="000000"/>
          <w:sz w:val="28"/>
          <w:szCs w:val="28"/>
          <w:lang w:eastAsia="ru-RU"/>
        </w:rPr>
        <w:drawing>
          <wp:anchor distT="274320" distB="171958" distL="1089660" distR="604647" simplePos="0" relativeHeight="251660288" behindDoc="1" locked="0" layoutInCell="1" allowOverlap="1">
            <wp:simplePos x="0" y="0"/>
            <wp:positionH relativeFrom="column">
              <wp:posOffset>405765</wp:posOffset>
            </wp:positionH>
            <wp:positionV relativeFrom="paragraph">
              <wp:posOffset>-127635</wp:posOffset>
            </wp:positionV>
            <wp:extent cx="5610225" cy="1657350"/>
            <wp:effectExtent l="0" t="0" r="0" b="0"/>
            <wp:wrapTight wrapText="bothSides">
              <wp:wrapPolygon edited="0">
                <wp:start x="6894" y="993"/>
                <wp:lineTo x="6894" y="1986"/>
                <wp:lineTo x="9902" y="4966"/>
                <wp:lineTo x="10782" y="4966"/>
                <wp:lineTo x="3667" y="7945"/>
                <wp:lineTo x="3741" y="8938"/>
                <wp:lineTo x="1027" y="8938"/>
                <wp:lineTo x="1100" y="10428"/>
                <wp:lineTo x="10782" y="12910"/>
                <wp:lineTo x="10782" y="16883"/>
                <wp:lineTo x="1320" y="19862"/>
                <wp:lineTo x="1320" y="21103"/>
                <wp:lineTo x="14596" y="21103"/>
                <wp:lineTo x="19950" y="21103"/>
                <wp:lineTo x="21197" y="21103"/>
                <wp:lineTo x="21270" y="20359"/>
                <wp:lineTo x="10708" y="16883"/>
                <wp:lineTo x="10782" y="12910"/>
                <wp:lineTo x="10195" y="8938"/>
                <wp:lineTo x="20610" y="7697"/>
                <wp:lineTo x="20610" y="5214"/>
                <wp:lineTo x="10782" y="4966"/>
                <wp:lineTo x="14742" y="1986"/>
                <wp:lineTo x="14596" y="993"/>
                <wp:lineTo x="7334" y="993"/>
                <wp:lineTo x="6894" y="993"/>
              </wp:wrapPolygon>
            </wp:wrapTight>
            <wp:docPr id="48"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color w:val="000000"/>
          <w:sz w:val="28"/>
          <w:szCs w:val="28"/>
        </w:rPr>
        <w:t xml:space="preserve">   В 2015 году производство зерна увеличилось на 17% в сравнении 2014 годом. Удалось </w:t>
      </w:r>
      <w:r w:rsidRPr="00177CBE">
        <w:rPr>
          <w:rFonts w:ascii="Times New Roman" w:hAnsi="Times New Roman"/>
          <w:color w:val="000000"/>
          <w:sz w:val="28"/>
          <w:szCs w:val="28"/>
        </w:rPr>
        <w:lastRenderedPageBreak/>
        <w:t>увеличить объем производства кормов в кормовых единицах на 648 к прошлому году. На 19 % больше засыпано зернофуража.</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color w:val="000000"/>
          <w:sz w:val="28"/>
          <w:szCs w:val="28"/>
        </w:rPr>
        <w:t xml:space="preserve"> </w:t>
      </w:r>
      <w:r w:rsidRPr="00177CBE">
        <w:rPr>
          <w:rFonts w:ascii="Times New Roman" w:hAnsi="Times New Roman"/>
          <w:noProof/>
          <w:color w:val="000000"/>
          <w:sz w:val="28"/>
          <w:szCs w:val="28"/>
          <w:lang w:eastAsia="ru-RU"/>
        </w:rPr>
        <w:drawing>
          <wp:inline distT="0" distB="0" distL="0" distR="0">
            <wp:extent cx="5905500" cy="1743075"/>
            <wp:effectExtent l="0" t="0" r="0" b="0"/>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3162300" cy="1600200"/>
            <wp:effectExtent l="0" t="0" r="0" b="0"/>
            <wp:docPr id="14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77CBE">
        <w:rPr>
          <w:rFonts w:ascii="Times New Roman" w:hAnsi="Times New Roman"/>
          <w:noProof/>
          <w:sz w:val="28"/>
          <w:szCs w:val="28"/>
          <w:lang w:eastAsia="ru-RU"/>
        </w:rPr>
        <w:drawing>
          <wp:inline distT="0" distB="0" distL="0" distR="0">
            <wp:extent cx="2743200" cy="1514475"/>
            <wp:effectExtent l="0" t="0" r="0" b="0"/>
            <wp:docPr id="1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Показатели производства льноволокна в 2015 году выросли на 80 % по сравнению с 2012 годом. В льноводстве достигнуто оптимальное сочетание на одном предприятии производства и переработки льнопродукции, что и дало положительный результат. Приоритетными также выбраны ранние сроки теребления льна, что позволяет в оптимальные сроки и без потерь убирать весь выращенный урожай. Полностью отработана механизированная уборка льнотресты.</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r w:rsidRPr="00177CBE">
        <w:rPr>
          <w:rFonts w:ascii="Times New Roman" w:hAnsi="Times New Roman"/>
          <w:sz w:val="28"/>
          <w:szCs w:val="28"/>
        </w:rPr>
        <w:tab/>
        <w:t>Средняя заработная плата по отрасли в 2015 году составила 11833 рублей, что выше по сравнению с 2012 годом на 33 %. Однако уровень заработной платы в отрасли остаётся низким как в среднем по области в сельском хозяйстве, так и по сравнению с другими отраслями.</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color w:val="000000"/>
          <w:sz w:val="28"/>
          <w:szCs w:val="28"/>
          <w:lang w:eastAsia="ru-RU"/>
        </w:rPr>
        <w:drawing>
          <wp:inline distT="0" distB="0" distL="0" distR="0">
            <wp:extent cx="2971800" cy="1419225"/>
            <wp:effectExtent l="0" t="0" r="0" b="0"/>
            <wp:docPr id="15"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77CBE">
        <w:rPr>
          <w:rFonts w:ascii="Times New Roman" w:hAnsi="Times New Roman"/>
          <w:noProof/>
          <w:color w:val="000000"/>
          <w:sz w:val="28"/>
          <w:szCs w:val="28"/>
          <w:lang w:eastAsia="ru-RU"/>
        </w:rPr>
        <w:drawing>
          <wp:inline distT="0" distB="0" distL="0" distR="0">
            <wp:extent cx="2867025" cy="1362075"/>
            <wp:effectExtent l="0" t="0" r="0" b="0"/>
            <wp:docPr id="1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По сравнению с 2012 годом доля безубыточных предприятий уменьшилась, выручка от реализации продукции увеличилась на 4,6</w:t>
      </w:r>
      <w:r w:rsidRPr="00177CBE">
        <w:rPr>
          <w:rFonts w:ascii="Times New Roman" w:hAnsi="Times New Roman"/>
          <w:color w:val="FF0000"/>
          <w:sz w:val="28"/>
          <w:szCs w:val="28"/>
        </w:rPr>
        <w:t xml:space="preserve"> </w:t>
      </w:r>
      <w:r w:rsidRPr="00177CBE">
        <w:rPr>
          <w:rFonts w:ascii="Times New Roman" w:hAnsi="Times New Roman"/>
          <w:sz w:val="28"/>
          <w:szCs w:val="28"/>
        </w:rPr>
        <w:t>%.</w:t>
      </w:r>
    </w:p>
    <w:p w:rsidR="00177CBE" w:rsidRPr="00177CBE" w:rsidRDefault="00177CBE" w:rsidP="00177CBE">
      <w:pPr>
        <w:pStyle w:val="afc"/>
        <w:shd w:val="clear" w:color="auto" w:fill="FFFFFF"/>
        <w:spacing w:before="0" w:beforeAutospacing="0" w:after="0" w:afterAutospacing="0" w:line="0" w:lineRule="atLeast"/>
        <w:ind w:firstLine="709"/>
        <w:jc w:val="both"/>
        <w:rPr>
          <w:color w:val="000000"/>
          <w:sz w:val="28"/>
          <w:szCs w:val="28"/>
        </w:rPr>
      </w:pPr>
      <w:r w:rsidRPr="00177CBE">
        <w:rPr>
          <w:color w:val="000000"/>
          <w:sz w:val="28"/>
          <w:szCs w:val="28"/>
        </w:rPr>
        <w:tab/>
        <w:t xml:space="preserve">В 2015 году </w:t>
      </w:r>
      <w:r w:rsidRPr="00177CBE">
        <w:rPr>
          <w:sz w:val="28"/>
          <w:szCs w:val="28"/>
        </w:rPr>
        <w:t>7 крестьянских</w:t>
      </w:r>
      <w:r w:rsidRPr="00177CBE">
        <w:rPr>
          <w:color w:val="000000"/>
          <w:sz w:val="28"/>
          <w:szCs w:val="28"/>
        </w:rPr>
        <w:t xml:space="preserve"> (фермерских) хозяйств принимали участие в конкурсах на получение государственной поддержки по программам «Начинающий фермер» и «Семейная ферма». </w:t>
      </w:r>
      <w:r w:rsidRPr="00177CBE">
        <w:rPr>
          <w:sz w:val="28"/>
          <w:szCs w:val="28"/>
        </w:rPr>
        <w:t xml:space="preserve">В каждой номинации район получил гранты на сумму 3,6 млн. руб. на развитие малого </w:t>
      </w:r>
      <w:r w:rsidRPr="00177CBE">
        <w:rPr>
          <w:sz w:val="28"/>
          <w:szCs w:val="28"/>
        </w:rPr>
        <w:lastRenderedPageBreak/>
        <w:t>бизнеса. Средства грантов направлены на приобретение</w:t>
      </w:r>
      <w:r w:rsidRPr="00177CBE">
        <w:rPr>
          <w:color w:val="000000"/>
          <w:sz w:val="28"/>
          <w:szCs w:val="28"/>
        </w:rPr>
        <w:t xml:space="preserve"> сельскохозяйственной техники, пиломатериалов для строительства фермы.</w:t>
      </w:r>
    </w:p>
    <w:p w:rsidR="00177CBE" w:rsidRPr="00177CBE" w:rsidRDefault="00177CBE" w:rsidP="00177CBE">
      <w:pPr>
        <w:pStyle w:val="afc"/>
        <w:shd w:val="clear" w:color="auto" w:fill="FFFFFF"/>
        <w:spacing w:before="0" w:beforeAutospacing="0" w:after="0" w:afterAutospacing="0" w:line="0" w:lineRule="atLeast"/>
        <w:ind w:firstLine="709"/>
        <w:jc w:val="both"/>
        <w:rPr>
          <w:color w:val="000000"/>
          <w:sz w:val="28"/>
          <w:szCs w:val="28"/>
        </w:rPr>
      </w:pPr>
      <w:r w:rsidRPr="00177CBE">
        <w:rPr>
          <w:color w:val="000000"/>
          <w:sz w:val="28"/>
          <w:szCs w:val="28"/>
        </w:rPr>
        <w:t>Сельскохозяйственные предприятия направляют средства на приобретение высокотехнологичной техники, реконструкцию и строительство ферм. Так СПК "Майский" в 2015 году разработана проектно-сметная документация строительства молочно-товарной фермы на 200 голов КРС, строительство планируется осуществить в 2016 году.</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000000"/>
          <w:sz w:val="28"/>
          <w:szCs w:val="28"/>
        </w:rPr>
        <w:tab/>
      </w:r>
      <w:r w:rsidRPr="00177CBE">
        <w:rPr>
          <w:rFonts w:ascii="Times New Roman" w:hAnsi="Times New Roman"/>
          <w:b/>
          <w:i/>
          <w:color w:val="000000"/>
          <w:sz w:val="28"/>
          <w:szCs w:val="28"/>
        </w:rPr>
        <w:t>Розничная торговля</w:t>
      </w:r>
      <w:r w:rsidRPr="00177CBE">
        <w:rPr>
          <w:rFonts w:ascii="Times New Roman" w:hAnsi="Times New Roman"/>
          <w:color w:val="000000"/>
          <w:sz w:val="28"/>
          <w:szCs w:val="28"/>
        </w:rPr>
        <w:t xml:space="preserve"> является одной из динамично развивающихся отраслей в районе. Здесь сформирована достаточно сильная конкурентная среда, что способствует улучшению качества обслуживания населения. </w:t>
      </w:r>
      <w:r w:rsidRPr="00177CBE">
        <w:rPr>
          <w:rFonts w:ascii="Times New Roman" w:hAnsi="Times New Roman"/>
          <w:sz w:val="28"/>
          <w:szCs w:val="28"/>
        </w:rPr>
        <w:t>Кризисные явления, снижение потребительского спроса населения отразились на основном показателе отрасли – обороте розничной торговли. Снижение оборота к прошлому году в сопоставимых ценах составило 7,7 % Оборот за 2015 год (10 месяцев) составил 1466 млн. руб., что соответствует 12 месту в рейтинге муниципальных районов области. Ожидаемый оборот 2015 года - 1740 млн. руб.</w:t>
      </w: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201168" distB="304673" distL="1394460" distR="1760093" simplePos="0" relativeHeight="251664384" behindDoc="0" locked="0" layoutInCell="1" allowOverlap="1">
            <wp:simplePos x="0" y="0"/>
            <wp:positionH relativeFrom="column">
              <wp:posOffset>501015</wp:posOffset>
            </wp:positionH>
            <wp:positionV relativeFrom="paragraph">
              <wp:posOffset>92711</wp:posOffset>
            </wp:positionV>
            <wp:extent cx="4829175" cy="1085850"/>
            <wp:effectExtent l="0" t="0" r="0" b="0"/>
            <wp:wrapNone/>
            <wp:docPr id="47"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-3810</wp:posOffset>
            </wp:positionH>
            <wp:positionV relativeFrom="paragraph">
              <wp:posOffset>71120</wp:posOffset>
            </wp:positionV>
            <wp:extent cx="2095500" cy="1400175"/>
            <wp:effectExtent l="19050" t="0" r="0" b="0"/>
            <wp:wrapTight wrapText="bothSides">
              <wp:wrapPolygon edited="0">
                <wp:start x="-196" y="0"/>
                <wp:lineTo x="-196" y="21453"/>
                <wp:lineTo x="21600" y="21453"/>
                <wp:lineTo x="21600" y="0"/>
                <wp:lineTo x="-196" y="0"/>
              </wp:wrapPolygon>
            </wp:wrapTight>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2095500" cy="1400175"/>
                    </a:xfrm>
                    <a:prstGeom prst="rect">
                      <a:avLst/>
                    </a:prstGeom>
                    <a:noFill/>
                    <a:ln w="9525">
                      <a:noFill/>
                      <a:miter lim="800000"/>
                      <a:headEnd/>
                      <a:tailEnd/>
                    </a:ln>
                  </pic:spPr>
                </pic:pic>
              </a:graphicData>
            </a:graphic>
          </wp:anchor>
        </w:drawing>
      </w:r>
      <w:r w:rsidRPr="00177CBE">
        <w:rPr>
          <w:rFonts w:ascii="Times New Roman" w:hAnsi="Times New Roman"/>
          <w:sz w:val="28"/>
          <w:szCs w:val="28"/>
        </w:rPr>
        <w:tab/>
        <w:t xml:space="preserve">Сетевые показатели в отрасли также снизились, услуги розничной торговли оказывает 101 субъект торговли, используя для этого 230 магазинов (снижение к прошлому году на 7 %). Основная причина снижения жесткая конкуренция на потребительском рынке, снижение покупательской способности населения района.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0" distB="0" distL="114300" distR="114300" simplePos="0" relativeHeight="251668480" behindDoc="1" locked="0" layoutInCell="1" allowOverlap="1">
            <wp:simplePos x="0" y="0"/>
            <wp:positionH relativeFrom="column">
              <wp:posOffset>4034790</wp:posOffset>
            </wp:positionH>
            <wp:positionV relativeFrom="paragraph">
              <wp:posOffset>121920</wp:posOffset>
            </wp:positionV>
            <wp:extent cx="1961515" cy="1400175"/>
            <wp:effectExtent l="19050" t="0" r="635" b="0"/>
            <wp:wrapTight wrapText="bothSides">
              <wp:wrapPolygon edited="0">
                <wp:start x="-210" y="0"/>
                <wp:lineTo x="-210" y="21453"/>
                <wp:lineTo x="21607" y="21453"/>
                <wp:lineTo x="21607" y="0"/>
                <wp:lineTo x="-210" y="0"/>
              </wp:wrapPolygon>
            </wp:wrapTight>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r="11137"/>
                    <a:stretch>
                      <a:fillRect/>
                    </a:stretch>
                  </pic:blipFill>
                  <pic:spPr bwMode="auto">
                    <a:xfrm>
                      <a:off x="0" y="0"/>
                      <a:ext cx="1961515" cy="1400175"/>
                    </a:xfrm>
                    <a:prstGeom prst="rect">
                      <a:avLst/>
                    </a:prstGeom>
                    <a:noFill/>
                    <a:ln w="9525">
                      <a:noFill/>
                      <a:miter lim="800000"/>
                      <a:headEnd/>
                      <a:tailEnd/>
                    </a:ln>
                  </pic:spPr>
                </pic:pic>
              </a:graphicData>
            </a:graphic>
          </wp:anchor>
        </w:drawing>
      </w:r>
      <w:r w:rsidRPr="00177CBE">
        <w:rPr>
          <w:rFonts w:ascii="Times New Roman" w:hAnsi="Times New Roman"/>
          <w:sz w:val="28"/>
          <w:szCs w:val="28"/>
        </w:rPr>
        <w:tab/>
        <w:t>В общественном питании и бытовом обслуживании населения района все  объекты действуют, из новых объектов открылись 2 парикмахерские. Долгожданным событием для населения района стало открытие объекта общественного питания ООО «ТЦ «Удача» (ИП Некипелова М.В.) кафе на 80 посадочных мест и ресторана (банкетного зала) на 110 посадочных мест.</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Индикатором развития экономики района является рост </w:t>
      </w:r>
      <w:r w:rsidRPr="00177CBE">
        <w:rPr>
          <w:rFonts w:ascii="Times New Roman" w:hAnsi="Times New Roman"/>
          <w:b/>
          <w:i/>
          <w:sz w:val="28"/>
          <w:szCs w:val="28"/>
        </w:rPr>
        <w:t>инвестиционной деятельности</w:t>
      </w:r>
      <w:r w:rsidRPr="00177CBE">
        <w:rPr>
          <w:rFonts w:ascii="Times New Roman" w:hAnsi="Times New Roman"/>
          <w:sz w:val="28"/>
          <w:szCs w:val="28"/>
        </w:rPr>
        <w:t xml:space="preserve"> в сельском хозяйстве, пищевой промышленности, лесопромышленном комплексе, предприятиях </w:t>
      </w:r>
      <w:r w:rsidRPr="00177CBE">
        <w:rPr>
          <w:rFonts w:ascii="Times New Roman" w:hAnsi="Times New Roman"/>
          <w:sz w:val="28"/>
          <w:szCs w:val="28"/>
        </w:rPr>
        <w:lastRenderedPageBreak/>
        <w:t xml:space="preserve">потребительского рынка. За последние 5 лет в экономику района по крупным и средним предприятиям привлечено свыше 300 млн. руб.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За 9 месяцев 2015 года привлечено инвестиции в основной капитал за счет всех источников финансирования 92,5 млн. руб., почти в 3,8 раза больше чем за соответствующий период 2014 года.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329184" distB="392049" distL="1534668" distR="1293749" simplePos="0" relativeHeight="251661312" behindDoc="1" locked="0" layoutInCell="1" allowOverlap="1">
            <wp:simplePos x="0" y="0"/>
            <wp:positionH relativeFrom="column">
              <wp:posOffset>501015</wp:posOffset>
            </wp:positionH>
            <wp:positionV relativeFrom="paragraph">
              <wp:posOffset>195580</wp:posOffset>
            </wp:positionV>
            <wp:extent cx="5153025" cy="1295400"/>
            <wp:effectExtent l="0" t="0" r="0" b="0"/>
            <wp:wrapNone/>
            <wp:docPr id="46"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2.3 Социальная инфраструктура</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2.3.1Образование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Основной целью деятельности сферы образования является удовлетворение современных запросов социума в образовательных услугах и обеспечение доступного и качественного общего и дополнительного образования.</w:t>
      </w:r>
    </w:p>
    <w:p w:rsidR="00177CBE" w:rsidRPr="00177CBE" w:rsidRDefault="00177CBE" w:rsidP="00177CBE">
      <w:pPr>
        <w:pStyle w:val="ae"/>
        <w:spacing w:line="0" w:lineRule="atLeast"/>
        <w:jc w:val="both"/>
        <w:rPr>
          <w:rStyle w:val="c6"/>
          <w:rFonts w:ascii="Times New Roman" w:hAnsi="Times New Roman"/>
          <w:sz w:val="28"/>
          <w:szCs w:val="28"/>
        </w:rPr>
      </w:pPr>
      <w:r w:rsidRPr="00177CBE">
        <w:rPr>
          <w:rFonts w:ascii="Times New Roman" w:hAnsi="Times New Roman"/>
          <w:sz w:val="28"/>
          <w:szCs w:val="28"/>
        </w:rPr>
        <w:tab/>
      </w:r>
      <w:r w:rsidRPr="00177CBE">
        <w:rPr>
          <w:rStyle w:val="c6"/>
          <w:rFonts w:ascii="Times New Roman" w:hAnsi="Times New Roman"/>
          <w:sz w:val="28"/>
          <w:szCs w:val="28"/>
        </w:rPr>
        <w:t>В 2015 году структуру сети образовательных организаций района составили 7 школ (5 - средних,  1 – начальная школа – детский сад, 1 – специальная (коррекционная) школа – интернат 8 вида); 7 детских садов; 1 дошкольная группа на базе БОУ «Косковская средняя школа», место ведения образовательной деятельности по адресу д. Еловино; 1 дошкольная группа кратковременного пребывания на базе МБОУ «Кичменгско-Городецкая средняя школа», место ведения образовательной деятельности по адресу с. Сараево; 1 организация дополнительного образования детей. На 1 сменном режиме работы – 6 школ, на 2 сменном режиме – 1 школа.</w:t>
      </w:r>
    </w:p>
    <w:p w:rsidR="00177CBE" w:rsidRPr="00177CBE" w:rsidRDefault="00177CBE" w:rsidP="00177CBE">
      <w:pPr>
        <w:pStyle w:val="ae"/>
        <w:spacing w:line="0" w:lineRule="atLeast"/>
        <w:ind w:firstLine="709"/>
        <w:jc w:val="both"/>
        <w:rPr>
          <w:rStyle w:val="c6"/>
          <w:rFonts w:ascii="Times New Roman" w:hAnsi="Times New Roman"/>
          <w:sz w:val="28"/>
          <w:szCs w:val="28"/>
        </w:rPr>
      </w:pPr>
      <w:r w:rsidRPr="00177CBE">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-137160</wp:posOffset>
            </wp:positionH>
            <wp:positionV relativeFrom="paragraph">
              <wp:posOffset>171450</wp:posOffset>
            </wp:positionV>
            <wp:extent cx="2390775" cy="1343025"/>
            <wp:effectExtent l="19050" t="19050" r="28575" b="28575"/>
            <wp:wrapTight wrapText="bothSides">
              <wp:wrapPolygon edited="0">
                <wp:start x="-172" y="-306"/>
                <wp:lineTo x="-172" y="22060"/>
                <wp:lineTo x="21858" y="22060"/>
                <wp:lineTo x="21858" y="-306"/>
                <wp:lineTo x="-172" y="-306"/>
              </wp:wrapPolygon>
            </wp:wrapTight>
            <wp:docPr id="60" name="Рисунок 10" descr="1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909"/>
                    <pic:cNvPicPr>
                      <a:picLocks noChangeAspect="1" noChangeArrowheads="1"/>
                    </pic:cNvPicPr>
                  </pic:nvPicPr>
                  <pic:blipFill>
                    <a:blip r:embed="rId33" cstate="print"/>
                    <a:srcRect/>
                    <a:stretch>
                      <a:fillRect/>
                    </a:stretch>
                  </pic:blipFill>
                  <pic:spPr bwMode="auto">
                    <a:xfrm>
                      <a:off x="0" y="0"/>
                      <a:ext cx="2390775" cy="1343025"/>
                    </a:xfrm>
                    <a:prstGeom prst="rect">
                      <a:avLst/>
                    </a:prstGeom>
                    <a:noFill/>
                    <a:ln w="25400">
                      <a:solidFill>
                        <a:srgbClr val="FFFFFF"/>
                      </a:solidFill>
                      <a:miter lim="800000"/>
                      <a:headEnd/>
                      <a:tailEnd/>
                    </a:ln>
                  </pic:spPr>
                </pic:pic>
              </a:graphicData>
            </a:graphic>
          </wp:anchor>
        </w:drawing>
      </w:r>
      <w:r w:rsidRPr="00177CBE">
        <w:rPr>
          <w:rStyle w:val="c6"/>
          <w:rFonts w:ascii="Times New Roman" w:hAnsi="Times New Roman"/>
          <w:sz w:val="28"/>
          <w:szCs w:val="28"/>
        </w:rPr>
        <w:t xml:space="preserve">В 2015 году оптимизация образовательной сети произошла путем присоединения основных школ к средним школам с созданием мест ведения образовательной деятельности по адресам. </w:t>
      </w:r>
    </w:p>
    <w:p w:rsidR="00177CBE" w:rsidRPr="00177CBE" w:rsidRDefault="00177CBE" w:rsidP="00177CBE">
      <w:pPr>
        <w:pStyle w:val="ae"/>
        <w:spacing w:line="0" w:lineRule="atLeast"/>
        <w:ind w:firstLine="709"/>
        <w:jc w:val="both"/>
        <w:rPr>
          <w:rStyle w:val="c6"/>
          <w:rFonts w:ascii="Times New Roman" w:hAnsi="Times New Roman"/>
          <w:sz w:val="28"/>
          <w:szCs w:val="28"/>
        </w:rPr>
      </w:pPr>
      <w:r w:rsidRPr="00177CBE">
        <w:rPr>
          <w:rStyle w:val="c6"/>
          <w:rFonts w:ascii="Times New Roman" w:hAnsi="Times New Roman"/>
          <w:sz w:val="28"/>
          <w:szCs w:val="28"/>
        </w:rPr>
        <w:t>Перевозкой детей до мест учёбы и обратно занимается БАУ «Автотранспортное хозяйство», созданное в декабре 2013 года. На сегодня автопарк предприятия – 17 автобусов и 2 легковых автомобиля.</w:t>
      </w:r>
    </w:p>
    <w:p w:rsidR="00177CBE" w:rsidRPr="00177CBE" w:rsidRDefault="00177CBE" w:rsidP="00177CBE">
      <w:pPr>
        <w:pStyle w:val="ae"/>
        <w:spacing w:line="0" w:lineRule="atLeast"/>
        <w:jc w:val="both"/>
        <w:rPr>
          <w:rStyle w:val="c6"/>
          <w:rFonts w:ascii="Times New Roman" w:hAnsi="Times New Roman"/>
          <w:sz w:val="28"/>
          <w:szCs w:val="28"/>
        </w:rPr>
      </w:pPr>
      <w:r w:rsidRPr="00177CBE">
        <w:rPr>
          <w:rStyle w:val="c6"/>
          <w:rFonts w:ascii="Times New Roman" w:hAnsi="Times New Roman"/>
          <w:sz w:val="28"/>
          <w:szCs w:val="28"/>
        </w:rPr>
        <w:tab/>
      </w:r>
      <w:r w:rsidRPr="00177CBE">
        <w:rPr>
          <w:rFonts w:ascii="Times New Roman" w:hAnsi="Times New Roman"/>
          <w:bCs/>
          <w:sz w:val="28"/>
          <w:szCs w:val="28"/>
        </w:rPr>
        <w:t xml:space="preserve">На начало 2015-2016 учебного года численность учащихся района составляет 1759 человек. В 2 средних школах райцентра в 2015 году обучается 1358 детей (77,2 %). </w:t>
      </w:r>
      <w:r w:rsidRPr="00177CBE">
        <w:rPr>
          <w:rStyle w:val="c6"/>
          <w:rFonts w:ascii="Times New Roman" w:hAnsi="Times New Roman"/>
          <w:sz w:val="28"/>
          <w:szCs w:val="28"/>
        </w:rPr>
        <w:t xml:space="preserve">К сожалению, тенденция сокращения контингента обучающихся школ продолжается ежегодно. С 2010 года количество обучающихся уменьшилось на 249 человек (на 12,6%). </w:t>
      </w:r>
    </w:p>
    <w:p w:rsidR="00177CBE" w:rsidRPr="00177CBE" w:rsidRDefault="00177CBE" w:rsidP="00177CBE">
      <w:pPr>
        <w:pStyle w:val="ae"/>
        <w:spacing w:line="0" w:lineRule="atLeast"/>
        <w:jc w:val="both"/>
        <w:rPr>
          <w:rStyle w:val="c6"/>
          <w:rFonts w:ascii="Times New Roman" w:hAnsi="Times New Roman"/>
          <w:sz w:val="28"/>
          <w:szCs w:val="28"/>
        </w:rPr>
      </w:pPr>
      <w:r w:rsidRPr="00177CBE">
        <w:rPr>
          <w:rStyle w:val="c6"/>
          <w:rFonts w:ascii="Times New Roman" w:hAnsi="Times New Roman"/>
          <w:sz w:val="28"/>
          <w:szCs w:val="28"/>
        </w:rPr>
        <w:tab/>
        <w:t xml:space="preserve">Основным направлением работы Управления образования района в системе </w:t>
      </w:r>
      <w:r w:rsidRPr="00177CBE">
        <w:rPr>
          <w:rStyle w:val="c6"/>
          <w:rFonts w:ascii="Times New Roman" w:hAnsi="Times New Roman"/>
          <w:i/>
          <w:sz w:val="28"/>
          <w:szCs w:val="28"/>
        </w:rPr>
        <w:t xml:space="preserve">дошкольного образования </w:t>
      </w:r>
      <w:r w:rsidRPr="00177CBE">
        <w:rPr>
          <w:rStyle w:val="c6"/>
          <w:rFonts w:ascii="Times New Roman" w:hAnsi="Times New Roman"/>
          <w:sz w:val="28"/>
          <w:szCs w:val="28"/>
        </w:rPr>
        <w:t xml:space="preserve">является ликвидация очередности на зачисление детей в дошкольные образовательные организации через создание дополнительных мест, а также развитие вариативных форм дошкольного образования. </w:t>
      </w:r>
    </w:p>
    <w:p w:rsidR="00177CBE" w:rsidRPr="00177CBE" w:rsidRDefault="00177CBE" w:rsidP="00177CBE">
      <w:pPr>
        <w:pStyle w:val="ae"/>
        <w:spacing w:line="0" w:lineRule="atLeast"/>
        <w:jc w:val="both"/>
        <w:rPr>
          <w:rStyle w:val="c6"/>
          <w:rFonts w:ascii="Times New Roman" w:hAnsi="Times New Roman"/>
          <w:sz w:val="28"/>
          <w:szCs w:val="28"/>
        </w:rPr>
      </w:pPr>
      <w:r w:rsidRPr="00177CBE">
        <w:rPr>
          <w:rStyle w:val="c6"/>
          <w:rFonts w:ascii="Times New Roman" w:hAnsi="Times New Roman"/>
          <w:sz w:val="28"/>
          <w:szCs w:val="28"/>
        </w:rPr>
        <w:lastRenderedPageBreak/>
        <w:tab/>
        <w:t xml:space="preserve">В районе проживает 1605 детей в возрасте от 0-7 лет. Детские сады и группы при общеобразовательных школах посещает 969 детей. Таким образом, охват детей дошкольным образованием составил на конец 2015 года 60,4 %. </w:t>
      </w:r>
    </w:p>
    <w:p w:rsidR="00177CBE" w:rsidRPr="00177CBE" w:rsidRDefault="00177CBE" w:rsidP="00177CBE">
      <w:pPr>
        <w:pStyle w:val="ae"/>
        <w:spacing w:line="0" w:lineRule="atLeast"/>
        <w:jc w:val="both"/>
        <w:rPr>
          <w:rStyle w:val="c6"/>
          <w:rFonts w:ascii="Times New Roman" w:hAnsi="Times New Roman"/>
          <w:sz w:val="28"/>
          <w:szCs w:val="28"/>
        </w:rPr>
      </w:pPr>
      <w:r w:rsidRPr="00177CBE">
        <w:rPr>
          <w:rStyle w:val="c6"/>
          <w:rFonts w:ascii="Times New Roman" w:hAnsi="Times New Roman"/>
          <w:sz w:val="28"/>
          <w:szCs w:val="28"/>
        </w:rPr>
        <w:tab/>
        <w:t xml:space="preserve">На получение услуг дошкольного образования на 31 декабря 2015 года стоят в очереди 164 ребенка в возрасте от 0-3 лет. </w:t>
      </w:r>
      <w:r w:rsidRPr="00177CBE">
        <w:rPr>
          <w:rFonts w:ascii="Times New Roman" w:hAnsi="Times New Roman"/>
          <w:sz w:val="28"/>
          <w:szCs w:val="28"/>
        </w:rPr>
        <w:t>Задача, поставленная Президентом РФ о первоочередном зачислении в детские сады детей от 3 до 7 лет, выполнена. 100% детей в возрасте от 3 до 7 лет предоставлена возможность получения дошкольного образования.</w:t>
      </w:r>
      <w:r w:rsidRPr="00177CBE">
        <w:rPr>
          <w:rStyle w:val="c6"/>
          <w:rFonts w:ascii="Times New Roman" w:hAnsi="Times New Roman"/>
          <w:sz w:val="28"/>
          <w:szCs w:val="28"/>
        </w:rPr>
        <w:t xml:space="preserve"> Результаты достигнуты, за счет программы Модернизации региональной системы дошкольного образования. С 1 октября 2015 года в районе открыто 40 мест в БДОУ «Детский сад комбинированного вида «Аленушка» (поселок Находка). На базе БДОУ «Детский сад комбинированного вида «Березка» открыта группа кратковременного пребывания на 14 детей.</w:t>
      </w:r>
      <w:r w:rsidRPr="00177CBE">
        <w:rPr>
          <w:rFonts w:ascii="Times New Roman" w:hAnsi="Times New Roman"/>
          <w:sz w:val="28"/>
          <w:szCs w:val="28"/>
        </w:rPr>
        <w:t xml:space="preserve"> </w:t>
      </w:r>
    </w:p>
    <w:p w:rsidR="00177CBE" w:rsidRPr="00177CBE" w:rsidRDefault="00177CBE" w:rsidP="00177CBE">
      <w:pPr>
        <w:pStyle w:val="ae"/>
        <w:spacing w:line="0" w:lineRule="atLeast"/>
        <w:jc w:val="both"/>
        <w:rPr>
          <w:rFonts w:ascii="Times New Roman" w:eastAsia="Microsoft YaHei" w:hAnsi="Times New Roman"/>
          <w:bCs/>
          <w:kern w:val="1"/>
          <w:sz w:val="28"/>
          <w:szCs w:val="28"/>
        </w:rPr>
      </w:pPr>
      <w:r w:rsidRPr="00177CBE">
        <w:rPr>
          <w:rFonts w:ascii="Times New Roman" w:hAnsi="Times New Roman"/>
          <w:noProof/>
          <w:sz w:val="28"/>
          <w:szCs w:val="28"/>
          <w:lang w:eastAsia="ru-RU"/>
        </w:rPr>
        <w:drawing>
          <wp:anchor distT="0" distB="0" distL="114300" distR="114300" simplePos="0" relativeHeight="251671552" behindDoc="1" locked="0" layoutInCell="1" allowOverlap="0">
            <wp:simplePos x="0" y="0"/>
            <wp:positionH relativeFrom="column">
              <wp:posOffset>-3810</wp:posOffset>
            </wp:positionH>
            <wp:positionV relativeFrom="paragraph">
              <wp:posOffset>63500</wp:posOffset>
            </wp:positionV>
            <wp:extent cx="2396490" cy="1733550"/>
            <wp:effectExtent l="19050" t="0" r="3810" b="0"/>
            <wp:wrapTight wrapText="bothSides">
              <wp:wrapPolygon edited="0">
                <wp:start x="-172" y="0"/>
                <wp:lineTo x="-172" y="21363"/>
                <wp:lineTo x="21634" y="21363"/>
                <wp:lineTo x="21634" y="0"/>
                <wp:lineTo x="-172" y="0"/>
              </wp:wrapPolygon>
            </wp:wrapTight>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srcRect/>
                    <a:stretch>
                      <a:fillRect/>
                    </a:stretch>
                  </pic:blipFill>
                  <pic:spPr bwMode="auto">
                    <a:xfrm>
                      <a:off x="0" y="0"/>
                      <a:ext cx="2396490" cy="1733550"/>
                    </a:xfrm>
                    <a:prstGeom prst="rect">
                      <a:avLst/>
                    </a:prstGeom>
                    <a:noFill/>
                    <a:ln w="9525">
                      <a:noFill/>
                      <a:miter lim="800000"/>
                      <a:headEnd/>
                      <a:tailEnd/>
                    </a:ln>
                  </pic:spPr>
                </pic:pic>
              </a:graphicData>
            </a:graphic>
          </wp:anchor>
        </w:drawing>
      </w:r>
      <w:r w:rsidRPr="00177CBE">
        <w:rPr>
          <w:rStyle w:val="c6"/>
          <w:rFonts w:ascii="Times New Roman" w:hAnsi="Times New Roman"/>
          <w:sz w:val="28"/>
          <w:szCs w:val="28"/>
        </w:rPr>
        <w:tab/>
        <w:t xml:space="preserve">В районе успешно реализуется проект «Электронный детский сад», благодаря которому население района получило возможность подать заявление на зачисление детей в детские дошкольные организации в электронном виде. </w:t>
      </w:r>
      <w:r w:rsidRPr="00177CBE">
        <w:rPr>
          <w:rFonts w:ascii="Times New Roman" w:eastAsia="Microsoft YaHei" w:hAnsi="Times New Roman"/>
          <w:bCs/>
          <w:kern w:val="1"/>
          <w:sz w:val="28"/>
          <w:szCs w:val="28"/>
        </w:rPr>
        <w:t>Процент заявлений на зачисление детей в детские сады, поданный с Единого портала государственных услуг (ЕПГУ) за 2015 год составил 36,3% от общего количества, при нормативе 10 %.</w:t>
      </w:r>
    </w:p>
    <w:p w:rsidR="00177CBE" w:rsidRPr="00177CBE" w:rsidRDefault="00177CBE" w:rsidP="00177CBE">
      <w:pPr>
        <w:pStyle w:val="ae"/>
        <w:spacing w:line="0" w:lineRule="atLeast"/>
        <w:jc w:val="both"/>
        <w:rPr>
          <w:rStyle w:val="c6"/>
          <w:rFonts w:ascii="Times New Roman" w:hAnsi="Times New Roman"/>
          <w:sz w:val="28"/>
          <w:szCs w:val="28"/>
        </w:rPr>
      </w:pPr>
      <w:r w:rsidRPr="00177CBE">
        <w:rPr>
          <w:rStyle w:val="c6"/>
          <w:rFonts w:ascii="Times New Roman" w:hAnsi="Times New Roman"/>
          <w:sz w:val="28"/>
          <w:szCs w:val="28"/>
        </w:rPr>
        <w:tab/>
        <w:t>Проблему очередности на зачисление детей в дошкольные образовательные организации позволит решить строительство детского сада в с. Кичменгский Городок на 200 мест, запланированного на 2018 год. В настоящее время разработана проектно – сметная документация, имеется положительное заключение экспертизы, подана заявка на строительство в Правительство Вологодской области.</w:t>
      </w:r>
    </w:p>
    <w:p w:rsidR="00177CBE" w:rsidRPr="00177CBE" w:rsidRDefault="00177CBE" w:rsidP="00177CBE">
      <w:pPr>
        <w:pStyle w:val="ae"/>
        <w:spacing w:line="0" w:lineRule="atLeast"/>
        <w:jc w:val="both"/>
        <w:rPr>
          <w:rStyle w:val="c6"/>
          <w:rFonts w:ascii="Times New Roman" w:hAnsi="Times New Roman"/>
          <w:sz w:val="28"/>
          <w:szCs w:val="28"/>
        </w:rPr>
      </w:pPr>
      <w:r w:rsidRPr="00177CBE">
        <w:rPr>
          <w:rStyle w:val="c6"/>
          <w:rFonts w:ascii="Times New Roman" w:hAnsi="Times New Roman"/>
          <w:sz w:val="28"/>
          <w:szCs w:val="28"/>
        </w:rPr>
        <w:tab/>
        <w:t xml:space="preserve">В системе </w:t>
      </w:r>
      <w:r w:rsidRPr="00177CBE">
        <w:rPr>
          <w:rStyle w:val="c6"/>
          <w:rFonts w:ascii="Times New Roman" w:hAnsi="Times New Roman"/>
          <w:i/>
          <w:sz w:val="28"/>
          <w:szCs w:val="28"/>
        </w:rPr>
        <w:t>общего образования</w:t>
      </w:r>
      <w:r w:rsidRPr="00177CBE">
        <w:rPr>
          <w:rStyle w:val="c6"/>
          <w:rFonts w:ascii="Times New Roman" w:hAnsi="Times New Roman"/>
          <w:sz w:val="28"/>
          <w:szCs w:val="28"/>
        </w:rPr>
        <w:t xml:space="preserve"> достижение новых качественных образовательных результатов обеспечивается через введение и реализацию федеральных государственных образовательных стандартов (ФГОС) общего образования, создание системы оценки качества образования.</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5838825" cy="1495425"/>
            <wp:effectExtent l="0" t="0" r="0" b="0"/>
            <wp:docPr id="62"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7CBE" w:rsidRPr="00177CBE" w:rsidRDefault="00177CBE" w:rsidP="00177CBE">
      <w:pPr>
        <w:spacing w:line="0" w:lineRule="atLeast"/>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Средний районный показатель успеваемости по всем учащимся составил в 2015 году 99,6 %, Качественный показатель успеваемости составил 47,6 %, что  выше е предыдущих лет. </w:t>
      </w:r>
    </w:p>
    <w:p w:rsidR="00177CBE" w:rsidRPr="00177CBE" w:rsidRDefault="00177CBE" w:rsidP="00177CBE">
      <w:pPr>
        <w:pStyle w:val="ae"/>
        <w:spacing w:line="0" w:lineRule="atLeast"/>
        <w:ind w:firstLine="709"/>
        <w:jc w:val="both"/>
        <w:rPr>
          <w:rFonts w:ascii="Times New Roman" w:hAnsi="Times New Roman"/>
          <w:sz w:val="28"/>
          <w:szCs w:val="28"/>
        </w:rPr>
      </w:pPr>
      <w:r w:rsidRPr="00177CBE">
        <w:rPr>
          <w:rFonts w:ascii="Times New Roman" w:hAnsi="Times New Roman"/>
          <w:sz w:val="28"/>
          <w:szCs w:val="28"/>
        </w:rPr>
        <w:lastRenderedPageBreak/>
        <w:t>Государственная итоговая аттестация (ГИА) проходила в 2015 году по новым Порядкам, утвержденным приказами Министерства образования и науки РФ, которые внесли изменения в процедуры проведения экзаменов. Это, в первую очередь, связано с обеспечением информационной безопасности, обеспеченной установкой системы видеонаблюдения в аудиториях пункта проведения ЕГЭ и металлоискателей при входе.</w:t>
      </w:r>
    </w:p>
    <w:p w:rsidR="00177CBE" w:rsidRPr="00177CBE" w:rsidRDefault="00177CBE" w:rsidP="00177CBE">
      <w:pPr>
        <w:pStyle w:val="ae"/>
        <w:spacing w:line="0" w:lineRule="atLeast"/>
        <w:ind w:firstLine="709"/>
        <w:jc w:val="both"/>
        <w:rPr>
          <w:rFonts w:ascii="Times New Roman" w:hAnsi="Times New Roman"/>
          <w:sz w:val="28"/>
          <w:szCs w:val="28"/>
        </w:rPr>
      </w:pPr>
      <w:r w:rsidRPr="00177CBE">
        <w:rPr>
          <w:rFonts w:ascii="Times New Roman" w:hAnsi="Times New Roman"/>
          <w:sz w:val="28"/>
          <w:szCs w:val="28"/>
        </w:rPr>
        <w:t xml:space="preserve">Результаты ГИА-9 выпускников 9-х классов </w:t>
      </w:r>
      <w:r w:rsidRPr="00177CBE">
        <w:rPr>
          <w:rFonts w:ascii="Times New Roman" w:hAnsi="Times New Roman"/>
          <w:sz w:val="28"/>
          <w:szCs w:val="28"/>
        </w:rPr>
        <w:br/>
        <w:t>в 2012-2015 годах представлены ниже.</w:t>
      </w:r>
    </w:p>
    <w:p w:rsidR="00177CBE" w:rsidRPr="00177CBE" w:rsidRDefault="00177CBE" w:rsidP="00177CBE">
      <w:pPr>
        <w:spacing w:line="0" w:lineRule="atLeast"/>
        <w:jc w:val="both"/>
      </w:pPr>
      <w:r w:rsidRPr="00177CBE">
        <w:rPr>
          <w:noProof/>
        </w:rPr>
        <w:drawing>
          <wp:inline distT="0" distB="0" distL="0" distR="0">
            <wp:extent cx="2667000" cy="1924050"/>
            <wp:effectExtent l="0" t="0" r="0" b="0"/>
            <wp:docPr id="129"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177CBE">
        <w:rPr>
          <w:noProof/>
        </w:rPr>
        <w:drawing>
          <wp:anchor distT="0" distB="0" distL="114300" distR="114300" simplePos="0" relativeHeight="251672576" behindDoc="0" locked="0" layoutInCell="1" allowOverlap="1">
            <wp:simplePos x="0" y="0"/>
            <wp:positionH relativeFrom="column">
              <wp:align>left</wp:align>
            </wp:positionH>
            <wp:positionV relativeFrom="paragraph">
              <wp:posOffset>116840</wp:posOffset>
            </wp:positionV>
            <wp:extent cx="2638425" cy="1819275"/>
            <wp:effectExtent l="0" t="0" r="0" b="0"/>
            <wp:wrapSquare wrapText="bothSides"/>
            <wp:docPr id="128"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177CBE">
        <w:br w:type="textWrapping" w:clear="all"/>
      </w:r>
    </w:p>
    <w:p w:rsidR="00177CBE" w:rsidRPr="00177CBE" w:rsidRDefault="00177CBE" w:rsidP="00177CBE">
      <w:pPr>
        <w:pStyle w:val="ae"/>
        <w:spacing w:line="0" w:lineRule="atLeast"/>
        <w:ind w:firstLine="709"/>
        <w:jc w:val="both"/>
        <w:rPr>
          <w:rFonts w:ascii="Times New Roman" w:hAnsi="Times New Roman"/>
          <w:sz w:val="28"/>
          <w:szCs w:val="28"/>
        </w:rPr>
      </w:pPr>
      <w:r w:rsidRPr="00177CBE">
        <w:rPr>
          <w:rFonts w:ascii="Times New Roman" w:hAnsi="Times New Roman"/>
          <w:sz w:val="28"/>
          <w:szCs w:val="28"/>
        </w:rPr>
        <w:t xml:space="preserve">Из допущенных 157 учащихся все справились с экзаменационными работами. </w:t>
      </w:r>
      <w:r w:rsidRPr="00177CBE">
        <w:rPr>
          <w:rFonts w:ascii="Times New Roman" w:hAnsi="Times New Roman"/>
          <w:sz w:val="28"/>
          <w:szCs w:val="28"/>
          <w:shd w:val="clear" w:color="auto" w:fill="FFFFFF"/>
        </w:rPr>
        <w:t xml:space="preserve">По математике на «4 и 5» справились с заданиями - 67 выпускников, это 43%, по русскому языку на «4 и 5» - 104, это 66%. </w:t>
      </w:r>
      <w:r w:rsidRPr="00177CBE">
        <w:rPr>
          <w:rFonts w:ascii="Times New Roman" w:hAnsi="Times New Roman"/>
          <w:sz w:val="28"/>
          <w:szCs w:val="28"/>
        </w:rPr>
        <w:t>Успеваемость и качество обучения за 3 последних года на экзаменах по русскому языку и математике выше областных результатов.</w:t>
      </w:r>
    </w:p>
    <w:p w:rsidR="00177CBE" w:rsidRPr="00177CBE" w:rsidRDefault="00177CBE" w:rsidP="00177CBE">
      <w:pPr>
        <w:spacing w:line="0" w:lineRule="atLeast"/>
        <w:ind w:firstLine="709"/>
        <w:rPr>
          <w:b/>
          <w:sz w:val="28"/>
          <w:szCs w:val="28"/>
        </w:rPr>
      </w:pPr>
      <w:r w:rsidRPr="00177CBE">
        <w:rPr>
          <w:sz w:val="28"/>
          <w:szCs w:val="28"/>
        </w:rPr>
        <w:t>В 2015 году Единый Государственный Экзамен сдавали 80 учащихся 11 классов. Результаты сдачи ЕГЭ по обязательным предметам в 2011-2015 гг. представлены на диаграммах.</w:t>
      </w:r>
      <w:r w:rsidRPr="00177CBE">
        <w:rPr>
          <w:b/>
          <w:noProof/>
          <w:sz w:val="28"/>
          <w:szCs w:val="28"/>
        </w:rPr>
        <w:t xml:space="preserve"> </w:t>
      </w:r>
      <w:r w:rsidRPr="00177CBE">
        <w:rPr>
          <w:noProof/>
          <w:sz w:val="28"/>
          <w:szCs w:val="28"/>
        </w:rPr>
        <w:drawing>
          <wp:inline distT="0" distB="0" distL="0" distR="0">
            <wp:extent cx="5353050" cy="1504950"/>
            <wp:effectExtent l="0" t="0" r="0" b="0"/>
            <wp:docPr id="132"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77CBE">
        <w:rPr>
          <w:b/>
          <w:noProof/>
          <w:sz w:val="28"/>
          <w:szCs w:val="28"/>
        </w:rPr>
        <w:drawing>
          <wp:inline distT="0" distB="0" distL="0" distR="0">
            <wp:extent cx="5419725" cy="1704975"/>
            <wp:effectExtent l="0" t="0" r="0" b="0"/>
            <wp:docPr id="133"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77CBE" w:rsidRPr="00177CBE" w:rsidRDefault="00177CBE" w:rsidP="00177CBE">
      <w:pPr>
        <w:pStyle w:val="ae"/>
        <w:spacing w:line="0" w:lineRule="atLeast"/>
        <w:ind w:firstLine="709"/>
        <w:jc w:val="both"/>
        <w:rPr>
          <w:rFonts w:ascii="Times New Roman" w:hAnsi="Times New Roman"/>
          <w:sz w:val="28"/>
          <w:szCs w:val="28"/>
          <w:shd w:val="clear" w:color="auto" w:fill="FFFFFF"/>
        </w:rPr>
      </w:pPr>
      <w:r w:rsidRPr="00177CBE">
        <w:rPr>
          <w:rFonts w:ascii="Times New Roman" w:hAnsi="Times New Roman"/>
          <w:sz w:val="28"/>
          <w:szCs w:val="28"/>
          <w:shd w:val="clear" w:color="auto" w:fill="FFFFFF"/>
        </w:rPr>
        <w:t xml:space="preserve"> </w:t>
      </w:r>
    </w:p>
    <w:p w:rsidR="00177CBE" w:rsidRPr="00177CBE" w:rsidRDefault="00177CBE" w:rsidP="00177CBE">
      <w:pPr>
        <w:pStyle w:val="ae"/>
        <w:spacing w:line="0" w:lineRule="atLeast"/>
        <w:jc w:val="both"/>
        <w:rPr>
          <w:rFonts w:ascii="Times New Roman" w:hAnsi="Times New Roman"/>
          <w:sz w:val="28"/>
          <w:szCs w:val="28"/>
          <w:shd w:val="clear" w:color="auto" w:fill="FFFFFF"/>
        </w:rPr>
      </w:pPr>
      <w:r w:rsidRPr="00177CBE">
        <w:rPr>
          <w:rFonts w:ascii="Times New Roman" w:hAnsi="Times New Roman"/>
          <w:sz w:val="28"/>
          <w:szCs w:val="28"/>
          <w:shd w:val="clear" w:color="auto" w:fill="FFFFFF"/>
        </w:rPr>
        <w:tab/>
        <w:t>Из 80 выпускников этого учебного года окончили школу с золотой медалью 10 человек.</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lastRenderedPageBreak/>
        <w:tab/>
        <w:t>По итогам 2014-2015 учебного года МБОУ «Кичменгско-Городецкая средняя  школа» вошла в «ТОП 30 лучших общеобразовательных организаций Вологодской области» по результатам ЕГЭ.</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Доля детей, охваченных образовательными программами дополнительного образования детей, в общей численности детей и молодежи в возрасте 5-18 лет составила в 2015 г. - 67,2 %. (в 2014 г. - 56 %). Увеличение произошло за счёт прохождения детскими садами процедуры лицензирования программ дополнительного образования. Развивается система поддержки талантливых детей.</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Традиционным стал приём у Главы района одарённых детей. Так в 2015 году 20 обучающимся школ района вручены Приветственные адреса Главы района и премии за достижения в области гуманитарных, естественных, точных наук, а так же достижения в исследовательской деятельности, художественном творчестве, спорте.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2015 г. ученица МБОУ «Кичменгско-Городецкая средняя  школа» Ладина Карина награждена областной премией «100 юных талантов Вологодчины».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w:t>
      </w:r>
      <w:r w:rsidRPr="00177CBE">
        <w:rPr>
          <w:rFonts w:ascii="Times New Roman" w:hAnsi="Times New Roman"/>
          <w:sz w:val="28"/>
          <w:szCs w:val="28"/>
        </w:rPr>
        <w:tab/>
        <w:t xml:space="preserve">В 2015 году 841 ребенок (34 % от количества детей в возрасте от 5до 18 лет) принял участие в областных и Всероссийских конкурсах и мероприятиях; 905 детей (36%) - в районных конкурсах и мероприятиях. В муниципальном этапе Всероссийской олимпиады школьников в 2015 году приняло участие 317 учащихся. Всего награждены дипломами победителей и призеров 186 участников, из них 41 победитель.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Из значимых внеучебных достижений детей так же необходимо отметить: </w:t>
      </w:r>
    </w:p>
    <w:p w:rsidR="00177CBE" w:rsidRPr="00177CBE" w:rsidRDefault="00177CBE" w:rsidP="00177CBE">
      <w:pPr>
        <w:pStyle w:val="ae"/>
        <w:numPr>
          <w:ilvl w:val="0"/>
          <w:numId w:val="7"/>
        </w:numPr>
        <w:spacing w:line="0" w:lineRule="atLeast"/>
        <w:jc w:val="both"/>
        <w:rPr>
          <w:rFonts w:ascii="Times New Roman" w:hAnsi="Times New Roman"/>
          <w:sz w:val="28"/>
          <w:szCs w:val="28"/>
        </w:rPr>
      </w:pPr>
      <w:r w:rsidRPr="00177CBE">
        <w:rPr>
          <w:rFonts w:ascii="Times New Roman" w:hAnsi="Times New Roman"/>
          <w:sz w:val="28"/>
          <w:szCs w:val="28"/>
        </w:rPr>
        <w:t>На региональном уровне конкурса-фестиваля юных инспекторов движения на знание ПДД «Безопасное колесо - 2015» команда БОУ «Югская средняя школа» заняла I место. По итогам конкурса обучающиеся получили путевки в лагерь «Артек».</w:t>
      </w:r>
    </w:p>
    <w:p w:rsidR="00177CBE" w:rsidRPr="00177CBE" w:rsidRDefault="00177CBE" w:rsidP="00177CBE">
      <w:pPr>
        <w:pStyle w:val="ae"/>
        <w:numPr>
          <w:ilvl w:val="0"/>
          <w:numId w:val="7"/>
        </w:numPr>
        <w:spacing w:line="0" w:lineRule="atLeast"/>
        <w:jc w:val="both"/>
        <w:rPr>
          <w:rFonts w:ascii="Times New Roman" w:hAnsi="Times New Roman"/>
          <w:sz w:val="28"/>
          <w:szCs w:val="28"/>
        </w:rPr>
      </w:pPr>
      <w:r w:rsidRPr="00177CBE">
        <w:rPr>
          <w:rFonts w:ascii="Times New Roman" w:hAnsi="Times New Roman"/>
          <w:sz w:val="28"/>
          <w:szCs w:val="28"/>
        </w:rPr>
        <w:t xml:space="preserve">На региональном этапе III Международного конкурса чтецов «Живая классика» победительницей стала учащаяся МБОУ «Кичменгско-Городецкая средняя  школа» Ладина Карина, так же получившая путевку во всесоюзный лагерь «Артек». </w:t>
      </w:r>
    </w:p>
    <w:p w:rsidR="00177CBE" w:rsidRPr="00177CBE" w:rsidRDefault="00177CBE" w:rsidP="00177CBE">
      <w:pPr>
        <w:pStyle w:val="ae"/>
        <w:numPr>
          <w:ilvl w:val="0"/>
          <w:numId w:val="7"/>
        </w:numPr>
        <w:spacing w:line="0" w:lineRule="atLeast"/>
        <w:jc w:val="both"/>
        <w:rPr>
          <w:rFonts w:ascii="Times New Roman" w:hAnsi="Times New Roman"/>
          <w:sz w:val="28"/>
          <w:szCs w:val="28"/>
        </w:rPr>
      </w:pPr>
      <w:r w:rsidRPr="00177CBE">
        <w:rPr>
          <w:rFonts w:ascii="Times New Roman" w:hAnsi="Times New Roman"/>
          <w:sz w:val="28"/>
          <w:szCs w:val="28"/>
        </w:rPr>
        <w:t>Областной конкурс «Призывник года-2015» Токаревский Алексей из МБОУ «Кичменгско-Городецкая средняя  школа» - 1 место.</w:t>
      </w:r>
    </w:p>
    <w:p w:rsidR="00177CBE" w:rsidRPr="00177CBE" w:rsidRDefault="00177CBE" w:rsidP="00177CBE">
      <w:pPr>
        <w:pStyle w:val="ae"/>
        <w:numPr>
          <w:ilvl w:val="0"/>
          <w:numId w:val="7"/>
        </w:numPr>
        <w:spacing w:line="0" w:lineRule="atLeast"/>
        <w:jc w:val="both"/>
        <w:rPr>
          <w:rFonts w:ascii="Times New Roman" w:hAnsi="Times New Roman"/>
          <w:sz w:val="28"/>
          <w:szCs w:val="28"/>
        </w:rPr>
      </w:pPr>
      <w:r w:rsidRPr="00177CBE">
        <w:rPr>
          <w:rFonts w:ascii="Times New Roman" w:hAnsi="Times New Roman"/>
          <w:sz w:val="28"/>
          <w:szCs w:val="28"/>
        </w:rPr>
        <w:t>IIX Всероссийский фестиваль школьных средств массовой информации и творческих коллективов «Пою мое Отечество» БОУ «Югская средняя школа» завоевала два 1 места.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2015 году 100% учащихся были обеспечены горячим питанием из них двухразовым питанием 41 % учащихся, 75% учащихся предоставлено льготное питание.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С целью улучшения современных условий обучения  активно формируется современная школьная инфраструктура. Накоплен значительный опыт дистанционного образования детей-инвалидов. С целью организации сетевого взаимодействия установлены комплексы для </w:t>
      </w:r>
      <w:r w:rsidRPr="00177CBE">
        <w:rPr>
          <w:rFonts w:ascii="Times New Roman" w:hAnsi="Times New Roman"/>
          <w:sz w:val="28"/>
          <w:szCs w:val="28"/>
        </w:rPr>
        <w:lastRenderedPageBreak/>
        <w:t xml:space="preserve">дистанционного обучения школьников в малокомплектных школах  района,  интересен опыт работы районного ресурсного центра по использованию видеоконференцсвязи в дистанционном образовании школьников.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С помощью видеоконференцсвязи организована работа дистанционного кружка декоративно-прикладного творчества методистами ДДТ. В кружке «Мастерилка» занимаются дети из 2 школ района:  </w:t>
      </w:r>
      <w:r w:rsidRPr="00177CBE">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-32385</wp:posOffset>
            </wp:positionH>
            <wp:positionV relativeFrom="paragraph">
              <wp:posOffset>461010</wp:posOffset>
            </wp:positionV>
            <wp:extent cx="2638425" cy="1666875"/>
            <wp:effectExtent l="19050" t="0" r="9525" b="0"/>
            <wp:wrapTight wrapText="bothSides">
              <wp:wrapPolygon edited="0">
                <wp:start x="-156" y="0"/>
                <wp:lineTo x="-156" y="21477"/>
                <wp:lineTo x="21678" y="21477"/>
                <wp:lineTo x="21678" y="0"/>
                <wp:lineTo x="-156" y="0"/>
              </wp:wrapPolygon>
            </wp:wrapTight>
            <wp:docPr id="43" name="Рисунок 46" descr="D:\ДОКУМЕНТЫ\ПРЕЗЕНТАЦИИ, ФОТО, БУКЛЕТЫ\Фото\новая Первомайская\H2qpAPbaP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D:\ДОКУМЕНТЫ\ПРЕЗЕНТАЦИИ, ФОТО, БУКЛЕТЫ\Фото\новая Первомайская\H2qpAPbaPJE.jpg"/>
                    <pic:cNvPicPr>
                      <a:picLocks noChangeAspect="1" noChangeArrowheads="1"/>
                    </pic:cNvPicPr>
                  </pic:nvPicPr>
                  <pic:blipFill>
                    <a:blip r:embed="rId40" cstate="print"/>
                    <a:srcRect r="5235" b="28654"/>
                    <a:stretch>
                      <a:fillRect/>
                    </a:stretch>
                  </pic:blipFill>
                  <pic:spPr bwMode="auto">
                    <a:xfrm>
                      <a:off x="0" y="0"/>
                      <a:ext cx="2638425" cy="1666875"/>
                    </a:xfrm>
                    <a:prstGeom prst="rect">
                      <a:avLst/>
                    </a:prstGeom>
                    <a:noFill/>
                    <a:ln w="9525">
                      <a:noFill/>
                      <a:miter lim="800000"/>
                      <a:headEnd/>
                      <a:tailEnd/>
                    </a:ln>
                  </pic:spPr>
                </pic:pic>
              </a:graphicData>
            </a:graphic>
          </wp:anchor>
        </w:drawing>
      </w:r>
      <w:r w:rsidRPr="00177CBE">
        <w:rPr>
          <w:rFonts w:ascii="Times New Roman" w:hAnsi="Times New Roman"/>
          <w:sz w:val="28"/>
          <w:szCs w:val="28"/>
        </w:rPr>
        <w:t xml:space="preserve">Косковской, Нижнеенангской. </w:t>
      </w:r>
    </w:p>
    <w:p w:rsidR="00177CBE" w:rsidRPr="00177CBE" w:rsidRDefault="00177CBE" w:rsidP="00177CBE">
      <w:pPr>
        <w:pStyle w:val="ae"/>
        <w:spacing w:line="0" w:lineRule="atLeast"/>
        <w:jc w:val="both"/>
        <w:rPr>
          <w:rFonts w:ascii="Times New Roman" w:hAnsi="Times New Roman"/>
          <w:snapToGrid w:val="0"/>
          <w:color w:val="000000"/>
          <w:w w:val="0"/>
          <w:sz w:val="28"/>
          <w:szCs w:val="28"/>
          <w:u w:color="000000"/>
          <w:bdr w:val="none" w:sz="0" w:space="0" w:color="000000"/>
          <w:shd w:val="clear" w:color="000000" w:fill="000000"/>
        </w:rPr>
      </w:pPr>
      <w:r w:rsidRPr="00177CBE">
        <w:rPr>
          <w:rFonts w:ascii="Times New Roman" w:hAnsi="Times New Roman"/>
          <w:sz w:val="28"/>
          <w:szCs w:val="28"/>
        </w:rPr>
        <w:t>С 2013 года на базе ресурсного центра при БОУ «Кичменгско – Городецкая СОШ» организовано дистанционное образование детей-инвалидов. Завершается строительство пристройки МБОУ «Первомайская средняя школа».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рамках программы комплексной безопасности в 2015 году 29 зданий школ  оборудованы программно-аппаратным комплексом «Стрелец-Мониторинг», из районного бюджета выделено на эти цели 1,2 млн. руб., в 2016 году планируется завершить оборудование учреждений образования ПАК "Стрелец-Мониторинг". За счет средств районного бюджета в образовательных учреждениях проведены необходимые капитальные и текущие ремонты на сумму 6,6 млн. руб.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2015 году в образовательных организациях района работало 400 высококвалифицированных педагогов, из них в школах района - 258 педагогов и 30 руководящих работников, а в детских садах - 112 воспитателей.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Высшее образование в прошлом году  имели 219 педагогов школ района (68,3%), среднее специальное – 82 человека (31,7 %). 11 педагогов учится заочно в высших учебных заведениях педагогической направленности.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школах района работает 13 (5 %) молодых специалистов со стажем до 5 лет, от 5 до 10 лет стажа имели 18 (6,9%) учителей, от 10 до 20 лет работали в школах района 39 человек (15,1%), свыше 20 лет посвятили образованию 188 педагогов (74,9%).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Наблюдается старение педагогических кадров: если в 2005 году работало 6,7% учителей-пенсионеров по возрасту, то в 2014 году - 44 учителя – пенсионера, что составляет 17 %.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Проводится работа  по закреплению молодых специалистов на селе. Единовременные выплаты молодым учителям, проживающим и работающим в сельской местности, получают три молодых учителя. Разработан Комплексный план мероприятий по привлечению молодых специалистов в систему образования Кичменгско-Городецкого муниципального района и принята муниципальная программа "Кадровое обеспечение Кичменгско-Городецкого муниципального района". В рамках реализации данного Комплексного плана мероприятий и программы запланирована работа по </w:t>
      </w:r>
      <w:r w:rsidRPr="00177CBE">
        <w:rPr>
          <w:rFonts w:ascii="Times New Roman" w:hAnsi="Times New Roman"/>
          <w:sz w:val="28"/>
          <w:szCs w:val="28"/>
        </w:rPr>
        <w:lastRenderedPageBreak/>
        <w:t>осуществлению целевой контрактной подготовки педагогических работников: в 2015 году -1 специалист, в 2016 году- 4 специалиста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p>
    <w:p w:rsidR="00177CBE" w:rsidRPr="00177CBE" w:rsidRDefault="00177CBE" w:rsidP="00177CBE">
      <w:pPr>
        <w:pStyle w:val="ae"/>
        <w:spacing w:line="0" w:lineRule="atLeast"/>
        <w:ind w:left="360"/>
        <w:jc w:val="center"/>
        <w:rPr>
          <w:rFonts w:ascii="Times New Roman" w:hAnsi="Times New Roman"/>
          <w:b/>
          <w:sz w:val="28"/>
          <w:szCs w:val="28"/>
        </w:rPr>
      </w:pPr>
      <w:r w:rsidRPr="00177CBE">
        <w:rPr>
          <w:rFonts w:ascii="Times New Roman" w:hAnsi="Times New Roman"/>
          <w:b/>
          <w:sz w:val="28"/>
          <w:szCs w:val="28"/>
        </w:rPr>
        <w:t>2.3.2 Здравоохранение</w:t>
      </w:r>
    </w:p>
    <w:p w:rsidR="00177CBE" w:rsidRPr="00177CBE" w:rsidRDefault="00177CBE" w:rsidP="00177CBE">
      <w:pPr>
        <w:pStyle w:val="ae"/>
        <w:spacing w:line="0" w:lineRule="atLeast"/>
        <w:ind w:firstLine="1080"/>
        <w:jc w:val="both"/>
        <w:rPr>
          <w:rFonts w:ascii="Times New Roman" w:hAnsi="Times New Roman"/>
          <w:sz w:val="28"/>
          <w:szCs w:val="28"/>
        </w:rPr>
      </w:pPr>
      <w:r w:rsidRPr="00177CBE">
        <w:rPr>
          <w:rFonts w:ascii="Times New Roman" w:hAnsi="Times New Roman"/>
          <w:sz w:val="28"/>
          <w:szCs w:val="28"/>
        </w:rPr>
        <w:t>В соответствии с Федеральным Законом № 323 от 21.11.2011 г. «Об основах охраны здоровья граждан в Российской Федерации» с января 2013 года медицинские услуги населению предоставляются БУЗ ВО «Центральная районная больница им. В.И. Коржавина» с поликлиникой, стационаром с круглосуточным пребыванием на 117 коек, Нижнеенангской больницей на 8 дневных коек, Сараевской больницей сестринского ухода, Югской амбулаторией, 23 фельдшерско-акушерскими пунктами, отделением скорой помощи.. Кроме того, услуги стоматологии и массажа предоставляют индивидуальные предприниматели.</w:t>
      </w:r>
    </w:p>
    <w:p w:rsidR="00177CBE" w:rsidRPr="00177CBE" w:rsidRDefault="00177CBE" w:rsidP="00177CBE">
      <w:pPr>
        <w:pStyle w:val="ae"/>
        <w:spacing w:line="0" w:lineRule="atLeast"/>
        <w:ind w:firstLine="1080"/>
        <w:jc w:val="both"/>
        <w:rPr>
          <w:rFonts w:ascii="Times New Roman" w:hAnsi="Times New Roman"/>
          <w:sz w:val="28"/>
          <w:szCs w:val="28"/>
        </w:rPr>
      </w:pPr>
      <w:r w:rsidRPr="00177CBE">
        <w:rPr>
          <w:rFonts w:ascii="Times New Roman" w:hAnsi="Times New Roman"/>
          <w:sz w:val="28"/>
          <w:szCs w:val="28"/>
        </w:rPr>
        <w:t>В районе обеспеченность врачами составила 18,2 на 10,0 тыс. населения, что ниже среднего по области (30,2), средним медицинским персоналом 98, при среднеобластном показателе 105,3.</w:t>
      </w:r>
    </w:p>
    <w:p w:rsidR="00177CBE" w:rsidRPr="00177CBE" w:rsidRDefault="00177CBE" w:rsidP="00177CBE">
      <w:pPr>
        <w:pStyle w:val="ae"/>
        <w:spacing w:line="0" w:lineRule="atLeast"/>
        <w:ind w:firstLine="1080"/>
        <w:jc w:val="both"/>
        <w:rPr>
          <w:rFonts w:ascii="Times New Roman" w:hAnsi="Times New Roman"/>
          <w:sz w:val="28"/>
          <w:szCs w:val="28"/>
        </w:rPr>
      </w:pPr>
      <w:r w:rsidRPr="00177CBE">
        <w:rPr>
          <w:rFonts w:ascii="Times New Roman" w:hAnsi="Times New Roman"/>
          <w:sz w:val="28"/>
          <w:szCs w:val="28"/>
        </w:rPr>
        <w:t xml:space="preserve"> Для обеспечения жителей района квалифицированной медицинской помощью, закрепления молодых специалистов в районе принята муниципальная программа «Кадровое обеспечение Кичменгско - Городецкого муниципального района на 2015-2020 годы». В рамках программы в 2015 году осуществлялась целевая контрактная подготовка 6 специалистов-врачей (выплата стипендии). За последние три года благодаря реализации программы в район прибыло 3 врача-специалиста.</w:t>
      </w:r>
      <w:r w:rsidRPr="00177CBE">
        <w:rPr>
          <w:rFonts w:ascii="Times New Roman" w:hAnsi="Times New Roman"/>
          <w:color w:val="C00000"/>
          <w:sz w:val="28"/>
          <w:szCs w:val="28"/>
        </w:rPr>
        <w:t xml:space="preserve"> </w:t>
      </w:r>
      <w:r w:rsidRPr="00177CBE">
        <w:rPr>
          <w:rFonts w:ascii="Times New Roman" w:hAnsi="Times New Roman"/>
          <w:sz w:val="28"/>
          <w:szCs w:val="28"/>
        </w:rPr>
        <w:t xml:space="preserve">В рамках программы специалисты обеспечиваются жильем. </w:t>
      </w:r>
    </w:p>
    <w:p w:rsidR="00177CBE" w:rsidRPr="00177CBE" w:rsidRDefault="00177CBE" w:rsidP="00177CBE">
      <w:pPr>
        <w:pStyle w:val="ae"/>
        <w:spacing w:line="0" w:lineRule="atLeast"/>
        <w:ind w:firstLine="1080"/>
        <w:jc w:val="both"/>
        <w:rPr>
          <w:rFonts w:ascii="Times New Roman" w:hAnsi="Times New Roman"/>
          <w:sz w:val="28"/>
          <w:szCs w:val="28"/>
        </w:rPr>
      </w:pPr>
      <w:r w:rsidRPr="00177CBE">
        <w:rPr>
          <w:rFonts w:ascii="Times New Roman" w:hAnsi="Times New Roman"/>
          <w:b/>
          <w:color w:val="C00000"/>
          <w:sz w:val="28"/>
          <w:szCs w:val="28"/>
        </w:rPr>
        <w:t xml:space="preserve"> </w:t>
      </w:r>
      <w:r w:rsidRPr="00177CBE">
        <w:rPr>
          <w:rFonts w:ascii="Times New Roman" w:hAnsi="Times New Roman"/>
          <w:sz w:val="28"/>
          <w:szCs w:val="28"/>
        </w:rPr>
        <w:t xml:space="preserve">В районе реализуется государственная программа "Земский доктор", по региональной программе в медицинских ВУЗах обучается 14 стипендиатов. </w:t>
      </w:r>
    </w:p>
    <w:p w:rsidR="00177CBE" w:rsidRPr="00177CBE" w:rsidRDefault="00177CBE" w:rsidP="00177CBE">
      <w:pPr>
        <w:pStyle w:val="ae"/>
        <w:spacing w:line="0" w:lineRule="atLeast"/>
        <w:ind w:firstLine="1080"/>
        <w:jc w:val="both"/>
        <w:rPr>
          <w:rFonts w:ascii="Times New Roman" w:hAnsi="Times New Roman"/>
          <w:sz w:val="28"/>
          <w:szCs w:val="28"/>
        </w:rPr>
      </w:pPr>
      <w:r w:rsidRPr="00177CBE">
        <w:rPr>
          <w:rFonts w:ascii="Times New Roman" w:hAnsi="Times New Roman"/>
          <w:sz w:val="28"/>
          <w:szCs w:val="28"/>
        </w:rPr>
        <w:t>В результате целенаправленной работы по улучшению основных показателей, определенных государственным заказом, наметилась тенденция к снижению уровня общей заболеваемости. Снизилась заболеваемость с временной утратой трудоспособности по всем причинам. Увеличился охват на- селения флюографическими осмотрами. Проводится большая профилактическая работа в сфере охраны здоровья и развития первичной медико- санитарной помощи. Реструктуризация и оптимизация коечной сети учреждения позволила более рационально использовать имеющиеся площади. Мероприятия по улучшению материально-технической базы учреждения, начатые программой модернизации здравоохранения, направленные на повышение эффективности функционирования сети здравоохранения, будут продолжены.</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2.3.3 Культура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2014 – 2015 гг. проведена оптимизация сети учреждений культуры. На 01.01.2016 года статус юридического лица имеют 7 учреждений культуры: 3 бюджетных социально-культурных учреждения при сельских поселениях, объединивших 25 филиалов сельских клубов и 19 библиотек; БУК «Краеведческий музей» (учредитель - МО Городецкое); 3 районных </w:t>
      </w:r>
      <w:r w:rsidRPr="00177CBE">
        <w:rPr>
          <w:rFonts w:ascii="Times New Roman" w:hAnsi="Times New Roman"/>
          <w:sz w:val="28"/>
          <w:szCs w:val="28"/>
        </w:rPr>
        <w:lastRenderedPageBreak/>
        <w:t>учреждения культуры: БУК «Районный дом культуры», БУК «Кичменгско-Городецкая детская школа искусств им. Н.П. Парушева», БУК ««Кичменгско-Городецкая центральная межпоселенческая библиотека».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Показатели результативности и эффективности деятельности учреждений культурно-досугового типа района, а так же их рейтинговая оценка по Вологодской области, представлены на диаграммах.</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5314950" cy="1209675"/>
            <wp:effectExtent l="0" t="0" r="0" b="0"/>
            <wp:docPr id="13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5143500" cy="2114550"/>
            <wp:effectExtent l="0" t="0" r="0" b="0"/>
            <wp:docPr id="1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77CBE">
        <w:rPr>
          <w:rFonts w:ascii="Times New Roman" w:hAnsi="Times New Roman"/>
        </w:rPr>
        <w:tab/>
      </w:r>
    </w:p>
    <w:p w:rsidR="00177CBE" w:rsidRPr="00177CBE" w:rsidRDefault="00177CBE" w:rsidP="00177CBE">
      <w:pPr>
        <w:tabs>
          <w:tab w:val="left" w:pos="7095"/>
        </w:tabs>
        <w:spacing w:line="0" w:lineRule="atLeast"/>
        <w:rPr>
          <w:rFonts w:eastAsia="Calibri"/>
        </w:rPr>
      </w:pPr>
      <w:r w:rsidRPr="00177CBE">
        <w:rPr>
          <w:rFonts w:eastAsia="Calibri"/>
          <w:noProof/>
        </w:rPr>
        <w:drawing>
          <wp:inline distT="0" distB="0" distL="0" distR="0">
            <wp:extent cx="5676900" cy="1714500"/>
            <wp:effectExtent l="0" t="0" r="0" b="0"/>
            <wp:docPr id="13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77CBE" w:rsidRPr="00177CBE" w:rsidRDefault="00177CBE" w:rsidP="00177CBE">
      <w:pPr>
        <w:tabs>
          <w:tab w:val="left" w:pos="7095"/>
        </w:tabs>
        <w:spacing w:line="0" w:lineRule="atLeast"/>
        <w:rPr>
          <w:rFonts w:eastAsia="Calibri"/>
        </w:rPr>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Сфера культура постоянно повышает качество предоставления услуг, </w:t>
      </w:r>
      <w:r w:rsidRPr="00177CBE">
        <w:rPr>
          <w:rFonts w:ascii="Times New Roman" w:hAnsi="Times New Roman"/>
          <w:noProof/>
          <w:sz w:val="28"/>
          <w:szCs w:val="28"/>
          <w:lang w:eastAsia="ru-RU"/>
        </w:rPr>
        <w:drawing>
          <wp:anchor distT="0" distB="0" distL="114300" distR="114300" simplePos="0" relativeHeight="251676672" behindDoc="1" locked="0" layoutInCell="1" allowOverlap="1">
            <wp:simplePos x="0" y="0"/>
            <wp:positionH relativeFrom="column">
              <wp:posOffset>-3810</wp:posOffset>
            </wp:positionH>
            <wp:positionV relativeFrom="paragraph">
              <wp:posOffset>236220</wp:posOffset>
            </wp:positionV>
            <wp:extent cx="2466975" cy="1590675"/>
            <wp:effectExtent l="19050" t="0" r="9525" b="0"/>
            <wp:wrapTight wrapText="bothSides">
              <wp:wrapPolygon edited="0">
                <wp:start x="-167" y="0"/>
                <wp:lineTo x="-167" y="21471"/>
                <wp:lineTo x="21683" y="21471"/>
                <wp:lineTo x="21683" y="0"/>
                <wp:lineTo x="-167" y="0"/>
              </wp:wrapPolygon>
            </wp:wrapTight>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2466975" cy="1590675"/>
                    </a:xfrm>
                    <a:prstGeom prst="rect">
                      <a:avLst/>
                    </a:prstGeom>
                    <a:noFill/>
                    <a:ln w="9525">
                      <a:noFill/>
                      <a:miter lim="800000"/>
                      <a:headEnd/>
                      <a:tailEnd/>
                    </a:ln>
                  </pic:spPr>
                </pic:pic>
              </a:graphicData>
            </a:graphic>
          </wp:anchor>
        </w:drawing>
      </w:r>
      <w:r w:rsidRPr="00177CBE">
        <w:rPr>
          <w:rFonts w:ascii="Times New Roman" w:hAnsi="Times New Roman"/>
          <w:sz w:val="28"/>
          <w:szCs w:val="28"/>
        </w:rPr>
        <w:t>работники учреждений культуры совершенствуют формы и методы работы, развивая перечень платных и востребованных услуг.</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Систематически ведется работа по повышению квалификации работников, информационной доступности, в том числе в сети «Интернет». Одной из задач перспективного развития сети  планируется дальнейшее участие в конкурсах и грантах учреждений культуры регионального и федерального значений.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Переход на электронный бюджет, основанный на единых подходах к формированию ведомственного перечня услуг, позволит детализировать </w:t>
      </w:r>
      <w:r w:rsidRPr="00177CBE">
        <w:rPr>
          <w:rFonts w:ascii="Times New Roman" w:hAnsi="Times New Roman"/>
          <w:sz w:val="28"/>
          <w:szCs w:val="28"/>
        </w:rPr>
        <w:lastRenderedPageBreak/>
        <w:t>муниципальные услуги, предоставляемые учреждениями, обеспечит прозрачность использования финансовых потоков районного и областного бюджета, повысит эффективность использования денежных средств. В целях организации молодежного движения, формирования гражданско- патриотического правосознания молодёжи, укрепления социально – экономического положения молодых семей  как  основы стратегического развития территории  действует муниципальная программа «Основные направления реализации государственной молодежной политики на территории Кичменгско – Городецкого муниципального района на 2015 – 2017годы».</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3510915</wp:posOffset>
            </wp:positionH>
            <wp:positionV relativeFrom="paragraph">
              <wp:posOffset>388620</wp:posOffset>
            </wp:positionV>
            <wp:extent cx="2409825" cy="1485900"/>
            <wp:effectExtent l="19050" t="0" r="9525" b="0"/>
            <wp:wrapThrough wrapText="bothSides">
              <wp:wrapPolygon edited="0">
                <wp:start x="-171" y="0"/>
                <wp:lineTo x="-171" y="21323"/>
                <wp:lineTo x="21685" y="21323"/>
                <wp:lineTo x="21685" y="0"/>
                <wp:lineTo x="-171" y="0"/>
              </wp:wrapPolygon>
            </wp:wrapThrough>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cstate="print"/>
                    <a:srcRect/>
                    <a:stretch>
                      <a:fillRect/>
                    </a:stretch>
                  </pic:blipFill>
                  <pic:spPr bwMode="auto">
                    <a:xfrm>
                      <a:off x="0" y="0"/>
                      <a:ext cx="2409825" cy="1485900"/>
                    </a:xfrm>
                    <a:prstGeom prst="rect">
                      <a:avLst/>
                    </a:prstGeom>
                    <a:noFill/>
                    <a:ln w="9525">
                      <a:noFill/>
                      <a:miter lim="800000"/>
                      <a:headEnd/>
                      <a:tailEnd/>
                    </a:ln>
                  </pic:spPr>
                </pic:pic>
              </a:graphicData>
            </a:graphic>
          </wp:anchor>
        </w:drawing>
      </w:r>
      <w:r w:rsidRPr="00177CBE">
        <w:rPr>
          <w:rFonts w:ascii="Times New Roman" w:hAnsi="Times New Roman"/>
          <w:sz w:val="28"/>
          <w:szCs w:val="28"/>
        </w:rPr>
        <w:tab/>
        <w:t>В рамках программы и в целях подготовки молодых граждан к военной службе совместно с отделом военного комиссариата по Никольскому и Кичменгско- Городецкому муниципальным районам ежегодно в дни призывной кампании проводятся военно – патриотические мероприятия районного и областного уровней: «День призывника», конкурс «Призывник года». Традиционно в мероприятиях принимают участие призывники и их родители, представители администрации района, почетные жители села, общественность.</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Активно соревнуется учащаяся молодежь и в состязаниях по стрельбе из пневматической винтовки. Уже не в первый раз на территории района организован и проведен палаточный лагерь «Военно-патриотические сборы «Неделя в Армии» совместно с МБОУ «Заречная ООШ». В 2015 году Программа лагеря заявлена на областной смотр-конкурс деятельности организаций отдыха детей и их оздоровления «Горизонты лета», где программе присужден Диплом 2 степени в номинации «Палаточный лагерь».</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0" distB="0" distL="114300" distR="114300" simplePos="0" relativeHeight="251678720" behindDoc="1" locked="0" layoutInCell="1" allowOverlap="1">
            <wp:simplePos x="0" y="0"/>
            <wp:positionH relativeFrom="column">
              <wp:posOffset>62865</wp:posOffset>
            </wp:positionH>
            <wp:positionV relativeFrom="paragraph">
              <wp:posOffset>386715</wp:posOffset>
            </wp:positionV>
            <wp:extent cx="2028825" cy="1352550"/>
            <wp:effectExtent l="19050" t="0" r="9525" b="0"/>
            <wp:wrapTight wrapText="bothSides">
              <wp:wrapPolygon edited="0">
                <wp:start x="-203" y="0"/>
                <wp:lineTo x="-203" y="21296"/>
                <wp:lineTo x="21701" y="21296"/>
                <wp:lineTo x="21701" y="0"/>
                <wp:lineTo x="-203" y="0"/>
              </wp:wrapPolygon>
            </wp:wrapTight>
            <wp:docPr id="1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 cstate="print"/>
                    <a:srcRect/>
                    <a:stretch>
                      <a:fillRect/>
                    </a:stretch>
                  </pic:blipFill>
                  <pic:spPr bwMode="auto">
                    <a:xfrm>
                      <a:off x="0" y="0"/>
                      <a:ext cx="2028825" cy="1352550"/>
                    </a:xfrm>
                    <a:prstGeom prst="rect">
                      <a:avLst/>
                    </a:prstGeom>
                    <a:noFill/>
                    <a:ln w="9525">
                      <a:noFill/>
                      <a:miter lim="800000"/>
                      <a:headEnd/>
                      <a:tailEnd/>
                    </a:ln>
                  </pic:spPr>
                </pic:pic>
              </a:graphicData>
            </a:graphic>
          </wp:anchor>
        </w:drawing>
      </w:r>
      <w:r w:rsidRPr="00177CBE">
        <w:rPr>
          <w:rFonts w:ascii="Times New Roman" w:hAnsi="Times New Roman"/>
          <w:sz w:val="28"/>
          <w:szCs w:val="28"/>
        </w:rPr>
        <w:tab/>
        <w:t>Ежегодно в районе проводится оборонно-спортивная  игра «Зарница». Команда Кичменгско - Городецкой общеобразовательной школы с 2013 года уверенно занимает 1-е место в областном этапе «Зарницы».</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Становятся традиционными молодежные акции, посвящённые Дню Победы в Великой Отечественной войне («Георгиевская лента», «Бессмертный полк», «Красная гвоздика»), а в 2015 году к 70-летию Победы в ВОВ учащаяся и работающая молодежь Кичменгского Городка присоединилась к областным волонтерским акциям «Звезда Победы», «Знамя Победителей».</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целях повышения социальной активности работающей молодежи и в рамках празднования Дня молодежи ежегодно проводится конкурс «Молодежное подворье», где молодые семьи представляют продукцию приусадебного хозяйства, свои умения и таланты. От 6 до 8 семей из всех </w:t>
      </w:r>
      <w:r w:rsidRPr="00177CBE">
        <w:rPr>
          <w:rFonts w:ascii="Times New Roman" w:hAnsi="Times New Roman"/>
          <w:sz w:val="28"/>
          <w:szCs w:val="28"/>
        </w:rPr>
        <w:lastRenderedPageBreak/>
        <w:t>поселений района принимают участие в данном состязании. Впервые в 2015 году команда молодежного подворья из Кичменгского Городка заняла почетное 2 место в областном этапе конкурса.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Успешно выступила команда молодежного актива Кичменгского Городка в областном фестивале творчества работающей молодежи «Наша территория», который состоялся в 2015 году в обновленном расширенном формате. Из трех конкурсных программ у кичменжан первое место в спортивных состязаниях, первое место в номинации «Оригинальный жанр» творческого конкурса и итоговое шестое место в общем зачете.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На территории района уже несколько лет функционирует общественная организация «Молодежный парламент», по инициативе и при участии которого проводятся такие мероприятия, как День молодежного самоуправления, форумы и круглые столы с представлением молодежных инициатив, Неделя добра, акции внимания к пожилым людям и прочие.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r w:rsidRPr="00177CBE">
        <w:rPr>
          <w:rFonts w:ascii="Times New Roman" w:hAnsi="Times New Roman"/>
          <w:bCs/>
          <w:sz w:val="28"/>
          <w:szCs w:val="28"/>
        </w:rPr>
        <w:t xml:space="preserve">В районе реализуется муниципальная программа «Развитие туризма в Кичменгско – Городецком муниципальном районе на 2014-2016 гг.» </w:t>
      </w:r>
      <w:r w:rsidRPr="00177CBE">
        <w:rPr>
          <w:rFonts w:ascii="Times New Roman" w:hAnsi="Times New Roman"/>
          <w:sz w:val="28"/>
          <w:szCs w:val="28"/>
        </w:rPr>
        <w:t>В 2015 году Кичменгско-Городецкий район становится инициатором проведения кустового круглого стола по развитию сферы туризма востока области. Мероприятие состоялось 3 апреля в Районном доме культуры. Специалисты по туризму восточных районов и представители Департамента культуры и туризма посетили объекты туристического показа Кичменгского Городка, дали рекомендации по повышению эффективности развития туризма в районе.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В октябре 2015 года заключено соглашение о совместной туристической деятельности Кичменгско-Городецкого и Великоустюгского районов. Предметом соглашения являются продвижение туристического продукта Кичменгско-Городецкого района и сотрудничество в реализации и поиске инвесторов проектов «Северная Крепость» и «Русская деревня».</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2.3.4 Физическая культура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районе плодотворно ведется работа по внедрению здорового образа жизни среди различных слоев населения. По результатам рейтинговой оценки деятельности органов местного самоуправления в 2014 году Кичменгско – Городецкий район занимает 6 место  по показателю доли населения, систематически занимающегося физической культурой и спортом.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соответствии с </w:t>
      </w:r>
      <w:r w:rsidRPr="00177CBE">
        <w:rPr>
          <w:rFonts w:ascii="Times New Roman" w:hAnsi="Times New Roman"/>
          <w:bCs/>
          <w:sz w:val="28"/>
          <w:szCs w:val="28"/>
        </w:rPr>
        <w:t xml:space="preserve">муниципальной программой «Развитие физической культуры и спорта в Кичменгско-Городецком муниципальном районе на 2015 – 2017 годы» предполагается планомерное </w:t>
      </w:r>
      <w:r w:rsidRPr="00177CBE">
        <w:rPr>
          <w:rFonts w:ascii="Times New Roman" w:hAnsi="Times New Roman"/>
          <w:sz w:val="28"/>
          <w:szCs w:val="28"/>
        </w:rPr>
        <w:t>увеличение доли населения района, систематически занимающегося физической культурой и спортом.</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lastRenderedPageBreak/>
        <w:drawing>
          <wp:inline distT="0" distB="0" distL="0" distR="0">
            <wp:extent cx="5924550" cy="1828800"/>
            <wp:effectExtent l="0" t="0" r="0" b="0"/>
            <wp:docPr id="141"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177CBE">
        <w:rPr>
          <w:rFonts w:ascii="Times New Roman" w:hAnsi="Times New Roman"/>
          <w:sz w:val="28"/>
          <w:szCs w:val="28"/>
        </w:rPr>
        <w:tab/>
        <w:t xml:space="preserve">Традиционно  в Кичменгско-Городецком районе пропагандируются и популярны игровые виды спорта, такие, как волейбол, баскетбол, мини-футбол, кэс-баскет, настольный теннис, спортивный туризм, а также групповые виды эстетической физической культуры: аэробики и ритмической гимнастики.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-127635</wp:posOffset>
            </wp:positionH>
            <wp:positionV relativeFrom="paragraph">
              <wp:posOffset>245745</wp:posOffset>
            </wp:positionV>
            <wp:extent cx="2295525" cy="1533525"/>
            <wp:effectExtent l="19050" t="0" r="9525" b="0"/>
            <wp:wrapTight wrapText="bothSides">
              <wp:wrapPolygon edited="0">
                <wp:start x="-179" y="0"/>
                <wp:lineTo x="-179" y="21466"/>
                <wp:lineTo x="21690" y="21466"/>
                <wp:lineTo x="21690" y="0"/>
                <wp:lineTo x="-179" y="0"/>
              </wp:wrapPolygon>
            </wp:wrapTight>
            <wp:docPr id="1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r w:rsidRPr="00177CBE">
        <w:rPr>
          <w:rFonts w:ascii="Times New Roman" w:hAnsi="Times New Roman"/>
          <w:sz w:val="28"/>
          <w:szCs w:val="28"/>
        </w:rPr>
        <w:tab/>
        <w:t xml:space="preserve">В целом за 2015 год проведено 47 спортивно-массовых мероприятий по данным и другим культивируемым видам спорта, что на 10% больше, чем за отчетный период 2014 года.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w:t>
      </w:r>
      <w:r w:rsidRPr="00177CBE">
        <w:rPr>
          <w:rFonts w:ascii="Times New Roman" w:hAnsi="Times New Roman"/>
          <w:sz w:val="28"/>
          <w:szCs w:val="28"/>
        </w:rPr>
        <w:tab/>
        <w:t>В районе успешно функционируют  36 коллективов физкультуры, из них 17 в общеобразовательных учреждениях, в том числе спортивный школьный клуб с общей численностью 192 учащихся по шести видам спорта, 19 на предприятиях, учреждениях, организациях районного центра. В сельских поселениях района организованы спартакиады для населения, набирающие все большую популярность. Третий год подряд для жителей Кичменгского Городка в зимний период работает каток, пользующийся среди молодежи особой популярностью.</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Развивается физическая культура и спорт для людей с ограниченными возможностями и инвалидов: около 30 человек с ограниченными возможностями систематически занимаются в спортивных секциях и кружках. </w:t>
      </w:r>
      <w:r w:rsidRPr="00177CBE">
        <w:rPr>
          <w:rFonts w:ascii="Times New Roman" w:hAnsi="Times New Roman"/>
          <w:sz w:val="28"/>
          <w:szCs w:val="28"/>
        </w:rPr>
        <w:tab/>
        <w:t xml:space="preserve">Перспективными видами спорта для инвалидов в районе являются пулевая стрельба и полиатлон для закрытых помещений, а также эстафеты для инвалидов – колясочников. Для развития данных видов спорта необходимы специально оборудованные спортивный зал, тренажерные комнаты, а также обеспечение доступности объектов: устройство пандусов, подъемников, специализированных туалетных комнат и душевых кабин.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настоящее время районные спортивные мероприятия закрытого типа проводятся в спортивном зале БУК «Районный дом культуры». К сожалению, спортивные площади БУК «РДК» не позволяют проводить более масштабные мероприятия, не обеспечивают потребности в размещении зрителей и соблюдения норм безопасности зрителей во время игры, а также увеличения охвата населения занятиями физической культурой и спортом. Для решения данной проблемы в районе предусмотрено строительство физкультурно - оздоровительного комплекса в 2017 году.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lastRenderedPageBreak/>
        <w:tab/>
        <w:t>Спортсмены района продолжают достойно выступать на соревнованиях различных уровней. Так, в открытом первенстве  Вологодской области среди учащихся 1998-1999 г.р. команда волейболистов заняла 1 – место, в открытом первенстве Великоустюгского района по мини футболу в сезоне 2014 – 2015 г. среди мужских команд - 3 место. В областных сельских летних спортивных играх «Вологодские Зори – 2015» команда района с успехом вышла на 1 место. В чемпионате области и открытом первенстве УМВД России сборная команда отдела полиции Кичменгского Городка также удостоена 1 места. Яркой победой молодежной команды района завершились спортивные состязания команд лидеров молодежной движения фестиваля «Наша территория» в ноябре 2015 года.</w:t>
      </w:r>
      <w:r w:rsidRPr="00177CBE">
        <w:rPr>
          <w:rFonts w:ascii="Times New Roman" w:hAnsi="Times New Roman"/>
          <w:noProof/>
          <w:sz w:val="28"/>
          <w:szCs w:val="28"/>
        </w:rPr>
        <w:t xml:space="preserve"> </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2.3.5 Социальное обеспечение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b/>
          <w:sz w:val="28"/>
          <w:szCs w:val="28"/>
        </w:rPr>
        <w:tab/>
      </w:r>
      <w:r w:rsidRPr="00177CBE">
        <w:rPr>
          <w:rFonts w:ascii="Times New Roman" w:hAnsi="Times New Roman"/>
          <w:sz w:val="28"/>
          <w:szCs w:val="28"/>
        </w:rPr>
        <w:t>В рамках исполнения отдельных государственных полномочий Управление социальной защиты населения оказывает 67 услуг, большую часть которых составляют услуги по назначению различных социальных выплат. В течение 2015 года оказана государственная социальная помощь 827 семьям на сумму свыше 1,9 млн. руб.; 38 семей получили субсидию на оплату жилищно-коммунальных услуг на сумму 351,6 тыс. руб.</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Продолжается развитие новой технологии оказания социальной помощи на основе социального контракта, которую получили 121 семья на сумму 2,4 млн. руб. Помощь на основе социального контракта ориентирована на развитие подсобного хозяйства, ремонт хозяйственный построек. Новая ежемесячная выплата малоимущим семьям на третьего и каждого последующего ребенка была выплачена 141 получателю.</w:t>
      </w: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БУСО «Комплексный центр социального обслуживания» оказаны услуги 9,0 тыс. гражданам. Приоритетным направлением социального обслуживания является надомное обслуживание. 329 человек пожилого возраста и инвалидов, утративших способность к самообслуживанию, в течение 2015 года получали социальную помощь на дому, что позволило им продолжить проживание в привычных домашних условиях. Очередь на надомное социальное обслуживание в настоящее время отсутствует.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Для 45 граждан, проживающих в доме-интернате, организовано комплексное медико-социальное обслуживание.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2015 году 11 несовершеннолетних детей из семей социального риска получили реабилитационные услуги в социальном приюте.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Большое внимание уделяется вопросам комплексной безопасности учреждений, созданию безопасных условий проживания клиентов. Стационарные учреждения с круглосуточным пребыванием  оборудованы автоматической пожарной сигнализацией.</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r w:rsidRPr="00177CBE">
        <w:rPr>
          <w:rFonts w:ascii="Times New Roman" w:hAnsi="Times New Roman"/>
          <w:sz w:val="28"/>
          <w:szCs w:val="28"/>
        </w:rPr>
        <w:tab/>
        <w:t>В 2015 году всеми формами отдыха и оздоровления охвачено 1230 детей (2014 г-1086), что составляет  57,7 % от общего количества детей. Отдых и оздоровление детей</w:t>
      </w:r>
      <w:r w:rsidRPr="00177CBE">
        <w:rPr>
          <w:rFonts w:ascii="Times New Roman" w:hAnsi="Times New Roman"/>
          <w:color w:val="FF0000"/>
          <w:sz w:val="28"/>
          <w:szCs w:val="28"/>
        </w:rPr>
        <w:t xml:space="preserve"> </w:t>
      </w:r>
      <w:r w:rsidRPr="00177CBE">
        <w:rPr>
          <w:rFonts w:ascii="Times New Roman" w:hAnsi="Times New Roman"/>
          <w:sz w:val="28"/>
          <w:szCs w:val="28"/>
        </w:rPr>
        <w:t>было организовано на базе загородных лагерей, санаторно-курортных организаций и  лагерей с дневным пребывания. На организацию отдыха и оздоровления детей было израсходовано 3788,8 тыс.руб. (2014 г. - 4251,92).</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lastRenderedPageBreak/>
        <w:t xml:space="preserve">В целях исполнения указа Президента Российской Федерации  от 7 мая 2012 г. №597 «О мероприятиях по реализации государственной социальной политики» осуществляется поэтапное повышение средней заработной платы работникам учреждений социальной сферы. В 2013 году средняя заработная плата в отрасли увеличилась 18 %, в дальнейшем планируется поэтапное повышение заработной платы до средней заработной платы по области.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В 2015 году средняя заработная плата по отрасли увеличилась на 18%.</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225552" distB="686054" distL="1339596" distR="894715" simplePos="0" relativeHeight="251674624" behindDoc="0" locked="0" layoutInCell="1" allowOverlap="1">
            <wp:simplePos x="0" y="0"/>
            <wp:positionH relativeFrom="column">
              <wp:posOffset>453390</wp:posOffset>
            </wp:positionH>
            <wp:positionV relativeFrom="paragraph">
              <wp:posOffset>88900</wp:posOffset>
            </wp:positionV>
            <wp:extent cx="5210175" cy="1410335"/>
            <wp:effectExtent l="0" t="0" r="0" b="0"/>
            <wp:wrapTight wrapText="bothSides">
              <wp:wrapPolygon edited="0">
                <wp:start x="6871" y="1167"/>
                <wp:lineTo x="6871" y="2042"/>
                <wp:lineTo x="10109" y="5835"/>
                <wp:lineTo x="10741" y="5835"/>
                <wp:lineTo x="1422" y="8753"/>
                <wp:lineTo x="1422" y="10503"/>
                <wp:lineTo x="14216" y="10503"/>
                <wp:lineTo x="10820" y="15172"/>
                <wp:lineTo x="2211" y="18089"/>
                <wp:lineTo x="2211" y="18673"/>
                <wp:lineTo x="19191" y="18673"/>
                <wp:lineTo x="19349" y="18089"/>
                <wp:lineTo x="17217" y="17506"/>
                <wp:lineTo x="10978" y="15172"/>
                <wp:lineTo x="15953" y="10795"/>
                <wp:lineTo x="16190" y="9628"/>
                <wp:lineTo x="15400" y="8753"/>
                <wp:lineTo x="10741" y="5835"/>
                <wp:lineTo x="20692" y="4376"/>
                <wp:lineTo x="20850" y="2918"/>
                <wp:lineTo x="16348" y="1167"/>
                <wp:lineTo x="6871" y="1167"/>
              </wp:wrapPolygon>
            </wp:wrapTight>
            <wp:docPr id="14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В целях исполнения указа Президента РФ от 7 мая 2012 г. №597 «О мероприятиях по реализации государственной социальной политики».</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213360" distB="402844" distL="1882140" distR="1668907" simplePos="0" relativeHeight="251673600" behindDoc="0" locked="0" layoutInCell="1" allowOverlap="1">
            <wp:simplePos x="0" y="0"/>
            <wp:positionH relativeFrom="column">
              <wp:posOffset>558165</wp:posOffset>
            </wp:positionH>
            <wp:positionV relativeFrom="paragraph">
              <wp:posOffset>16510</wp:posOffset>
            </wp:positionV>
            <wp:extent cx="4381500" cy="1247775"/>
            <wp:effectExtent l="0" t="0" r="0" b="0"/>
            <wp:wrapTight wrapText="bothSides">
              <wp:wrapPolygon edited="0">
                <wp:start x="6480" y="1319"/>
                <wp:lineTo x="6480" y="2308"/>
                <wp:lineTo x="10049" y="6595"/>
                <wp:lineTo x="10800" y="6595"/>
                <wp:lineTo x="2348" y="8904"/>
                <wp:lineTo x="2348" y="10553"/>
                <wp:lineTo x="10800" y="11872"/>
                <wp:lineTo x="6668" y="12531"/>
                <wp:lineTo x="6668" y="14180"/>
                <wp:lineTo x="10800" y="17148"/>
                <wp:lineTo x="3381" y="18797"/>
                <wp:lineTo x="2254" y="19456"/>
                <wp:lineTo x="2254" y="20446"/>
                <wp:lineTo x="19722" y="20446"/>
                <wp:lineTo x="19910" y="19456"/>
                <wp:lineTo x="18031" y="18797"/>
                <wp:lineTo x="10706" y="17148"/>
                <wp:lineTo x="10800" y="11872"/>
                <wp:lineTo x="16059" y="11212"/>
                <wp:lineTo x="16059" y="9563"/>
                <wp:lineTo x="10800" y="6595"/>
                <wp:lineTo x="19722" y="4947"/>
                <wp:lineTo x="20003" y="1319"/>
                <wp:lineTo x="17092" y="1319"/>
                <wp:lineTo x="6480" y="1319"/>
              </wp:wrapPolygon>
            </wp:wrapTight>
            <wp:docPr id="14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За 2015 год в Управление социальной защиты населения поступило обращений 3570. Большую часть обращений составляют вопросы назначения и выплаты пособий на детей (59,3%), вопросы предоставления мер социальной поддержки (11,9%), вопросы выдачи справок на получение социальной стипендии (13,4%).</w:t>
      </w:r>
    </w:p>
    <w:p w:rsidR="00177CBE" w:rsidRPr="00177CBE" w:rsidRDefault="00177CBE" w:rsidP="00177CBE">
      <w:pPr>
        <w:pStyle w:val="ae"/>
        <w:spacing w:line="0" w:lineRule="atLeast"/>
        <w:jc w:val="both"/>
        <w:rPr>
          <w:rFonts w:ascii="Times New Roman" w:hAnsi="Times New Roman"/>
          <w:color w:val="000000"/>
          <w:sz w:val="28"/>
          <w:szCs w:val="28"/>
        </w:rPr>
      </w:pPr>
      <w:r w:rsidRPr="00177CBE">
        <w:rPr>
          <w:rFonts w:ascii="Times New Roman" w:hAnsi="Times New Roman"/>
          <w:b/>
          <w:i/>
          <w:color w:val="000000"/>
          <w:sz w:val="28"/>
          <w:szCs w:val="28"/>
        </w:rPr>
        <w:tab/>
      </w:r>
      <w:r w:rsidRPr="00177CBE">
        <w:rPr>
          <w:rFonts w:ascii="Times New Roman" w:hAnsi="Times New Roman"/>
          <w:color w:val="000000"/>
          <w:sz w:val="28"/>
          <w:szCs w:val="28"/>
        </w:rPr>
        <w:t>Задачами совершенствования системы социальной защиты населении являются:</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1.Реализация ФЗ 442 «Об основах социального обслуживания граждан РФ»</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2. развитие рынка социальных услуг путем расширения круга организаций различных организационно-правовых форм и форм собственности, предоставляющих социальные услуги;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3. предоставление гражданину, нуждающемуся в получении социальных услуг, права выбора организации социального обслуживания или индивидуального предпринимателя для получения социальных услуг. </w:t>
      </w:r>
    </w:p>
    <w:p w:rsidR="00177CBE" w:rsidRPr="00177CBE" w:rsidRDefault="00177CBE" w:rsidP="00177CBE">
      <w:pPr>
        <w:spacing w:line="0" w:lineRule="atLeast"/>
        <w:ind w:firstLine="709"/>
        <w:jc w:val="both"/>
        <w:rPr>
          <w:b/>
          <w:color w:val="000000"/>
          <w:sz w:val="28"/>
          <w:szCs w:val="28"/>
        </w:rPr>
      </w:pPr>
      <w:r w:rsidRPr="00177CBE">
        <w:rPr>
          <w:b/>
          <w:color w:val="000000"/>
          <w:sz w:val="28"/>
          <w:szCs w:val="28"/>
        </w:rPr>
        <w:t xml:space="preserve"> 2.3.6 Криминогенная обстановка в Кичменгско-Городецком муниципальном районе. </w:t>
      </w:r>
    </w:p>
    <w:p w:rsidR="00177CBE" w:rsidRPr="00177CBE" w:rsidRDefault="00177CBE" w:rsidP="00177CBE">
      <w:pPr>
        <w:spacing w:line="0" w:lineRule="atLeast"/>
        <w:ind w:firstLine="709"/>
        <w:jc w:val="both"/>
        <w:rPr>
          <w:color w:val="000000"/>
          <w:sz w:val="28"/>
          <w:szCs w:val="28"/>
        </w:rPr>
      </w:pPr>
      <w:r w:rsidRPr="00177CBE">
        <w:rPr>
          <w:color w:val="000000"/>
          <w:sz w:val="28"/>
          <w:szCs w:val="28"/>
        </w:rPr>
        <w:t>Анализ статистических данных показывает, что на территории района на протяжении 2014-2015 г.г. сохраняется стойкая тенденция к увеличению числа зарегистрированных преступлений. Но если сравнивать период 2004-2009 годов с периодом 2010-2014 годов, то среднегодовой показатель снизился на 30% ( с 276 до 175).</w:t>
      </w:r>
    </w:p>
    <w:p w:rsidR="00177CBE" w:rsidRPr="00177CBE" w:rsidRDefault="00177CBE" w:rsidP="00177CBE">
      <w:pPr>
        <w:spacing w:line="0" w:lineRule="atLeast"/>
        <w:ind w:firstLine="709"/>
        <w:jc w:val="both"/>
        <w:rPr>
          <w:color w:val="000000"/>
          <w:sz w:val="28"/>
          <w:szCs w:val="28"/>
        </w:rPr>
      </w:pPr>
    </w:p>
    <w:p w:rsidR="00177CBE" w:rsidRPr="00177CBE" w:rsidRDefault="00177CBE" w:rsidP="00177CBE">
      <w:pPr>
        <w:spacing w:line="0" w:lineRule="atLeast"/>
        <w:ind w:firstLine="709"/>
        <w:jc w:val="both"/>
        <w:rPr>
          <w:color w:val="000000"/>
          <w:sz w:val="28"/>
          <w:szCs w:val="28"/>
        </w:rPr>
      </w:pPr>
    </w:p>
    <w:p w:rsidR="00177CBE" w:rsidRPr="00177CBE" w:rsidRDefault="00177CBE" w:rsidP="00177CBE">
      <w:pPr>
        <w:spacing w:line="0" w:lineRule="atLeast"/>
        <w:ind w:firstLine="709"/>
        <w:jc w:val="center"/>
        <w:rPr>
          <w:color w:val="000000"/>
        </w:rPr>
      </w:pPr>
      <w:r w:rsidRPr="00177CBE">
        <w:rPr>
          <w:color w:val="000000"/>
        </w:rPr>
        <w:t>Количество зарегистрированных преступлений, ед</w:t>
      </w:r>
    </w:p>
    <w:p w:rsidR="00177CBE" w:rsidRPr="00177CBE" w:rsidRDefault="00177CBE" w:rsidP="00177CBE">
      <w:pPr>
        <w:spacing w:line="0" w:lineRule="atLeast"/>
        <w:ind w:firstLine="709"/>
        <w:jc w:val="both"/>
        <w:rPr>
          <w:color w:val="000000"/>
          <w:sz w:val="28"/>
          <w:szCs w:val="28"/>
        </w:rPr>
      </w:pPr>
      <w:r w:rsidRPr="00177CBE">
        <w:rPr>
          <w:noProof/>
          <w:sz w:val="28"/>
          <w:szCs w:val="28"/>
        </w:rPr>
        <w:drawing>
          <wp:inline distT="0" distB="0" distL="0" distR="0">
            <wp:extent cx="4819650" cy="1779834"/>
            <wp:effectExtent l="0" t="0" r="0" b="0"/>
            <wp:docPr id="14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77CBE" w:rsidRPr="00177CBE" w:rsidRDefault="00177CBE" w:rsidP="00177CBE">
      <w:pPr>
        <w:spacing w:line="0" w:lineRule="atLeast"/>
        <w:jc w:val="both"/>
        <w:rPr>
          <w:sz w:val="28"/>
          <w:szCs w:val="28"/>
        </w:rPr>
      </w:pPr>
      <w:r w:rsidRPr="00177CBE">
        <w:rPr>
          <w:color w:val="000000"/>
          <w:sz w:val="28"/>
          <w:szCs w:val="28"/>
        </w:rPr>
        <w:t xml:space="preserve">     По сравнению с 2014 годом общее количество зарегистрированных в 2015 году преступлений увеличилось на 7,0% .</w:t>
      </w:r>
    </w:p>
    <w:p w:rsidR="00177CBE" w:rsidRPr="00177CBE" w:rsidRDefault="00177CBE" w:rsidP="00177CBE">
      <w:pPr>
        <w:spacing w:line="0" w:lineRule="atLeast"/>
        <w:ind w:firstLine="708"/>
        <w:jc w:val="both"/>
        <w:rPr>
          <w:sz w:val="28"/>
          <w:szCs w:val="28"/>
        </w:rPr>
      </w:pPr>
      <w:r w:rsidRPr="00177CBE">
        <w:rPr>
          <w:sz w:val="28"/>
          <w:szCs w:val="28"/>
        </w:rPr>
        <w:t xml:space="preserve"> По итогам 2015 года количество зарегистрированных тяжких и особо тяжких преступлений сократилось с 32 в 2014 году до 27 в 2015 ( -13,5%).</w:t>
      </w:r>
    </w:p>
    <w:p w:rsidR="00177CBE" w:rsidRPr="00177CBE" w:rsidRDefault="00177CBE" w:rsidP="00177CBE">
      <w:pPr>
        <w:spacing w:line="0" w:lineRule="atLeast"/>
        <w:ind w:firstLine="708"/>
        <w:jc w:val="both"/>
        <w:rPr>
          <w:sz w:val="28"/>
          <w:szCs w:val="28"/>
        </w:rPr>
      </w:pPr>
      <w:r w:rsidRPr="00177CBE">
        <w:rPr>
          <w:sz w:val="28"/>
          <w:szCs w:val="28"/>
        </w:rPr>
        <w:t xml:space="preserve"> В отчетном периоде на территории района не зарегистрировано разбоев, поджогов, вымогательств, хулиганств, а также преступлений, связанных с незаконным оборотом наркотических и психотропных средств, (в 2014 году было зарегистрировано по 1 факту);  на 18,7 % с 16 до 13(по сравнению с 2014 годом) сократилось количество незаконных порубок леса, на 47,6% с 21 до 11 фактов угроз убийством.</w:t>
      </w:r>
    </w:p>
    <w:p w:rsidR="00177CBE" w:rsidRPr="00177CBE" w:rsidRDefault="00177CBE" w:rsidP="00177CBE">
      <w:pPr>
        <w:spacing w:line="0" w:lineRule="atLeast"/>
        <w:ind w:firstLine="708"/>
        <w:jc w:val="both"/>
        <w:rPr>
          <w:sz w:val="28"/>
          <w:szCs w:val="28"/>
        </w:rPr>
      </w:pPr>
      <w:r w:rsidRPr="00177CBE">
        <w:rPr>
          <w:sz w:val="28"/>
          <w:szCs w:val="28"/>
        </w:rPr>
        <w:t xml:space="preserve">  Принимаемыми профилактическими  мерами удалось удержать под контролем количество преступлений, совершенных лицами, ранее совершавшими преступления, число которых сократилось на 2,7% с 74 до 72(по сравнению с 2014 годом), количество преступлений, совершённых несовершеннолетними сократилось на 75% с 8 до 2(по сравнению с 2014 годом).</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В рамках муниципальной программы "Обеспечение законности, правопорядка и общественной безопасности в Кичменгско-Городецком районе на 2015-2020 годы" профинансировано мероприятий на сумму 695,0 тыс. руб.</w:t>
      </w:r>
    </w:p>
    <w:p w:rsidR="00177CBE" w:rsidRPr="00177CBE" w:rsidRDefault="00177CBE" w:rsidP="00177CBE">
      <w:pPr>
        <w:pStyle w:val="ae"/>
        <w:spacing w:line="0" w:lineRule="atLeast"/>
        <w:jc w:val="center"/>
        <w:rPr>
          <w:rFonts w:ascii="Times New Roman" w:hAnsi="Times New Roman"/>
          <w:b/>
          <w:sz w:val="28"/>
          <w:szCs w:val="28"/>
        </w:rPr>
      </w:pPr>
    </w:p>
    <w:p w:rsidR="00177CBE" w:rsidRPr="00177CBE" w:rsidRDefault="00177CBE" w:rsidP="00177CBE">
      <w:pPr>
        <w:pStyle w:val="ae"/>
        <w:spacing w:line="0" w:lineRule="atLeast"/>
        <w:ind w:left="360"/>
        <w:jc w:val="center"/>
        <w:rPr>
          <w:rFonts w:ascii="Times New Roman" w:hAnsi="Times New Roman"/>
          <w:b/>
          <w:sz w:val="28"/>
          <w:szCs w:val="28"/>
        </w:rPr>
      </w:pPr>
      <w:r w:rsidRPr="00177CBE">
        <w:rPr>
          <w:rFonts w:ascii="Times New Roman" w:hAnsi="Times New Roman"/>
          <w:b/>
          <w:sz w:val="28"/>
          <w:szCs w:val="28"/>
        </w:rPr>
        <w:t>2.4 Инженерная инфраструктура</w:t>
      </w:r>
    </w:p>
    <w:p w:rsidR="00177CBE" w:rsidRPr="00177CBE" w:rsidRDefault="00177CBE" w:rsidP="00177CBE">
      <w:pPr>
        <w:pStyle w:val="ae"/>
        <w:spacing w:line="0" w:lineRule="atLeast"/>
        <w:ind w:left="810"/>
        <w:jc w:val="center"/>
        <w:rPr>
          <w:rFonts w:ascii="Times New Roman" w:hAnsi="Times New Roman"/>
          <w:b/>
          <w:sz w:val="28"/>
          <w:szCs w:val="28"/>
        </w:rPr>
      </w:pPr>
      <w:r w:rsidRPr="00177CBE">
        <w:rPr>
          <w:rFonts w:ascii="Times New Roman" w:hAnsi="Times New Roman"/>
          <w:b/>
          <w:sz w:val="28"/>
          <w:szCs w:val="28"/>
        </w:rPr>
        <w:t>2.4.1 Жилищно-коммунальное хозяйство</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Жилищный фонд Кичменгско-Городецкого муниципального района по состоянию на 01.01.2015 года составляет 742,3 тыс.кв.м. общей площади. Средняя обеспеченность общей площадью 1 жителя составила на 01.01.2015 </w:t>
      </w:r>
      <w:r w:rsidRPr="00177CBE">
        <w:rPr>
          <w:rFonts w:ascii="Times New Roman" w:hAnsi="Times New Roman"/>
          <w:sz w:val="28"/>
          <w:szCs w:val="28"/>
        </w:rPr>
        <w:lastRenderedPageBreak/>
        <w:t xml:space="preserve">года - 44,7 кв.м. В районе преобладают индивидуальные жилые дома. </w:t>
      </w:r>
      <w:r w:rsidRPr="00177CBE">
        <w:rPr>
          <w:rFonts w:ascii="Times New Roman" w:hAnsi="Times New Roman"/>
          <w:noProof/>
          <w:sz w:val="28"/>
          <w:szCs w:val="28"/>
          <w:lang w:eastAsia="ru-RU"/>
        </w:rPr>
        <w:drawing>
          <wp:inline distT="0" distB="0" distL="0" distR="0">
            <wp:extent cx="2676525" cy="2009775"/>
            <wp:effectExtent l="0" t="0" r="0" b="0"/>
            <wp:docPr id="150"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связи с приватизацией площадь муниципального жилищного фонда уменьшается с каждым годом. </w:t>
      </w: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Низкое централизованное оборудование жилищного фонда различными видами благоустройства обусловлено характерной особенностью застройки населенных пунктов района - строительство индивидуально-определенных зданий, предназначенных, как правило, для проживания одной семьи. Из общего объема жилищного фонда 97,8 % составляют деревянные дома, 1,4 % - кирпичные.</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FF0000"/>
          <w:sz w:val="28"/>
          <w:szCs w:val="28"/>
        </w:rPr>
        <w:t xml:space="preserve">     </w:t>
      </w:r>
      <w:r w:rsidRPr="00177CBE">
        <w:rPr>
          <w:rFonts w:ascii="Times New Roman" w:hAnsi="Times New Roman"/>
          <w:sz w:val="28"/>
          <w:szCs w:val="28"/>
        </w:rPr>
        <w:t>Состояние теплоснабжения Кичменгско-Городецкого района можно определить как удовлетворительное. Централизованным теплоснабжением в районе в основном обеспечиваются объекты социальной сферы. Доля тепловой энергии предоставляемой на объекты социальной сферы составляет 89,3% , жилищный фонд – 4,3%, прочие потребители – 6,4%</w:t>
      </w:r>
    </w:p>
    <w:p w:rsidR="00177CBE" w:rsidRPr="00177CBE" w:rsidRDefault="00177CBE" w:rsidP="00177CBE">
      <w:pPr>
        <w:pStyle w:val="ae"/>
        <w:tabs>
          <w:tab w:val="left" w:pos="567"/>
        </w:tabs>
        <w:spacing w:line="0" w:lineRule="atLeast"/>
        <w:jc w:val="both"/>
        <w:rPr>
          <w:rFonts w:ascii="Times New Roman" w:hAnsi="Times New Roman"/>
          <w:sz w:val="28"/>
          <w:szCs w:val="28"/>
        </w:rPr>
      </w:pPr>
      <w:r w:rsidRPr="00177CBE">
        <w:rPr>
          <w:rFonts w:ascii="Times New Roman" w:hAnsi="Times New Roman"/>
          <w:sz w:val="28"/>
          <w:szCs w:val="28"/>
        </w:rPr>
        <w:t xml:space="preserve">   </w:t>
      </w:r>
      <w:r w:rsidRPr="00177CBE">
        <w:rPr>
          <w:rFonts w:ascii="Times New Roman" w:hAnsi="Times New Roman"/>
          <w:sz w:val="28"/>
          <w:szCs w:val="28"/>
        </w:rPr>
        <w:tab/>
        <w:t xml:space="preserve">Протяженность тепловых сетей – 3055 м. Нуждаются в замене – 145,5 м.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000000"/>
          <w:spacing w:val="6"/>
          <w:sz w:val="28"/>
          <w:szCs w:val="28"/>
        </w:rPr>
        <w:tab/>
        <w:t>Проблемы ресурсов и качества воды в Кичменгско-Городецком муниципальном районе приобрели в наше</w:t>
      </w:r>
      <w:r w:rsidRPr="00177CBE">
        <w:rPr>
          <w:rFonts w:ascii="Times New Roman" w:hAnsi="Times New Roman"/>
          <w:sz w:val="28"/>
          <w:szCs w:val="28"/>
        </w:rPr>
        <w:t xml:space="preserve"> </w:t>
      </w:r>
      <w:r w:rsidRPr="00177CBE">
        <w:rPr>
          <w:rFonts w:ascii="Times New Roman" w:hAnsi="Times New Roman"/>
          <w:color w:val="000000"/>
          <w:spacing w:val="2"/>
          <w:sz w:val="28"/>
          <w:szCs w:val="28"/>
        </w:rPr>
        <w:t xml:space="preserve">время особую актуальность. Население нашего района пользуется водой из подземных </w:t>
      </w:r>
      <w:r w:rsidRPr="00177CBE">
        <w:rPr>
          <w:rFonts w:ascii="Times New Roman" w:hAnsi="Times New Roman"/>
          <w:color w:val="000000"/>
          <w:spacing w:val="1"/>
          <w:sz w:val="28"/>
          <w:szCs w:val="28"/>
        </w:rPr>
        <w:t>источников (артезианских скважин).</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000000"/>
          <w:spacing w:val="3"/>
          <w:sz w:val="28"/>
          <w:szCs w:val="28"/>
        </w:rPr>
        <w:tab/>
        <w:t>В среднем забор воды в районе из артезианских скважин составляет</w:t>
      </w:r>
      <w:r w:rsidRPr="00177CBE">
        <w:rPr>
          <w:rFonts w:ascii="Times New Roman" w:hAnsi="Times New Roman"/>
          <w:sz w:val="28"/>
          <w:szCs w:val="28"/>
        </w:rPr>
        <w:t xml:space="preserve"> </w:t>
      </w:r>
      <w:r w:rsidRPr="00177CBE">
        <w:rPr>
          <w:rFonts w:ascii="Times New Roman" w:hAnsi="Times New Roman"/>
          <w:color w:val="000000"/>
          <w:spacing w:val="2"/>
          <w:sz w:val="28"/>
          <w:szCs w:val="28"/>
        </w:rPr>
        <w:t xml:space="preserve">120 тыс.куб.м. в год. К 2025 году, за счет мероприятий по энергосбережению, планируется снизить потребление до 100 тыс.куб.м в год. </w:t>
      </w:r>
      <w:r w:rsidRPr="00177CBE">
        <w:rPr>
          <w:rFonts w:ascii="Times New Roman" w:hAnsi="Times New Roman"/>
          <w:spacing w:val="4"/>
          <w:sz w:val="28"/>
          <w:szCs w:val="28"/>
        </w:rPr>
        <w:t>Протяженность</w:t>
      </w:r>
      <w:r w:rsidRPr="00177CBE">
        <w:rPr>
          <w:rFonts w:ascii="Times New Roman" w:hAnsi="Times New Roman"/>
          <w:sz w:val="28"/>
          <w:szCs w:val="28"/>
        </w:rPr>
        <w:t xml:space="preserve"> </w:t>
      </w:r>
      <w:r w:rsidRPr="00177CBE">
        <w:rPr>
          <w:rFonts w:ascii="Times New Roman" w:hAnsi="Times New Roman"/>
          <w:spacing w:val="2"/>
          <w:sz w:val="28"/>
          <w:szCs w:val="28"/>
        </w:rPr>
        <w:t>водопроводных сетей (на 01.01.2015г) находящихся в муниципальной собственности –</w:t>
      </w:r>
      <w:r w:rsidRPr="00177CBE">
        <w:rPr>
          <w:rFonts w:ascii="Times New Roman" w:hAnsi="Times New Roman"/>
          <w:sz w:val="28"/>
          <w:szCs w:val="28"/>
        </w:rPr>
        <w:t xml:space="preserve"> </w:t>
      </w:r>
      <w:r w:rsidRPr="00177CBE">
        <w:rPr>
          <w:rFonts w:ascii="Times New Roman" w:hAnsi="Times New Roman"/>
          <w:spacing w:val="4"/>
          <w:sz w:val="28"/>
          <w:szCs w:val="28"/>
        </w:rPr>
        <w:t>24,7 км. Физический износ в среднем составляет 54 %. Из-за неудовлетворительного</w:t>
      </w:r>
      <w:r w:rsidRPr="00177CBE">
        <w:rPr>
          <w:rFonts w:ascii="Times New Roman" w:hAnsi="Times New Roman"/>
          <w:sz w:val="28"/>
          <w:szCs w:val="28"/>
        </w:rPr>
        <w:t xml:space="preserve"> </w:t>
      </w:r>
      <w:r w:rsidRPr="00177CBE">
        <w:rPr>
          <w:rFonts w:ascii="Times New Roman" w:hAnsi="Times New Roman"/>
          <w:spacing w:val="10"/>
          <w:sz w:val="28"/>
          <w:szCs w:val="28"/>
        </w:rPr>
        <w:t>состояния водопроводных систем (11,6 км находятся в ветхом состоянии- 46,9 %</w:t>
      </w:r>
      <w:r w:rsidRPr="00177CBE">
        <w:rPr>
          <w:rFonts w:ascii="Times New Roman" w:hAnsi="Times New Roman"/>
          <w:sz w:val="28"/>
          <w:szCs w:val="28"/>
        </w:rPr>
        <w:t xml:space="preserve"> </w:t>
      </w:r>
      <w:r w:rsidRPr="00177CBE">
        <w:rPr>
          <w:rFonts w:ascii="Times New Roman" w:hAnsi="Times New Roman"/>
          <w:spacing w:val="4"/>
          <w:sz w:val="28"/>
          <w:szCs w:val="28"/>
        </w:rPr>
        <w:t xml:space="preserve">водопровода), потери питьевой воды составляют </w:t>
      </w:r>
      <w:r w:rsidRPr="00177CBE">
        <w:rPr>
          <w:rFonts w:ascii="Times New Roman" w:hAnsi="Times New Roman"/>
          <w:sz w:val="28"/>
          <w:szCs w:val="28"/>
        </w:rPr>
        <w:t xml:space="preserve"> до 20 % объема воды поданной в водопроводные сети.</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r w:rsidRPr="00177CBE">
        <w:rPr>
          <w:rFonts w:ascii="Times New Roman" w:hAnsi="Times New Roman"/>
          <w:sz w:val="28"/>
          <w:szCs w:val="28"/>
        </w:rPr>
        <w:tab/>
        <w:t xml:space="preserve">С целью улучшения качества питьевой воды и эффективности работы систем водоснабжения в сельских поселениях разработаны схемы водоснабжения и водоотведения в рамках которых планируется реконструкция существующих водопроводных сетей и проектирование новых. </w:t>
      </w:r>
      <w:r w:rsidRPr="00177CBE">
        <w:rPr>
          <w:rFonts w:ascii="Times New Roman" w:hAnsi="Times New Roman"/>
          <w:sz w:val="28"/>
          <w:szCs w:val="28"/>
        </w:rPr>
        <w:tab/>
        <w:t>В 2015 году начаты работы по строительству водопровода в с. Кичменгский Городок на ул. Районной и Весенней.</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lastRenderedPageBreak/>
        <w:tab/>
        <w:t xml:space="preserve">В остальных населенных пунктах предусматривается реконструкция и замена существующих объектов централизованного водоснабжения, а также строительство новых объектов системы водоснабжения для обеспечения существующего и перспективного жилого фонда питьевой водой.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000000"/>
          <w:spacing w:val="2"/>
          <w:sz w:val="28"/>
          <w:szCs w:val="28"/>
        </w:rPr>
        <w:tab/>
        <w:t>Централизованная система бытовой канализации организована только в селе Кичменгский Городок.</w:t>
      </w:r>
      <w:r w:rsidRPr="00177CBE">
        <w:rPr>
          <w:rFonts w:ascii="Times New Roman" w:hAnsi="Times New Roman"/>
          <w:sz w:val="28"/>
          <w:szCs w:val="28"/>
        </w:rPr>
        <w:t xml:space="preserve"> </w:t>
      </w:r>
      <w:r w:rsidRPr="00177CBE">
        <w:rPr>
          <w:rFonts w:ascii="Times New Roman" w:hAnsi="Times New Roman"/>
          <w:color w:val="000000"/>
          <w:spacing w:val="6"/>
          <w:sz w:val="28"/>
          <w:szCs w:val="28"/>
        </w:rPr>
        <w:t>Протяженность канализационных сетей в районе 0,71 км,</w:t>
      </w:r>
      <w:r w:rsidRPr="00177CBE">
        <w:rPr>
          <w:rFonts w:ascii="Times New Roman" w:hAnsi="Times New Roman"/>
          <w:color w:val="000000"/>
          <w:spacing w:val="1"/>
          <w:sz w:val="28"/>
          <w:szCs w:val="28"/>
        </w:rPr>
        <w:t xml:space="preserve"> физический износ 45%.</w:t>
      </w:r>
      <w:r w:rsidRPr="00177CBE">
        <w:rPr>
          <w:rFonts w:ascii="Times New Roman" w:hAnsi="Times New Roman"/>
          <w:sz w:val="28"/>
          <w:szCs w:val="28"/>
        </w:rPr>
        <w:t xml:space="preserve">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000000"/>
          <w:spacing w:val="3"/>
          <w:sz w:val="28"/>
          <w:szCs w:val="28"/>
        </w:rPr>
        <w:tab/>
      </w:r>
      <w:r w:rsidRPr="00177CBE">
        <w:rPr>
          <w:rFonts w:ascii="Times New Roman" w:hAnsi="Times New Roman"/>
          <w:spacing w:val="3"/>
          <w:sz w:val="28"/>
          <w:szCs w:val="28"/>
        </w:rPr>
        <w:t>В основном в районе отмечается преобладание септиков, как на объектах социальной сферы так и объектах жилфонда.</w:t>
      </w:r>
      <w:r w:rsidRPr="00177CBE">
        <w:rPr>
          <w:rFonts w:ascii="Times New Roman" w:hAnsi="Times New Roman"/>
          <w:spacing w:val="6"/>
          <w:sz w:val="28"/>
          <w:szCs w:val="28"/>
        </w:rPr>
        <w:t xml:space="preserve"> </w:t>
      </w:r>
      <w:r w:rsidRPr="00177CBE">
        <w:rPr>
          <w:rFonts w:ascii="Times New Roman" w:hAnsi="Times New Roman"/>
          <w:sz w:val="28"/>
          <w:szCs w:val="28"/>
        </w:rPr>
        <w:t xml:space="preserve">Сброс неочищенных сточных вод на рельеф и в водные объекты оказывает негативное воздействие на окружающую среду, на физические и химические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Сброс неочищенных стоков наносит вред животному и растительному миру и приводит к одному из наиболее опасных видов деградации водосборных площадей.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Очистные сооружения с.Кичменгский Городок не удовлетворяют потребную мощность, в связи с этим возникает острая потребность в проектировании и строительстве станций биологической очистки сточных вод производительностью до 1000 м3/сут. в Центральной части с.Кичменгский Городок и 830м3/сут. в Заречной части села. </w:t>
      </w:r>
    </w:p>
    <w:p w:rsidR="00177CBE" w:rsidRPr="00177CBE" w:rsidRDefault="00177CBE" w:rsidP="00177CBE">
      <w:pPr>
        <w:pStyle w:val="ae"/>
        <w:spacing w:line="0" w:lineRule="atLeast"/>
        <w:jc w:val="both"/>
        <w:rPr>
          <w:rFonts w:ascii="Times New Roman" w:hAnsi="Times New Roman"/>
          <w:spacing w:val="-7"/>
          <w:sz w:val="28"/>
          <w:szCs w:val="28"/>
        </w:rPr>
      </w:pPr>
      <w:r w:rsidRPr="00177CBE">
        <w:rPr>
          <w:rFonts w:ascii="Times New Roman" w:hAnsi="Times New Roman"/>
          <w:spacing w:val="-7"/>
          <w:sz w:val="28"/>
          <w:szCs w:val="28"/>
        </w:rPr>
        <w:tab/>
        <w:t xml:space="preserve">Электроэнергетика района представлена ОАО «Вологдаэнерго». Предприятием обслуживается более 1,94 тыс.км линий электропередач и более 500 трансформаторных подстанций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color w:val="FF0000"/>
          <w:sz w:val="28"/>
          <w:szCs w:val="28"/>
        </w:rPr>
        <w:t xml:space="preserve"> </w:t>
      </w:r>
      <w:r w:rsidRPr="00177CBE">
        <w:rPr>
          <w:rFonts w:ascii="Times New Roman" w:hAnsi="Times New Roman"/>
          <w:sz w:val="28"/>
          <w:szCs w:val="28"/>
        </w:rPr>
        <w:tab/>
        <w:t xml:space="preserve">Доля поставки электроэнергии потребителям, расчеты за которую осуществляются по приборам учета, составляет 100%. Электрические сети находятся в удовлетворительном состоянии.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В целях обеспечения надежности электроснабжения предприятием составляются планы капитального ремонта сетей и оборудования. В результате аварийных отключений, недопоставок электроэнергии потребителям не произошло, так как присоединение потребителей к электрической сети осуществляется в соответствии с требованиями ПУЭ к надежности электроснабжения объектов соответствующих категорий.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  </w:t>
      </w:r>
      <w:r w:rsidRPr="00177CBE">
        <w:rPr>
          <w:rFonts w:ascii="Times New Roman" w:hAnsi="Times New Roman"/>
          <w:sz w:val="28"/>
          <w:szCs w:val="28"/>
        </w:rPr>
        <w:tab/>
        <w:t>Сжиженным газом обеспечивает население ООО «Устюггазстрой. В настоящее время сжиженным газом снабжается 283 населенных пункта, пользуется 15,2 тыс.чел. Стоимость газового баллона в 2015 году составила 880 руб., в том числе 135 руб. стоимость технического обслуживания газового оборудования. В районе действует 10 складов для хранения газовых баллонов, расположенных в центральных усадьбах сельских поселений.</w:t>
      </w:r>
    </w:p>
    <w:p w:rsidR="00177CBE" w:rsidRPr="00177CBE" w:rsidRDefault="00177CBE" w:rsidP="00177CBE">
      <w:pPr>
        <w:pStyle w:val="ae"/>
        <w:spacing w:line="0" w:lineRule="atLeast"/>
        <w:jc w:val="both"/>
        <w:rPr>
          <w:rFonts w:ascii="Times New Roman" w:hAnsi="Times New Roman"/>
          <w:sz w:val="28"/>
          <w:szCs w:val="28"/>
        </w:rPr>
      </w:pPr>
      <w:r w:rsidRPr="00177CBE">
        <w:rPr>
          <w:rStyle w:val="aff6"/>
          <w:rFonts w:ascii="Times New Roman" w:hAnsi="Times New Roman"/>
          <w:color w:val="333333"/>
          <w:sz w:val="28"/>
          <w:szCs w:val="28"/>
        </w:rPr>
        <w:t xml:space="preserve"> </w:t>
      </w:r>
      <w:r w:rsidRPr="00177CBE">
        <w:rPr>
          <w:rStyle w:val="aff6"/>
          <w:rFonts w:ascii="Times New Roman" w:hAnsi="Times New Roman"/>
          <w:color w:val="333333"/>
          <w:sz w:val="28"/>
          <w:szCs w:val="28"/>
        </w:rPr>
        <w:tab/>
      </w:r>
      <w:r w:rsidRPr="00177CBE">
        <w:rPr>
          <w:rStyle w:val="aff6"/>
          <w:rFonts w:ascii="Times New Roman" w:hAnsi="Times New Roman"/>
          <w:sz w:val="28"/>
          <w:szCs w:val="28"/>
        </w:rPr>
        <w:t xml:space="preserve">В 2012 году в Жилищный кодекс РФ внесены изменения, касающиеся правил проведения капитального ремонта многоквартирных домов, а именно создания региональных систем </w:t>
      </w:r>
      <w:r w:rsidRPr="00177CBE">
        <w:rPr>
          <w:rStyle w:val="aff6"/>
          <w:rFonts w:ascii="Times New Roman" w:hAnsi="Times New Roman"/>
          <w:sz w:val="28"/>
          <w:szCs w:val="28"/>
        </w:rPr>
        <w:lastRenderedPageBreak/>
        <w:t xml:space="preserve">капитального ремонта имущества многоквартирных домов. </w:t>
      </w:r>
      <w:r w:rsidRPr="00177CBE">
        <w:rPr>
          <w:rFonts w:ascii="Times New Roman" w:hAnsi="Times New Roman"/>
          <w:sz w:val="28"/>
          <w:szCs w:val="28"/>
        </w:rPr>
        <w:t xml:space="preserve">Областная программа капитального ремонта общего имущества в многоквартирных домах утверждена Постановлением Правительства Вологодской области от 23 декабря 2013 года № 1354, опубликована на Интернет-портале правовой информации Вологодской области 30 января 2014 г. Исполнителем данной программы является </w:t>
      </w:r>
      <w:r w:rsidRPr="00177CBE">
        <w:rPr>
          <w:rFonts w:ascii="Times New Roman" w:hAnsi="Times New Roman"/>
          <w:sz w:val="28"/>
          <w:szCs w:val="28"/>
          <w:shd w:val="clear" w:color="auto" w:fill="FFFFFF"/>
        </w:rPr>
        <w:t>некоммерческая организация «Фонд капитального ремонта многоквартирных домов Вологодской области». Минимальный размер взноса утвержден единый на всей территории Вологодской области и составляет 6,60 руб. с одного квадратного метра принадлежащей собственнику площади помещения в многоквартирном доме. В данной программе участвует 68 МКД нашего района. На 2015 год в районе было запланирован ремонт на двух многоквартирных домах, но в связи с низкой собираемостью взносов (53%), денежных средств хватило только на ремонт кровли одного МКД.</w:t>
      </w:r>
    </w:p>
    <w:p w:rsidR="00177CBE" w:rsidRPr="00177CBE" w:rsidRDefault="00177CBE" w:rsidP="00177CBE">
      <w:pPr>
        <w:pStyle w:val="ae"/>
        <w:spacing w:line="0" w:lineRule="atLeast"/>
        <w:jc w:val="both"/>
        <w:rPr>
          <w:rFonts w:ascii="Times New Roman" w:hAnsi="Times New Roman"/>
          <w:spacing w:val="-1"/>
          <w:sz w:val="28"/>
          <w:szCs w:val="28"/>
        </w:rPr>
      </w:pPr>
      <w:r w:rsidRPr="00177CBE">
        <w:rPr>
          <w:rFonts w:ascii="Times New Roman" w:hAnsi="Times New Roman"/>
          <w:sz w:val="28"/>
          <w:szCs w:val="28"/>
        </w:rPr>
        <w:tab/>
        <w:t xml:space="preserve">В целях создания условий для приведения жилищного фонда и коммунальной инфраструктуры в соответствие со стандартами качества, обеспечивающими комфортные условия проживания, модернизации объектов коммунальной инфраструктуры в каждом сельском поселении разработаны и утверждены Комплексные программы развития систем коммунальной инфраструктуры на период 2014 – 2026 годы. Общий объем финансирования составляет 545,8 млн.руб. </w:t>
      </w:r>
      <w:r w:rsidRPr="00177CBE">
        <w:rPr>
          <w:rFonts w:ascii="Times New Roman" w:hAnsi="Times New Roman"/>
          <w:spacing w:val="4"/>
          <w:sz w:val="28"/>
          <w:szCs w:val="28"/>
        </w:rPr>
        <w:t>Успешное выполнение мероприятий программы позволит обеспечить снижение уровня износа объектов коммунальной инфраструктуры,</w:t>
      </w:r>
      <w:r w:rsidRPr="00177CBE">
        <w:rPr>
          <w:rFonts w:ascii="Times New Roman" w:hAnsi="Times New Roman"/>
          <w:sz w:val="28"/>
          <w:szCs w:val="28"/>
        </w:rPr>
        <w:t xml:space="preserve"> </w:t>
      </w:r>
      <w:r w:rsidRPr="00177CBE">
        <w:rPr>
          <w:rFonts w:ascii="Times New Roman" w:hAnsi="Times New Roman"/>
          <w:spacing w:val="3"/>
          <w:sz w:val="28"/>
          <w:szCs w:val="28"/>
        </w:rPr>
        <w:t>повысить качество и надежность коммунальных услуг,</w:t>
      </w:r>
      <w:r w:rsidRPr="00177CBE">
        <w:rPr>
          <w:rFonts w:ascii="Times New Roman" w:hAnsi="Times New Roman"/>
          <w:spacing w:val="1"/>
          <w:sz w:val="28"/>
          <w:szCs w:val="28"/>
        </w:rPr>
        <w:t xml:space="preserve"> улучшить экологическую ситуацию в районе, обеспечит создание устойчивой основы для участия частного сектора финансирования</w:t>
      </w:r>
      <w:r w:rsidRPr="00177CBE">
        <w:rPr>
          <w:rFonts w:ascii="Times New Roman" w:hAnsi="Times New Roman"/>
          <w:spacing w:val="4"/>
          <w:sz w:val="28"/>
          <w:szCs w:val="28"/>
        </w:rPr>
        <w:t xml:space="preserve"> проектов модернизации объектов коммунальной инфраструктуры и управлении </w:t>
      </w:r>
      <w:r w:rsidRPr="00177CBE">
        <w:rPr>
          <w:rFonts w:ascii="Times New Roman" w:hAnsi="Times New Roman"/>
          <w:spacing w:val="-1"/>
          <w:sz w:val="28"/>
          <w:szCs w:val="28"/>
        </w:rPr>
        <w:t>объектами коммунальной инфраструктуры.</w:t>
      </w:r>
    </w:p>
    <w:p w:rsidR="00177CBE" w:rsidRPr="00177CBE" w:rsidRDefault="00177CBE" w:rsidP="00177CBE">
      <w:pPr>
        <w:pStyle w:val="ae"/>
        <w:spacing w:line="0" w:lineRule="atLeast"/>
        <w:jc w:val="center"/>
        <w:rPr>
          <w:rFonts w:ascii="Times New Roman" w:hAnsi="Times New Roman"/>
          <w:b/>
          <w:sz w:val="28"/>
          <w:szCs w:val="28"/>
        </w:rPr>
      </w:pPr>
    </w:p>
    <w:p w:rsidR="00177CBE" w:rsidRPr="00177CBE" w:rsidRDefault="00177CBE" w:rsidP="00177CBE">
      <w:pPr>
        <w:pStyle w:val="ae"/>
        <w:spacing w:line="0" w:lineRule="atLeast"/>
        <w:jc w:val="center"/>
        <w:rPr>
          <w:rFonts w:ascii="Times New Roman" w:hAnsi="Times New Roman"/>
          <w:sz w:val="28"/>
          <w:szCs w:val="28"/>
        </w:rPr>
      </w:pPr>
      <w:r w:rsidRPr="00177CBE">
        <w:rPr>
          <w:rFonts w:ascii="Times New Roman" w:hAnsi="Times New Roman"/>
          <w:b/>
          <w:sz w:val="28"/>
          <w:szCs w:val="28"/>
        </w:rPr>
        <w:t>2.4.2 Жилищное строительство</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b/>
          <w:color w:val="0000CC"/>
          <w:sz w:val="28"/>
          <w:szCs w:val="28"/>
        </w:rPr>
        <w:tab/>
      </w:r>
      <w:r w:rsidRPr="00177CBE">
        <w:rPr>
          <w:rFonts w:ascii="Times New Roman" w:hAnsi="Times New Roman"/>
          <w:sz w:val="28"/>
          <w:szCs w:val="28"/>
        </w:rPr>
        <w:t>В последние годы в районе высокими темпами ведется индивидуальное жилищное строительство. С 2011 года выдано 318 разрешений на строительство, в том числе 271 разрешение на строительство жилых домов.</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w:t>
      </w:r>
      <w:r w:rsidRPr="00177CBE">
        <w:rPr>
          <w:rFonts w:ascii="Times New Roman" w:hAnsi="Times New Roman"/>
          <w:noProof/>
          <w:sz w:val="28"/>
          <w:szCs w:val="28"/>
          <w:lang w:eastAsia="ru-RU"/>
        </w:rPr>
        <w:drawing>
          <wp:inline distT="0" distB="0" distL="0" distR="0">
            <wp:extent cx="5210175" cy="1781175"/>
            <wp:effectExtent l="0" t="0" r="0" b="0"/>
            <wp:docPr id="151"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В районе ежегодно выполняются доведенные показатели по вводу жилья. За последние 5 лет введено в эксплуатацию 447 домов с общей площадью свыше 34 тыс.кв.м.</w:t>
      </w:r>
    </w:p>
    <w:p w:rsidR="00177CBE" w:rsidRPr="00177CBE" w:rsidRDefault="00177CBE" w:rsidP="00177CBE">
      <w:pPr>
        <w:pStyle w:val="ae"/>
        <w:spacing w:line="0" w:lineRule="atLeast"/>
        <w:jc w:val="right"/>
        <w:rPr>
          <w:rFonts w:ascii="Times New Roman" w:hAnsi="Times New Roman"/>
          <w:sz w:val="28"/>
          <w:szCs w:val="28"/>
        </w:rPr>
      </w:pPr>
      <w:r w:rsidRPr="00177CBE">
        <w:rPr>
          <w:rFonts w:ascii="Times New Roman" w:hAnsi="Times New Roman"/>
          <w:sz w:val="28"/>
          <w:szCs w:val="28"/>
        </w:rPr>
        <w:lastRenderedPageBreak/>
        <w:t>Таблица</w:t>
      </w:r>
    </w:p>
    <w:p w:rsidR="00177CBE" w:rsidRPr="00177CBE" w:rsidRDefault="00177CBE" w:rsidP="00177CBE">
      <w:pPr>
        <w:pStyle w:val="ae"/>
        <w:spacing w:line="0" w:lineRule="atLeast"/>
        <w:jc w:val="center"/>
        <w:rPr>
          <w:rFonts w:ascii="Times New Roman" w:hAnsi="Times New Roman"/>
          <w:sz w:val="28"/>
          <w:szCs w:val="28"/>
        </w:rPr>
      </w:pPr>
      <w:r w:rsidRPr="00177CBE">
        <w:rPr>
          <w:rFonts w:ascii="Times New Roman" w:hAnsi="Times New Roman"/>
          <w:sz w:val="28"/>
          <w:szCs w:val="28"/>
        </w:rPr>
        <w:t>Показатели по вводу жилья на территории района</w:t>
      </w:r>
    </w:p>
    <w:tbl>
      <w:tblPr>
        <w:tblW w:w="9635" w:type="dxa"/>
        <w:tblBorders>
          <w:top w:val="single" w:sz="12" w:space="0" w:color="CF7B79"/>
          <w:left w:val="single" w:sz="12" w:space="0" w:color="CF7B79"/>
          <w:bottom w:val="single" w:sz="12" w:space="0" w:color="CF7B79"/>
          <w:right w:val="single" w:sz="12" w:space="0" w:color="CF7B79"/>
          <w:insideH w:val="single" w:sz="12" w:space="0" w:color="CF7B79"/>
          <w:insideV w:val="single" w:sz="12" w:space="0" w:color="CF7B79"/>
        </w:tblBorders>
        <w:tblLayout w:type="fixed"/>
        <w:tblLook w:val="00A0"/>
      </w:tblPr>
      <w:tblGrid>
        <w:gridCol w:w="4077"/>
        <w:gridCol w:w="963"/>
        <w:gridCol w:w="1094"/>
        <w:gridCol w:w="992"/>
        <w:gridCol w:w="1134"/>
        <w:gridCol w:w="1375"/>
      </w:tblGrid>
      <w:tr w:rsidR="00177CBE" w:rsidRPr="00177CBE" w:rsidTr="00177CBE">
        <w:trPr>
          <w:trHeight w:val="333"/>
        </w:trPr>
        <w:tc>
          <w:tcPr>
            <w:tcW w:w="4077" w:type="dxa"/>
            <w:shd w:val="clear" w:color="auto" w:fill="EFD3D2"/>
          </w:tcPr>
          <w:p w:rsidR="00177CBE" w:rsidRPr="00177CBE" w:rsidRDefault="00177CBE" w:rsidP="00177CBE">
            <w:pPr>
              <w:pStyle w:val="ae"/>
              <w:spacing w:line="0" w:lineRule="atLeast"/>
              <w:jc w:val="center"/>
              <w:rPr>
                <w:rFonts w:ascii="Times New Roman" w:hAnsi="Times New Roman"/>
                <w:b/>
                <w:bCs/>
                <w:sz w:val="28"/>
                <w:szCs w:val="28"/>
              </w:rPr>
            </w:pPr>
            <w:r w:rsidRPr="00177CBE">
              <w:rPr>
                <w:rFonts w:ascii="Times New Roman" w:hAnsi="Times New Roman"/>
                <w:bCs/>
                <w:sz w:val="28"/>
                <w:szCs w:val="28"/>
              </w:rPr>
              <w:t>Показатели</w:t>
            </w:r>
          </w:p>
        </w:tc>
        <w:tc>
          <w:tcPr>
            <w:tcW w:w="963" w:type="dxa"/>
            <w:shd w:val="clear" w:color="auto" w:fill="EFD3D2"/>
          </w:tcPr>
          <w:p w:rsidR="00177CBE" w:rsidRPr="00177CBE" w:rsidRDefault="00177CBE" w:rsidP="00177CBE">
            <w:pPr>
              <w:pStyle w:val="ae"/>
              <w:spacing w:line="0" w:lineRule="atLeast"/>
              <w:jc w:val="center"/>
              <w:rPr>
                <w:rFonts w:ascii="Times New Roman" w:hAnsi="Times New Roman"/>
                <w:b/>
                <w:bCs/>
                <w:sz w:val="28"/>
                <w:szCs w:val="28"/>
              </w:rPr>
            </w:pPr>
            <w:r w:rsidRPr="00177CBE">
              <w:rPr>
                <w:rFonts w:ascii="Times New Roman" w:hAnsi="Times New Roman"/>
                <w:bCs/>
                <w:sz w:val="28"/>
                <w:szCs w:val="28"/>
              </w:rPr>
              <w:t>2011</w:t>
            </w:r>
          </w:p>
        </w:tc>
        <w:tc>
          <w:tcPr>
            <w:tcW w:w="1094" w:type="dxa"/>
            <w:shd w:val="clear" w:color="auto" w:fill="EFD3D2"/>
          </w:tcPr>
          <w:p w:rsidR="00177CBE" w:rsidRPr="00177CBE" w:rsidRDefault="00177CBE" w:rsidP="00177CBE">
            <w:pPr>
              <w:pStyle w:val="ae"/>
              <w:spacing w:line="0" w:lineRule="atLeast"/>
              <w:jc w:val="center"/>
              <w:rPr>
                <w:rFonts w:ascii="Times New Roman" w:hAnsi="Times New Roman"/>
                <w:b/>
                <w:bCs/>
                <w:sz w:val="28"/>
                <w:szCs w:val="28"/>
              </w:rPr>
            </w:pPr>
            <w:r w:rsidRPr="00177CBE">
              <w:rPr>
                <w:rFonts w:ascii="Times New Roman" w:hAnsi="Times New Roman"/>
                <w:bCs/>
                <w:sz w:val="28"/>
                <w:szCs w:val="28"/>
              </w:rPr>
              <w:t>2012</w:t>
            </w:r>
          </w:p>
        </w:tc>
        <w:tc>
          <w:tcPr>
            <w:tcW w:w="992" w:type="dxa"/>
            <w:shd w:val="clear" w:color="auto" w:fill="EFD3D2"/>
          </w:tcPr>
          <w:p w:rsidR="00177CBE" w:rsidRPr="00177CBE" w:rsidRDefault="00177CBE" w:rsidP="00177CBE">
            <w:pPr>
              <w:pStyle w:val="ae"/>
              <w:spacing w:line="0" w:lineRule="atLeast"/>
              <w:jc w:val="center"/>
              <w:rPr>
                <w:rFonts w:ascii="Times New Roman" w:hAnsi="Times New Roman"/>
                <w:b/>
                <w:bCs/>
                <w:sz w:val="28"/>
                <w:szCs w:val="28"/>
              </w:rPr>
            </w:pPr>
            <w:r w:rsidRPr="00177CBE">
              <w:rPr>
                <w:rFonts w:ascii="Times New Roman" w:hAnsi="Times New Roman"/>
                <w:bCs/>
                <w:sz w:val="28"/>
                <w:szCs w:val="28"/>
              </w:rPr>
              <w:t>2013</w:t>
            </w:r>
          </w:p>
        </w:tc>
        <w:tc>
          <w:tcPr>
            <w:tcW w:w="1134" w:type="dxa"/>
            <w:shd w:val="clear" w:color="auto" w:fill="EFD3D2"/>
          </w:tcPr>
          <w:p w:rsidR="00177CBE" w:rsidRPr="00177CBE" w:rsidRDefault="00177CBE" w:rsidP="00177CBE">
            <w:pPr>
              <w:pStyle w:val="ae"/>
              <w:spacing w:line="0" w:lineRule="atLeast"/>
              <w:jc w:val="center"/>
              <w:rPr>
                <w:rFonts w:ascii="Times New Roman" w:hAnsi="Times New Roman"/>
                <w:b/>
                <w:bCs/>
                <w:sz w:val="28"/>
                <w:szCs w:val="28"/>
              </w:rPr>
            </w:pPr>
            <w:r w:rsidRPr="00177CBE">
              <w:rPr>
                <w:rFonts w:ascii="Times New Roman" w:hAnsi="Times New Roman"/>
                <w:bCs/>
                <w:sz w:val="28"/>
                <w:szCs w:val="28"/>
              </w:rPr>
              <w:t>2014</w:t>
            </w:r>
          </w:p>
        </w:tc>
        <w:tc>
          <w:tcPr>
            <w:tcW w:w="1375" w:type="dxa"/>
            <w:shd w:val="clear" w:color="auto" w:fill="EFD3D2"/>
          </w:tcPr>
          <w:p w:rsidR="00177CBE" w:rsidRPr="00177CBE" w:rsidRDefault="00177CBE" w:rsidP="00177CBE">
            <w:pPr>
              <w:pStyle w:val="ae"/>
              <w:spacing w:line="0" w:lineRule="atLeast"/>
              <w:jc w:val="center"/>
              <w:rPr>
                <w:rFonts w:ascii="Times New Roman" w:hAnsi="Times New Roman"/>
                <w:b/>
                <w:bCs/>
                <w:sz w:val="28"/>
                <w:szCs w:val="28"/>
              </w:rPr>
            </w:pPr>
            <w:r w:rsidRPr="00177CBE">
              <w:rPr>
                <w:rFonts w:ascii="Times New Roman" w:hAnsi="Times New Roman"/>
                <w:bCs/>
                <w:sz w:val="28"/>
                <w:szCs w:val="28"/>
              </w:rPr>
              <w:t>2015</w:t>
            </w:r>
          </w:p>
        </w:tc>
      </w:tr>
      <w:tr w:rsidR="00177CBE" w:rsidRPr="00177CBE" w:rsidTr="00177CBE">
        <w:trPr>
          <w:trHeight w:val="521"/>
        </w:trPr>
        <w:tc>
          <w:tcPr>
            <w:tcW w:w="4077" w:type="dxa"/>
            <w:shd w:val="clear" w:color="auto" w:fill="FFFFFF"/>
          </w:tcPr>
          <w:p w:rsidR="00177CBE" w:rsidRPr="00177CBE" w:rsidRDefault="00177CBE" w:rsidP="00177CBE">
            <w:pPr>
              <w:pStyle w:val="ae"/>
              <w:spacing w:line="0" w:lineRule="atLeast"/>
              <w:jc w:val="both"/>
              <w:rPr>
                <w:rFonts w:ascii="Times New Roman" w:hAnsi="Times New Roman"/>
                <w:b/>
                <w:bCs/>
                <w:sz w:val="28"/>
                <w:szCs w:val="28"/>
              </w:rPr>
            </w:pPr>
            <w:r w:rsidRPr="00177CBE">
              <w:rPr>
                <w:rFonts w:ascii="Times New Roman" w:hAnsi="Times New Roman"/>
                <w:bCs/>
                <w:sz w:val="28"/>
                <w:szCs w:val="28"/>
              </w:rPr>
              <w:t>Годовой объем ввода жилья по</w:t>
            </w:r>
            <w:r w:rsidRPr="00177CBE">
              <w:rPr>
                <w:rFonts w:ascii="Times New Roman" w:hAnsi="Times New Roman"/>
                <w:sz w:val="28"/>
                <w:szCs w:val="28"/>
              </w:rPr>
              <w:t xml:space="preserve"> району, кв. м. общей площади</w:t>
            </w:r>
          </w:p>
        </w:tc>
        <w:tc>
          <w:tcPr>
            <w:tcW w:w="963"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3140</w:t>
            </w:r>
          </w:p>
        </w:tc>
        <w:tc>
          <w:tcPr>
            <w:tcW w:w="1094"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3799</w:t>
            </w:r>
          </w:p>
        </w:tc>
        <w:tc>
          <w:tcPr>
            <w:tcW w:w="992"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 xml:space="preserve">5822 </w:t>
            </w:r>
          </w:p>
        </w:tc>
        <w:tc>
          <w:tcPr>
            <w:tcW w:w="1134"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10242</w:t>
            </w:r>
          </w:p>
          <w:p w:rsidR="00177CBE" w:rsidRPr="00177CBE" w:rsidRDefault="00177CBE" w:rsidP="00177CBE">
            <w:pPr>
              <w:pStyle w:val="ae"/>
              <w:spacing w:line="0" w:lineRule="atLeast"/>
              <w:jc w:val="both"/>
              <w:rPr>
                <w:rFonts w:ascii="Times New Roman" w:hAnsi="Times New Roman"/>
                <w:bCs/>
                <w:sz w:val="28"/>
                <w:szCs w:val="28"/>
              </w:rPr>
            </w:pPr>
          </w:p>
        </w:tc>
        <w:tc>
          <w:tcPr>
            <w:tcW w:w="1375"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12294</w:t>
            </w:r>
          </w:p>
          <w:p w:rsidR="00177CBE" w:rsidRPr="00177CBE" w:rsidRDefault="00177CBE" w:rsidP="00177CBE">
            <w:pPr>
              <w:pStyle w:val="ae"/>
              <w:spacing w:line="0" w:lineRule="atLeast"/>
              <w:jc w:val="both"/>
              <w:rPr>
                <w:rFonts w:ascii="Times New Roman" w:hAnsi="Times New Roman"/>
                <w:bCs/>
                <w:sz w:val="28"/>
                <w:szCs w:val="28"/>
              </w:rPr>
            </w:pPr>
          </w:p>
        </w:tc>
      </w:tr>
      <w:tr w:rsidR="00177CBE" w:rsidRPr="00177CBE" w:rsidTr="00177CBE">
        <w:trPr>
          <w:trHeight w:val="521"/>
        </w:trPr>
        <w:tc>
          <w:tcPr>
            <w:tcW w:w="4077" w:type="dxa"/>
            <w:shd w:val="clear" w:color="auto" w:fill="FFFFFF"/>
          </w:tcPr>
          <w:p w:rsidR="00177CBE" w:rsidRPr="00177CBE" w:rsidRDefault="00177CBE" w:rsidP="00177CBE">
            <w:pPr>
              <w:pStyle w:val="ae"/>
              <w:spacing w:line="0" w:lineRule="atLeast"/>
              <w:jc w:val="both"/>
              <w:rPr>
                <w:rFonts w:ascii="Times New Roman" w:hAnsi="Times New Roman"/>
                <w:b/>
                <w:bCs/>
                <w:sz w:val="28"/>
                <w:szCs w:val="28"/>
              </w:rPr>
            </w:pPr>
            <w:r w:rsidRPr="00177CBE">
              <w:rPr>
                <w:rFonts w:ascii="Times New Roman" w:hAnsi="Times New Roman"/>
                <w:bCs/>
                <w:sz w:val="28"/>
                <w:szCs w:val="28"/>
              </w:rPr>
              <w:t>Количество введенных в эксплуатацию домов, ед.</w:t>
            </w:r>
          </w:p>
        </w:tc>
        <w:tc>
          <w:tcPr>
            <w:tcW w:w="963"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29</w:t>
            </w:r>
          </w:p>
        </w:tc>
        <w:tc>
          <w:tcPr>
            <w:tcW w:w="1094"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35</w:t>
            </w:r>
          </w:p>
        </w:tc>
        <w:tc>
          <w:tcPr>
            <w:tcW w:w="992"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77</w:t>
            </w:r>
          </w:p>
        </w:tc>
        <w:tc>
          <w:tcPr>
            <w:tcW w:w="1134"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139</w:t>
            </w:r>
          </w:p>
        </w:tc>
        <w:tc>
          <w:tcPr>
            <w:tcW w:w="1375" w:type="dxa"/>
            <w:shd w:val="clear" w:color="auto" w:fill="FFFFFF"/>
          </w:tcPr>
          <w:p w:rsidR="00177CBE" w:rsidRPr="00177CBE" w:rsidRDefault="00177CBE" w:rsidP="00177CBE">
            <w:pPr>
              <w:pStyle w:val="ae"/>
              <w:spacing w:line="0" w:lineRule="atLeast"/>
              <w:jc w:val="both"/>
              <w:rPr>
                <w:rFonts w:ascii="Times New Roman" w:hAnsi="Times New Roman"/>
                <w:bCs/>
                <w:sz w:val="28"/>
                <w:szCs w:val="28"/>
              </w:rPr>
            </w:pPr>
            <w:r w:rsidRPr="00177CBE">
              <w:rPr>
                <w:rFonts w:ascii="Times New Roman" w:hAnsi="Times New Roman"/>
                <w:bCs/>
                <w:sz w:val="28"/>
                <w:szCs w:val="28"/>
              </w:rPr>
              <w:t>167</w:t>
            </w:r>
          </w:p>
        </w:tc>
      </w:tr>
    </w:tbl>
    <w:p w:rsidR="00177CBE" w:rsidRPr="00177CBE" w:rsidRDefault="00177CBE" w:rsidP="00177CBE">
      <w:pPr>
        <w:pStyle w:val="ae"/>
        <w:spacing w:line="0" w:lineRule="atLeast"/>
        <w:jc w:val="both"/>
        <w:rPr>
          <w:rFonts w:ascii="Times New Roman" w:hAnsi="Times New Roman"/>
          <w:sz w:val="28"/>
          <w:szCs w:val="28"/>
        </w:rPr>
      </w:pP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Количество выданных разрешений на строительство индивидуальных домов свидетельствуют о том, что объемы индивидуального жилищного строительства будут увеличиваться и в последующие годы. На 1.01.2015 года в районе насчитывается 395 индивидуальных застройщиков, в незавершенном строительстве находится 240 домов. Самое большое количество застройщиков в МО Городецкое – 365, что составляет 90 % от всех индивидуальных застройщиков района.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w:t>
      </w:r>
      <w:r w:rsidRPr="00177CBE">
        <w:rPr>
          <w:rFonts w:ascii="Times New Roman" w:hAnsi="Times New Roman"/>
          <w:sz w:val="28"/>
          <w:szCs w:val="28"/>
        </w:rPr>
        <w:tab/>
        <w:t xml:space="preserve">На территории сельского поселения Городецкое застраиваются целые микрорайоны. Активно застраиваются участки вдоль а/дороги «Объезд с. Кич – Городок»: микрорайон «Новый», д. Решетниково, д. Торопово.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w:t>
      </w:r>
      <w:r w:rsidRPr="00177CBE">
        <w:rPr>
          <w:rFonts w:ascii="Times New Roman" w:hAnsi="Times New Roman"/>
          <w:sz w:val="28"/>
          <w:szCs w:val="28"/>
        </w:rPr>
        <w:tab/>
        <w:t>В настоящее время предоставлены земельные участки в северной части с. Кичменгский Городок - территория, примыкающая к улицам Районная, Весенняя, площадью 25.41 га, где под индивидуальное жилищное строительство предусмотрено 85 участков. Уже начата застройка данной территории.</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w:t>
      </w:r>
      <w:r w:rsidRPr="00177CBE">
        <w:rPr>
          <w:rFonts w:ascii="Times New Roman" w:hAnsi="Times New Roman"/>
          <w:sz w:val="28"/>
          <w:szCs w:val="28"/>
        </w:rPr>
        <w:tab/>
        <w:t>Для перспективной жилищной застройки с. Кичменгский Городок предусмотрены следующие территории:  110 га в западной части села, 40.0 га - в северной части и 5.0 га – в северо-восточной, а также территория, примыкающая к ул. Боровая - 13.0 га.</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 xml:space="preserve">Также активно ведется жилищное строительство и в населенных пунктах, расположенных вблизи районного центра </w:t>
      </w:r>
    </w:p>
    <w:p w:rsidR="00177CBE" w:rsidRPr="00177CBE" w:rsidRDefault="00177CBE" w:rsidP="00177CBE">
      <w:pPr>
        <w:pStyle w:val="ae"/>
        <w:spacing w:line="0" w:lineRule="atLeast"/>
        <w:jc w:val="center"/>
        <w:rPr>
          <w:rFonts w:ascii="Times New Roman" w:hAnsi="Times New Roman"/>
          <w:b/>
          <w:sz w:val="28"/>
          <w:szCs w:val="28"/>
        </w:rPr>
      </w:pPr>
    </w:p>
    <w:p w:rsidR="00177CBE" w:rsidRPr="00177CBE" w:rsidRDefault="00177CBE" w:rsidP="00177CBE">
      <w:pPr>
        <w:pStyle w:val="ae"/>
        <w:spacing w:line="0" w:lineRule="atLeast"/>
        <w:jc w:val="center"/>
        <w:rPr>
          <w:rFonts w:ascii="Times New Roman" w:hAnsi="Times New Roman"/>
          <w:b/>
          <w:sz w:val="28"/>
          <w:szCs w:val="28"/>
        </w:rPr>
      </w:pP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2.4.3 Дорожная инфраструктура</w:t>
      </w:r>
    </w:p>
    <w:p w:rsidR="00177CBE" w:rsidRPr="00177CBE" w:rsidRDefault="00177CBE" w:rsidP="00177CBE">
      <w:pPr>
        <w:pStyle w:val="ae"/>
        <w:spacing w:line="0" w:lineRule="atLeast"/>
        <w:rPr>
          <w:rFonts w:ascii="Times New Roman" w:hAnsi="Times New Roman"/>
          <w:sz w:val="28"/>
          <w:szCs w:val="28"/>
        </w:rPr>
      </w:pPr>
      <w:r w:rsidRPr="00177CBE">
        <w:rPr>
          <w:rFonts w:ascii="Times New Roman" w:hAnsi="Times New Roman"/>
          <w:sz w:val="28"/>
          <w:szCs w:val="28"/>
        </w:rPr>
        <w:tab/>
        <w:t xml:space="preserve"> Протяженность автомобильных дорог в Кичменгско-Городецком муниципальном районе составляет 1084,95 км.</w:t>
      </w:r>
    </w:p>
    <w:p w:rsidR="00177CBE" w:rsidRPr="00177CBE" w:rsidRDefault="00177CBE" w:rsidP="00177CBE">
      <w:pPr>
        <w:pStyle w:val="ae"/>
        <w:spacing w:line="0" w:lineRule="atLeast"/>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3629025" cy="1657350"/>
            <wp:effectExtent l="0" t="0" r="0" b="0"/>
            <wp:docPr id="152"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lastRenderedPageBreak/>
        <w:tab/>
        <w:t>Автомобильные дороги имеют стратегическое значение для Кичменгско-Городецкого района. Они связывают районный центр с территориями сельских поселений, обеспечиваю жизнедеятельность всех населенных пунктов, во многом определяют возможности развития района, по ним осуществляются самые массовые автомобильные перевозки грузов и пассажиров.</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Создание Дорожного фонда позволило существенно увеличить финансирование на ремонт и содержание дорог местного значения.</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Для более эффективного его использования разработана и утверждена муниципальная программа «Развитие сети автомобильных дорог общего пользования местного значения на территории Кичменгско-Городецкого муниципального района на период 2013-2015 гг.»</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ab/>
        <w:t>В 2015 году за счет средств Дорожного фонда Вологодской области выполнен ремонт автомобильной дороги «Лубозино-Коркин Дор-Долматово протяженностью 6 км. на сумму 3,1 млн. руб. Так же проведены ремонт моста через р. Кичменьга в д.Токарево с ремонтом 3-х ледорезов и ремонт дороги Олятово-Калинино (устройство трубопереездов) на сумму 2,2 млн. руб., ремонт подъезда к д. Сигово протяженностью 1,6 км.</w:t>
      </w:r>
    </w:p>
    <w:p w:rsidR="00177CBE" w:rsidRPr="00177CBE" w:rsidRDefault="00177CBE" w:rsidP="00177CBE">
      <w:pPr>
        <w:pStyle w:val="ae"/>
        <w:tabs>
          <w:tab w:val="left" w:pos="709"/>
          <w:tab w:val="left" w:pos="1418"/>
          <w:tab w:val="left" w:pos="2127"/>
          <w:tab w:val="left" w:pos="2836"/>
          <w:tab w:val="left" w:pos="3545"/>
          <w:tab w:val="left" w:pos="4254"/>
          <w:tab w:val="left" w:pos="4963"/>
          <w:tab w:val="right" w:pos="9355"/>
        </w:tabs>
        <w:spacing w:line="0" w:lineRule="atLeast"/>
        <w:jc w:val="center"/>
        <w:rPr>
          <w:rFonts w:ascii="Times New Roman" w:hAnsi="Times New Roman"/>
          <w:sz w:val="28"/>
          <w:szCs w:val="28"/>
        </w:rPr>
      </w:pPr>
      <w:r w:rsidRPr="00177CBE">
        <w:rPr>
          <w:rFonts w:ascii="Times New Roman" w:hAnsi="Times New Roman"/>
          <w:noProof/>
          <w:sz w:val="28"/>
          <w:szCs w:val="28"/>
          <w:lang w:eastAsia="ru-RU"/>
        </w:rPr>
        <w:drawing>
          <wp:inline distT="0" distB="0" distL="0" distR="0">
            <wp:extent cx="3886200" cy="1628775"/>
            <wp:effectExtent l="0" t="0" r="0" b="0"/>
            <wp:docPr id="2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Ежегодно на содержание дорог с районного бюджета выделяется порядка 4,0 млн. руб. Реализация муниципальной программы позволила снизить долю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с 88,3% до 78%.</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rPr>
        <w:t xml:space="preserve">      Продолжается предоставление в собственность на безвозмездной основе земельных участков, расположенных на территории района. </w:t>
      </w:r>
      <w:r w:rsidRPr="00177CBE">
        <w:rPr>
          <w:rFonts w:ascii="Times New Roman" w:hAnsi="Times New Roman"/>
          <w:noProof/>
          <w:sz w:val="28"/>
          <w:szCs w:val="28"/>
        </w:rPr>
        <w:br/>
        <w:t xml:space="preserve">С 2012 года в список граждан, имеющих право на бесплатное приобретение в собственность земельного участка, был </w:t>
      </w:r>
      <w:r w:rsidRPr="00177CBE">
        <w:rPr>
          <w:rFonts w:ascii="Times New Roman" w:hAnsi="Times New Roman"/>
          <w:noProof/>
          <w:color w:val="000000"/>
          <w:sz w:val="28"/>
          <w:szCs w:val="28"/>
        </w:rPr>
        <w:t>включен 171 человек (45 – многодетные семьи, 1 – медицинский работник)</w:t>
      </w:r>
      <w:r w:rsidRPr="00177CBE">
        <w:rPr>
          <w:rFonts w:ascii="Times New Roman" w:hAnsi="Times New Roman"/>
          <w:noProof/>
          <w:sz w:val="28"/>
          <w:szCs w:val="28"/>
        </w:rPr>
        <w:t xml:space="preserve">, что составляет 27% </w:t>
      </w:r>
      <w:r w:rsidRPr="00177CBE">
        <w:rPr>
          <w:rFonts w:ascii="Times New Roman" w:hAnsi="Times New Roman"/>
          <w:noProof/>
          <w:color w:val="000000"/>
          <w:sz w:val="28"/>
          <w:szCs w:val="28"/>
        </w:rPr>
        <w:t xml:space="preserve">общего количества граждан, вставших на учет </w:t>
      </w:r>
      <w:r w:rsidRPr="00177CBE">
        <w:rPr>
          <w:rFonts w:ascii="Times New Roman" w:hAnsi="Times New Roman"/>
          <w:noProof/>
          <w:sz w:val="28"/>
          <w:szCs w:val="28"/>
        </w:rPr>
        <w:t>в качестве лиц, имеющих право на предоставление земельных участков в собственность бесплатно.</w:t>
      </w:r>
      <w:r w:rsidRPr="00177CBE">
        <w:rPr>
          <w:rFonts w:ascii="Times New Roman" w:hAnsi="Times New Roman"/>
          <w:noProof/>
          <w:color w:val="000000"/>
          <w:sz w:val="28"/>
          <w:szCs w:val="28"/>
        </w:rPr>
        <w:t xml:space="preserve"> </w:t>
      </w:r>
      <w:r w:rsidRPr="00177CBE">
        <w:rPr>
          <w:rFonts w:ascii="Times New Roman" w:hAnsi="Times New Roman"/>
          <w:noProof/>
          <w:sz w:val="28"/>
          <w:szCs w:val="28"/>
        </w:rPr>
        <w:t xml:space="preserve">Немедленной реализации права граждан на бесплатное приобретение земельного участка, препятствует отсутствие необходимого количества свободных земельных участков с </w:t>
      </w:r>
      <w:r w:rsidRPr="00177CBE">
        <w:rPr>
          <w:rFonts w:ascii="Times New Roman" w:hAnsi="Times New Roman"/>
          <w:noProof/>
          <w:color w:val="000000"/>
          <w:sz w:val="28"/>
          <w:szCs w:val="28"/>
        </w:rPr>
        <w:t>инженерной и коммунальной инфраструктурой</w:t>
      </w:r>
      <w:r w:rsidRPr="00177CBE">
        <w:rPr>
          <w:rFonts w:ascii="Times New Roman" w:hAnsi="Times New Roman"/>
          <w:noProof/>
          <w:color w:val="FF0000"/>
          <w:sz w:val="28"/>
          <w:szCs w:val="28"/>
        </w:rPr>
        <w:t xml:space="preserve"> </w:t>
      </w:r>
      <w:r w:rsidRPr="00177CBE">
        <w:rPr>
          <w:rFonts w:ascii="Times New Roman" w:hAnsi="Times New Roman"/>
          <w:noProof/>
          <w:sz w:val="28"/>
          <w:szCs w:val="28"/>
        </w:rPr>
        <w:t xml:space="preserve">и </w:t>
      </w:r>
      <w:r w:rsidRPr="00177CBE">
        <w:rPr>
          <w:rFonts w:ascii="Times New Roman" w:hAnsi="Times New Roman"/>
          <w:noProof/>
          <w:color w:val="000000"/>
          <w:sz w:val="28"/>
          <w:szCs w:val="28"/>
        </w:rPr>
        <w:t>финансовой возможности проведения межевых работ по формированию такого количества земельных участков. В</w:t>
      </w:r>
      <w:r w:rsidRPr="00177CBE">
        <w:rPr>
          <w:rFonts w:ascii="Times New Roman" w:hAnsi="Times New Roman"/>
          <w:noProof/>
          <w:sz w:val="28"/>
          <w:szCs w:val="28"/>
        </w:rPr>
        <w:t xml:space="preserve"> 2016 году планируется увеличить количество земельных участков для бесплатного </w:t>
      </w:r>
      <w:r w:rsidRPr="00177CBE">
        <w:rPr>
          <w:rFonts w:ascii="Times New Roman" w:hAnsi="Times New Roman"/>
          <w:noProof/>
          <w:sz w:val="28"/>
          <w:szCs w:val="28"/>
        </w:rPr>
        <w:lastRenderedPageBreak/>
        <w:t>предоставления в собственность отдельным категориям граждан на 38 % от 2015 года.</w:t>
      </w:r>
    </w:p>
    <w:p w:rsidR="00177CBE" w:rsidRPr="00177CBE" w:rsidRDefault="00177CBE" w:rsidP="00177CBE">
      <w:pPr>
        <w:spacing w:line="0" w:lineRule="atLeast"/>
        <w:jc w:val="both"/>
        <w:rPr>
          <w:noProof/>
          <w:sz w:val="28"/>
          <w:szCs w:val="28"/>
        </w:rPr>
      </w:pPr>
      <w:r w:rsidRPr="00177CBE">
        <w:rPr>
          <w:sz w:val="28"/>
          <w:szCs w:val="28"/>
        </w:rPr>
        <w:t xml:space="preserve">  </w:t>
      </w:r>
      <w:r w:rsidRPr="00177CBE">
        <w:rPr>
          <w:sz w:val="28"/>
          <w:szCs w:val="28"/>
        </w:rPr>
        <w:tab/>
        <w:t xml:space="preserve">В целях конструктивной работы с потенциальными инвесторами, в Кичменгско-Городецком районе зарезервировано четыре инвестиционных площадки для строительства объектов отдыха и туризма, сельскохозяйственного и промышленного производства. </w:t>
      </w:r>
    </w:p>
    <w:p w:rsidR="00177CBE" w:rsidRPr="00177CBE" w:rsidRDefault="00177CBE" w:rsidP="00177CBE">
      <w:pPr>
        <w:tabs>
          <w:tab w:val="left" w:pos="915"/>
        </w:tabs>
        <w:spacing w:line="0" w:lineRule="atLeast"/>
        <w:jc w:val="both"/>
        <w:rPr>
          <w:color w:val="000000"/>
          <w:sz w:val="28"/>
          <w:szCs w:val="28"/>
        </w:rPr>
      </w:pPr>
      <w:r w:rsidRPr="00177CBE">
        <w:rPr>
          <w:sz w:val="28"/>
          <w:szCs w:val="28"/>
        </w:rPr>
        <w:tab/>
        <w:t xml:space="preserve">В 2015 году под жилищное строительство в собственность и аренду предоставлено 55 земельных участков, общей площадью 8,5 га., </w:t>
      </w:r>
      <w:r w:rsidRPr="00177CBE">
        <w:rPr>
          <w:color w:val="000000"/>
          <w:sz w:val="28"/>
          <w:szCs w:val="28"/>
        </w:rPr>
        <w:t xml:space="preserve">что на 10% больше уровня 2014 года. </w:t>
      </w:r>
      <w:r w:rsidRPr="00177CBE">
        <w:rPr>
          <w:color w:val="000000"/>
          <w:sz w:val="28"/>
          <w:szCs w:val="28"/>
        </w:rPr>
        <w:tab/>
        <w:t xml:space="preserve"> </w:t>
      </w:r>
    </w:p>
    <w:p w:rsidR="00177CBE" w:rsidRPr="00177CBE" w:rsidRDefault="00177CBE" w:rsidP="00177CBE">
      <w:pPr>
        <w:tabs>
          <w:tab w:val="left" w:pos="915"/>
        </w:tabs>
        <w:spacing w:line="0" w:lineRule="atLeast"/>
        <w:jc w:val="both"/>
        <w:rPr>
          <w:sz w:val="28"/>
          <w:szCs w:val="28"/>
        </w:rPr>
      </w:pPr>
      <w:r w:rsidRPr="00177CBE">
        <w:rPr>
          <w:color w:val="000000"/>
          <w:sz w:val="28"/>
          <w:szCs w:val="28"/>
        </w:rPr>
        <w:tab/>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2.5 Структура местного бюджета</w:t>
      </w:r>
    </w:p>
    <w:p w:rsidR="00177CBE" w:rsidRPr="00177CBE" w:rsidRDefault="00177CBE" w:rsidP="00177CBE">
      <w:pPr>
        <w:shd w:val="clear" w:color="auto" w:fill="FFFFFF"/>
        <w:spacing w:line="0" w:lineRule="atLeast"/>
        <w:ind w:left="10" w:firstLine="557"/>
        <w:jc w:val="both"/>
        <w:rPr>
          <w:sz w:val="28"/>
          <w:szCs w:val="28"/>
        </w:rPr>
      </w:pPr>
      <w:r w:rsidRPr="00177CBE">
        <w:rPr>
          <w:color w:val="000000"/>
          <w:spacing w:val="7"/>
          <w:sz w:val="28"/>
          <w:szCs w:val="28"/>
        </w:rPr>
        <w:t xml:space="preserve">В последние годы формирование и исполнение бюджета района </w:t>
      </w:r>
      <w:r w:rsidRPr="00177CBE">
        <w:rPr>
          <w:color w:val="000000"/>
          <w:spacing w:val="2"/>
          <w:sz w:val="28"/>
          <w:szCs w:val="28"/>
        </w:rPr>
        <w:t xml:space="preserve">происходило в сложных экономических условиях. Бюджетные средства в </w:t>
      </w:r>
      <w:r w:rsidRPr="00177CBE">
        <w:rPr>
          <w:color w:val="000000"/>
          <w:spacing w:val="12"/>
          <w:sz w:val="28"/>
          <w:szCs w:val="28"/>
        </w:rPr>
        <w:t xml:space="preserve">первую очередь направлялись на выполнение социальных задач и </w:t>
      </w:r>
      <w:r w:rsidRPr="00177CBE">
        <w:rPr>
          <w:color w:val="000000"/>
          <w:spacing w:val="9"/>
          <w:sz w:val="28"/>
          <w:szCs w:val="28"/>
        </w:rPr>
        <w:t xml:space="preserve">обеспечение финансовой устойчивости района. Несмотря на высокий </w:t>
      </w:r>
      <w:r w:rsidRPr="00177CBE">
        <w:rPr>
          <w:color w:val="000000"/>
          <w:spacing w:val="13"/>
          <w:sz w:val="28"/>
          <w:szCs w:val="28"/>
        </w:rPr>
        <w:t xml:space="preserve">уровень дотационности собственные доходы бюджета ежегодно </w:t>
      </w:r>
      <w:r w:rsidRPr="00177CBE">
        <w:rPr>
          <w:color w:val="000000"/>
          <w:spacing w:val="-1"/>
          <w:sz w:val="28"/>
          <w:szCs w:val="28"/>
        </w:rPr>
        <w:t>увеличиваются.</w:t>
      </w:r>
    </w:p>
    <w:p w:rsidR="00177CBE" w:rsidRPr="00177CBE" w:rsidRDefault="00177CBE" w:rsidP="00177CBE">
      <w:pPr>
        <w:shd w:val="clear" w:color="auto" w:fill="FFFFFF"/>
        <w:tabs>
          <w:tab w:val="left" w:leader="underscore" w:pos="9413"/>
        </w:tabs>
        <w:spacing w:before="10" w:line="0" w:lineRule="atLeast"/>
        <w:ind w:right="10"/>
        <w:jc w:val="both"/>
        <w:rPr>
          <w:color w:val="000000"/>
          <w:sz w:val="28"/>
          <w:szCs w:val="28"/>
        </w:rPr>
      </w:pPr>
      <w:r w:rsidRPr="00177CBE">
        <w:rPr>
          <w:color w:val="000000"/>
          <w:spacing w:val="5"/>
          <w:sz w:val="28"/>
          <w:szCs w:val="28"/>
        </w:rPr>
        <w:t xml:space="preserve">     По итогам 2015 года бюджет района по доходам исполнен в сумме 535,8</w:t>
      </w:r>
      <w:r w:rsidRPr="00177CBE">
        <w:rPr>
          <w:sz w:val="28"/>
          <w:szCs w:val="28"/>
        </w:rPr>
        <w:t xml:space="preserve"> </w:t>
      </w:r>
      <w:r w:rsidRPr="00177CBE">
        <w:rPr>
          <w:color w:val="000000"/>
          <w:spacing w:val="3"/>
          <w:sz w:val="28"/>
          <w:szCs w:val="28"/>
        </w:rPr>
        <w:t>млн. руб. в том числе  собственные доходы 126,8 млн. руб., безвозмездные</w:t>
      </w:r>
      <w:r w:rsidRPr="00177CBE">
        <w:rPr>
          <w:sz w:val="28"/>
          <w:szCs w:val="28"/>
        </w:rPr>
        <w:t xml:space="preserve"> </w:t>
      </w:r>
      <w:r w:rsidRPr="00177CBE">
        <w:rPr>
          <w:color w:val="000000"/>
          <w:spacing w:val="7"/>
          <w:sz w:val="28"/>
          <w:szCs w:val="28"/>
        </w:rPr>
        <w:t xml:space="preserve">поступления от других бюджетов 410,1 млн. руб. Собственные доходы </w:t>
      </w:r>
      <w:r w:rsidRPr="00177CBE">
        <w:rPr>
          <w:color w:val="000000"/>
          <w:spacing w:val="1"/>
          <w:sz w:val="28"/>
          <w:szCs w:val="28"/>
        </w:rPr>
        <w:t xml:space="preserve">бюджета на 96,5 % формируются за счет НДФЛ, единого налога на вмененный </w:t>
      </w:r>
      <w:r w:rsidRPr="00177CBE">
        <w:rPr>
          <w:color w:val="000000"/>
          <w:sz w:val="28"/>
          <w:szCs w:val="28"/>
        </w:rPr>
        <w:t>доход, доходов от уплаты акцизов на нефтепродукты, доходов от использования имущества, от продажи материальных и нематериальных активов.</w:t>
      </w:r>
    </w:p>
    <w:p w:rsidR="00177CBE" w:rsidRPr="00177CBE" w:rsidRDefault="00177CBE" w:rsidP="00177CBE">
      <w:pPr>
        <w:shd w:val="clear" w:color="auto" w:fill="FFFFFF"/>
        <w:spacing w:line="0" w:lineRule="atLeast"/>
        <w:ind w:left="5" w:right="115" w:firstLine="418"/>
        <w:jc w:val="both"/>
        <w:rPr>
          <w:spacing w:val="9"/>
          <w:sz w:val="28"/>
          <w:szCs w:val="28"/>
        </w:rPr>
      </w:pPr>
      <w:r w:rsidRPr="00177CBE">
        <w:rPr>
          <w:noProof/>
          <w:spacing w:val="9"/>
          <w:sz w:val="28"/>
          <w:szCs w:val="28"/>
        </w:rPr>
        <w:drawing>
          <wp:anchor distT="0" distB="0" distL="114300" distR="114300" simplePos="0" relativeHeight="251680768" behindDoc="1" locked="0" layoutInCell="1" allowOverlap="1">
            <wp:simplePos x="0" y="0"/>
            <wp:positionH relativeFrom="column">
              <wp:posOffset>2644140</wp:posOffset>
            </wp:positionH>
            <wp:positionV relativeFrom="paragraph">
              <wp:posOffset>3810</wp:posOffset>
            </wp:positionV>
            <wp:extent cx="2552700" cy="1285875"/>
            <wp:effectExtent l="19050" t="0" r="0" b="0"/>
            <wp:wrapTight wrapText="bothSides">
              <wp:wrapPolygon edited="0">
                <wp:start x="-161" y="0"/>
                <wp:lineTo x="-161" y="21440"/>
                <wp:lineTo x="21600" y="21440"/>
                <wp:lineTo x="21600" y="0"/>
                <wp:lineTo x="-161" y="0"/>
              </wp:wrapPolygon>
            </wp:wrapTight>
            <wp:docPr id="15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56" cstate="print"/>
                    <a:srcRect/>
                    <a:stretch>
                      <a:fillRect/>
                    </a:stretch>
                  </pic:blipFill>
                  <pic:spPr bwMode="auto">
                    <a:xfrm>
                      <a:off x="0" y="0"/>
                      <a:ext cx="2552700" cy="1285875"/>
                    </a:xfrm>
                    <a:prstGeom prst="rect">
                      <a:avLst/>
                    </a:prstGeom>
                    <a:noFill/>
                    <a:ln w="9525">
                      <a:noFill/>
                      <a:miter lim="800000"/>
                      <a:headEnd/>
                      <a:tailEnd/>
                    </a:ln>
                  </pic:spPr>
                </pic:pic>
              </a:graphicData>
            </a:graphic>
          </wp:anchor>
        </w:drawing>
      </w:r>
      <w:r w:rsidRPr="00177CBE">
        <w:rPr>
          <w:noProof/>
          <w:spacing w:val="9"/>
          <w:sz w:val="28"/>
          <w:szCs w:val="28"/>
        </w:rPr>
        <w:drawing>
          <wp:anchor distT="0" distB="0" distL="114300" distR="114300" simplePos="0" relativeHeight="251681792" behindDoc="1" locked="0" layoutInCell="1" allowOverlap="1">
            <wp:simplePos x="0" y="0"/>
            <wp:positionH relativeFrom="column">
              <wp:posOffset>15240</wp:posOffset>
            </wp:positionH>
            <wp:positionV relativeFrom="paragraph">
              <wp:posOffset>-62865</wp:posOffset>
            </wp:positionV>
            <wp:extent cx="2486025" cy="2562225"/>
            <wp:effectExtent l="19050" t="0" r="9525" b="0"/>
            <wp:wrapTight wrapText="bothSides">
              <wp:wrapPolygon edited="0">
                <wp:start x="-166" y="0"/>
                <wp:lineTo x="-166" y="21520"/>
                <wp:lineTo x="21683" y="21520"/>
                <wp:lineTo x="21683" y="0"/>
                <wp:lineTo x="-166" y="0"/>
              </wp:wrapPolygon>
            </wp:wrapTight>
            <wp:docPr id="15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7" cstate="print"/>
                    <a:srcRect/>
                    <a:stretch>
                      <a:fillRect/>
                    </a:stretch>
                  </pic:blipFill>
                  <pic:spPr bwMode="auto">
                    <a:xfrm>
                      <a:off x="0" y="0"/>
                      <a:ext cx="2486025" cy="2562225"/>
                    </a:xfrm>
                    <a:prstGeom prst="rect">
                      <a:avLst/>
                    </a:prstGeom>
                    <a:noFill/>
                    <a:ln w="9525">
                      <a:noFill/>
                      <a:miter lim="800000"/>
                      <a:headEnd/>
                      <a:tailEnd/>
                    </a:ln>
                  </pic:spPr>
                </pic:pic>
              </a:graphicData>
            </a:graphic>
          </wp:anchor>
        </w:drawing>
      </w:r>
      <w:r w:rsidRPr="00177CBE">
        <w:rPr>
          <w:spacing w:val="9"/>
          <w:sz w:val="28"/>
          <w:szCs w:val="28"/>
        </w:rPr>
        <w:t>Рост налоговых и неналоговых доходов в 2015г. по сравнению с 2014г. связан в увеличением нормативов отчислений по НДФЛ (98% - в 2015г., 90% - в 2014г.), по аренде и продаже земельных участков (100% - в 2015г., 50% - в 2014г.).</w:t>
      </w:r>
    </w:p>
    <w:p w:rsidR="00177CBE" w:rsidRPr="00177CBE" w:rsidRDefault="00177CBE" w:rsidP="00177CBE">
      <w:pPr>
        <w:shd w:val="clear" w:color="auto" w:fill="FFFFFF"/>
        <w:spacing w:line="0" w:lineRule="atLeast"/>
        <w:ind w:left="5" w:right="115" w:firstLine="418"/>
        <w:jc w:val="both"/>
        <w:rPr>
          <w:sz w:val="28"/>
          <w:szCs w:val="28"/>
        </w:rPr>
      </w:pPr>
      <w:r w:rsidRPr="00177CBE">
        <w:rPr>
          <w:spacing w:val="9"/>
          <w:sz w:val="28"/>
          <w:szCs w:val="28"/>
        </w:rPr>
        <w:t xml:space="preserve">В целях сохранения и наращивания налогового потенциала Главой </w:t>
      </w:r>
      <w:r w:rsidRPr="00177CBE">
        <w:rPr>
          <w:sz w:val="28"/>
          <w:szCs w:val="28"/>
        </w:rPr>
        <w:t xml:space="preserve">района утвержден план мероприятий по укреплению доходного потенциала бюджета </w:t>
      </w:r>
      <w:r w:rsidRPr="00177CBE">
        <w:rPr>
          <w:spacing w:val="1"/>
          <w:sz w:val="28"/>
          <w:szCs w:val="28"/>
        </w:rPr>
        <w:t>района (постановление от 10.11.2014г. №596).</w:t>
      </w:r>
      <w:r w:rsidRPr="00177CBE">
        <w:rPr>
          <w:sz w:val="28"/>
          <w:szCs w:val="28"/>
        </w:rPr>
        <w:t xml:space="preserve"> </w:t>
      </w:r>
    </w:p>
    <w:p w:rsidR="00177CBE" w:rsidRPr="00177CBE" w:rsidRDefault="00177CBE" w:rsidP="00177CBE">
      <w:pPr>
        <w:shd w:val="clear" w:color="auto" w:fill="FFFFFF"/>
        <w:spacing w:line="0" w:lineRule="atLeast"/>
        <w:ind w:left="643"/>
        <w:jc w:val="both"/>
        <w:rPr>
          <w:sz w:val="28"/>
          <w:szCs w:val="28"/>
        </w:rPr>
      </w:pPr>
      <w:r w:rsidRPr="00177CBE">
        <w:rPr>
          <w:sz w:val="28"/>
          <w:szCs w:val="28"/>
        </w:rPr>
        <w:t>Приоритетные направления работы:</w:t>
      </w:r>
    </w:p>
    <w:p w:rsidR="00177CBE" w:rsidRPr="00177CBE" w:rsidRDefault="00177CBE" w:rsidP="00177CBE">
      <w:pPr>
        <w:shd w:val="clear" w:color="auto" w:fill="FFFFFF"/>
        <w:tabs>
          <w:tab w:val="left" w:pos="374"/>
        </w:tabs>
        <w:spacing w:line="0" w:lineRule="atLeast"/>
        <w:ind w:left="5"/>
        <w:jc w:val="both"/>
        <w:rPr>
          <w:sz w:val="28"/>
          <w:szCs w:val="28"/>
        </w:rPr>
      </w:pPr>
      <w:r w:rsidRPr="00177CBE">
        <w:rPr>
          <w:sz w:val="28"/>
          <w:szCs w:val="28"/>
        </w:rPr>
        <w:t>-</w:t>
      </w:r>
      <w:r w:rsidRPr="00177CBE">
        <w:rPr>
          <w:sz w:val="28"/>
          <w:szCs w:val="28"/>
        </w:rPr>
        <w:tab/>
        <w:t>сокращение  задолженности  во  все  уровни  бюджетов,  в  том  числе</w:t>
      </w:r>
      <w:r w:rsidRPr="00177CBE">
        <w:rPr>
          <w:sz w:val="28"/>
          <w:szCs w:val="28"/>
        </w:rPr>
        <w:br/>
      </w:r>
      <w:r w:rsidRPr="00177CBE">
        <w:rPr>
          <w:spacing w:val="-3"/>
          <w:sz w:val="28"/>
          <w:szCs w:val="28"/>
        </w:rPr>
        <w:t>задолженности физических лиц, которая на 01.12.2015 года составляет 14,0</w:t>
      </w:r>
      <w:r w:rsidRPr="00177CBE">
        <w:rPr>
          <w:i/>
          <w:iCs/>
          <w:spacing w:val="-3"/>
          <w:sz w:val="28"/>
          <w:szCs w:val="28"/>
        </w:rPr>
        <w:t xml:space="preserve"> </w:t>
      </w:r>
      <w:r w:rsidRPr="00177CBE">
        <w:rPr>
          <w:spacing w:val="-3"/>
          <w:sz w:val="28"/>
          <w:szCs w:val="28"/>
        </w:rPr>
        <w:t>млн. руб.;</w:t>
      </w:r>
    </w:p>
    <w:p w:rsidR="00177CBE" w:rsidRPr="00177CBE" w:rsidRDefault="00177CBE" w:rsidP="00177CBE">
      <w:pPr>
        <w:shd w:val="clear" w:color="auto" w:fill="FFFFFF"/>
        <w:tabs>
          <w:tab w:val="left" w:pos="178"/>
        </w:tabs>
        <w:spacing w:line="0" w:lineRule="atLeast"/>
        <w:ind w:left="19"/>
        <w:jc w:val="both"/>
        <w:rPr>
          <w:sz w:val="28"/>
          <w:szCs w:val="28"/>
        </w:rPr>
      </w:pPr>
      <w:r w:rsidRPr="00177CBE">
        <w:rPr>
          <w:sz w:val="28"/>
          <w:szCs w:val="28"/>
        </w:rPr>
        <w:lastRenderedPageBreak/>
        <w:t>-</w:t>
      </w:r>
      <w:r w:rsidRPr="00177CBE">
        <w:rPr>
          <w:sz w:val="28"/>
          <w:szCs w:val="28"/>
        </w:rPr>
        <w:tab/>
        <w:t>легализация бизнеса и объектов налогообложения.</w:t>
      </w:r>
    </w:p>
    <w:p w:rsidR="00177CBE" w:rsidRPr="00177CBE" w:rsidRDefault="00177CBE" w:rsidP="00177CBE">
      <w:pPr>
        <w:shd w:val="clear" w:color="auto" w:fill="FFFFFF"/>
        <w:spacing w:line="0" w:lineRule="atLeast"/>
        <w:ind w:left="19" w:right="14"/>
        <w:jc w:val="both"/>
        <w:rPr>
          <w:sz w:val="28"/>
          <w:szCs w:val="28"/>
        </w:rPr>
      </w:pPr>
      <w:r w:rsidRPr="00177CBE">
        <w:rPr>
          <w:color w:val="000000"/>
          <w:spacing w:val="1"/>
          <w:sz w:val="28"/>
          <w:szCs w:val="28"/>
        </w:rPr>
        <w:t xml:space="preserve">     Благодаря реализации плана во все уровни бюджетов совместно с МИФНС России привлечено на 01.12.2015г. средств в </w:t>
      </w:r>
      <w:r w:rsidRPr="00177CBE">
        <w:rPr>
          <w:color w:val="000000"/>
          <w:spacing w:val="3"/>
          <w:sz w:val="28"/>
          <w:szCs w:val="28"/>
        </w:rPr>
        <w:t>сумме  10,0</w:t>
      </w:r>
      <w:r w:rsidRPr="00177CBE">
        <w:rPr>
          <w:i/>
          <w:iCs/>
          <w:color w:val="000000"/>
          <w:spacing w:val="3"/>
          <w:sz w:val="28"/>
          <w:szCs w:val="28"/>
        </w:rPr>
        <w:t xml:space="preserve"> </w:t>
      </w:r>
      <w:r w:rsidRPr="00177CBE">
        <w:rPr>
          <w:color w:val="000000"/>
          <w:spacing w:val="3"/>
          <w:sz w:val="28"/>
          <w:szCs w:val="28"/>
        </w:rPr>
        <w:t>млн. руб., в том числе в бюджет района 5,3</w:t>
      </w:r>
      <w:r w:rsidRPr="00177CBE">
        <w:rPr>
          <w:i/>
          <w:iCs/>
          <w:color w:val="000000"/>
          <w:spacing w:val="3"/>
          <w:sz w:val="28"/>
          <w:szCs w:val="28"/>
        </w:rPr>
        <w:t xml:space="preserve"> </w:t>
      </w:r>
      <w:r w:rsidRPr="00177CBE">
        <w:rPr>
          <w:color w:val="000000"/>
          <w:spacing w:val="3"/>
          <w:sz w:val="28"/>
          <w:szCs w:val="28"/>
        </w:rPr>
        <w:t>млн. руб.</w:t>
      </w:r>
    </w:p>
    <w:p w:rsidR="00177CBE" w:rsidRPr="00177CBE" w:rsidRDefault="00177CBE" w:rsidP="00177CBE">
      <w:pPr>
        <w:shd w:val="clear" w:color="auto" w:fill="FFFFFF"/>
        <w:spacing w:line="0" w:lineRule="atLeast"/>
        <w:ind w:left="14" w:right="10" w:firstLine="413"/>
        <w:jc w:val="both"/>
        <w:rPr>
          <w:color w:val="000000"/>
          <w:spacing w:val="9"/>
          <w:sz w:val="28"/>
          <w:szCs w:val="28"/>
        </w:rPr>
      </w:pPr>
      <w:r w:rsidRPr="00177CBE">
        <w:rPr>
          <w:color w:val="000000"/>
          <w:spacing w:val="6"/>
          <w:sz w:val="28"/>
          <w:szCs w:val="28"/>
        </w:rPr>
        <w:t xml:space="preserve">  Несмотря на принимаемые меры недоимка во все уровни бюджета </w:t>
      </w:r>
      <w:r w:rsidRPr="00177CBE">
        <w:rPr>
          <w:color w:val="000000"/>
          <w:spacing w:val="9"/>
          <w:sz w:val="28"/>
          <w:szCs w:val="28"/>
        </w:rPr>
        <w:t xml:space="preserve">на 01.12.2015г. составила 25,4 млн.руб. </w:t>
      </w:r>
    </w:p>
    <w:p w:rsidR="00177CBE" w:rsidRPr="00177CBE" w:rsidRDefault="00177CBE" w:rsidP="00177CBE">
      <w:pPr>
        <w:shd w:val="clear" w:color="auto" w:fill="FFFFFF"/>
        <w:spacing w:line="0" w:lineRule="atLeast"/>
        <w:ind w:left="14" w:right="10" w:firstLine="413"/>
        <w:jc w:val="both"/>
        <w:rPr>
          <w:sz w:val="28"/>
          <w:szCs w:val="28"/>
        </w:rPr>
      </w:pPr>
      <w:r w:rsidRPr="00177CBE">
        <w:rPr>
          <w:sz w:val="28"/>
          <w:szCs w:val="28"/>
        </w:rPr>
        <w:t xml:space="preserve">  Задание ДФ по мобилизации транспортного налога с физических лиц на 2015год - 21,1 млн.руб.</w:t>
      </w:r>
      <w:r w:rsidRPr="00177CBE">
        <w:rPr>
          <w:color w:val="000000"/>
          <w:spacing w:val="3"/>
          <w:sz w:val="28"/>
          <w:szCs w:val="28"/>
        </w:rPr>
        <w:t>, на 24.12.2015г. выполнено на 93,8%.</w:t>
      </w:r>
      <w:r w:rsidRPr="00177CBE">
        <w:rPr>
          <w:sz w:val="28"/>
          <w:szCs w:val="28"/>
        </w:rPr>
        <w:t xml:space="preserve"> </w:t>
      </w:r>
    </w:p>
    <w:p w:rsidR="00177CBE" w:rsidRPr="00177CBE" w:rsidRDefault="00177CBE" w:rsidP="00177CBE">
      <w:pPr>
        <w:shd w:val="clear" w:color="auto" w:fill="FFFFFF"/>
        <w:spacing w:line="0" w:lineRule="atLeast"/>
        <w:ind w:left="14" w:right="10" w:firstLine="413"/>
        <w:jc w:val="both"/>
        <w:rPr>
          <w:color w:val="000000"/>
          <w:spacing w:val="3"/>
          <w:sz w:val="28"/>
          <w:szCs w:val="28"/>
        </w:rPr>
      </w:pPr>
      <w:r w:rsidRPr="00177CBE">
        <w:rPr>
          <w:sz w:val="28"/>
          <w:szCs w:val="28"/>
        </w:rPr>
        <w:t xml:space="preserve">  По легализации «серой» заработной платы бюджетный эффект в результате проведенных мероприятий составит 2,8 млн.руб. (63,6% от задания).</w:t>
      </w:r>
      <w:r w:rsidRPr="00177CBE">
        <w:rPr>
          <w:color w:val="000000"/>
          <w:spacing w:val="3"/>
          <w:sz w:val="28"/>
          <w:szCs w:val="28"/>
        </w:rPr>
        <w:t xml:space="preserve"> </w:t>
      </w:r>
    </w:p>
    <w:p w:rsidR="00177CBE" w:rsidRPr="00177CBE" w:rsidRDefault="00177CBE" w:rsidP="00177CBE">
      <w:pPr>
        <w:shd w:val="clear" w:color="auto" w:fill="FFFFFF"/>
        <w:spacing w:line="0" w:lineRule="atLeast"/>
        <w:ind w:left="14" w:right="10" w:firstLine="413"/>
        <w:jc w:val="both"/>
        <w:rPr>
          <w:color w:val="000000"/>
          <w:sz w:val="28"/>
          <w:szCs w:val="28"/>
        </w:rPr>
      </w:pPr>
      <w:r w:rsidRPr="00177CBE">
        <w:rPr>
          <w:color w:val="000000"/>
          <w:spacing w:val="3"/>
          <w:sz w:val="28"/>
          <w:szCs w:val="28"/>
        </w:rPr>
        <w:t xml:space="preserve">  Работа </w:t>
      </w:r>
      <w:r w:rsidRPr="00177CBE">
        <w:rPr>
          <w:color w:val="000000"/>
          <w:sz w:val="28"/>
          <w:szCs w:val="28"/>
        </w:rPr>
        <w:t>в данных направлениях будет продолжаться.</w:t>
      </w:r>
    </w:p>
    <w:p w:rsidR="00177CBE" w:rsidRPr="00177CBE" w:rsidRDefault="00177CBE" w:rsidP="00177CBE">
      <w:pPr>
        <w:shd w:val="clear" w:color="auto" w:fill="FFFFFF"/>
        <w:spacing w:line="0" w:lineRule="atLeast"/>
        <w:ind w:firstLine="426"/>
        <w:jc w:val="both"/>
        <w:rPr>
          <w:color w:val="000000"/>
          <w:sz w:val="28"/>
          <w:szCs w:val="28"/>
        </w:rPr>
      </w:pPr>
      <w:r w:rsidRPr="00177CBE">
        <w:rPr>
          <w:noProof/>
          <w:color w:val="000000"/>
          <w:sz w:val="28"/>
          <w:szCs w:val="28"/>
        </w:rPr>
        <w:drawing>
          <wp:anchor distT="0" distB="0" distL="114300" distR="114300" simplePos="0" relativeHeight="251682816" behindDoc="1" locked="0" layoutInCell="1" allowOverlap="1">
            <wp:simplePos x="0" y="0"/>
            <wp:positionH relativeFrom="column">
              <wp:posOffset>-108585</wp:posOffset>
            </wp:positionH>
            <wp:positionV relativeFrom="paragraph">
              <wp:posOffset>143510</wp:posOffset>
            </wp:positionV>
            <wp:extent cx="2990850" cy="1628775"/>
            <wp:effectExtent l="19050" t="0" r="0" b="0"/>
            <wp:wrapTight wrapText="bothSides">
              <wp:wrapPolygon edited="0">
                <wp:start x="-138" y="0"/>
                <wp:lineTo x="-138" y="21474"/>
                <wp:lineTo x="21600" y="21474"/>
                <wp:lineTo x="21600" y="0"/>
                <wp:lineTo x="-138" y="0"/>
              </wp:wrapPolygon>
            </wp:wrapTight>
            <wp:docPr id="15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58" cstate="print"/>
                    <a:srcRect/>
                    <a:stretch>
                      <a:fillRect/>
                    </a:stretch>
                  </pic:blipFill>
                  <pic:spPr bwMode="auto">
                    <a:xfrm>
                      <a:off x="0" y="0"/>
                      <a:ext cx="2990850" cy="1628775"/>
                    </a:xfrm>
                    <a:prstGeom prst="rect">
                      <a:avLst/>
                    </a:prstGeom>
                    <a:noFill/>
                    <a:ln w="9525">
                      <a:noFill/>
                      <a:miter lim="800000"/>
                      <a:headEnd/>
                      <a:tailEnd/>
                    </a:ln>
                  </pic:spPr>
                </pic:pic>
              </a:graphicData>
            </a:graphic>
          </wp:anchor>
        </w:drawing>
      </w:r>
      <w:r w:rsidRPr="00177CBE">
        <w:rPr>
          <w:color w:val="000000"/>
          <w:sz w:val="28"/>
          <w:szCs w:val="28"/>
        </w:rPr>
        <w:t>Исполнение бюджета поселений по доходам за 2015 год составит 81,7 млн. руб., в т.ч. по собственным доходам 17,1 млн. руб., безвозмездные поступления  64,6 млн. руб.</w:t>
      </w:r>
    </w:p>
    <w:p w:rsidR="00177CBE" w:rsidRPr="00177CBE" w:rsidRDefault="00177CBE" w:rsidP="00177CBE">
      <w:pPr>
        <w:shd w:val="clear" w:color="auto" w:fill="FFFFFF"/>
        <w:spacing w:line="0" w:lineRule="atLeast"/>
        <w:ind w:firstLine="425"/>
        <w:jc w:val="both"/>
        <w:rPr>
          <w:sz w:val="28"/>
          <w:szCs w:val="28"/>
        </w:rPr>
      </w:pPr>
      <w:r w:rsidRPr="00177CBE">
        <w:rPr>
          <w:color w:val="000000"/>
          <w:sz w:val="28"/>
          <w:szCs w:val="28"/>
        </w:rPr>
        <w:t>Формирование и исполнение расходной части бюджета осуществляется в соответствии с расходными обязательствами района.</w:t>
      </w:r>
    </w:p>
    <w:p w:rsidR="00177CBE" w:rsidRPr="00177CBE" w:rsidRDefault="00177CBE" w:rsidP="00177CBE">
      <w:pPr>
        <w:shd w:val="clear" w:color="auto" w:fill="FFFFFF"/>
        <w:spacing w:line="0" w:lineRule="atLeast"/>
        <w:ind w:firstLine="425"/>
        <w:jc w:val="both"/>
        <w:rPr>
          <w:color w:val="000000"/>
          <w:sz w:val="28"/>
          <w:szCs w:val="28"/>
        </w:rPr>
      </w:pPr>
      <w:r w:rsidRPr="00177CBE">
        <w:rPr>
          <w:color w:val="000000"/>
          <w:sz w:val="28"/>
          <w:szCs w:val="28"/>
        </w:rPr>
        <w:t xml:space="preserve"> Объем расходов районного бюджета в 2015 году составит 538,5 млн. руб.</w:t>
      </w:r>
    </w:p>
    <w:p w:rsidR="00177CBE" w:rsidRPr="00177CBE" w:rsidRDefault="00177CBE" w:rsidP="00177CBE">
      <w:pPr>
        <w:spacing w:line="0" w:lineRule="atLeast"/>
        <w:ind w:firstLine="360"/>
        <w:jc w:val="both"/>
        <w:rPr>
          <w:color w:val="000000"/>
          <w:sz w:val="28"/>
          <w:szCs w:val="28"/>
        </w:rPr>
      </w:pPr>
      <w:r w:rsidRPr="00177CBE">
        <w:rPr>
          <w:color w:val="000000"/>
          <w:sz w:val="28"/>
          <w:szCs w:val="28"/>
        </w:rPr>
        <w:t xml:space="preserve"> Районный бюджет имеет социальную направленность, расходы на социально-культурную сферу в 2015 году составляют 81,7% в общем удельном весе. Наиболее бюджетоемкие из отраслей, как и в предыдущие годы - это образование – 62,1% и социальная политика – 15,8%. В рамках исполнения «программного бюджета» в 2015 году, доля программных расходов составит 437,3 млн.руб. или 81,2% в общем объеме расходов районного бюджета. </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 xml:space="preserve"> Ключевые проблемы социально-экономического развития муниципального района</w:t>
      </w:r>
    </w:p>
    <w:p w:rsidR="00177CBE" w:rsidRPr="00177CBE" w:rsidRDefault="00177CBE" w:rsidP="00177CBE">
      <w:pPr>
        <w:pStyle w:val="15"/>
        <w:spacing w:line="0" w:lineRule="atLeast"/>
        <w:ind w:firstLine="708"/>
        <w:jc w:val="both"/>
        <w:rPr>
          <w:rFonts w:ascii="Times New Roman" w:hAnsi="Times New Roman"/>
          <w:sz w:val="28"/>
          <w:szCs w:val="28"/>
        </w:rPr>
      </w:pPr>
      <w:r w:rsidRPr="00177CBE">
        <w:rPr>
          <w:rFonts w:ascii="Times New Roman" w:hAnsi="Times New Roman"/>
          <w:sz w:val="28"/>
          <w:szCs w:val="28"/>
        </w:rPr>
        <w:t xml:space="preserve">Одна из основных проблем района – это дороги регионального значения, которые находятся в межсезонье в неудовлетворительном состоянии (автодороги Кич-Городок- Светица, Коряковская-Кобыльск, Кич-Городок-Шестаково, Шестаково- Подволочье, </w:t>
      </w:r>
      <w:smartTag w:uri="urn:schemas-microsoft-com:office:smarttags" w:element="metricconverter">
        <w:smartTagPr>
          <w:attr w:name="ProductID" w:val="11 км"/>
        </w:smartTagPr>
        <w:r w:rsidRPr="00177CBE">
          <w:rPr>
            <w:rFonts w:ascii="Times New Roman" w:hAnsi="Times New Roman"/>
            <w:sz w:val="28"/>
            <w:szCs w:val="28"/>
          </w:rPr>
          <w:t>11 км</w:t>
        </w:r>
      </w:smartTag>
      <w:r w:rsidRPr="00177CBE">
        <w:rPr>
          <w:rFonts w:ascii="Times New Roman" w:hAnsi="Times New Roman"/>
          <w:sz w:val="28"/>
          <w:szCs w:val="28"/>
        </w:rPr>
        <w:t xml:space="preserve"> Подосиновской дороги- Н-Енангск-Семенцев Дор, ). Не в лучшем состоянии находятся дороги Кич-Городок-Вологда, Кич-Городок- Демьяново Кировской области. </w:t>
      </w:r>
    </w:p>
    <w:p w:rsidR="00177CBE" w:rsidRPr="00177CBE" w:rsidRDefault="00177CBE" w:rsidP="00177CBE">
      <w:pPr>
        <w:spacing w:line="0" w:lineRule="atLeast"/>
        <w:jc w:val="both"/>
        <w:rPr>
          <w:sz w:val="28"/>
          <w:szCs w:val="28"/>
        </w:rPr>
      </w:pPr>
      <w:r w:rsidRPr="00177CBE">
        <w:rPr>
          <w:sz w:val="28"/>
          <w:szCs w:val="28"/>
        </w:rPr>
        <w:t>С учетом высокой доли лесопромышленного комплекса в общем объеме производства отмечается высокая степень зависимости экономики района от состояния рынка лесоматериалов. В итоге колебания на рынках лесопромышленного комплекса отражаются на результатах работы предприятий, а соответственно, и на налоговых платежах. Поэтому на первый план выходит необходимость создания новых производств и увеличения производства продукции в других отраслях экономики.</w:t>
      </w:r>
    </w:p>
    <w:p w:rsidR="00177CBE" w:rsidRPr="00177CBE" w:rsidRDefault="00177CBE" w:rsidP="00177CBE">
      <w:pPr>
        <w:spacing w:line="0" w:lineRule="atLeast"/>
        <w:ind w:firstLine="567"/>
        <w:jc w:val="both"/>
        <w:rPr>
          <w:sz w:val="28"/>
          <w:szCs w:val="28"/>
        </w:rPr>
      </w:pPr>
      <w:r w:rsidRPr="00177CBE">
        <w:rPr>
          <w:sz w:val="28"/>
          <w:szCs w:val="28"/>
        </w:rPr>
        <w:lastRenderedPageBreak/>
        <w:t>Несмотря на относительно стабильные финансовые показатели, существующее на территории района, промышленное производство не способно обеспечить необходимые темпы роста экономики. Это связано с нехваткой оборотных средств у предприятий, усилением конкуренции.</w:t>
      </w:r>
    </w:p>
    <w:p w:rsidR="00177CBE" w:rsidRPr="00177CBE" w:rsidRDefault="00177CBE" w:rsidP="00177CBE">
      <w:pPr>
        <w:pStyle w:val="afc"/>
        <w:shd w:val="clear" w:color="auto" w:fill="FFFFFF"/>
        <w:spacing w:before="0" w:beforeAutospacing="0" w:after="0" w:afterAutospacing="0" w:line="0" w:lineRule="atLeast"/>
        <w:ind w:firstLine="567"/>
        <w:jc w:val="both"/>
        <w:rPr>
          <w:color w:val="000000"/>
          <w:sz w:val="28"/>
          <w:szCs w:val="28"/>
        </w:rPr>
      </w:pPr>
      <w:r w:rsidRPr="00177CBE">
        <w:rPr>
          <w:color w:val="000000"/>
          <w:sz w:val="28"/>
          <w:szCs w:val="28"/>
        </w:rPr>
        <w:t>В развитии сельскохозяйственного производства основными ограничениями являются: устаревшая материально-техническая база; сложность либо невозможность получения денежных кредитных средств.</w:t>
      </w:r>
    </w:p>
    <w:p w:rsidR="00177CBE" w:rsidRPr="00177CBE" w:rsidRDefault="00177CBE" w:rsidP="00177CBE">
      <w:pPr>
        <w:spacing w:line="0" w:lineRule="atLeast"/>
        <w:ind w:firstLine="567"/>
        <w:jc w:val="both"/>
        <w:rPr>
          <w:sz w:val="28"/>
          <w:szCs w:val="28"/>
        </w:rPr>
      </w:pPr>
      <w:r w:rsidRPr="00177CBE">
        <w:rPr>
          <w:sz w:val="28"/>
          <w:szCs w:val="28"/>
        </w:rPr>
        <w:t xml:space="preserve">Проблемами, сдерживающими развитие субъектов малого предпринимательства, являются затрудненный доступ к объектам технологической инфраструктуры, недостаток квалифицированных кадров, высокий уровень налогообложения. </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 xml:space="preserve"> Ресурсный потенциал муниципального района</w:t>
      </w:r>
    </w:p>
    <w:p w:rsidR="00177CBE" w:rsidRPr="00177CBE" w:rsidRDefault="00177CBE" w:rsidP="00177CBE">
      <w:pPr>
        <w:spacing w:line="0" w:lineRule="atLeast"/>
        <w:ind w:firstLine="708"/>
        <w:jc w:val="both"/>
        <w:rPr>
          <w:sz w:val="28"/>
          <w:szCs w:val="28"/>
        </w:rPr>
      </w:pPr>
      <w:r w:rsidRPr="00177CBE">
        <w:rPr>
          <w:sz w:val="28"/>
          <w:szCs w:val="28"/>
        </w:rPr>
        <w:t>Природный потенциал района создает условия для развития лесопромышленного комплекса, сельского хозяйства, возможно развитие сельского туризма. Географическое положение района обеспечивает выход к основным транспортам магистралям.</w:t>
      </w:r>
    </w:p>
    <w:p w:rsidR="00177CBE" w:rsidRPr="00177CBE" w:rsidRDefault="00177CBE" w:rsidP="00177CBE">
      <w:pPr>
        <w:spacing w:line="0" w:lineRule="atLeast"/>
        <w:ind w:firstLine="567"/>
        <w:jc w:val="both"/>
        <w:rPr>
          <w:sz w:val="28"/>
          <w:szCs w:val="28"/>
        </w:rPr>
      </w:pPr>
      <w:r w:rsidRPr="00177CBE">
        <w:rPr>
          <w:sz w:val="28"/>
          <w:szCs w:val="28"/>
        </w:rPr>
        <w:t>Почвы района при условии правильной их обработки, внесения достаточного количества органических и минеральных удобрений могут давать высокие урожаи зерновых культур, льна, картофеля, овощей - это создает предпосылки для развития сельского хозяйства.</w:t>
      </w:r>
      <w:r w:rsidRPr="00177CBE">
        <w:t xml:space="preserve"> </w:t>
      </w:r>
      <w:r w:rsidRPr="00177CBE">
        <w:rPr>
          <w:sz w:val="28"/>
          <w:szCs w:val="28"/>
        </w:rPr>
        <w:t>Перспективными альтернативами развития АПК могут стать сбор и переработка дикорастущих ягод, грибов, так как район располагает большими запасами не древесных продуктов леса (ягод, грибов), а также значительными ресурсами для организации и ведения охотничьего и рыболовного хозяйства. На территории района расположены ландшафтные природные заказники – Ентальский лес, Оленевский бор, памятник природы Захаровский бор и восемь охраняемых болот</w:t>
      </w:r>
    </w:p>
    <w:p w:rsidR="00177CBE" w:rsidRPr="00177CBE" w:rsidRDefault="00177CBE" w:rsidP="00177CBE">
      <w:pPr>
        <w:spacing w:line="0" w:lineRule="atLeast"/>
        <w:ind w:firstLine="567"/>
        <w:jc w:val="both"/>
        <w:rPr>
          <w:sz w:val="28"/>
          <w:szCs w:val="28"/>
        </w:rPr>
      </w:pPr>
      <w:r w:rsidRPr="00177CBE">
        <w:rPr>
          <w:sz w:val="28"/>
          <w:szCs w:val="28"/>
        </w:rPr>
        <w:t xml:space="preserve">Кичменгско-Городецкий район - лесной край, леса занимают 80 % территории района. В последние годы проводится техническое перевооружение лесопильного производства, внедряется новое оборудование, станки, повышается качество продукции, расширяется ее ассортимент. </w:t>
      </w:r>
    </w:p>
    <w:p w:rsidR="00177CBE" w:rsidRPr="00177CBE" w:rsidRDefault="00177CBE" w:rsidP="00177CBE">
      <w:pPr>
        <w:spacing w:line="0" w:lineRule="atLeast"/>
        <w:jc w:val="both"/>
        <w:rPr>
          <w:sz w:val="28"/>
          <w:szCs w:val="28"/>
        </w:rPr>
      </w:pPr>
      <w:r w:rsidRPr="00177CBE">
        <w:rPr>
          <w:sz w:val="28"/>
          <w:szCs w:val="28"/>
        </w:rPr>
        <w:t xml:space="preserve">Богатая природа края, его древняя история, экологическая чистота и соседство с Великим Устюгом - "родиной Деда Мороза", наличие комфортабельной гостиницы и кафе создают в районе благоприятные условия для развития внутреннего и въездного туризма. </w:t>
      </w:r>
    </w:p>
    <w:p w:rsidR="00177CBE" w:rsidRPr="00177CBE" w:rsidRDefault="00177CBE" w:rsidP="00177CBE">
      <w:pPr>
        <w:pStyle w:val="af6"/>
        <w:spacing w:line="0" w:lineRule="atLeast"/>
        <w:ind w:firstLine="708"/>
        <w:jc w:val="both"/>
        <w:rPr>
          <w:sz w:val="28"/>
          <w:szCs w:val="28"/>
        </w:rPr>
      </w:pPr>
      <w:r w:rsidRPr="00177CBE">
        <w:rPr>
          <w:sz w:val="28"/>
          <w:szCs w:val="28"/>
        </w:rPr>
        <w:t xml:space="preserve">Минерально-сырьевой потенциал района представлен в основном общераспространенными полезными ископаемыми: песчано-гравийными материалами, строительными песками, легкоплавкими глинами и агрокарбонатным сырьем. Все имеющиеся в районе месторождения и перспективные площади, приуроченные к разнообразным типам и формам рельефа, расположены равномерно по площади, за исключением юго-восточной части. В районе имеются перспективы развития новых месторождений. Основную ценность района представляют: торф, ПГМ и подземные воды. </w:t>
      </w:r>
    </w:p>
    <w:p w:rsidR="00177CBE" w:rsidRPr="00177CBE" w:rsidRDefault="00177CBE" w:rsidP="00177CBE">
      <w:pPr>
        <w:spacing w:line="0" w:lineRule="atLeast"/>
        <w:ind w:firstLine="567"/>
        <w:jc w:val="both"/>
        <w:rPr>
          <w:sz w:val="28"/>
          <w:szCs w:val="28"/>
        </w:rPr>
      </w:pPr>
      <w:r w:rsidRPr="00177CBE">
        <w:rPr>
          <w:sz w:val="28"/>
          <w:szCs w:val="28"/>
        </w:rPr>
        <w:lastRenderedPageBreak/>
        <w:t>Земельный фонд района на конец 2015 года составил 706,1 тыс.га. Среди всех категорий земель на ее территории преобладают земли лесного фонда 440,1 тыс. га (62,3 %) и сельскохозяйственного назначения 251,1 тыс. га (35,6 %).</w:t>
      </w:r>
    </w:p>
    <w:p w:rsidR="00177CBE" w:rsidRPr="00177CBE" w:rsidRDefault="00177CBE" w:rsidP="00177CBE">
      <w:pPr>
        <w:pStyle w:val="af6"/>
        <w:spacing w:line="0" w:lineRule="atLeast"/>
        <w:ind w:left="20" w:firstLine="547"/>
        <w:jc w:val="both"/>
        <w:rPr>
          <w:rStyle w:val="af7"/>
          <w:sz w:val="28"/>
          <w:szCs w:val="28"/>
        </w:rPr>
      </w:pPr>
      <w:r w:rsidRPr="00177CBE">
        <w:rPr>
          <w:rStyle w:val="af7"/>
          <w:color w:val="000000"/>
          <w:sz w:val="28"/>
          <w:szCs w:val="28"/>
        </w:rPr>
        <w:t>Для эффективной работы деятельность органов местного самоуправления района должна быть открыта, необходима обратная связь с населением.</w:t>
      </w:r>
      <w:r w:rsidRPr="00177CBE">
        <w:rPr>
          <w:color w:val="000000"/>
        </w:rPr>
        <w:t xml:space="preserve"> </w:t>
      </w:r>
      <w:r w:rsidRPr="00177CBE">
        <w:rPr>
          <w:rStyle w:val="af7"/>
          <w:color w:val="000000"/>
          <w:sz w:val="28"/>
          <w:szCs w:val="28"/>
        </w:rPr>
        <w:t xml:space="preserve">В этих целях Глава района ежегодно отчитывается перед населением, подводя итоги прошедшего года. Доклад Главы района об итогах социально-экономического развития района и эффективности деятельности органов местного самоуправления ежегодно размещается на официальном сайте администрации района. До рассмотрения районного бюджета на сессии Муниципального Собрания проводятся публичные слушания </w:t>
      </w:r>
      <w:r w:rsidRPr="00177CBE">
        <w:rPr>
          <w:rStyle w:val="af7"/>
          <w:sz w:val="28"/>
          <w:szCs w:val="28"/>
        </w:rPr>
        <w:t>по проекту районного бюджета на очередной год и плановый период. Публичные слушания по Уставу района проводятся по мере необходимости в соответствии с требованиями законодательства.</w:t>
      </w:r>
    </w:p>
    <w:p w:rsidR="00177CBE" w:rsidRPr="00177CBE" w:rsidRDefault="00177CBE" w:rsidP="00177CBE">
      <w:pPr>
        <w:spacing w:line="0" w:lineRule="atLeast"/>
        <w:ind w:firstLine="567"/>
        <w:jc w:val="both"/>
        <w:rPr>
          <w:sz w:val="28"/>
          <w:szCs w:val="28"/>
        </w:rPr>
      </w:pPr>
      <w:r w:rsidRPr="00177CBE">
        <w:rPr>
          <w:sz w:val="28"/>
          <w:szCs w:val="28"/>
        </w:rPr>
        <w:t>На сайте администрации района в разделе «Новости» еженедельно размещается информация о работе Главы района, о мероприятиях, проводимых на территории района с участием руководителей администрации района. Также на сайте администрации района размещен раздел «Приемная», где население может задать любые вопросы, адресованные руководителям органов местного самоуправления.</w:t>
      </w:r>
    </w:p>
    <w:p w:rsidR="00177CBE" w:rsidRPr="00177CBE" w:rsidRDefault="00177CBE" w:rsidP="00177CBE">
      <w:pPr>
        <w:spacing w:line="0" w:lineRule="atLeast"/>
        <w:ind w:firstLine="567"/>
        <w:jc w:val="both"/>
        <w:rPr>
          <w:sz w:val="28"/>
          <w:szCs w:val="28"/>
        </w:rPr>
      </w:pPr>
      <w:r w:rsidRPr="00177CBE">
        <w:rPr>
          <w:sz w:val="28"/>
          <w:szCs w:val="28"/>
        </w:rPr>
        <w:t xml:space="preserve">В районной газете «Заря Севера» освящается деятельность Главы района, органов местного самоуправления. Корреспонденты газеты присутствуют на всех торжественных и политических мероприятиях, проводимых в администрации района, культурных мероприятиях с участием руководителей района. Ежегодно на страницах газеты публикуются итоги работы администрации района и отраслей экономического и социальных блоков под рубрикой «Местное самоуправление». </w:t>
      </w:r>
    </w:p>
    <w:p w:rsidR="00177CBE" w:rsidRPr="00177CBE" w:rsidRDefault="00177CBE" w:rsidP="00177CBE">
      <w:pPr>
        <w:spacing w:line="0" w:lineRule="atLeast"/>
        <w:ind w:firstLine="567"/>
        <w:jc w:val="both"/>
        <w:rPr>
          <w:sz w:val="28"/>
          <w:szCs w:val="28"/>
        </w:rPr>
      </w:pPr>
      <w:r w:rsidRPr="00177CBE">
        <w:rPr>
          <w:sz w:val="28"/>
          <w:szCs w:val="28"/>
        </w:rPr>
        <w:t xml:space="preserve">Общественный Совет района постоянно проводит заседания по проблемам района. В этом году проведено 4 заседания Совета с участием Главы района по различным вопросам. </w:t>
      </w:r>
    </w:p>
    <w:p w:rsidR="00177CBE" w:rsidRPr="00177CBE" w:rsidRDefault="00177CBE" w:rsidP="00177CBE">
      <w:pPr>
        <w:spacing w:line="0" w:lineRule="atLeast"/>
        <w:ind w:firstLine="567"/>
        <w:jc w:val="both"/>
        <w:rPr>
          <w:sz w:val="28"/>
          <w:szCs w:val="28"/>
        </w:rPr>
      </w:pPr>
      <w:r w:rsidRPr="00177CBE">
        <w:rPr>
          <w:sz w:val="28"/>
          <w:szCs w:val="28"/>
        </w:rPr>
        <w:t>В течении года при участии Главы района или Первого заместителя Главы района проведено 14 информационных конференций в населенных пунктах района, где можно было задать вопрос непосредственно Главе района.</w:t>
      </w:r>
    </w:p>
    <w:p w:rsidR="00177CBE" w:rsidRPr="00177CBE" w:rsidRDefault="00177CBE" w:rsidP="00177CBE">
      <w:pPr>
        <w:spacing w:line="0" w:lineRule="atLeast"/>
        <w:ind w:firstLine="567"/>
        <w:jc w:val="both"/>
        <w:rPr>
          <w:sz w:val="28"/>
          <w:szCs w:val="28"/>
        </w:rPr>
      </w:pPr>
      <w:r w:rsidRPr="00177CBE">
        <w:rPr>
          <w:sz w:val="28"/>
          <w:szCs w:val="28"/>
        </w:rPr>
        <w:t xml:space="preserve">В августе 2015 года в районе открылся Многофункциональный центр организации и оказания государственных и муниципальных услуг - это учреждение, обеспечивающее жителям района удобный механизм получения социально значимых государственных и муниципальных услуг путем организации единого места приема, регистрации и выдачи необходимых документов. Работа МФЦ строиться по принципам «одного окна», в соответствии с которым предоставление услуг федерального, регионального и муниципального уровней происходит в одном месте. </w:t>
      </w:r>
    </w:p>
    <w:p w:rsidR="00177CBE" w:rsidRPr="00177CBE" w:rsidRDefault="00177CBE" w:rsidP="00177CBE">
      <w:pPr>
        <w:spacing w:line="0" w:lineRule="atLeast"/>
        <w:ind w:firstLine="567"/>
        <w:jc w:val="both"/>
        <w:rPr>
          <w:sz w:val="28"/>
          <w:szCs w:val="28"/>
        </w:rPr>
      </w:pPr>
      <w:r w:rsidRPr="00177CBE">
        <w:rPr>
          <w:sz w:val="28"/>
          <w:szCs w:val="28"/>
        </w:rPr>
        <w:t xml:space="preserve">В БУ «МФЦ» организовано 3 окна приема (выдачи) документов, рабочие места оснащены компьютерами, аппаратно-программным </w:t>
      </w:r>
      <w:r w:rsidRPr="00177CBE">
        <w:rPr>
          <w:sz w:val="28"/>
          <w:szCs w:val="28"/>
        </w:rPr>
        <w:lastRenderedPageBreak/>
        <w:t>комплексом «Электронная очередь», информационным табло для посетителей, удобными для посетителей местами для ожидания, организован доступ заявителей к федеральной государственной информационной системе «Единый портал государственных и муниципальных услуг».  Сегодня в МФЦ доступны 131 услуга.</w:t>
      </w:r>
    </w:p>
    <w:p w:rsidR="00177CBE" w:rsidRPr="00177CBE" w:rsidRDefault="00177CBE" w:rsidP="00177CBE">
      <w:pPr>
        <w:spacing w:line="0" w:lineRule="atLeast"/>
        <w:ind w:firstLine="567"/>
        <w:jc w:val="both"/>
        <w:rPr>
          <w:sz w:val="28"/>
          <w:szCs w:val="28"/>
        </w:rPr>
      </w:pPr>
      <w:r w:rsidRPr="00177CBE">
        <w:rPr>
          <w:sz w:val="28"/>
          <w:szCs w:val="28"/>
        </w:rPr>
        <w:t xml:space="preserve">Получить государственные и муниципальные услуги стало проще и доступнее жителям населенных пунктов: с. Косково,Нижнего Енангска и п. Югский, где организована работа территориально-обособленных структурных подразделений БУ «МФЦ».  </w:t>
      </w:r>
    </w:p>
    <w:p w:rsidR="00177CBE" w:rsidRPr="00177CBE" w:rsidRDefault="00177CBE" w:rsidP="00177CBE">
      <w:pPr>
        <w:spacing w:line="0" w:lineRule="atLeast"/>
        <w:jc w:val="both"/>
        <w:rPr>
          <w:color w:val="FF0000"/>
          <w:sz w:val="28"/>
          <w:szCs w:val="28"/>
        </w:rPr>
      </w:pP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Задачи и перспективные направления социально-экономического развития района</w:t>
      </w:r>
    </w:p>
    <w:p w:rsidR="00177CBE" w:rsidRPr="00177CBE" w:rsidRDefault="00177CBE" w:rsidP="00177CBE">
      <w:pPr>
        <w:pStyle w:val="ae"/>
        <w:spacing w:line="0" w:lineRule="atLeast"/>
        <w:ind w:firstLine="567"/>
        <w:jc w:val="both"/>
        <w:rPr>
          <w:rFonts w:ascii="Times New Roman" w:hAnsi="Times New Roman"/>
          <w:sz w:val="28"/>
          <w:szCs w:val="28"/>
        </w:rPr>
      </w:pPr>
      <w:r w:rsidRPr="00177CBE">
        <w:rPr>
          <w:rFonts w:ascii="Times New Roman" w:hAnsi="Times New Roman"/>
          <w:sz w:val="28"/>
          <w:szCs w:val="28"/>
        </w:rPr>
        <w:t xml:space="preserve">В сложных внешнеэкономических условиях, обеспечения продовольственной безопасности создается стимул развития сельскохозяйственного производства на территории района путем увеличения объемов производства продукции при одновременном снижении ее себестоимости. Эти задачи планируется решить в рамках муниципальной Программы развития сельского хозяйства района на 2016-2018 г.г.,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align>right</wp:align>
            </wp:positionH>
            <wp:positionV relativeFrom="paragraph">
              <wp:posOffset>83185</wp:posOffset>
            </wp:positionV>
            <wp:extent cx="2209800" cy="1314450"/>
            <wp:effectExtent l="19050" t="0" r="0" b="0"/>
            <wp:wrapTight wrapText="bothSides">
              <wp:wrapPolygon edited="0">
                <wp:start x="-186" y="0"/>
                <wp:lineTo x="-186" y="21287"/>
                <wp:lineTo x="21600" y="21287"/>
                <wp:lineTo x="21600" y="0"/>
                <wp:lineTo x="-186" y="0"/>
              </wp:wrapPolygon>
            </wp:wrapTight>
            <wp:docPr id="1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2209800" cy="1314450"/>
                    </a:xfrm>
                    <a:prstGeom prst="rect">
                      <a:avLst/>
                    </a:prstGeom>
                    <a:noFill/>
                    <a:ln w="9525">
                      <a:noFill/>
                      <a:miter lim="800000"/>
                      <a:headEnd/>
                      <a:tailEnd/>
                    </a:ln>
                  </pic:spPr>
                </pic:pic>
              </a:graphicData>
            </a:graphic>
          </wp:anchor>
        </w:drawing>
      </w:r>
      <w:r w:rsidRPr="00177CBE">
        <w:rPr>
          <w:rFonts w:ascii="Times New Roman" w:hAnsi="Times New Roman"/>
          <w:sz w:val="28"/>
          <w:szCs w:val="28"/>
        </w:rPr>
        <w:tab/>
        <w:t>Для решения поставленных задач предусматриваются следующие мероприятия:</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В 2016 году в СПК «Майский» запланировано строительство новой животноводческой фермы на 200 голов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Планируется увеличение площадей земель сельскохозяйственного назначения, вводимых в хозяйственный оборот. Предполагается, что увеличение площадей будет происходить за счет развития малых форм хозяйствования в АПК (для этих целей предусмотрено субсидирование затрат КФХ по проведению кадастровых работ при оформлении земельных участков); кроме того крупные сельскохозяйственные предприятия наращивают объемы производства и вынуждены увеличивать площади, используемых земель.</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На уровне района принимаются дополнительные меры по содействию росту объемов производства в личных подсобных и крестьянских хозяйствах путём формирования системы потребкооперации и развития системы переработки сельскохозяйственной продукции. Указанные меры планируется принять при государственной поддержке по программе «Развитие подотрасли животноводства и рыболовства Вологодской области на 2013-2020 годы».</w:t>
      </w:r>
    </w:p>
    <w:p w:rsidR="00177CBE" w:rsidRPr="00177CBE" w:rsidRDefault="00177CBE" w:rsidP="00177CBE">
      <w:pPr>
        <w:pStyle w:val="ae"/>
        <w:spacing w:line="0" w:lineRule="atLeast"/>
        <w:ind w:firstLine="567"/>
        <w:jc w:val="both"/>
        <w:rPr>
          <w:rFonts w:ascii="Times New Roman" w:hAnsi="Times New Roman"/>
          <w:bCs/>
          <w:sz w:val="28"/>
          <w:szCs w:val="28"/>
        </w:rPr>
      </w:pPr>
      <w:r w:rsidRPr="00177CBE">
        <w:rPr>
          <w:rFonts w:ascii="Times New Roman" w:hAnsi="Times New Roman"/>
          <w:sz w:val="28"/>
          <w:szCs w:val="28"/>
        </w:rPr>
        <w:t xml:space="preserve">Развитие малого и среднего предпринимательства является одним из приоритетных направлений социально-экономического развития района Именно малый бизнес во многом определяет темпы экономического роста, формирование налогооблагаемой базы и наполнение муниципального бюджета, а также состояние занятости населения и обеспечения социальной стабильности. Малый бизнес в лесном комплексе за последние годы претерпел ряд трудностей, в частности, не смог конкурировать на аукционах по заключению договоров аренды и развивать собственное производство. </w:t>
      </w:r>
      <w:r w:rsidRPr="00177CBE">
        <w:rPr>
          <w:rFonts w:ascii="Times New Roman" w:hAnsi="Times New Roman"/>
          <w:sz w:val="28"/>
          <w:szCs w:val="28"/>
        </w:rPr>
        <w:lastRenderedPageBreak/>
        <w:t xml:space="preserve">Федеральный закон от </w:t>
      </w:r>
      <w:r w:rsidRPr="00177CBE">
        <w:rPr>
          <w:rFonts w:ascii="Times New Roman" w:hAnsi="Times New Roman"/>
          <w:bCs/>
          <w:sz w:val="28"/>
          <w:szCs w:val="28"/>
        </w:rPr>
        <w:t>29 июня 2015 № 206-ФЗ «О внесении изменений в Лесной кодекс РФ …», вступающий в законную силу</w:t>
      </w:r>
      <w:r w:rsidRPr="00177CBE">
        <w:rPr>
          <w:rFonts w:ascii="Times New Roman" w:hAnsi="Times New Roman"/>
          <w:sz w:val="28"/>
          <w:szCs w:val="28"/>
        </w:rPr>
        <w:t xml:space="preserve"> с 1 октября 2015 года, </w:t>
      </w:r>
      <w:r w:rsidRPr="00177CBE">
        <w:rPr>
          <w:rFonts w:ascii="Times New Roman" w:hAnsi="Times New Roman"/>
          <w:bCs/>
          <w:sz w:val="28"/>
          <w:szCs w:val="28"/>
        </w:rPr>
        <w:t xml:space="preserve">призван </w:t>
      </w:r>
      <w:r w:rsidRPr="00177CBE">
        <w:rPr>
          <w:rFonts w:ascii="Times New Roman" w:hAnsi="Times New Roman"/>
          <w:sz w:val="28"/>
          <w:szCs w:val="28"/>
        </w:rPr>
        <w:t>улучшить ситуацию в развитии малого бизнеса, так как разрешает заготовку древесины на основании договоров купли-продажи лесных насаждений.</w:t>
      </w:r>
      <w:r w:rsidRPr="00177CBE">
        <w:rPr>
          <w:rFonts w:ascii="Times New Roman" w:hAnsi="Times New Roman"/>
          <w:bCs/>
          <w:sz w:val="28"/>
          <w:szCs w:val="28"/>
        </w:rPr>
        <w:t xml:space="preserve"> Учитывая, что в районе большое количество лесопильных производств, большой лесосечный фонд, перед лесопромышленной отраслью района остро стоит проблема реализации низкосортной древесины(балансы хвойные, березовые, осина). Эту проблему возможно решить путем реализации инвестиционного проекта "Организация переработки низкотоварной древесины и утилизации отходов лесопиления". Разработка проекта начата по инициативе Совета предпринимателей района. В рамках проекта планируется приобретение технологического оборудования для производства плит (</w:t>
      </w:r>
      <w:r w:rsidRPr="00177CBE">
        <w:rPr>
          <w:rFonts w:ascii="Times New Roman" w:hAnsi="Times New Roman"/>
          <w:bCs/>
          <w:sz w:val="28"/>
          <w:szCs w:val="28"/>
          <w:lang w:val="en-US"/>
        </w:rPr>
        <w:t>OSB</w:t>
      </w:r>
      <w:r w:rsidRPr="00177CBE">
        <w:rPr>
          <w:rFonts w:ascii="Times New Roman" w:hAnsi="Times New Roman"/>
          <w:bCs/>
          <w:sz w:val="28"/>
          <w:szCs w:val="28"/>
        </w:rPr>
        <w:t>), монтажные и пусконаладочные работы. Объем инвестиций: 500,0 млн. руб., создание 62 новых рабочих мест.</w:t>
      </w:r>
    </w:p>
    <w:p w:rsidR="00177CBE" w:rsidRPr="00177CBE" w:rsidRDefault="00177CBE" w:rsidP="00177CBE">
      <w:pPr>
        <w:pStyle w:val="ae"/>
        <w:spacing w:line="0" w:lineRule="atLeast"/>
        <w:ind w:firstLine="567"/>
        <w:jc w:val="both"/>
        <w:rPr>
          <w:rFonts w:ascii="Times New Roman" w:hAnsi="Times New Roman"/>
          <w:bCs/>
          <w:sz w:val="28"/>
          <w:szCs w:val="28"/>
        </w:rPr>
      </w:pPr>
      <w:r w:rsidRPr="00177CBE">
        <w:rPr>
          <w:rFonts w:ascii="Times New Roman" w:hAnsi="Times New Roman"/>
          <w:bCs/>
          <w:sz w:val="28"/>
          <w:szCs w:val="28"/>
        </w:rPr>
        <w:t>Данный вид продукции востребован на рынке домостроения и с учетом того, что состав лесного фонда район меняется с хвойного на лиственный , организация данного производства имеет также стратегическое значение.</w:t>
      </w:r>
    </w:p>
    <w:p w:rsidR="00177CBE" w:rsidRPr="00177CBE" w:rsidRDefault="00177CBE" w:rsidP="00177CBE">
      <w:pPr>
        <w:pStyle w:val="ae"/>
        <w:spacing w:line="0" w:lineRule="atLeast"/>
        <w:ind w:firstLine="567"/>
        <w:jc w:val="both"/>
        <w:rPr>
          <w:rFonts w:ascii="Times New Roman" w:hAnsi="Times New Roman"/>
          <w:sz w:val="28"/>
          <w:szCs w:val="28"/>
        </w:rPr>
      </w:pPr>
      <w:r w:rsidRPr="00177CBE">
        <w:rPr>
          <w:rFonts w:ascii="Times New Roman" w:hAnsi="Times New Roman"/>
          <w:sz w:val="28"/>
          <w:szCs w:val="28"/>
        </w:rPr>
        <w:t>В сфере жилищно-коммунального хозяйства  разработан инвестиционный проект "Реконструкция системы теплоснабжения муниципального образования Городецкое".</w:t>
      </w:r>
      <w:r w:rsidRPr="00177CBE">
        <w:rPr>
          <w:rFonts w:ascii="Times New Roman" w:eastAsia="+mn-ea" w:hAnsi="Times New Roman"/>
          <w:kern w:val="24"/>
        </w:rPr>
        <w:t xml:space="preserve"> </w:t>
      </w:r>
      <w:r w:rsidRPr="00177CBE">
        <w:rPr>
          <w:rFonts w:ascii="Times New Roman" w:eastAsia="+mn-ea" w:hAnsi="Times New Roman"/>
          <w:kern w:val="24"/>
          <w:sz w:val="28"/>
          <w:szCs w:val="28"/>
        </w:rPr>
        <w:t>Объем инвестиций 67,0 млн. руб. Проектом предусмотрено ст</w:t>
      </w:r>
      <w:r w:rsidRPr="00177CBE">
        <w:rPr>
          <w:rFonts w:ascii="Times New Roman" w:hAnsi="Times New Roman"/>
          <w:sz w:val="28"/>
          <w:szCs w:val="28"/>
        </w:rPr>
        <w:t xml:space="preserve">роительство двух автоматизированных котельных, работающих на опиле и топливных гранулах(пеллетах) и монтаж оборудования, строительство тепловых сетей протяженностью 1,8 км. Это позволит уменьшить эксплуатационные затраты при транспортировке и распределению тепловой энергии. Уменьшится количество котельных с 6 до 2-х. </w:t>
      </w:r>
    </w:p>
    <w:p w:rsidR="00177CBE" w:rsidRPr="00177CBE" w:rsidRDefault="00177CBE" w:rsidP="00177CBE">
      <w:pPr>
        <w:widowControl w:val="0"/>
        <w:shd w:val="clear" w:color="auto" w:fill="FFFFFF"/>
        <w:tabs>
          <w:tab w:val="left" w:pos="946"/>
        </w:tabs>
        <w:autoSpaceDE w:val="0"/>
        <w:autoSpaceDN w:val="0"/>
        <w:adjustRightInd w:val="0"/>
        <w:spacing w:line="0" w:lineRule="atLeast"/>
        <w:ind w:firstLine="567"/>
        <w:jc w:val="both"/>
        <w:rPr>
          <w:sz w:val="28"/>
          <w:szCs w:val="28"/>
        </w:rPr>
      </w:pPr>
      <w:r w:rsidRPr="00177CBE">
        <w:rPr>
          <w:sz w:val="28"/>
          <w:szCs w:val="28"/>
        </w:rPr>
        <w:t xml:space="preserve">В последние годы в районе созданы благоприятные условия для строительства жилья индивидуальным застройщикам. В рамках реализации муниципальной программы «Устойчивое развитие сельских территорий Кичменгско-Городецкого района на 2014-2017 годы и на период до 2020 года» в 2016 году планируется оказать поддержку  16 семьям.  </w:t>
      </w:r>
    </w:p>
    <w:p w:rsidR="00177CBE" w:rsidRPr="00177CBE" w:rsidRDefault="00177CBE" w:rsidP="00177CBE">
      <w:pPr>
        <w:widowControl w:val="0"/>
        <w:shd w:val="clear" w:color="auto" w:fill="FFFFFF"/>
        <w:tabs>
          <w:tab w:val="left" w:pos="946"/>
        </w:tabs>
        <w:autoSpaceDE w:val="0"/>
        <w:autoSpaceDN w:val="0"/>
        <w:adjustRightInd w:val="0"/>
        <w:spacing w:line="0" w:lineRule="atLeast"/>
        <w:jc w:val="both"/>
        <w:rPr>
          <w:sz w:val="28"/>
          <w:szCs w:val="28"/>
        </w:rPr>
      </w:pPr>
      <w:r w:rsidRPr="00177CBE">
        <w:rPr>
          <w:sz w:val="28"/>
          <w:szCs w:val="28"/>
        </w:rPr>
        <w:t xml:space="preserve">   Для развития социальной сферы разработана проектно-сметная документация строительства зданий БОУ «Косковская СОШ» на 140 мест, детского сада на 200 мест, физкультурно-оздоровительного комплекса, пристройки К БОУ "Кичм-Городецкая СОШ" на 200 мест.</w:t>
      </w:r>
    </w:p>
    <w:p w:rsidR="00177CBE" w:rsidRPr="00177CBE" w:rsidRDefault="00177CBE" w:rsidP="00177CBE">
      <w:pPr>
        <w:widowControl w:val="0"/>
        <w:shd w:val="clear" w:color="auto" w:fill="FFFFFF"/>
        <w:tabs>
          <w:tab w:val="left" w:pos="946"/>
        </w:tabs>
        <w:autoSpaceDE w:val="0"/>
        <w:autoSpaceDN w:val="0"/>
        <w:adjustRightInd w:val="0"/>
        <w:spacing w:line="0" w:lineRule="atLeast"/>
        <w:jc w:val="both"/>
        <w:rPr>
          <w:sz w:val="28"/>
          <w:szCs w:val="28"/>
        </w:rPr>
      </w:pPr>
      <w:r w:rsidRPr="00177CBE">
        <w:rPr>
          <w:sz w:val="28"/>
          <w:szCs w:val="28"/>
        </w:rPr>
        <w:t xml:space="preserve">    В рамках муниципальной </w:t>
      </w:r>
      <w:r w:rsidRPr="00177CBE">
        <w:rPr>
          <w:bCs/>
          <w:sz w:val="28"/>
          <w:szCs w:val="28"/>
        </w:rPr>
        <w:t xml:space="preserve">программы развитие сети автомобильных дорог общего пользования местного значения планируется продолжить </w:t>
      </w:r>
      <w:r w:rsidRPr="00177CBE">
        <w:rPr>
          <w:sz w:val="28"/>
          <w:szCs w:val="28"/>
        </w:rPr>
        <w:t xml:space="preserve"> ремонты дорог местного значения вне границ и границах населенных пунктов района.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В производстве пищевых продуктов перед предприятиями района стоит задача сохранения кадрового и производственного потенциала. Для дальнейшего повышения эффективности производства необходимо продолжить технологическое переоснащение производств, внедрение современных технологий, поиск стратегических партнеров и новых рынков сбыта продукции, продвижение продукции на внутреннем и внешнем </w:t>
      </w:r>
      <w:r w:rsidRPr="00177CBE">
        <w:rPr>
          <w:rFonts w:ascii="Times New Roman" w:hAnsi="Times New Roman"/>
          <w:sz w:val="28"/>
          <w:szCs w:val="28"/>
        </w:rPr>
        <w:lastRenderedPageBreak/>
        <w:t>рынках, в том числе с использованием товарного знака «Настоящий Вологодский продукт».</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В целях обеспечения устойчивости доходной базы бюджета разработан план мероприятий по укреплению доходной базы консолидированного бюджета района. В его основе – детальный анализ и реализация возможностей района и каждого сельского поселения в отдельности по увеличению сбора доходов при конструктивном взаимодействии органов местного самоуправления с контролирующими и надзорными органами района. В соответствии с разработанным планом мероприятий увеличения доходной базы консолидированного бюджета района планируется достичь за счет:</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 привлечения инвестиций и создания новых рабочих мест;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повышения качества администрирования доходов;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 оптимизации налогообложения. </w:t>
      </w:r>
    </w:p>
    <w:p w:rsidR="00177CBE" w:rsidRPr="00177CBE" w:rsidRDefault="00177CBE" w:rsidP="00177CBE">
      <w:pPr>
        <w:pStyle w:val="ae"/>
        <w:spacing w:line="0" w:lineRule="atLeast"/>
        <w:jc w:val="both"/>
        <w:rPr>
          <w:rFonts w:ascii="Times New Roman" w:hAnsi="Times New Roman"/>
          <w:sz w:val="28"/>
          <w:szCs w:val="28"/>
        </w:rPr>
      </w:pPr>
      <w:r w:rsidRPr="00177CBE">
        <w:rPr>
          <w:rFonts w:ascii="Times New Roman" w:hAnsi="Times New Roman"/>
          <w:sz w:val="28"/>
          <w:szCs w:val="28"/>
        </w:rPr>
        <w:t xml:space="preserve">Приоритетными направлениями работы при реализации разработанного плана мероприятий определены: легализация бизнеса и объектов налогообложения, взыскание задолженности перед бюджетами всех уровней, отмена неэффективных налоговых льгот по местным налогам, эффективное управление муниципальной собственностью, земельными ресурсами. </w:t>
      </w:r>
    </w:p>
    <w:p w:rsidR="00177CBE" w:rsidRPr="00177CBE" w:rsidRDefault="00177CBE" w:rsidP="00177CBE">
      <w:pPr>
        <w:pStyle w:val="af6"/>
        <w:spacing w:line="0" w:lineRule="atLeast"/>
        <w:ind w:left="20" w:firstLine="700"/>
        <w:jc w:val="both"/>
        <w:rPr>
          <w:sz w:val="28"/>
          <w:szCs w:val="28"/>
        </w:rPr>
      </w:pPr>
      <w:r w:rsidRPr="00177CBE">
        <w:rPr>
          <w:sz w:val="28"/>
          <w:szCs w:val="28"/>
        </w:rPr>
        <w:t xml:space="preserve">   </w:t>
      </w:r>
    </w:p>
    <w:p w:rsidR="00177CBE" w:rsidRPr="00177CBE" w:rsidRDefault="00177CBE" w:rsidP="00177CBE">
      <w:pPr>
        <w:pStyle w:val="ae"/>
        <w:spacing w:line="0" w:lineRule="atLeast"/>
        <w:jc w:val="center"/>
        <w:rPr>
          <w:rFonts w:ascii="Times New Roman" w:hAnsi="Times New Roman"/>
          <w:b/>
          <w:sz w:val="28"/>
          <w:szCs w:val="28"/>
        </w:rPr>
      </w:pPr>
      <w:r w:rsidRPr="00177CBE">
        <w:rPr>
          <w:rFonts w:ascii="Times New Roman" w:hAnsi="Times New Roman"/>
          <w:b/>
          <w:sz w:val="28"/>
          <w:szCs w:val="28"/>
        </w:rPr>
        <w:t xml:space="preserve"> Ожидаемые результаты социально-экономического развития муниципального района</w:t>
      </w:r>
    </w:p>
    <w:p w:rsidR="00177CBE" w:rsidRPr="00177CBE" w:rsidRDefault="00177CBE" w:rsidP="00177CBE">
      <w:pPr>
        <w:pStyle w:val="af6"/>
        <w:spacing w:line="0" w:lineRule="atLeast"/>
        <w:ind w:left="20" w:firstLine="700"/>
        <w:jc w:val="both"/>
        <w:rPr>
          <w:sz w:val="28"/>
          <w:szCs w:val="28"/>
        </w:rPr>
      </w:pPr>
      <w:r w:rsidRPr="00177CBE">
        <w:rPr>
          <w:rStyle w:val="af7"/>
          <w:sz w:val="28"/>
          <w:szCs w:val="28"/>
        </w:rPr>
        <w:t xml:space="preserve">На ближайшие три года социально-экономическое развитие района будет нацелено на обеспечение стабильного функционирования предприятий </w:t>
      </w:r>
      <w:r w:rsidRPr="00177CBE">
        <w:rPr>
          <w:sz w:val="28"/>
          <w:szCs w:val="28"/>
        </w:rPr>
        <w:t>лесопромышленного комплекса, сельского хозяйства, обрабатывающих производств, учреждений социальной сферы.</w:t>
      </w:r>
    </w:p>
    <w:p w:rsidR="00177CBE" w:rsidRPr="00177CBE" w:rsidRDefault="00177CBE" w:rsidP="00177CBE">
      <w:pPr>
        <w:pStyle w:val="af6"/>
        <w:spacing w:line="0" w:lineRule="atLeast"/>
        <w:ind w:left="20" w:firstLine="700"/>
        <w:jc w:val="both"/>
        <w:rPr>
          <w:sz w:val="28"/>
          <w:szCs w:val="28"/>
        </w:rPr>
      </w:pPr>
      <w:r w:rsidRPr="00177CBE">
        <w:rPr>
          <w:sz w:val="28"/>
          <w:szCs w:val="28"/>
        </w:rPr>
        <w:t xml:space="preserve"> Планируется:</w:t>
      </w:r>
    </w:p>
    <w:p w:rsidR="00177CBE" w:rsidRPr="00177CBE" w:rsidRDefault="00177CBE" w:rsidP="00177CBE">
      <w:pPr>
        <w:pStyle w:val="af6"/>
        <w:spacing w:line="0" w:lineRule="atLeast"/>
        <w:ind w:left="20" w:firstLine="700"/>
        <w:jc w:val="both"/>
        <w:rPr>
          <w:sz w:val="28"/>
          <w:szCs w:val="28"/>
        </w:rPr>
      </w:pPr>
      <w:r w:rsidRPr="00177CBE">
        <w:rPr>
          <w:sz w:val="28"/>
          <w:szCs w:val="28"/>
        </w:rPr>
        <w:t>- увеличить среднемесячную заработную плату до 19056 руб. рост к уровню 2013 года на 27 %;</w:t>
      </w:r>
    </w:p>
    <w:p w:rsidR="00177CBE" w:rsidRPr="00177CBE" w:rsidRDefault="00177CBE" w:rsidP="00177CBE">
      <w:pPr>
        <w:pStyle w:val="af6"/>
        <w:spacing w:line="0" w:lineRule="atLeast"/>
        <w:ind w:left="20" w:firstLine="700"/>
        <w:jc w:val="both"/>
        <w:rPr>
          <w:sz w:val="28"/>
          <w:szCs w:val="28"/>
        </w:rPr>
      </w:pPr>
      <w:r w:rsidRPr="00177CBE">
        <w:rPr>
          <w:sz w:val="28"/>
          <w:szCs w:val="28"/>
        </w:rPr>
        <w:t>- снизить уровень официальной безработицы до 1,5 %;</w:t>
      </w:r>
    </w:p>
    <w:p w:rsidR="00177CBE" w:rsidRPr="00177CBE" w:rsidRDefault="00177CBE" w:rsidP="00177CBE">
      <w:pPr>
        <w:pStyle w:val="af6"/>
        <w:spacing w:line="0" w:lineRule="atLeast"/>
        <w:ind w:left="20" w:firstLine="700"/>
        <w:jc w:val="both"/>
        <w:rPr>
          <w:sz w:val="28"/>
          <w:szCs w:val="28"/>
        </w:rPr>
      </w:pPr>
      <w:r w:rsidRPr="00177CBE">
        <w:rPr>
          <w:sz w:val="28"/>
          <w:szCs w:val="28"/>
        </w:rPr>
        <w:t>- сохранить имеющиеся рабочие места и ежегодно создавать 30 новых рабочих мест;</w:t>
      </w:r>
    </w:p>
    <w:p w:rsidR="00177CBE" w:rsidRPr="00177CBE" w:rsidRDefault="00177CBE" w:rsidP="00177CBE">
      <w:pPr>
        <w:pStyle w:val="af6"/>
        <w:spacing w:line="0" w:lineRule="atLeast"/>
        <w:ind w:left="20" w:firstLine="700"/>
        <w:jc w:val="both"/>
        <w:rPr>
          <w:sz w:val="28"/>
          <w:szCs w:val="28"/>
        </w:rPr>
      </w:pPr>
      <w:r w:rsidRPr="00177CBE">
        <w:rPr>
          <w:sz w:val="28"/>
          <w:szCs w:val="28"/>
        </w:rPr>
        <w:t>- увеличить объем производства продукции по основным отраслям на 2 %;</w:t>
      </w:r>
    </w:p>
    <w:p w:rsidR="00177CBE" w:rsidRPr="00177CBE" w:rsidRDefault="00177CBE" w:rsidP="00177CBE">
      <w:pPr>
        <w:pStyle w:val="af6"/>
        <w:spacing w:line="0" w:lineRule="atLeast"/>
        <w:ind w:left="20" w:firstLine="700"/>
        <w:jc w:val="both"/>
        <w:rPr>
          <w:sz w:val="28"/>
          <w:szCs w:val="28"/>
        </w:rPr>
      </w:pPr>
      <w:r w:rsidRPr="00177CBE">
        <w:rPr>
          <w:sz w:val="28"/>
          <w:szCs w:val="28"/>
        </w:rPr>
        <w:t xml:space="preserve">- ежегодно вводить не менее </w:t>
      </w:r>
      <w:smartTag w:uri="urn:schemas-microsoft-com:office:smarttags" w:element="metricconverter">
        <w:smartTagPr>
          <w:attr w:name="ProductID" w:val="3500 кв. метров"/>
        </w:smartTagPr>
        <w:r w:rsidRPr="00177CBE">
          <w:rPr>
            <w:sz w:val="28"/>
            <w:szCs w:val="28"/>
          </w:rPr>
          <w:t>3500 кв. метров</w:t>
        </w:r>
      </w:smartTag>
      <w:r w:rsidRPr="00177CBE">
        <w:rPr>
          <w:sz w:val="28"/>
          <w:szCs w:val="28"/>
        </w:rPr>
        <w:t xml:space="preserve"> жилья;</w:t>
      </w:r>
    </w:p>
    <w:sectPr w:rsidR="00177CBE" w:rsidRPr="00177CBE" w:rsidSect="00DA2DE6">
      <w:headerReference w:type="default" r:id="rId60"/>
      <w:pgSz w:w="11906" w:h="16838" w:code="9"/>
      <w:pgMar w:top="1134" w:right="851" w:bottom="1134" w:left="170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5B4" w:rsidRDefault="00B125B4" w:rsidP="006B1A05">
      <w:r>
        <w:separator/>
      </w:r>
    </w:p>
  </w:endnote>
  <w:endnote w:type="continuationSeparator" w:id="0">
    <w:p w:rsidR="00B125B4" w:rsidRDefault="00B125B4" w:rsidP="006B1A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5B4" w:rsidRDefault="00B125B4" w:rsidP="006B1A05">
      <w:r>
        <w:separator/>
      </w:r>
    </w:p>
  </w:footnote>
  <w:footnote w:type="continuationSeparator" w:id="0">
    <w:p w:rsidR="00B125B4" w:rsidRDefault="00B125B4" w:rsidP="006B1A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90615"/>
      <w:docPartObj>
        <w:docPartGallery w:val="Page Numbers (Top of Page)"/>
        <w:docPartUnique/>
      </w:docPartObj>
    </w:sdtPr>
    <w:sdtContent>
      <w:p w:rsidR="00177CBE" w:rsidRDefault="00F14C4D">
        <w:pPr>
          <w:pStyle w:val="a8"/>
          <w:jc w:val="center"/>
        </w:pPr>
        <w:fldSimple w:instr=" PAGE   \* MERGEFORMAT ">
          <w:r w:rsidR="002010A3">
            <w:rPr>
              <w:noProof/>
            </w:rPr>
            <w:t>2</w:t>
          </w:r>
        </w:fldSimple>
      </w:p>
    </w:sdtContent>
  </w:sdt>
  <w:p w:rsidR="00177CBE" w:rsidRDefault="00177CB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b w:val="0"/>
        <w:bCs w:val="0"/>
        <w:color w:val="000000"/>
        <w:sz w:val="28"/>
        <w:szCs w:val="28"/>
      </w:rPr>
    </w:lvl>
    <w:lvl w:ilvl="1">
      <w:start w:val="1"/>
      <w:numFmt w:val="bullet"/>
      <w:lvlText w:val=""/>
      <w:lvlJc w:val="left"/>
      <w:pPr>
        <w:tabs>
          <w:tab w:val="num" w:pos="1080"/>
        </w:tabs>
        <w:ind w:left="1080" w:hanging="360"/>
      </w:pPr>
      <w:rPr>
        <w:rFonts w:ascii="Symbol" w:hAnsi="Symbol"/>
        <w:b w:val="0"/>
        <w:bCs w:val="0"/>
        <w:color w:val="000000"/>
        <w:sz w:val="28"/>
        <w:szCs w:val="28"/>
      </w:rPr>
    </w:lvl>
    <w:lvl w:ilvl="2">
      <w:start w:val="1"/>
      <w:numFmt w:val="bullet"/>
      <w:lvlText w:val=""/>
      <w:lvlJc w:val="left"/>
      <w:pPr>
        <w:tabs>
          <w:tab w:val="num" w:pos="1440"/>
        </w:tabs>
        <w:ind w:left="1440" w:hanging="360"/>
      </w:pPr>
      <w:rPr>
        <w:rFonts w:ascii="Symbol" w:hAnsi="Symbol"/>
        <w:b w:val="0"/>
        <w:bCs w:val="0"/>
        <w:color w:val="000000"/>
        <w:sz w:val="28"/>
        <w:szCs w:val="28"/>
      </w:rPr>
    </w:lvl>
    <w:lvl w:ilvl="3">
      <w:start w:val="1"/>
      <w:numFmt w:val="bullet"/>
      <w:lvlText w:val=""/>
      <w:lvlJc w:val="left"/>
      <w:pPr>
        <w:tabs>
          <w:tab w:val="num" w:pos="1800"/>
        </w:tabs>
        <w:ind w:left="1800" w:hanging="360"/>
      </w:pPr>
      <w:rPr>
        <w:rFonts w:ascii="Symbol" w:hAnsi="Symbol"/>
        <w:b w:val="0"/>
        <w:bCs w:val="0"/>
        <w:color w:val="000000"/>
        <w:sz w:val="28"/>
        <w:szCs w:val="28"/>
      </w:rPr>
    </w:lvl>
    <w:lvl w:ilvl="4">
      <w:start w:val="1"/>
      <w:numFmt w:val="bullet"/>
      <w:lvlText w:val=""/>
      <w:lvlJc w:val="left"/>
      <w:pPr>
        <w:tabs>
          <w:tab w:val="num" w:pos="2160"/>
        </w:tabs>
        <w:ind w:left="2160" w:hanging="360"/>
      </w:pPr>
      <w:rPr>
        <w:rFonts w:ascii="Symbol" w:hAnsi="Symbol"/>
        <w:b w:val="0"/>
        <w:bCs w:val="0"/>
        <w:color w:val="000000"/>
        <w:sz w:val="28"/>
        <w:szCs w:val="28"/>
      </w:rPr>
    </w:lvl>
    <w:lvl w:ilvl="5">
      <w:start w:val="1"/>
      <w:numFmt w:val="bullet"/>
      <w:lvlText w:val=""/>
      <w:lvlJc w:val="left"/>
      <w:pPr>
        <w:tabs>
          <w:tab w:val="num" w:pos="2520"/>
        </w:tabs>
        <w:ind w:left="2520" w:hanging="360"/>
      </w:pPr>
      <w:rPr>
        <w:rFonts w:ascii="Symbol" w:hAnsi="Symbol"/>
        <w:b w:val="0"/>
        <w:bCs w:val="0"/>
        <w:color w:val="000000"/>
        <w:sz w:val="28"/>
        <w:szCs w:val="28"/>
      </w:rPr>
    </w:lvl>
    <w:lvl w:ilvl="6">
      <w:start w:val="1"/>
      <w:numFmt w:val="bullet"/>
      <w:lvlText w:val=""/>
      <w:lvlJc w:val="left"/>
      <w:pPr>
        <w:tabs>
          <w:tab w:val="num" w:pos="2880"/>
        </w:tabs>
        <w:ind w:left="2880" w:hanging="360"/>
      </w:pPr>
      <w:rPr>
        <w:rFonts w:ascii="Symbol" w:hAnsi="Symbol"/>
        <w:b w:val="0"/>
        <w:bCs w:val="0"/>
        <w:color w:val="000000"/>
        <w:sz w:val="28"/>
        <w:szCs w:val="28"/>
      </w:rPr>
    </w:lvl>
    <w:lvl w:ilvl="7">
      <w:start w:val="1"/>
      <w:numFmt w:val="bullet"/>
      <w:lvlText w:val=""/>
      <w:lvlJc w:val="left"/>
      <w:pPr>
        <w:tabs>
          <w:tab w:val="num" w:pos="3240"/>
        </w:tabs>
        <w:ind w:left="3240" w:hanging="360"/>
      </w:pPr>
      <w:rPr>
        <w:rFonts w:ascii="Symbol" w:hAnsi="Symbol"/>
        <w:b w:val="0"/>
        <w:bCs w:val="0"/>
        <w:color w:val="000000"/>
        <w:sz w:val="28"/>
        <w:szCs w:val="28"/>
      </w:rPr>
    </w:lvl>
    <w:lvl w:ilvl="8">
      <w:start w:val="1"/>
      <w:numFmt w:val="bullet"/>
      <w:lvlText w:val=""/>
      <w:lvlJc w:val="left"/>
      <w:pPr>
        <w:tabs>
          <w:tab w:val="num" w:pos="3600"/>
        </w:tabs>
        <w:ind w:left="3600" w:hanging="360"/>
      </w:pPr>
      <w:rPr>
        <w:rFonts w:ascii="Symbol" w:hAnsi="Symbol"/>
        <w:b w:val="0"/>
        <w:bCs w:val="0"/>
        <w:color w:val="000000"/>
        <w:sz w:val="28"/>
        <w:szCs w:val="28"/>
      </w:rPr>
    </w:lvl>
  </w:abstractNum>
  <w:abstractNum w:abstractNumId="1">
    <w:nsid w:val="00000004"/>
    <w:multiLevelType w:val="multilevel"/>
    <w:tmpl w:val="00000004"/>
    <w:name w:val="WW8Num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E3DE3EB6"/>
    <w:name w:val="WW8Num5"/>
    <w:lvl w:ilvl="0">
      <w:start w:val="1"/>
      <w:numFmt w:val="decimal"/>
      <w:lvlText w:val="%1."/>
      <w:lvlJc w:val="left"/>
      <w:pPr>
        <w:tabs>
          <w:tab w:val="num" w:pos="720"/>
        </w:tabs>
        <w:ind w:left="720" w:hanging="360"/>
      </w:pPr>
      <w:rPr>
        <w:rFonts w:ascii="Times New Roman" w:eastAsia="Times New Roman" w:hAnsi="Times New Roman" w:cs="Times New Roman"/>
        <w:b w:val="0"/>
        <w:bCs w:val="0"/>
        <w:color w:val="00000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9"/>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2780112D"/>
    <w:multiLevelType w:val="hybridMultilevel"/>
    <w:tmpl w:val="96F6E6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BCA0D47"/>
    <w:multiLevelType w:val="hybridMultilevel"/>
    <w:tmpl w:val="28189284"/>
    <w:lvl w:ilvl="0" w:tplc="5DD2D4D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6">
    <w:nsid w:val="42F45AB9"/>
    <w:multiLevelType w:val="hybridMultilevel"/>
    <w:tmpl w:val="954AC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2A628C"/>
    <w:multiLevelType w:val="hybridMultilevel"/>
    <w:tmpl w:val="75C20098"/>
    <w:lvl w:ilvl="0" w:tplc="48B2549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57301B0F"/>
    <w:multiLevelType w:val="hybridMultilevel"/>
    <w:tmpl w:val="8432DB5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6E631DB2"/>
    <w:multiLevelType w:val="hybridMultilevel"/>
    <w:tmpl w:val="1AC8B20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0BA5157"/>
    <w:multiLevelType w:val="multilevel"/>
    <w:tmpl w:val="ED08E23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5"/>
  </w:num>
  <w:num w:numId="2">
    <w:abstractNumId w:val="4"/>
  </w:num>
  <w:num w:numId="3">
    <w:abstractNumId w:val="9"/>
  </w:num>
  <w:num w:numId="4">
    <w:abstractNumId w:val="10"/>
  </w:num>
  <w:num w:numId="5">
    <w:abstractNumId w:val="8"/>
  </w:num>
  <w:num w:numId="6">
    <w:abstractNumId w:val="7"/>
  </w:num>
  <w:num w:numId="7">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defaultTabStop w:val="709"/>
  <w:drawingGridHorizontalSpacing w:val="120"/>
  <w:drawingGridVerticalSpacing w:val="164"/>
  <w:displayHorizontalDrawingGridEvery w:val="2"/>
  <w:displayVerticalDrawingGridEvery w:val="2"/>
  <w:characterSpacingControl w:val="doNotCompress"/>
  <w:footnotePr>
    <w:footnote w:id="-1"/>
    <w:footnote w:id="0"/>
  </w:footnotePr>
  <w:endnotePr>
    <w:endnote w:id="-1"/>
    <w:endnote w:id="0"/>
  </w:endnotePr>
  <w:compat/>
  <w:rsids>
    <w:rsidRoot w:val="00BC36EC"/>
    <w:rsid w:val="00000012"/>
    <w:rsid w:val="000004BC"/>
    <w:rsid w:val="00000906"/>
    <w:rsid w:val="00001936"/>
    <w:rsid w:val="00001BCF"/>
    <w:rsid w:val="00001C26"/>
    <w:rsid w:val="00001F08"/>
    <w:rsid w:val="00002238"/>
    <w:rsid w:val="0000237A"/>
    <w:rsid w:val="00003678"/>
    <w:rsid w:val="000037A5"/>
    <w:rsid w:val="00003884"/>
    <w:rsid w:val="00003E43"/>
    <w:rsid w:val="00003F9B"/>
    <w:rsid w:val="00003FCF"/>
    <w:rsid w:val="00004375"/>
    <w:rsid w:val="00004654"/>
    <w:rsid w:val="000047CD"/>
    <w:rsid w:val="00004851"/>
    <w:rsid w:val="00004D01"/>
    <w:rsid w:val="00005489"/>
    <w:rsid w:val="00005704"/>
    <w:rsid w:val="00005903"/>
    <w:rsid w:val="0000590C"/>
    <w:rsid w:val="00005AE0"/>
    <w:rsid w:val="00005D23"/>
    <w:rsid w:val="00006258"/>
    <w:rsid w:val="00006564"/>
    <w:rsid w:val="00006638"/>
    <w:rsid w:val="000066F2"/>
    <w:rsid w:val="00006A03"/>
    <w:rsid w:val="00006A2D"/>
    <w:rsid w:val="00007ABF"/>
    <w:rsid w:val="0001011D"/>
    <w:rsid w:val="00010205"/>
    <w:rsid w:val="00010607"/>
    <w:rsid w:val="0001066D"/>
    <w:rsid w:val="0001072A"/>
    <w:rsid w:val="000107BA"/>
    <w:rsid w:val="000108DC"/>
    <w:rsid w:val="00010905"/>
    <w:rsid w:val="00010BEC"/>
    <w:rsid w:val="000116FD"/>
    <w:rsid w:val="00011AA8"/>
    <w:rsid w:val="00011F94"/>
    <w:rsid w:val="000122E2"/>
    <w:rsid w:val="0001235E"/>
    <w:rsid w:val="000127FC"/>
    <w:rsid w:val="00013027"/>
    <w:rsid w:val="00013153"/>
    <w:rsid w:val="00013399"/>
    <w:rsid w:val="00013E15"/>
    <w:rsid w:val="00014367"/>
    <w:rsid w:val="00014B78"/>
    <w:rsid w:val="00014CEC"/>
    <w:rsid w:val="00014F99"/>
    <w:rsid w:val="000154B1"/>
    <w:rsid w:val="0001553B"/>
    <w:rsid w:val="00015B2A"/>
    <w:rsid w:val="00015B36"/>
    <w:rsid w:val="0001690F"/>
    <w:rsid w:val="00016A45"/>
    <w:rsid w:val="00016BAC"/>
    <w:rsid w:val="00016C50"/>
    <w:rsid w:val="0001722C"/>
    <w:rsid w:val="000172B6"/>
    <w:rsid w:val="00017921"/>
    <w:rsid w:val="00017CB0"/>
    <w:rsid w:val="00017CD3"/>
    <w:rsid w:val="0002049D"/>
    <w:rsid w:val="000204F2"/>
    <w:rsid w:val="0002068D"/>
    <w:rsid w:val="0002073F"/>
    <w:rsid w:val="00020917"/>
    <w:rsid w:val="00020B34"/>
    <w:rsid w:val="00021102"/>
    <w:rsid w:val="000211F4"/>
    <w:rsid w:val="00021262"/>
    <w:rsid w:val="0002129F"/>
    <w:rsid w:val="0002145D"/>
    <w:rsid w:val="00021557"/>
    <w:rsid w:val="00021BCC"/>
    <w:rsid w:val="000224A4"/>
    <w:rsid w:val="0002257D"/>
    <w:rsid w:val="00022635"/>
    <w:rsid w:val="000228D3"/>
    <w:rsid w:val="00022C81"/>
    <w:rsid w:val="00022C8B"/>
    <w:rsid w:val="000231C3"/>
    <w:rsid w:val="000233E0"/>
    <w:rsid w:val="000238E2"/>
    <w:rsid w:val="00024074"/>
    <w:rsid w:val="000241C2"/>
    <w:rsid w:val="000245E9"/>
    <w:rsid w:val="00024611"/>
    <w:rsid w:val="00024890"/>
    <w:rsid w:val="0002491C"/>
    <w:rsid w:val="00024AAB"/>
    <w:rsid w:val="00024B23"/>
    <w:rsid w:val="00024F96"/>
    <w:rsid w:val="0002505C"/>
    <w:rsid w:val="000252AD"/>
    <w:rsid w:val="00025ABE"/>
    <w:rsid w:val="00025CE2"/>
    <w:rsid w:val="00026246"/>
    <w:rsid w:val="000263C6"/>
    <w:rsid w:val="000264B3"/>
    <w:rsid w:val="00026500"/>
    <w:rsid w:val="000266A8"/>
    <w:rsid w:val="00026861"/>
    <w:rsid w:val="000269EA"/>
    <w:rsid w:val="00026CC8"/>
    <w:rsid w:val="00026ED7"/>
    <w:rsid w:val="000271BC"/>
    <w:rsid w:val="000274CF"/>
    <w:rsid w:val="000277B3"/>
    <w:rsid w:val="000277D2"/>
    <w:rsid w:val="00027806"/>
    <w:rsid w:val="00027BBA"/>
    <w:rsid w:val="00027ECC"/>
    <w:rsid w:val="00027FAF"/>
    <w:rsid w:val="00030511"/>
    <w:rsid w:val="00030CBA"/>
    <w:rsid w:val="000310B4"/>
    <w:rsid w:val="0003121D"/>
    <w:rsid w:val="0003124C"/>
    <w:rsid w:val="000318F4"/>
    <w:rsid w:val="00031D6A"/>
    <w:rsid w:val="00032239"/>
    <w:rsid w:val="000323D4"/>
    <w:rsid w:val="00032918"/>
    <w:rsid w:val="00032BFB"/>
    <w:rsid w:val="00032E2D"/>
    <w:rsid w:val="00033100"/>
    <w:rsid w:val="0003350D"/>
    <w:rsid w:val="0003351C"/>
    <w:rsid w:val="00033537"/>
    <w:rsid w:val="0003384C"/>
    <w:rsid w:val="000338D2"/>
    <w:rsid w:val="00033A49"/>
    <w:rsid w:val="00033B40"/>
    <w:rsid w:val="00033DA3"/>
    <w:rsid w:val="00033E15"/>
    <w:rsid w:val="0003407E"/>
    <w:rsid w:val="0003429F"/>
    <w:rsid w:val="000342AD"/>
    <w:rsid w:val="000344B9"/>
    <w:rsid w:val="00034699"/>
    <w:rsid w:val="000348F8"/>
    <w:rsid w:val="00034A7E"/>
    <w:rsid w:val="00034C30"/>
    <w:rsid w:val="00035347"/>
    <w:rsid w:val="00035891"/>
    <w:rsid w:val="00035B44"/>
    <w:rsid w:val="00035BE4"/>
    <w:rsid w:val="00035CA9"/>
    <w:rsid w:val="00035D6A"/>
    <w:rsid w:val="000360E7"/>
    <w:rsid w:val="00036F70"/>
    <w:rsid w:val="000372F6"/>
    <w:rsid w:val="00037DB7"/>
    <w:rsid w:val="0004008B"/>
    <w:rsid w:val="0004022F"/>
    <w:rsid w:val="000402F8"/>
    <w:rsid w:val="00040612"/>
    <w:rsid w:val="00040703"/>
    <w:rsid w:val="000407A5"/>
    <w:rsid w:val="00040C4B"/>
    <w:rsid w:val="00040E9B"/>
    <w:rsid w:val="000412F3"/>
    <w:rsid w:val="00041361"/>
    <w:rsid w:val="000418DD"/>
    <w:rsid w:val="00041978"/>
    <w:rsid w:val="00041AC4"/>
    <w:rsid w:val="00041EDC"/>
    <w:rsid w:val="000421F1"/>
    <w:rsid w:val="00042303"/>
    <w:rsid w:val="00042545"/>
    <w:rsid w:val="00042A53"/>
    <w:rsid w:val="000430BE"/>
    <w:rsid w:val="0004313C"/>
    <w:rsid w:val="00043191"/>
    <w:rsid w:val="000432D6"/>
    <w:rsid w:val="00043AEC"/>
    <w:rsid w:val="000441EE"/>
    <w:rsid w:val="000446B1"/>
    <w:rsid w:val="00044EE8"/>
    <w:rsid w:val="00044F0B"/>
    <w:rsid w:val="00045190"/>
    <w:rsid w:val="000451E7"/>
    <w:rsid w:val="0004529F"/>
    <w:rsid w:val="00045BF7"/>
    <w:rsid w:val="00045EA0"/>
    <w:rsid w:val="000460D8"/>
    <w:rsid w:val="000461B2"/>
    <w:rsid w:val="0004642B"/>
    <w:rsid w:val="00046C7C"/>
    <w:rsid w:val="00046D7A"/>
    <w:rsid w:val="00046E51"/>
    <w:rsid w:val="00046F4A"/>
    <w:rsid w:val="000470A1"/>
    <w:rsid w:val="0004744A"/>
    <w:rsid w:val="000475B3"/>
    <w:rsid w:val="000475C8"/>
    <w:rsid w:val="00047773"/>
    <w:rsid w:val="000502CF"/>
    <w:rsid w:val="00051190"/>
    <w:rsid w:val="0005164C"/>
    <w:rsid w:val="00051728"/>
    <w:rsid w:val="00051B21"/>
    <w:rsid w:val="00052237"/>
    <w:rsid w:val="00052250"/>
    <w:rsid w:val="00052455"/>
    <w:rsid w:val="0005256C"/>
    <w:rsid w:val="00052851"/>
    <w:rsid w:val="00053592"/>
    <w:rsid w:val="000538C9"/>
    <w:rsid w:val="000541E3"/>
    <w:rsid w:val="000541F6"/>
    <w:rsid w:val="00054252"/>
    <w:rsid w:val="00054367"/>
    <w:rsid w:val="0005453F"/>
    <w:rsid w:val="0005473E"/>
    <w:rsid w:val="00054772"/>
    <w:rsid w:val="00054831"/>
    <w:rsid w:val="00054D91"/>
    <w:rsid w:val="00054F19"/>
    <w:rsid w:val="0005534F"/>
    <w:rsid w:val="000554FC"/>
    <w:rsid w:val="000555C1"/>
    <w:rsid w:val="000557DB"/>
    <w:rsid w:val="000558E6"/>
    <w:rsid w:val="00055CCB"/>
    <w:rsid w:val="00055D95"/>
    <w:rsid w:val="00055F52"/>
    <w:rsid w:val="000570ED"/>
    <w:rsid w:val="00057466"/>
    <w:rsid w:val="000575FB"/>
    <w:rsid w:val="00057AF4"/>
    <w:rsid w:val="00057B0B"/>
    <w:rsid w:val="0006011D"/>
    <w:rsid w:val="00060470"/>
    <w:rsid w:val="000609E5"/>
    <w:rsid w:val="00060A5D"/>
    <w:rsid w:val="00060FEB"/>
    <w:rsid w:val="000615A3"/>
    <w:rsid w:val="0006167E"/>
    <w:rsid w:val="00061AB2"/>
    <w:rsid w:val="00061D67"/>
    <w:rsid w:val="00061FC6"/>
    <w:rsid w:val="00062063"/>
    <w:rsid w:val="00062100"/>
    <w:rsid w:val="000622BE"/>
    <w:rsid w:val="00062376"/>
    <w:rsid w:val="000625E4"/>
    <w:rsid w:val="00062808"/>
    <w:rsid w:val="00062F1F"/>
    <w:rsid w:val="00063109"/>
    <w:rsid w:val="0006319D"/>
    <w:rsid w:val="000631D7"/>
    <w:rsid w:val="00063350"/>
    <w:rsid w:val="00063C4B"/>
    <w:rsid w:val="00063ED6"/>
    <w:rsid w:val="00064565"/>
    <w:rsid w:val="000646EB"/>
    <w:rsid w:val="00064CFC"/>
    <w:rsid w:val="00064E56"/>
    <w:rsid w:val="00065357"/>
    <w:rsid w:val="000659EF"/>
    <w:rsid w:val="00066105"/>
    <w:rsid w:val="0006612B"/>
    <w:rsid w:val="000664CA"/>
    <w:rsid w:val="00066765"/>
    <w:rsid w:val="00067038"/>
    <w:rsid w:val="00067517"/>
    <w:rsid w:val="00067BB8"/>
    <w:rsid w:val="00067E3F"/>
    <w:rsid w:val="000701C3"/>
    <w:rsid w:val="000702FE"/>
    <w:rsid w:val="0007064E"/>
    <w:rsid w:val="000709C1"/>
    <w:rsid w:val="00070D90"/>
    <w:rsid w:val="00070F33"/>
    <w:rsid w:val="00070F75"/>
    <w:rsid w:val="00071354"/>
    <w:rsid w:val="00071854"/>
    <w:rsid w:val="000719AD"/>
    <w:rsid w:val="00071C00"/>
    <w:rsid w:val="00071C2C"/>
    <w:rsid w:val="00071F76"/>
    <w:rsid w:val="00072191"/>
    <w:rsid w:val="00072383"/>
    <w:rsid w:val="00072444"/>
    <w:rsid w:val="000724ED"/>
    <w:rsid w:val="00072586"/>
    <w:rsid w:val="00072683"/>
    <w:rsid w:val="000728E8"/>
    <w:rsid w:val="00072C84"/>
    <w:rsid w:val="00072F15"/>
    <w:rsid w:val="00073182"/>
    <w:rsid w:val="00073B26"/>
    <w:rsid w:val="0007439E"/>
    <w:rsid w:val="000745A1"/>
    <w:rsid w:val="00074883"/>
    <w:rsid w:val="000749B0"/>
    <w:rsid w:val="00074B4F"/>
    <w:rsid w:val="0007541B"/>
    <w:rsid w:val="000754D5"/>
    <w:rsid w:val="00075624"/>
    <w:rsid w:val="00075890"/>
    <w:rsid w:val="00075A7C"/>
    <w:rsid w:val="00075FB6"/>
    <w:rsid w:val="00076405"/>
    <w:rsid w:val="00076623"/>
    <w:rsid w:val="00076671"/>
    <w:rsid w:val="000769FE"/>
    <w:rsid w:val="00076F59"/>
    <w:rsid w:val="0007703D"/>
    <w:rsid w:val="00077245"/>
    <w:rsid w:val="00077285"/>
    <w:rsid w:val="00077410"/>
    <w:rsid w:val="00077868"/>
    <w:rsid w:val="00077B5D"/>
    <w:rsid w:val="00077CE4"/>
    <w:rsid w:val="00077D4F"/>
    <w:rsid w:val="00077D70"/>
    <w:rsid w:val="0008000F"/>
    <w:rsid w:val="00080010"/>
    <w:rsid w:val="00080150"/>
    <w:rsid w:val="0008051F"/>
    <w:rsid w:val="00080745"/>
    <w:rsid w:val="000810BB"/>
    <w:rsid w:val="000814A5"/>
    <w:rsid w:val="0008156E"/>
    <w:rsid w:val="00081598"/>
    <w:rsid w:val="00081ADF"/>
    <w:rsid w:val="000820EF"/>
    <w:rsid w:val="000825CE"/>
    <w:rsid w:val="00082C1A"/>
    <w:rsid w:val="00082C7E"/>
    <w:rsid w:val="000833B6"/>
    <w:rsid w:val="000834D5"/>
    <w:rsid w:val="000837FD"/>
    <w:rsid w:val="00083CF9"/>
    <w:rsid w:val="00083FB7"/>
    <w:rsid w:val="0008404D"/>
    <w:rsid w:val="0008422F"/>
    <w:rsid w:val="00084490"/>
    <w:rsid w:val="0008468F"/>
    <w:rsid w:val="000848C0"/>
    <w:rsid w:val="00084ABE"/>
    <w:rsid w:val="00084CD2"/>
    <w:rsid w:val="00084D75"/>
    <w:rsid w:val="00085445"/>
    <w:rsid w:val="00085522"/>
    <w:rsid w:val="00085B25"/>
    <w:rsid w:val="00085C7B"/>
    <w:rsid w:val="00086497"/>
    <w:rsid w:val="00086907"/>
    <w:rsid w:val="00086A72"/>
    <w:rsid w:val="00086BA6"/>
    <w:rsid w:val="00086E2D"/>
    <w:rsid w:val="00086EF7"/>
    <w:rsid w:val="00087546"/>
    <w:rsid w:val="00087573"/>
    <w:rsid w:val="00087AE8"/>
    <w:rsid w:val="00087C08"/>
    <w:rsid w:val="00087CEB"/>
    <w:rsid w:val="00087F61"/>
    <w:rsid w:val="00090147"/>
    <w:rsid w:val="000904B9"/>
    <w:rsid w:val="0009060E"/>
    <w:rsid w:val="000908C5"/>
    <w:rsid w:val="00090A7C"/>
    <w:rsid w:val="00090F14"/>
    <w:rsid w:val="00091541"/>
    <w:rsid w:val="00091B8F"/>
    <w:rsid w:val="00092487"/>
    <w:rsid w:val="000927EF"/>
    <w:rsid w:val="000928F2"/>
    <w:rsid w:val="000929DC"/>
    <w:rsid w:val="00093130"/>
    <w:rsid w:val="00093815"/>
    <w:rsid w:val="000939D0"/>
    <w:rsid w:val="00093DC8"/>
    <w:rsid w:val="00094092"/>
    <w:rsid w:val="0009437C"/>
    <w:rsid w:val="0009444A"/>
    <w:rsid w:val="000944ED"/>
    <w:rsid w:val="0009457A"/>
    <w:rsid w:val="000945BA"/>
    <w:rsid w:val="000945CB"/>
    <w:rsid w:val="00095258"/>
    <w:rsid w:val="00095365"/>
    <w:rsid w:val="00095695"/>
    <w:rsid w:val="00095DB2"/>
    <w:rsid w:val="00095E0A"/>
    <w:rsid w:val="00095FE1"/>
    <w:rsid w:val="00096494"/>
    <w:rsid w:val="00096B6B"/>
    <w:rsid w:val="00096F36"/>
    <w:rsid w:val="0009722C"/>
    <w:rsid w:val="0009743B"/>
    <w:rsid w:val="0009746D"/>
    <w:rsid w:val="00097523"/>
    <w:rsid w:val="00097683"/>
    <w:rsid w:val="000979D7"/>
    <w:rsid w:val="00097A65"/>
    <w:rsid w:val="00097C91"/>
    <w:rsid w:val="00097E62"/>
    <w:rsid w:val="00097F91"/>
    <w:rsid w:val="000A005A"/>
    <w:rsid w:val="000A0387"/>
    <w:rsid w:val="000A0F06"/>
    <w:rsid w:val="000A1008"/>
    <w:rsid w:val="000A1009"/>
    <w:rsid w:val="000A10ED"/>
    <w:rsid w:val="000A1347"/>
    <w:rsid w:val="000A135C"/>
    <w:rsid w:val="000A14B8"/>
    <w:rsid w:val="000A1C99"/>
    <w:rsid w:val="000A1FFF"/>
    <w:rsid w:val="000A2177"/>
    <w:rsid w:val="000A27D4"/>
    <w:rsid w:val="000A2823"/>
    <w:rsid w:val="000A2999"/>
    <w:rsid w:val="000A2F2F"/>
    <w:rsid w:val="000A30C3"/>
    <w:rsid w:val="000A33A3"/>
    <w:rsid w:val="000A34F3"/>
    <w:rsid w:val="000A358E"/>
    <w:rsid w:val="000A3818"/>
    <w:rsid w:val="000A39A5"/>
    <w:rsid w:val="000A3C22"/>
    <w:rsid w:val="000A485B"/>
    <w:rsid w:val="000A4EF2"/>
    <w:rsid w:val="000A4EF6"/>
    <w:rsid w:val="000A5142"/>
    <w:rsid w:val="000A543F"/>
    <w:rsid w:val="000A547E"/>
    <w:rsid w:val="000A56EC"/>
    <w:rsid w:val="000A5A1A"/>
    <w:rsid w:val="000A5B07"/>
    <w:rsid w:val="000A5E88"/>
    <w:rsid w:val="000A5F5A"/>
    <w:rsid w:val="000A6210"/>
    <w:rsid w:val="000A62D8"/>
    <w:rsid w:val="000A6846"/>
    <w:rsid w:val="000A6BD9"/>
    <w:rsid w:val="000A6BFC"/>
    <w:rsid w:val="000A6CE8"/>
    <w:rsid w:val="000A6FBE"/>
    <w:rsid w:val="000A7385"/>
    <w:rsid w:val="000A7519"/>
    <w:rsid w:val="000A7BE1"/>
    <w:rsid w:val="000A7DC7"/>
    <w:rsid w:val="000B0343"/>
    <w:rsid w:val="000B0480"/>
    <w:rsid w:val="000B0541"/>
    <w:rsid w:val="000B08DB"/>
    <w:rsid w:val="000B08FD"/>
    <w:rsid w:val="000B0CBC"/>
    <w:rsid w:val="000B0EBB"/>
    <w:rsid w:val="000B0FD2"/>
    <w:rsid w:val="000B162B"/>
    <w:rsid w:val="000B1695"/>
    <w:rsid w:val="000B16BD"/>
    <w:rsid w:val="000B290D"/>
    <w:rsid w:val="000B2B28"/>
    <w:rsid w:val="000B2C24"/>
    <w:rsid w:val="000B2DD1"/>
    <w:rsid w:val="000B2E77"/>
    <w:rsid w:val="000B3246"/>
    <w:rsid w:val="000B35CA"/>
    <w:rsid w:val="000B37DC"/>
    <w:rsid w:val="000B38DA"/>
    <w:rsid w:val="000B3919"/>
    <w:rsid w:val="000B3AC7"/>
    <w:rsid w:val="000B3E16"/>
    <w:rsid w:val="000B3F7C"/>
    <w:rsid w:val="000B4134"/>
    <w:rsid w:val="000B4174"/>
    <w:rsid w:val="000B4667"/>
    <w:rsid w:val="000B47E5"/>
    <w:rsid w:val="000B4874"/>
    <w:rsid w:val="000B48F3"/>
    <w:rsid w:val="000B49A9"/>
    <w:rsid w:val="000B52D1"/>
    <w:rsid w:val="000B5405"/>
    <w:rsid w:val="000B5A17"/>
    <w:rsid w:val="000B5A1D"/>
    <w:rsid w:val="000B5F16"/>
    <w:rsid w:val="000B684D"/>
    <w:rsid w:val="000B687B"/>
    <w:rsid w:val="000B6F11"/>
    <w:rsid w:val="000B7146"/>
    <w:rsid w:val="000B7F5A"/>
    <w:rsid w:val="000B7F72"/>
    <w:rsid w:val="000C0107"/>
    <w:rsid w:val="000C01A0"/>
    <w:rsid w:val="000C06A7"/>
    <w:rsid w:val="000C0BD1"/>
    <w:rsid w:val="000C1853"/>
    <w:rsid w:val="000C1ADD"/>
    <w:rsid w:val="000C1B34"/>
    <w:rsid w:val="000C2342"/>
    <w:rsid w:val="000C246F"/>
    <w:rsid w:val="000C287E"/>
    <w:rsid w:val="000C2B28"/>
    <w:rsid w:val="000C2B93"/>
    <w:rsid w:val="000C2E3A"/>
    <w:rsid w:val="000C316C"/>
    <w:rsid w:val="000C41B3"/>
    <w:rsid w:val="000C4580"/>
    <w:rsid w:val="000C47AC"/>
    <w:rsid w:val="000C4CC1"/>
    <w:rsid w:val="000C522E"/>
    <w:rsid w:val="000C55DC"/>
    <w:rsid w:val="000C570C"/>
    <w:rsid w:val="000C57EC"/>
    <w:rsid w:val="000C5812"/>
    <w:rsid w:val="000C5D03"/>
    <w:rsid w:val="000C6286"/>
    <w:rsid w:val="000C656F"/>
    <w:rsid w:val="000C68E9"/>
    <w:rsid w:val="000C721E"/>
    <w:rsid w:val="000C7652"/>
    <w:rsid w:val="000C7655"/>
    <w:rsid w:val="000C7A69"/>
    <w:rsid w:val="000C7AE1"/>
    <w:rsid w:val="000C7B23"/>
    <w:rsid w:val="000C7B52"/>
    <w:rsid w:val="000C7CAE"/>
    <w:rsid w:val="000C7EFC"/>
    <w:rsid w:val="000D0425"/>
    <w:rsid w:val="000D065B"/>
    <w:rsid w:val="000D0AD2"/>
    <w:rsid w:val="000D0E57"/>
    <w:rsid w:val="000D15A2"/>
    <w:rsid w:val="000D15E0"/>
    <w:rsid w:val="000D1668"/>
    <w:rsid w:val="000D18C0"/>
    <w:rsid w:val="000D1C08"/>
    <w:rsid w:val="000D1DF8"/>
    <w:rsid w:val="000D1E57"/>
    <w:rsid w:val="000D21C3"/>
    <w:rsid w:val="000D2208"/>
    <w:rsid w:val="000D2312"/>
    <w:rsid w:val="000D2636"/>
    <w:rsid w:val="000D2663"/>
    <w:rsid w:val="000D26E3"/>
    <w:rsid w:val="000D284D"/>
    <w:rsid w:val="000D29E4"/>
    <w:rsid w:val="000D2D48"/>
    <w:rsid w:val="000D30DB"/>
    <w:rsid w:val="000D345B"/>
    <w:rsid w:val="000D37E3"/>
    <w:rsid w:val="000D3C36"/>
    <w:rsid w:val="000D3CD8"/>
    <w:rsid w:val="000D3D15"/>
    <w:rsid w:val="000D4649"/>
    <w:rsid w:val="000D47B4"/>
    <w:rsid w:val="000D4A1C"/>
    <w:rsid w:val="000D4CD6"/>
    <w:rsid w:val="000D4D21"/>
    <w:rsid w:val="000D553E"/>
    <w:rsid w:val="000D557F"/>
    <w:rsid w:val="000D5668"/>
    <w:rsid w:val="000D5904"/>
    <w:rsid w:val="000D5A82"/>
    <w:rsid w:val="000D5EF3"/>
    <w:rsid w:val="000D6681"/>
    <w:rsid w:val="000D69E4"/>
    <w:rsid w:val="000D6B82"/>
    <w:rsid w:val="000D6EB4"/>
    <w:rsid w:val="000D740A"/>
    <w:rsid w:val="000D7796"/>
    <w:rsid w:val="000D7AB7"/>
    <w:rsid w:val="000D7B40"/>
    <w:rsid w:val="000D7D36"/>
    <w:rsid w:val="000E0087"/>
    <w:rsid w:val="000E0089"/>
    <w:rsid w:val="000E07BA"/>
    <w:rsid w:val="000E0E58"/>
    <w:rsid w:val="000E1326"/>
    <w:rsid w:val="000E1556"/>
    <w:rsid w:val="000E1576"/>
    <w:rsid w:val="000E165D"/>
    <w:rsid w:val="000E1AB0"/>
    <w:rsid w:val="000E1DE7"/>
    <w:rsid w:val="000E2276"/>
    <w:rsid w:val="000E23B4"/>
    <w:rsid w:val="000E248D"/>
    <w:rsid w:val="000E279F"/>
    <w:rsid w:val="000E28FD"/>
    <w:rsid w:val="000E2A2C"/>
    <w:rsid w:val="000E2ADC"/>
    <w:rsid w:val="000E2B33"/>
    <w:rsid w:val="000E2FBA"/>
    <w:rsid w:val="000E2FF7"/>
    <w:rsid w:val="000E327D"/>
    <w:rsid w:val="000E3A54"/>
    <w:rsid w:val="000E3B1A"/>
    <w:rsid w:val="000E3BE9"/>
    <w:rsid w:val="000E3FA1"/>
    <w:rsid w:val="000E4370"/>
    <w:rsid w:val="000E4533"/>
    <w:rsid w:val="000E48FC"/>
    <w:rsid w:val="000E4B5A"/>
    <w:rsid w:val="000E4B66"/>
    <w:rsid w:val="000E4BDC"/>
    <w:rsid w:val="000E4C53"/>
    <w:rsid w:val="000E4D16"/>
    <w:rsid w:val="000E4DA7"/>
    <w:rsid w:val="000E52C3"/>
    <w:rsid w:val="000E5772"/>
    <w:rsid w:val="000E57BD"/>
    <w:rsid w:val="000E5DEB"/>
    <w:rsid w:val="000E6397"/>
    <w:rsid w:val="000E6738"/>
    <w:rsid w:val="000E693D"/>
    <w:rsid w:val="000E70F6"/>
    <w:rsid w:val="000E714D"/>
    <w:rsid w:val="000E771D"/>
    <w:rsid w:val="000E7F6B"/>
    <w:rsid w:val="000F07ED"/>
    <w:rsid w:val="000F0B66"/>
    <w:rsid w:val="000F0B83"/>
    <w:rsid w:val="000F0D2E"/>
    <w:rsid w:val="000F1E27"/>
    <w:rsid w:val="000F1F3C"/>
    <w:rsid w:val="000F22AF"/>
    <w:rsid w:val="000F26CB"/>
    <w:rsid w:val="000F26D2"/>
    <w:rsid w:val="000F28AA"/>
    <w:rsid w:val="000F2E65"/>
    <w:rsid w:val="000F341C"/>
    <w:rsid w:val="000F3647"/>
    <w:rsid w:val="000F3B7C"/>
    <w:rsid w:val="000F3BDE"/>
    <w:rsid w:val="000F3E5A"/>
    <w:rsid w:val="000F3E9F"/>
    <w:rsid w:val="000F4346"/>
    <w:rsid w:val="000F44AF"/>
    <w:rsid w:val="000F4CC7"/>
    <w:rsid w:val="000F50F8"/>
    <w:rsid w:val="000F5105"/>
    <w:rsid w:val="000F548C"/>
    <w:rsid w:val="000F54E3"/>
    <w:rsid w:val="000F59F4"/>
    <w:rsid w:val="000F5B52"/>
    <w:rsid w:val="000F5F2E"/>
    <w:rsid w:val="000F607D"/>
    <w:rsid w:val="000F643E"/>
    <w:rsid w:val="000F64B1"/>
    <w:rsid w:val="000F6642"/>
    <w:rsid w:val="000F67E9"/>
    <w:rsid w:val="000F6EF8"/>
    <w:rsid w:val="000F70C0"/>
    <w:rsid w:val="000F70D8"/>
    <w:rsid w:val="000F70E2"/>
    <w:rsid w:val="000F712E"/>
    <w:rsid w:val="000F730F"/>
    <w:rsid w:val="000F7432"/>
    <w:rsid w:val="000F761C"/>
    <w:rsid w:val="000F7B77"/>
    <w:rsid w:val="000F7D03"/>
    <w:rsid w:val="00100134"/>
    <w:rsid w:val="001001CF"/>
    <w:rsid w:val="00100987"/>
    <w:rsid w:val="00100EF3"/>
    <w:rsid w:val="001012D7"/>
    <w:rsid w:val="001017A6"/>
    <w:rsid w:val="00101875"/>
    <w:rsid w:val="00101C82"/>
    <w:rsid w:val="00101E08"/>
    <w:rsid w:val="00102390"/>
    <w:rsid w:val="001024E2"/>
    <w:rsid w:val="001027BB"/>
    <w:rsid w:val="00102846"/>
    <w:rsid w:val="00102988"/>
    <w:rsid w:val="00102A82"/>
    <w:rsid w:val="00102D88"/>
    <w:rsid w:val="00102E6F"/>
    <w:rsid w:val="00102F1D"/>
    <w:rsid w:val="00103BFB"/>
    <w:rsid w:val="001044DA"/>
    <w:rsid w:val="0010461A"/>
    <w:rsid w:val="00104ACD"/>
    <w:rsid w:val="00104D19"/>
    <w:rsid w:val="00105581"/>
    <w:rsid w:val="001058DA"/>
    <w:rsid w:val="00105A8E"/>
    <w:rsid w:val="00105C6D"/>
    <w:rsid w:val="00105F67"/>
    <w:rsid w:val="00105FE1"/>
    <w:rsid w:val="00105FEE"/>
    <w:rsid w:val="001060E8"/>
    <w:rsid w:val="001064E9"/>
    <w:rsid w:val="00106C75"/>
    <w:rsid w:val="00107596"/>
    <w:rsid w:val="00107668"/>
    <w:rsid w:val="00107869"/>
    <w:rsid w:val="001079BB"/>
    <w:rsid w:val="00107DB2"/>
    <w:rsid w:val="00107DB5"/>
    <w:rsid w:val="00110450"/>
    <w:rsid w:val="00110C48"/>
    <w:rsid w:val="00110C4B"/>
    <w:rsid w:val="00110CCB"/>
    <w:rsid w:val="0011126E"/>
    <w:rsid w:val="001114CA"/>
    <w:rsid w:val="0011163B"/>
    <w:rsid w:val="00111C1F"/>
    <w:rsid w:val="00111F00"/>
    <w:rsid w:val="001121F1"/>
    <w:rsid w:val="0011236C"/>
    <w:rsid w:val="001127BA"/>
    <w:rsid w:val="00112BE4"/>
    <w:rsid w:val="00112F12"/>
    <w:rsid w:val="001135D6"/>
    <w:rsid w:val="0011372D"/>
    <w:rsid w:val="0011445C"/>
    <w:rsid w:val="001144DD"/>
    <w:rsid w:val="00114735"/>
    <w:rsid w:val="00114AA4"/>
    <w:rsid w:val="00114BB6"/>
    <w:rsid w:val="00114E12"/>
    <w:rsid w:val="00115543"/>
    <w:rsid w:val="00115592"/>
    <w:rsid w:val="0011588F"/>
    <w:rsid w:val="00115C2F"/>
    <w:rsid w:val="00115D5B"/>
    <w:rsid w:val="00116135"/>
    <w:rsid w:val="0011644B"/>
    <w:rsid w:val="00116792"/>
    <w:rsid w:val="0011715D"/>
    <w:rsid w:val="00117770"/>
    <w:rsid w:val="00117795"/>
    <w:rsid w:val="00117B9C"/>
    <w:rsid w:val="001201F2"/>
    <w:rsid w:val="00120203"/>
    <w:rsid w:val="001203F0"/>
    <w:rsid w:val="00120DF6"/>
    <w:rsid w:val="0012193D"/>
    <w:rsid w:val="00121C27"/>
    <w:rsid w:val="00121E8B"/>
    <w:rsid w:val="00121E9A"/>
    <w:rsid w:val="00121FF3"/>
    <w:rsid w:val="001223FA"/>
    <w:rsid w:val="00122702"/>
    <w:rsid w:val="0012291F"/>
    <w:rsid w:val="001229AA"/>
    <w:rsid w:val="00122AD0"/>
    <w:rsid w:val="00123057"/>
    <w:rsid w:val="00123403"/>
    <w:rsid w:val="0012386F"/>
    <w:rsid w:val="00124610"/>
    <w:rsid w:val="00124E1B"/>
    <w:rsid w:val="0012527C"/>
    <w:rsid w:val="001255E6"/>
    <w:rsid w:val="001256A8"/>
    <w:rsid w:val="00125AB3"/>
    <w:rsid w:val="00125BE4"/>
    <w:rsid w:val="00125C91"/>
    <w:rsid w:val="001260F2"/>
    <w:rsid w:val="001264D1"/>
    <w:rsid w:val="001264E8"/>
    <w:rsid w:val="00126756"/>
    <w:rsid w:val="00126AC1"/>
    <w:rsid w:val="00126B87"/>
    <w:rsid w:val="0012737F"/>
    <w:rsid w:val="00127693"/>
    <w:rsid w:val="00127950"/>
    <w:rsid w:val="0013005B"/>
    <w:rsid w:val="00130F75"/>
    <w:rsid w:val="0013103D"/>
    <w:rsid w:val="00131122"/>
    <w:rsid w:val="00131334"/>
    <w:rsid w:val="001314E3"/>
    <w:rsid w:val="0013169C"/>
    <w:rsid w:val="00131E9A"/>
    <w:rsid w:val="00131FEC"/>
    <w:rsid w:val="001320C3"/>
    <w:rsid w:val="001321A7"/>
    <w:rsid w:val="00132218"/>
    <w:rsid w:val="001327B2"/>
    <w:rsid w:val="001330D3"/>
    <w:rsid w:val="00133616"/>
    <w:rsid w:val="00133748"/>
    <w:rsid w:val="00133A2C"/>
    <w:rsid w:val="00133C1F"/>
    <w:rsid w:val="00133DDB"/>
    <w:rsid w:val="00133ECE"/>
    <w:rsid w:val="00133F01"/>
    <w:rsid w:val="00134320"/>
    <w:rsid w:val="00134531"/>
    <w:rsid w:val="0013465C"/>
    <w:rsid w:val="001347FC"/>
    <w:rsid w:val="0013499B"/>
    <w:rsid w:val="00134D4A"/>
    <w:rsid w:val="001351B7"/>
    <w:rsid w:val="001352CE"/>
    <w:rsid w:val="0013539A"/>
    <w:rsid w:val="001354E1"/>
    <w:rsid w:val="001356F5"/>
    <w:rsid w:val="001357DC"/>
    <w:rsid w:val="00135B19"/>
    <w:rsid w:val="0013653A"/>
    <w:rsid w:val="001369FC"/>
    <w:rsid w:val="00137113"/>
    <w:rsid w:val="001373CB"/>
    <w:rsid w:val="001376BD"/>
    <w:rsid w:val="001377E0"/>
    <w:rsid w:val="00137EA4"/>
    <w:rsid w:val="00137F5F"/>
    <w:rsid w:val="0014034F"/>
    <w:rsid w:val="00140392"/>
    <w:rsid w:val="00140710"/>
    <w:rsid w:val="00140915"/>
    <w:rsid w:val="001415AA"/>
    <w:rsid w:val="001416A6"/>
    <w:rsid w:val="001419B8"/>
    <w:rsid w:val="00141A94"/>
    <w:rsid w:val="00141C34"/>
    <w:rsid w:val="00142521"/>
    <w:rsid w:val="00142995"/>
    <w:rsid w:val="00142D69"/>
    <w:rsid w:val="00142FE3"/>
    <w:rsid w:val="001432DF"/>
    <w:rsid w:val="001439D6"/>
    <w:rsid w:val="00143A1C"/>
    <w:rsid w:val="0014455E"/>
    <w:rsid w:val="0014466A"/>
    <w:rsid w:val="001448B1"/>
    <w:rsid w:val="001448D7"/>
    <w:rsid w:val="00144968"/>
    <w:rsid w:val="00144D28"/>
    <w:rsid w:val="00144F99"/>
    <w:rsid w:val="001452F8"/>
    <w:rsid w:val="0014558C"/>
    <w:rsid w:val="00145826"/>
    <w:rsid w:val="00145951"/>
    <w:rsid w:val="001459A8"/>
    <w:rsid w:val="00145EDC"/>
    <w:rsid w:val="0014607A"/>
    <w:rsid w:val="0014613C"/>
    <w:rsid w:val="00146665"/>
    <w:rsid w:val="00146792"/>
    <w:rsid w:val="001468E3"/>
    <w:rsid w:val="00146927"/>
    <w:rsid w:val="00146F83"/>
    <w:rsid w:val="001474ED"/>
    <w:rsid w:val="00147C77"/>
    <w:rsid w:val="00147FB6"/>
    <w:rsid w:val="001508B6"/>
    <w:rsid w:val="00150986"/>
    <w:rsid w:val="00150C6C"/>
    <w:rsid w:val="00150C8E"/>
    <w:rsid w:val="00150DCF"/>
    <w:rsid w:val="00151359"/>
    <w:rsid w:val="001520CB"/>
    <w:rsid w:val="001522C2"/>
    <w:rsid w:val="00152B0C"/>
    <w:rsid w:val="00152B24"/>
    <w:rsid w:val="001530EF"/>
    <w:rsid w:val="001531CE"/>
    <w:rsid w:val="00153DA4"/>
    <w:rsid w:val="00154286"/>
    <w:rsid w:val="0015439B"/>
    <w:rsid w:val="00154573"/>
    <w:rsid w:val="00154CF9"/>
    <w:rsid w:val="00154FEF"/>
    <w:rsid w:val="001556A9"/>
    <w:rsid w:val="001558C7"/>
    <w:rsid w:val="00155E35"/>
    <w:rsid w:val="001570DC"/>
    <w:rsid w:val="001577CD"/>
    <w:rsid w:val="00157850"/>
    <w:rsid w:val="001579C0"/>
    <w:rsid w:val="00157B0B"/>
    <w:rsid w:val="00157C33"/>
    <w:rsid w:val="00157CA9"/>
    <w:rsid w:val="00157F99"/>
    <w:rsid w:val="001601DD"/>
    <w:rsid w:val="0016021E"/>
    <w:rsid w:val="00160269"/>
    <w:rsid w:val="00160F8D"/>
    <w:rsid w:val="00161086"/>
    <w:rsid w:val="001619AD"/>
    <w:rsid w:val="001620BA"/>
    <w:rsid w:val="001620E4"/>
    <w:rsid w:val="00162180"/>
    <w:rsid w:val="001621CF"/>
    <w:rsid w:val="0016356A"/>
    <w:rsid w:val="001635A4"/>
    <w:rsid w:val="00163E59"/>
    <w:rsid w:val="00164002"/>
    <w:rsid w:val="0016402D"/>
    <w:rsid w:val="00164159"/>
    <w:rsid w:val="0016422B"/>
    <w:rsid w:val="00164A15"/>
    <w:rsid w:val="001650DA"/>
    <w:rsid w:val="00165E63"/>
    <w:rsid w:val="00166284"/>
    <w:rsid w:val="001665E5"/>
    <w:rsid w:val="0016697C"/>
    <w:rsid w:val="00166BE3"/>
    <w:rsid w:val="00166C96"/>
    <w:rsid w:val="00166DB0"/>
    <w:rsid w:val="00166EC2"/>
    <w:rsid w:val="001672F6"/>
    <w:rsid w:val="00167A2C"/>
    <w:rsid w:val="00167B64"/>
    <w:rsid w:val="00167B97"/>
    <w:rsid w:val="00167C1B"/>
    <w:rsid w:val="00167F72"/>
    <w:rsid w:val="00170007"/>
    <w:rsid w:val="00170417"/>
    <w:rsid w:val="00170523"/>
    <w:rsid w:val="001705EF"/>
    <w:rsid w:val="0017081C"/>
    <w:rsid w:val="0017093E"/>
    <w:rsid w:val="00170941"/>
    <w:rsid w:val="00170CD5"/>
    <w:rsid w:val="00170D51"/>
    <w:rsid w:val="00170E82"/>
    <w:rsid w:val="00171119"/>
    <w:rsid w:val="001711CF"/>
    <w:rsid w:val="001719F6"/>
    <w:rsid w:val="001719FD"/>
    <w:rsid w:val="00171C4F"/>
    <w:rsid w:val="00171CCA"/>
    <w:rsid w:val="00171EB6"/>
    <w:rsid w:val="00171F57"/>
    <w:rsid w:val="00171FE8"/>
    <w:rsid w:val="001723B7"/>
    <w:rsid w:val="00172975"/>
    <w:rsid w:val="00172C7D"/>
    <w:rsid w:val="00172D12"/>
    <w:rsid w:val="00172E15"/>
    <w:rsid w:val="001736E0"/>
    <w:rsid w:val="00173B15"/>
    <w:rsid w:val="00174122"/>
    <w:rsid w:val="00174349"/>
    <w:rsid w:val="00174A16"/>
    <w:rsid w:val="00174A68"/>
    <w:rsid w:val="00174CAA"/>
    <w:rsid w:val="00174D59"/>
    <w:rsid w:val="001752CB"/>
    <w:rsid w:val="00175510"/>
    <w:rsid w:val="00175752"/>
    <w:rsid w:val="00175F6F"/>
    <w:rsid w:val="0017625A"/>
    <w:rsid w:val="00176457"/>
    <w:rsid w:val="0017671C"/>
    <w:rsid w:val="00176A0D"/>
    <w:rsid w:val="00176A5B"/>
    <w:rsid w:val="00177611"/>
    <w:rsid w:val="001776CD"/>
    <w:rsid w:val="00177B55"/>
    <w:rsid w:val="00177CBE"/>
    <w:rsid w:val="00177CE6"/>
    <w:rsid w:val="00180103"/>
    <w:rsid w:val="001802F1"/>
    <w:rsid w:val="00180350"/>
    <w:rsid w:val="0018064F"/>
    <w:rsid w:val="00180C37"/>
    <w:rsid w:val="00181341"/>
    <w:rsid w:val="0018140A"/>
    <w:rsid w:val="0018162C"/>
    <w:rsid w:val="00181E47"/>
    <w:rsid w:val="00181F20"/>
    <w:rsid w:val="0018248C"/>
    <w:rsid w:val="00182693"/>
    <w:rsid w:val="00182729"/>
    <w:rsid w:val="0018295F"/>
    <w:rsid w:val="00182D28"/>
    <w:rsid w:val="0018300B"/>
    <w:rsid w:val="00183102"/>
    <w:rsid w:val="001831CC"/>
    <w:rsid w:val="00183261"/>
    <w:rsid w:val="00183805"/>
    <w:rsid w:val="00183962"/>
    <w:rsid w:val="00183FE0"/>
    <w:rsid w:val="0018406F"/>
    <w:rsid w:val="0018408E"/>
    <w:rsid w:val="0018467A"/>
    <w:rsid w:val="001846F8"/>
    <w:rsid w:val="00184D1C"/>
    <w:rsid w:val="0018507D"/>
    <w:rsid w:val="001851F5"/>
    <w:rsid w:val="001851FC"/>
    <w:rsid w:val="001854A2"/>
    <w:rsid w:val="0018558F"/>
    <w:rsid w:val="00185A2B"/>
    <w:rsid w:val="00185EB6"/>
    <w:rsid w:val="00185ED6"/>
    <w:rsid w:val="0018606E"/>
    <w:rsid w:val="0018658D"/>
    <w:rsid w:val="00186FEA"/>
    <w:rsid w:val="001870D7"/>
    <w:rsid w:val="0018712E"/>
    <w:rsid w:val="00187221"/>
    <w:rsid w:val="00187719"/>
    <w:rsid w:val="001877F6"/>
    <w:rsid w:val="00187E7C"/>
    <w:rsid w:val="001901F9"/>
    <w:rsid w:val="001906C4"/>
    <w:rsid w:val="00190A6E"/>
    <w:rsid w:val="00190AA7"/>
    <w:rsid w:val="00190BBA"/>
    <w:rsid w:val="00191028"/>
    <w:rsid w:val="00191114"/>
    <w:rsid w:val="00191121"/>
    <w:rsid w:val="001912FE"/>
    <w:rsid w:val="0019138F"/>
    <w:rsid w:val="00191527"/>
    <w:rsid w:val="0019158F"/>
    <w:rsid w:val="001917D0"/>
    <w:rsid w:val="001919DD"/>
    <w:rsid w:val="00191F92"/>
    <w:rsid w:val="001923FC"/>
    <w:rsid w:val="0019268A"/>
    <w:rsid w:val="0019284F"/>
    <w:rsid w:val="00192B64"/>
    <w:rsid w:val="00192C70"/>
    <w:rsid w:val="00192DB4"/>
    <w:rsid w:val="00192F20"/>
    <w:rsid w:val="00193161"/>
    <w:rsid w:val="00193176"/>
    <w:rsid w:val="001932C9"/>
    <w:rsid w:val="001933B7"/>
    <w:rsid w:val="001936E9"/>
    <w:rsid w:val="00193F19"/>
    <w:rsid w:val="00194704"/>
    <w:rsid w:val="0019504A"/>
    <w:rsid w:val="001950B8"/>
    <w:rsid w:val="0019537D"/>
    <w:rsid w:val="00195E89"/>
    <w:rsid w:val="00196285"/>
    <w:rsid w:val="00196535"/>
    <w:rsid w:val="00196EBF"/>
    <w:rsid w:val="00197037"/>
    <w:rsid w:val="001973A3"/>
    <w:rsid w:val="00197CBD"/>
    <w:rsid w:val="00197CCF"/>
    <w:rsid w:val="001A01F7"/>
    <w:rsid w:val="001A0467"/>
    <w:rsid w:val="001A05BD"/>
    <w:rsid w:val="001A0B20"/>
    <w:rsid w:val="001A0CCB"/>
    <w:rsid w:val="001A0D19"/>
    <w:rsid w:val="001A0D6D"/>
    <w:rsid w:val="001A0E11"/>
    <w:rsid w:val="001A0EFA"/>
    <w:rsid w:val="001A0FFC"/>
    <w:rsid w:val="001A1200"/>
    <w:rsid w:val="001A1549"/>
    <w:rsid w:val="001A1DFA"/>
    <w:rsid w:val="001A20B4"/>
    <w:rsid w:val="001A21A9"/>
    <w:rsid w:val="001A2398"/>
    <w:rsid w:val="001A282C"/>
    <w:rsid w:val="001A3186"/>
    <w:rsid w:val="001A32AA"/>
    <w:rsid w:val="001A34EE"/>
    <w:rsid w:val="001A3763"/>
    <w:rsid w:val="001A3798"/>
    <w:rsid w:val="001A3A89"/>
    <w:rsid w:val="001A4BD7"/>
    <w:rsid w:val="001A4C8A"/>
    <w:rsid w:val="001A4E48"/>
    <w:rsid w:val="001A4F05"/>
    <w:rsid w:val="001A5537"/>
    <w:rsid w:val="001A5B46"/>
    <w:rsid w:val="001A5DE9"/>
    <w:rsid w:val="001A5EB7"/>
    <w:rsid w:val="001A6140"/>
    <w:rsid w:val="001A61B7"/>
    <w:rsid w:val="001A670E"/>
    <w:rsid w:val="001A74F5"/>
    <w:rsid w:val="001A767D"/>
    <w:rsid w:val="001A7699"/>
    <w:rsid w:val="001A78AD"/>
    <w:rsid w:val="001A7B50"/>
    <w:rsid w:val="001B0217"/>
    <w:rsid w:val="001B0506"/>
    <w:rsid w:val="001B055F"/>
    <w:rsid w:val="001B0561"/>
    <w:rsid w:val="001B05F7"/>
    <w:rsid w:val="001B07C4"/>
    <w:rsid w:val="001B0900"/>
    <w:rsid w:val="001B0926"/>
    <w:rsid w:val="001B0959"/>
    <w:rsid w:val="001B0CD1"/>
    <w:rsid w:val="001B0FCA"/>
    <w:rsid w:val="001B10EF"/>
    <w:rsid w:val="001B12F0"/>
    <w:rsid w:val="001B159F"/>
    <w:rsid w:val="001B1ACF"/>
    <w:rsid w:val="001B1F4B"/>
    <w:rsid w:val="001B23B8"/>
    <w:rsid w:val="001B2485"/>
    <w:rsid w:val="001B25F9"/>
    <w:rsid w:val="001B2B59"/>
    <w:rsid w:val="001B2FEE"/>
    <w:rsid w:val="001B3585"/>
    <w:rsid w:val="001B3FA5"/>
    <w:rsid w:val="001B418B"/>
    <w:rsid w:val="001B47C9"/>
    <w:rsid w:val="001B49DD"/>
    <w:rsid w:val="001B4D8E"/>
    <w:rsid w:val="001B4FE9"/>
    <w:rsid w:val="001B5A04"/>
    <w:rsid w:val="001B6422"/>
    <w:rsid w:val="001B6522"/>
    <w:rsid w:val="001B69ED"/>
    <w:rsid w:val="001B6CE4"/>
    <w:rsid w:val="001B6F5F"/>
    <w:rsid w:val="001B72AC"/>
    <w:rsid w:val="001B72E3"/>
    <w:rsid w:val="001B73BB"/>
    <w:rsid w:val="001B7590"/>
    <w:rsid w:val="001B7C9E"/>
    <w:rsid w:val="001B7E92"/>
    <w:rsid w:val="001C0174"/>
    <w:rsid w:val="001C030E"/>
    <w:rsid w:val="001C086D"/>
    <w:rsid w:val="001C0BAC"/>
    <w:rsid w:val="001C0BF3"/>
    <w:rsid w:val="001C0C3E"/>
    <w:rsid w:val="001C0CFE"/>
    <w:rsid w:val="001C0E07"/>
    <w:rsid w:val="001C0E0B"/>
    <w:rsid w:val="001C0F17"/>
    <w:rsid w:val="001C100E"/>
    <w:rsid w:val="001C109B"/>
    <w:rsid w:val="001C1374"/>
    <w:rsid w:val="001C14DA"/>
    <w:rsid w:val="001C15C4"/>
    <w:rsid w:val="001C1736"/>
    <w:rsid w:val="001C1882"/>
    <w:rsid w:val="001C1ADA"/>
    <w:rsid w:val="001C1CF2"/>
    <w:rsid w:val="001C21C5"/>
    <w:rsid w:val="001C26B1"/>
    <w:rsid w:val="001C29AC"/>
    <w:rsid w:val="001C2CA5"/>
    <w:rsid w:val="001C2DD5"/>
    <w:rsid w:val="001C2F0F"/>
    <w:rsid w:val="001C388E"/>
    <w:rsid w:val="001C40D8"/>
    <w:rsid w:val="001C41F5"/>
    <w:rsid w:val="001C431D"/>
    <w:rsid w:val="001C460B"/>
    <w:rsid w:val="001C46CB"/>
    <w:rsid w:val="001C5632"/>
    <w:rsid w:val="001C56D5"/>
    <w:rsid w:val="001C5712"/>
    <w:rsid w:val="001C5ADD"/>
    <w:rsid w:val="001C5AE6"/>
    <w:rsid w:val="001C5DEF"/>
    <w:rsid w:val="001C5DF0"/>
    <w:rsid w:val="001C5EDE"/>
    <w:rsid w:val="001C610B"/>
    <w:rsid w:val="001C66B8"/>
    <w:rsid w:val="001C6767"/>
    <w:rsid w:val="001C6914"/>
    <w:rsid w:val="001C6958"/>
    <w:rsid w:val="001C6CCD"/>
    <w:rsid w:val="001C7037"/>
    <w:rsid w:val="001C722B"/>
    <w:rsid w:val="001C7294"/>
    <w:rsid w:val="001C7386"/>
    <w:rsid w:val="001C75B6"/>
    <w:rsid w:val="001C783E"/>
    <w:rsid w:val="001D0278"/>
    <w:rsid w:val="001D0287"/>
    <w:rsid w:val="001D03EB"/>
    <w:rsid w:val="001D0442"/>
    <w:rsid w:val="001D0CAD"/>
    <w:rsid w:val="001D0F4B"/>
    <w:rsid w:val="001D0F60"/>
    <w:rsid w:val="001D10C6"/>
    <w:rsid w:val="001D1216"/>
    <w:rsid w:val="001D12AA"/>
    <w:rsid w:val="001D1389"/>
    <w:rsid w:val="001D143D"/>
    <w:rsid w:val="001D1457"/>
    <w:rsid w:val="001D1491"/>
    <w:rsid w:val="001D159E"/>
    <w:rsid w:val="001D1621"/>
    <w:rsid w:val="001D17FF"/>
    <w:rsid w:val="001D18BC"/>
    <w:rsid w:val="001D1941"/>
    <w:rsid w:val="001D1A3C"/>
    <w:rsid w:val="001D2184"/>
    <w:rsid w:val="001D2511"/>
    <w:rsid w:val="001D25B3"/>
    <w:rsid w:val="001D2802"/>
    <w:rsid w:val="001D29C1"/>
    <w:rsid w:val="001D2BD5"/>
    <w:rsid w:val="001D2F6C"/>
    <w:rsid w:val="001D30BE"/>
    <w:rsid w:val="001D3193"/>
    <w:rsid w:val="001D3A8B"/>
    <w:rsid w:val="001D3B20"/>
    <w:rsid w:val="001D3B9E"/>
    <w:rsid w:val="001D3C15"/>
    <w:rsid w:val="001D3D4E"/>
    <w:rsid w:val="001D3D72"/>
    <w:rsid w:val="001D40D0"/>
    <w:rsid w:val="001D40DC"/>
    <w:rsid w:val="001D419E"/>
    <w:rsid w:val="001D4441"/>
    <w:rsid w:val="001D4810"/>
    <w:rsid w:val="001D4FB3"/>
    <w:rsid w:val="001D5118"/>
    <w:rsid w:val="001D5390"/>
    <w:rsid w:val="001D5502"/>
    <w:rsid w:val="001D55B5"/>
    <w:rsid w:val="001D5774"/>
    <w:rsid w:val="001D5A12"/>
    <w:rsid w:val="001D5B48"/>
    <w:rsid w:val="001D5C92"/>
    <w:rsid w:val="001D5E8F"/>
    <w:rsid w:val="001D638C"/>
    <w:rsid w:val="001D63B7"/>
    <w:rsid w:val="001D6411"/>
    <w:rsid w:val="001D645A"/>
    <w:rsid w:val="001D685B"/>
    <w:rsid w:val="001D6989"/>
    <w:rsid w:val="001D6DC2"/>
    <w:rsid w:val="001D6EFD"/>
    <w:rsid w:val="001D70AA"/>
    <w:rsid w:val="001D72C3"/>
    <w:rsid w:val="001D79D4"/>
    <w:rsid w:val="001D7E7F"/>
    <w:rsid w:val="001E05AB"/>
    <w:rsid w:val="001E07A4"/>
    <w:rsid w:val="001E0EE2"/>
    <w:rsid w:val="001E1195"/>
    <w:rsid w:val="001E1FD9"/>
    <w:rsid w:val="001E2A4E"/>
    <w:rsid w:val="001E2C67"/>
    <w:rsid w:val="001E31E1"/>
    <w:rsid w:val="001E31E6"/>
    <w:rsid w:val="001E3471"/>
    <w:rsid w:val="001E3797"/>
    <w:rsid w:val="001E3B8F"/>
    <w:rsid w:val="001E3BA0"/>
    <w:rsid w:val="001E3CCB"/>
    <w:rsid w:val="001E3CEA"/>
    <w:rsid w:val="001E3D82"/>
    <w:rsid w:val="001E4061"/>
    <w:rsid w:val="001E4218"/>
    <w:rsid w:val="001E42BC"/>
    <w:rsid w:val="001E46E4"/>
    <w:rsid w:val="001E4D38"/>
    <w:rsid w:val="001E4EE1"/>
    <w:rsid w:val="001E50B5"/>
    <w:rsid w:val="001E556C"/>
    <w:rsid w:val="001E5691"/>
    <w:rsid w:val="001E5723"/>
    <w:rsid w:val="001E5B59"/>
    <w:rsid w:val="001E674B"/>
    <w:rsid w:val="001E6930"/>
    <w:rsid w:val="001E6B9B"/>
    <w:rsid w:val="001E6F9E"/>
    <w:rsid w:val="001E73B4"/>
    <w:rsid w:val="001E74CA"/>
    <w:rsid w:val="001E7556"/>
    <w:rsid w:val="001E764C"/>
    <w:rsid w:val="001E7A8E"/>
    <w:rsid w:val="001E7C40"/>
    <w:rsid w:val="001F0067"/>
    <w:rsid w:val="001F00DA"/>
    <w:rsid w:val="001F0142"/>
    <w:rsid w:val="001F0757"/>
    <w:rsid w:val="001F08E8"/>
    <w:rsid w:val="001F110D"/>
    <w:rsid w:val="001F147B"/>
    <w:rsid w:val="001F153C"/>
    <w:rsid w:val="001F161D"/>
    <w:rsid w:val="001F20AE"/>
    <w:rsid w:val="001F24A9"/>
    <w:rsid w:val="001F2608"/>
    <w:rsid w:val="001F2673"/>
    <w:rsid w:val="001F2CB8"/>
    <w:rsid w:val="001F3039"/>
    <w:rsid w:val="001F3915"/>
    <w:rsid w:val="001F39A9"/>
    <w:rsid w:val="001F39E3"/>
    <w:rsid w:val="001F3B12"/>
    <w:rsid w:val="001F3B1F"/>
    <w:rsid w:val="001F413E"/>
    <w:rsid w:val="001F4469"/>
    <w:rsid w:val="001F4C13"/>
    <w:rsid w:val="001F4C20"/>
    <w:rsid w:val="001F50A4"/>
    <w:rsid w:val="001F53E0"/>
    <w:rsid w:val="001F5B68"/>
    <w:rsid w:val="001F5BDF"/>
    <w:rsid w:val="001F5CB5"/>
    <w:rsid w:val="001F6821"/>
    <w:rsid w:val="001F7089"/>
    <w:rsid w:val="001F718D"/>
    <w:rsid w:val="001F71C3"/>
    <w:rsid w:val="001F7310"/>
    <w:rsid w:val="001F735D"/>
    <w:rsid w:val="001F7467"/>
    <w:rsid w:val="001F7A16"/>
    <w:rsid w:val="001F7BE1"/>
    <w:rsid w:val="00200161"/>
    <w:rsid w:val="00200665"/>
    <w:rsid w:val="00200DA9"/>
    <w:rsid w:val="002010A3"/>
    <w:rsid w:val="0020199F"/>
    <w:rsid w:val="00201B6A"/>
    <w:rsid w:val="00201E66"/>
    <w:rsid w:val="002020B9"/>
    <w:rsid w:val="0020213D"/>
    <w:rsid w:val="00202155"/>
    <w:rsid w:val="00202227"/>
    <w:rsid w:val="002025C4"/>
    <w:rsid w:val="0020294F"/>
    <w:rsid w:val="002030BD"/>
    <w:rsid w:val="00203110"/>
    <w:rsid w:val="00203193"/>
    <w:rsid w:val="002037C3"/>
    <w:rsid w:val="00203C37"/>
    <w:rsid w:val="00203DC6"/>
    <w:rsid w:val="00203F44"/>
    <w:rsid w:val="0020414D"/>
    <w:rsid w:val="0020416B"/>
    <w:rsid w:val="00204686"/>
    <w:rsid w:val="00204ACC"/>
    <w:rsid w:val="00204F57"/>
    <w:rsid w:val="002050C9"/>
    <w:rsid w:val="002050FF"/>
    <w:rsid w:val="00205154"/>
    <w:rsid w:val="002051E9"/>
    <w:rsid w:val="0020535A"/>
    <w:rsid w:val="0020536D"/>
    <w:rsid w:val="00205743"/>
    <w:rsid w:val="00205A15"/>
    <w:rsid w:val="00205AE3"/>
    <w:rsid w:val="00205C40"/>
    <w:rsid w:val="00205CAE"/>
    <w:rsid w:val="00205F85"/>
    <w:rsid w:val="0020622A"/>
    <w:rsid w:val="00206328"/>
    <w:rsid w:val="00206BCC"/>
    <w:rsid w:val="00206BF3"/>
    <w:rsid w:val="00206CAC"/>
    <w:rsid w:val="00206EDC"/>
    <w:rsid w:val="00207040"/>
    <w:rsid w:val="002070F8"/>
    <w:rsid w:val="00207481"/>
    <w:rsid w:val="0020778C"/>
    <w:rsid w:val="0021049D"/>
    <w:rsid w:val="00210558"/>
    <w:rsid w:val="0021059C"/>
    <w:rsid w:val="002109D2"/>
    <w:rsid w:val="00210DC7"/>
    <w:rsid w:val="00211383"/>
    <w:rsid w:val="002114AA"/>
    <w:rsid w:val="00211A2C"/>
    <w:rsid w:val="00211E46"/>
    <w:rsid w:val="00211E9D"/>
    <w:rsid w:val="00211FA8"/>
    <w:rsid w:val="0021237F"/>
    <w:rsid w:val="00212829"/>
    <w:rsid w:val="00212904"/>
    <w:rsid w:val="00212917"/>
    <w:rsid w:val="00212D7B"/>
    <w:rsid w:val="00212E86"/>
    <w:rsid w:val="00212F99"/>
    <w:rsid w:val="00213107"/>
    <w:rsid w:val="00213407"/>
    <w:rsid w:val="00213B88"/>
    <w:rsid w:val="00213E31"/>
    <w:rsid w:val="00214065"/>
    <w:rsid w:val="002141FE"/>
    <w:rsid w:val="0021422B"/>
    <w:rsid w:val="002143D9"/>
    <w:rsid w:val="002147E4"/>
    <w:rsid w:val="00214E9E"/>
    <w:rsid w:val="0021551C"/>
    <w:rsid w:val="00215532"/>
    <w:rsid w:val="00215C7E"/>
    <w:rsid w:val="00215D3E"/>
    <w:rsid w:val="00215D5D"/>
    <w:rsid w:val="00215F1A"/>
    <w:rsid w:val="00215F80"/>
    <w:rsid w:val="00216361"/>
    <w:rsid w:val="002163C2"/>
    <w:rsid w:val="002163E0"/>
    <w:rsid w:val="002165B2"/>
    <w:rsid w:val="0021663F"/>
    <w:rsid w:val="002167E5"/>
    <w:rsid w:val="00216DBF"/>
    <w:rsid w:val="0021734C"/>
    <w:rsid w:val="00217373"/>
    <w:rsid w:val="002173C2"/>
    <w:rsid w:val="002173E1"/>
    <w:rsid w:val="002176F9"/>
    <w:rsid w:val="0021770B"/>
    <w:rsid w:val="002177B9"/>
    <w:rsid w:val="0021788A"/>
    <w:rsid w:val="00217DAF"/>
    <w:rsid w:val="002200FF"/>
    <w:rsid w:val="002208D5"/>
    <w:rsid w:val="00220B94"/>
    <w:rsid w:val="00220BBC"/>
    <w:rsid w:val="002213D2"/>
    <w:rsid w:val="0022151F"/>
    <w:rsid w:val="00221656"/>
    <w:rsid w:val="00221795"/>
    <w:rsid w:val="00221E00"/>
    <w:rsid w:val="0022203E"/>
    <w:rsid w:val="00222472"/>
    <w:rsid w:val="0022280D"/>
    <w:rsid w:val="0022283F"/>
    <w:rsid w:val="0022335C"/>
    <w:rsid w:val="002237F4"/>
    <w:rsid w:val="0022385B"/>
    <w:rsid w:val="00224196"/>
    <w:rsid w:val="002241C6"/>
    <w:rsid w:val="002243A2"/>
    <w:rsid w:val="00224BC5"/>
    <w:rsid w:val="00224C0A"/>
    <w:rsid w:val="00224EB5"/>
    <w:rsid w:val="00225183"/>
    <w:rsid w:val="00225663"/>
    <w:rsid w:val="00225CC9"/>
    <w:rsid w:val="0022637C"/>
    <w:rsid w:val="002263FC"/>
    <w:rsid w:val="002268AE"/>
    <w:rsid w:val="002279AF"/>
    <w:rsid w:val="00227AD8"/>
    <w:rsid w:val="00227CC2"/>
    <w:rsid w:val="00227D57"/>
    <w:rsid w:val="00227D6A"/>
    <w:rsid w:val="0023004D"/>
    <w:rsid w:val="00230358"/>
    <w:rsid w:val="0023083A"/>
    <w:rsid w:val="00230B8F"/>
    <w:rsid w:val="00230C60"/>
    <w:rsid w:val="00230D3A"/>
    <w:rsid w:val="00230E1C"/>
    <w:rsid w:val="002310B5"/>
    <w:rsid w:val="002310BF"/>
    <w:rsid w:val="0023196E"/>
    <w:rsid w:val="00231B38"/>
    <w:rsid w:val="0023202A"/>
    <w:rsid w:val="00232910"/>
    <w:rsid w:val="0023294F"/>
    <w:rsid w:val="00232F66"/>
    <w:rsid w:val="00233112"/>
    <w:rsid w:val="00233248"/>
    <w:rsid w:val="0023360C"/>
    <w:rsid w:val="0023373A"/>
    <w:rsid w:val="0023375E"/>
    <w:rsid w:val="0023387E"/>
    <w:rsid w:val="002342DA"/>
    <w:rsid w:val="0023492D"/>
    <w:rsid w:val="002349E5"/>
    <w:rsid w:val="00234AA5"/>
    <w:rsid w:val="00234B36"/>
    <w:rsid w:val="00234B4C"/>
    <w:rsid w:val="0023508E"/>
    <w:rsid w:val="0023532A"/>
    <w:rsid w:val="00235422"/>
    <w:rsid w:val="00235699"/>
    <w:rsid w:val="002362A4"/>
    <w:rsid w:val="002362DE"/>
    <w:rsid w:val="00236340"/>
    <w:rsid w:val="002368EC"/>
    <w:rsid w:val="00236B11"/>
    <w:rsid w:val="00237209"/>
    <w:rsid w:val="00237C34"/>
    <w:rsid w:val="0024024A"/>
    <w:rsid w:val="002404D1"/>
    <w:rsid w:val="002404DE"/>
    <w:rsid w:val="0024098C"/>
    <w:rsid w:val="0024105B"/>
    <w:rsid w:val="002411E0"/>
    <w:rsid w:val="002416E3"/>
    <w:rsid w:val="00241853"/>
    <w:rsid w:val="002420FD"/>
    <w:rsid w:val="00242245"/>
    <w:rsid w:val="00242289"/>
    <w:rsid w:val="0024236D"/>
    <w:rsid w:val="00242962"/>
    <w:rsid w:val="00242A3D"/>
    <w:rsid w:val="00242A78"/>
    <w:rsid w:val="00243BF1"/>
    <w:rsid w:val="00243C2D"/>
    <w:rsid w:val="00243E45"/>
    <w:rsid w:val="002444DF"/>
    <w:rsid w:val="00244676"/>
    <w:rsid w:val="00244C8D"/>
    <w:rsid w:val="00244D4B"/>
    <w:rsid w:val="00245476"/>
    <w:rsid w:val="00245516"/>
    <w:rsid w:val="00245A96"/>
    <w:rsid w:val="00245F52"/>
    <w:rsid w:val="002460B0"/>
    <w:rsid w:val="00246D2F"/>
    <w:rsid w:val="00246EAC"/>
    <w:rsid w:val="00247039"/>
    <w:rsid w:val="00247439"/>
    <w:rsid w:val="0024765E"/>
    <w:rsid w:val="0024770F"/>
    <w:rsid w:val="002479AD"/>
    <w:rsid w:val="00247C87"/>
    <w:rsid w:val="00250029"/>
    <w:rsid w:val="00250108"/>
    <w:rsid w:val="002503C8"/>
    <w:rsid w:val="00250441"/>
    <w:rsid w:val="00250F3E"/>
    <w:rsid w:val="00250FCF"/>
    <w:rsid w:val="002510BA"/>
    <w:rsid w:val="0025158C"/>
    <w:rsid w:val="00251E81"/>
    <w:rsid w:val="00251F43"/>
    <w:rsid w:val="00252239"/>
    <w:rsid w:val="002522B0"/>
    <w:rsid w:val="002523BB"/>
    <w:rsid w:val="00252ACF"/>
    <w:rsid w:val="00253075"/>
    <w:rsid w:val="0025308A"/>
    <w:rsid w:val="00253252"/>
    <w:rsid w:val="002533C5"/>
    <w:rsid w:val="00253925"/>
    <w:rsid w:val="00253A5C"/>
    <w:rsid w:val="00253DC8"/>
    <w:rsid w:val="002541ED"/>
    <w:rsid w:val="0025434D"/>
    <w:rsid w:val="0025435D"/>
    <w:rsid w:val="002543BA"/>
    <w:rsid w:val="0025466C"/>
    <w:rsid w:val="00254937"/>
    <w:rsid w:val="00254D63"/>
    <w:rsid w:val="00254DFE"/>
    <w:rsid w:val="002550CE"/>
    <w:rsid w:val="00255319"/>
    <w:rsid w:val="00255794"/>
    <w:rsid w:val="00255C41"/>
    <w:rsid w:val="00255C47"/>
    <w:rsid w:val="002560B8"/>
    <w:rsid w:val="002564B6"/>
    <w:rsid w:val="00256710"/>
    <w:rsid w:val="00256928"/>
    <w:rsid w:val="00256AF2"/>
    <w:rsid w:val="00256E67"/>
    <w:rsid w:val="00257871"/>
    <w:rsid w:val="0025795A"/>
    <w:rsid w:val="00257B0C"/>
    <w:rsid w:val="00257CC6"/>
    <w:rsid w:val="002602ED"/>
    <w:rsid w:val="002603C5"/>
    <w:rsid w:val="002603CC"/>
    <w:rsid w:val="00260F65"/>
    <w:rsid w:val="00261522"/>
    <w:rsid w:val="00261B9E"/>
    <w:rsid w:val="00261CE2"/>
    <w:rsid w:val="00262264"/>
    <w:rsid w:val="002622E5"/>
    <w:rsid w:val="00262330"/>
    <w:rsid w:val="0026237F"/>
    <w:rsid w:val="0026274F"/>
    <w:rsid w:val="00262753"/>
    <w:rsid w:val="00262791"/>
    <w:rsid w:val="00262B6C"/>
    <w:rsid w:val="00262BD9"/>
    <w:rsid w:val="00262F56"/>
    <w:rsid w:val="00262FDC"/>
    <w:rsid w:val="002630C0"/>
    <w:rsid w:val="0026344A"/>
    <w:rsid w:val="0026371A"/>
    <w:rsid w:val="0026399D"/>
    <w:rsid w:val="00263C96"/>
    <w:rsid w:val="00264A9E"/>
    <w:rsid w:val="00264CF2"/>
    <w:rsid w:val="00264CFD"/>
    <w:rsid w:val="00264E65"/>
    <w:rsid w:val="00264E8E"/>
    <w:rsid w:val="00265368"/>
    <w:rsid w:val="00265605"/>
    <w:rsid w:val="0026567D"/>
    <w:rsid w:val="00265983"/>
    <w:rsid w:val="00265E21"/>
    <w:rsid w:val="00265F09"/>
    <w:rsid w:val="0026604A"/>
    <w:rsid w:val="00266405"/>
    <w:rsid w:val="002670B9"/>
    <w:rsid w:val="002670FA"/>
    <w:rsid w:val="002675B2"/>
    <w:rsid w:val="002678C0"/>
    <w:rsid w:val="00267CE6"/>
    <w:rsid w:val="00270214"/>
    <w:rsid w:val="002702C1"/>
    <w:rsid w:val="002703FD"/>
    <w:rsid w:val="00270A45"/>
    <w:rsid w:val="00270C23"/>
    <w:rsid w:val="00270E20"/>
    <w:rsid w:val="00270F5B"/>
    <w:rsid w:val="00271478"/>
    <w:rsid w:val="00271797"/>
    <w:rsid w:val="002717CE"/>
    <w:rsid w:val="00271DD3"/>
    <w:rsid w:val="0027217F"/>
    <w:rsid w:val="00272BEA"/>
    <w:rsid w:val="00272D17"/>
    <w:rsid w:val="002732D1"/>
    <w:rsid w:val="0027337C"/>
    <w:rsid w:val="002733C6"/>
    <w:rsid w:val="002735A4"/>
    <w:rsid w:val="002739D5"/>
    <w:rsid w:val="00273B91"/>
    <w:rsid w:val="00274FC7"/>
    <w:rsid w:val="00275353"/>
    <w:rsid w:val="00275B55"/>
    <w:rsid w:val="00275D6F"/>
    <w:rsid w:val="00275EF3"/>
    <w:rsid w:val="00275F18"/>
    <w:rsid w:val="00275F65"/>
    <w:rsid w:val="0027618F"/>
    <w:rsid w:val="00276360"/>
    <w:rsid w:val="0027658A"/>
    <w:rsid w:val="0027696D"/>
    <w:rsid w:val="00276A9C"/>
    <w:rsid w:val="00276F6C"/>
    <w:rsid w:val="0027756F"/>
    <w:rsid w:val="00277772"/>
    <w:rsid w:val="00277774"/>
    <w:rsid w:val="00277857"/>
    <w:rsid w:val="002779B6"/>
    <w:rsid w:val="0028011A"/>
    <w:rsid w:val="002802AA"/>
    <w:rsid w:val="0028035B"/>
    <w:rsid w:val="002808B9"/>
    <w:rsid w:val="00280A05"/>
    <w:rsid w:val="00280FDB"/>
    <w:rsid w:val="00281945"/>
    <w:rsid w:val="00281C27"/>
    <w:rsid w:val="00281CB9"/>
    <w:rsid w:val="00281DAE"/>
    <w:rsid w:val="00281E7D"/>
    <w:rsid w:val="00282183"/>
    <w:rsid w:val="002821A7"/>
    <w:rsid w:val="002821CE"/>
    <w:rsid w:val="00282468"/>
    <w:rsid w:val="00282623"/>
    <w:rsid w:val="00282677"/>
    <w:rsid w:val="002827BA"/>
    <w:rsid w:val="002827EE"/>
    <w:rsid w:val="00282B78"/>
    <w:rsid w:val="00283236"/>
    <w:rsid w:val="00283C1D"/>
    <w:rsid w:val="00284043"/>
    <w:rsid w:val="00284109"/>
    <w:rsid w:val="00284391"/>
    <w:rsid w:val="002845A5"/>
    <w:rsid w:val="00284984"/>
    <w:rsid w:val="002849CE"/>
    <w:rsid w:val="00284F20"/>
    <w:rsid w:val="00285287"/>
    <w:rsid w:val="00285344"/>
    <w:rsid w:val="002860BD"/>
    <w:rsid w:val="00286AA4"/>
    <w:rsid w:val="00286AE0"/>
    <w:rsid w:val="00286B4C"/>
    <w:rsid w:val="00286E24"/>
    <w:rsid w:val="00286F6A"/>
    <w:rsid w:val="00286FE4"/>
    <w:rsid w:val="0028719D"/>
    <w:rsid w:val="002872C0"/>
    <w:rsid w:val="0028742A"/>
    <w:rsid w:val="0028763F"/>
    <w:rsid w:val="00287B5D"/>
    <w:rsid w:val="0029007D"/>
    <w:rsid w:val="002903C8"/>
    <w:rsid w:val="002904E4"/>
    <w:rsid w:val="00290819"/>
    <w:rsid w:val="00290A02"/>
    <w:rsid w:val="00290D45"/>
    <w:rsid w:val="00290F7C"/>
    <w:rsid w:val="00291290"/>
    <w:rsid w:val="002912D2"/>
    <w:rsid w:val="00291785"/>
    <w:rsid w:val="002917BF"/>
    <w:rsid w:val="00291875"/>
    <w:rsid w:val="0029199A"/>
    <w:rsid w:val="00291A78"/>
    <w:rsid w:val="00291E4E"/>
    <w:rsid w:val="00292236"/>
    <w:rsid w:val="00292242"/>
    <w:rsid w:val="002923C7"/>
    <w:rsid w:val="0029265B"/>
    <w:rsid w:val="0029265D"/>
    <w:rsid w:val="00292867"/>
    <w:rsid w:val="00292D37"/>
    <w:rsid w:val="00292D7B"/>
    <w:rsid w:val="002934FE"/>
    <w:rsid w:val="00293654"/>
    <w:rsid w:val="002936B5"/>
    <w:rsid w:val="00293AAD"/>
    <w:rsid w:val="00293B9B"/>
    <w:rsid w:val="00293E5F"/>
    <w:rsid w:val="00293EA3"/>
    <w:rsid w:val="00293EB2"/>
    <w:rsid w:val="00293FC6"/>
    <w:rsid w:val="00294245"/>
    <w:rsid w:val="00294274"/>
    <w:rsid w:val="0029489B"/>
    <w:rsid w:val="00294B0E"/>
    <w:rsid w:val="00294FA4"/>
    <w:rsid w:val="00295504"/>
    <w:rsid w:val="0029555C"/>
    <w:rsid w:val="00295638"/>
    <w:rsid w:val="00296028"/>
    <w:rsid w:val="002963BF"/>
    <w:rsid w:val="002972F4"/>
    <w:rsid w:val="002976DE"/>
    <w:rsid w:val="002979AE"/>
    <w:rsid w:val="00297B23"/>
    <w:rsid w:val="00297C09"/>
    <w:rsid w:val="002A01ED"/>
    <w:rsid w:val="002A0869"/>
    <w:rsid w:val="002A09C0"/>
    <w:rsid w:val="002A0DE7"/>
    <w:rsid w:val="002A0F34"/>
    <w:rsid w:val="002A19B0"/>
    <w:rsid w:val="002A22AD"/>
    <w:rsid w:val="002A22CB"/>
    <w:rsid w:val="002A2F8A"/>
    <w:rsid w:val="002A33D4"/>
    <w:rsid w:val="002A344C"/>
    <w:rsid w:val="002A3722"/>
    <w:rsid w:val="002A3828"/>
    <w:rsid w:val="002A38F3"/>
    <w:rsid w:val="002A3AE8"/>
    <w:rsid w:val="002A3E3E"/>
    <w:rsid w:val="002A40DB"/>
    <w:rsid w:val="002A42F2"/>
    <w:rsid w:val="002A4543"/>
    <w:rsid w:val="002A498E"/>
    <w:rsid w:val="002A4B57"/>
    <w:rsid w:val="002A5D1D"/>
    <w:rsid w:val="002A61F1"/>
    <w:rsid w:val="002A6858"/>
    <w:rsid w:val="002A6C02"/>
    <w:rsid w:val="002A6CB7"/>
    <w:rsid w:val="002A726B"/>
    <w:rsid w:val="002A7430"/>
    <w:rsid w:val="002A78B7"/>
    <w:rsid w:val="002A7C49"/>
    <w:rsid w:val="002A7C72"/>
    <w:rsid w:val="002A7DED"/>
    <w:rsid w:val="002A7E2B"/>
    <w:rsid w:val="002B0946"/>
    <w:rsid w:val="002B0A98"/>
    <w:rsid w:val="002B0EA4"/>
    <w:rsid w:val="002B1349"/>
    <w:rsid w:val="002B13E1"/>
    <w:rsid w:val="002B155A"/>
    <w:rsid w:val="002B1D26"/>
    <w:rsid w:val="002B1E33"/>
    <w:rsid w:val="002B1FEC"/>
    <w:rsid w:val="002B236E"/>
    <w:rsid w:val="002B2510"/>
    <w:rsid w:val="002B2786"/>
    <w:rsid w:val="002B2B2B"/>
    <w:rsid w:val="002B2CFF"/>
    <w:rsid w:val="002B2EF8"/>
    <w:rsid w:val="002B2FE7"/>
    <w:rsid w:val="002B3101"/>
    <w:rsid w:val="002B3340"/>
    <w:rsid w:val="002B336A"/>
    <w:rsid w:val="002B36D2"/>
    <w:rsid w:val="002B3795"/>
    <w:rsid w:val="002B389B"/>
    <w:rsid w:val="002B3A47"/>
    <w:rsid w:val="002B3F74"/>
    <w:rsid w:val="002B4394"/>
    <w:rsid w:val="002B441D"/>
    <w:rsid w:val="002B4937"/>
    <w:rsid w:val="002B49B5"/>
    <w:rsid w:val="002B5092"/>
    <w:rsid w:val="002B515F"/>
    <w:rsid w:val="002B520B"/>
    <w:rsid w:val="002B52BC"/>
    <w:rsid w:val="002B53FF"/>
    <w:rsid w:val="002B54D2"/>
    <w:rsid w:val="002B6430"/>
    <w:rsid w:val="002B6756"/>
    <w:rsid w:val="002B6849"/>
    <w:rsid w:val="002B6D8E"/>
    <w:rsid w:val="002B6F12"/>
    <w:rsid w:val="002B71C6"/>
    <w:rsid w:val="002B7471"/>
    <w:rsid w:val="002B767D"/>
    <w:rsid w:val="002B77C8"/>
    <w:rsid w:val="002B7DF5"/>
    <w:rsid w:val="002B7FCA"/>
    <w:rsid w:val="002C02A4"/>
    <w:rsid w:val="002C08E3"/>
    <w:rsid w:val="002C09A5"/>
    <w:rsid w:val="002C103D"/>
    <w:rsid w:val="002C16E4"/>
    <w:rsid w:val="002C1820"/>
    <w:rsid w:val="002C2065"/>
    <w:rsid w:val="002C20D9"/>
    <w:rsid w:val="002C22CB"/>
    <w:rsid w:val="002C283A"/>
    <w:rsid w:val="002C2932"/>
    <w:rsid w:val="002C2CAE"/>
    <w:rsid w:val="002C396C"/>
    <w:rsid w:val="002C3C62"/>
    <w:rsid w:val="002C433D"/>
    <w:rsid w:val="002C463B"/>
    <w:rsid w:val="002C476B"/>
    <w:rsid w:val="002C49B1"/>
    <w:rsid w:val="002C4CA0"/>
    <w:rsid w:val="002C4F2B"/>
    <w:rsid w:val="002C53E0"/>
    <w:rsid w:val="002C58D9"/>
    <w:rsid w:val="002C5A16"/>
    <w:rsid w:val="002C5A98"/>
    <w:rsid w:val="002C5F13"/>
    <w:rsid w:val="002C5F4C"/>
    <w:rsid w:val="002C67EC"/>
    <w:rsid w:val="002C68A1"/>
    <w:rsid w:val="002C6916"/>
    <w:rsid w:val="002C6BE4"/>
    <w:rsid w:val="002C6CAA"/>
    <w:rsid w:val="002C6FE7"/>
    <w:rsid w:val="002C721F"/>
    <w:rsid w:val="002C72E9"/>
    <w:rsid w:val="002C762F"/>
    <w:rsid w:val="002C7F72"/>
    <w:rsid w:val="002D002B"/>
    <w:rsid w:val="002D04FB"/>
    <w:rsid w:val="002D0820"/>
    <w:rsid w:val="002D0948"/>
    <w:rsid w:val="002D09B3"/>
    <w:rsid w:val="002D0ABB"/>
    <w:rsid w:val="002D0B32"/>
    <w:rsid w:val="002D0DB7"/>
    <w:rsid w:val="002D0F7B"/>
    <w:rsid w:val="002D114D"/>
    <w:rsid w:val="002D1199"/>
    <w:rsid w:val="002D121E"/>
    <w:rsid w:val="002D126A"/>
    <w:rsid w:val="002D1485"/>
    <w:rsid w:val="002D15AF"/>
    <w:rsid w:val="002D16BC"/>
    <w:rsid w:val="002D173B"/>
    <w:rsid w:val="002D1AB9"/>
    <w:rsid w:val="002D1E42"/>
    <w:rsid w:val="002D225B"/>
    <w:rsid w:val="002D2297"/>
    <w:rsid w:val="002D31D3"/>
    <w:rsid w:val="002D3467"/>
    <w:rsid w:val="002D349F"/>
    <w:rsid w:val="002D3BD4"/>
    <w:rsid w:val="002D3D68"/>
    <w:rsid w:val="002D3DB1"/>
    <w:rsid w:val="002D3DCF"/>
    <w:rsid w:val="002D3EE8"/>
    <w:rsid w:val="002D4525"/>
    <w:rsid w:val="002D4974"/>
    <w:rsid w:val="002D4E1B"/>
    <w:rsid w:val="002D50B6"/>
    <w:rsid w:val="002D52D6"/>
    <w:rsid w:val="002D54F2"/>
    <w:rsid w:val="002D5770"/>
    <w:rsid w:val="002D5EDD"/>
    <w:rsid w:val="002D60C0"/>
    <w:rsid w:val="002D628E"/>
    <w:rsid w:val="002D6393"/>
    <w:rsid w:val="002D670B"/>
    <w:rsid w:val="002D673A"/>
    <w:rsid w:val="002D67CF"/>
    <w:rsid w:val="002D6B1E"/>
    <w:rsid w:val="002D6D98"/>
    <w:rsid w:val="002D6F55"/>
    <w:rsid w:val="002D748D"/>
    <w:rsid w:val="002D79C3"/>
    <w:rsid w:val="002D7D65"/>
    <w:rsid w:val="002D7EC3"/>
    <w:rsid w:val="002E04E4"/>
    <w:rsid w:val="002E08ED"/>
    <w:rsid w:val="002E0D2E"/>
    <w:rsid w:val="002E0F59"/>
    <w:rsid w:val="002E110B"/>
    <w:rsid w:val="002E1276"/>
    <w:rsid w:val="002E18C5"/>
    <w:rsid w:val="002E1B9D"/>
    <w:rsid w:val="002E1C1A"/>
    <w:rsid w:val="002E2484"/>
    <w:rsid w:val="002E2560"/>
    <w:rsid w:val="002E2AF1"/>
    <w:rsid w:val="002E2DC6"/>
    <w:rsid w:val="002E2FAA"/>
    <w:rsid w:val="002E30D3"/>
    <w:rsid w:val="002E3A32"/>
    <w:rsid w:val="002E3E42"/>
    <w:rsid w:val="002E418B"/>
    <w:rsid w:val="002E4AE9"/>
    <w:rsid w:val="002E4CB9"/>
    <w:rsid w:val="002E4FD3"/>
    <w:rsid w:val="002E50C2"/>
    <w:rsid w:val="002E5371"/>
    <w:rsid w:val="002E54F3"/>
    <w:rsid w:val="002E5615"/>
    <w:rsid w:val="002E565C"/>
    <w:rsid w:val="002E6681"/>
    <w:rsid w:val="002E6E59"/>
    <w:rsid w:val="002E714E"/>
    <w:rsid w:val="002E7433"/>
    <w:rsid w:val="002E7765"/>
    <w:rsid w:val="002E77A0"/>
    <w:rsid w:val="002E7B87"/>
    <w:rsid w:val="002E7C63"/>
    <w:rsid w:val="002F0074"/>
    <w:rsid w:val="002F02CE"/>
    <w:rsid w:val="002F03B9"/>
    <w:rsid w:val="002F056B"/>
    <w:rsid w:val="002F0665"/>
    <w:rsid w:val="002F0957"/>
    <w:rsid w:val="002F0C58"/>
    <w:rsid w:val="002F0D62"/>
    <w:rsid w:val="002F0F0B"/>
    <w:rsid w:val="002F0F48"/>
    <w:rsid w:val="002F0F4D"/>
    <w:rsid w:val="002F155D"/>
    <w:rsid w:val="002F188E"/>
    <w:rsid w:val="002F1F69"/>
    <w:rsid w:val="002F2004"/>
    <w:rsid w:val="002F25DF"/>
    <w:rsid w:val="002F2751"/>
    <w:rsid w:val="002F27AC"/>
    <w:rsid w:val="002F2B65"/>
    <w:rsid w:val="002F3046"/>
    <w:rsid w:val="002F3987"/>
    <w:rsid w:val="002F3B70"/>
    <w:rsid w:val="002F3DFF"/>
    <w:rsid w:val="002F3E44"/>
    <w:rsid w:val="002F412B"/>
    <w:rsid w:val="002F453B"/>
    <w:rsid w:val="002F4776"/>
    <w:rsid w:val="002F48A4"/>
    <w:rsid w:val="002F49C3"/>
    <w:rsid w:val="002F4AF2"/>
    <w:rsid w:val="002F4C4A"/>
    <w:rsid w:val="002F4E0F"/>
    <w:rsid w:val="002F5090"/>
    <w:rsid w:val="002F520B"/>
    <w:rsid w:val="002F5470"/>
    <w:rsid w:val="002F5565"/>
    <w:rsid w:val="002F5D80"/>
    <w:rsid w:val="002F63D0"/>
    <w:rsid w:val="002F6B26"/>
    <w:rsid w:val="002F73DC"/>
    <w:rsid w:val="002F7474"/>
    <w:rsid w:val="002F7589"/>
    <w:rsid w:val="002F75CB"/>
    <w:rsid w:val="002F7732"/>
    <w:rsid w:val="002F7786"/>
    <w:rsid w:val="002F7882"/>
    <w:rsid w:val="002F7DD7"/>
    <w:rsid w:val="002F7FE3"/>
    <w:rsid w:val="003000C7"/>
    <w:rsid w:val="0030016D"/>
    <w:rsid w:val="0030023A"/>
    <w:rsid w:val="003004A8"/>
    <w:rsid w:val="00300912"/>
    <w:rsid w:val="00300F42"/>
    <w:rsid w:val="003014E4"/>
    <w:rsid w:val="00301A7A"/>
    <w:rsid w:val="00301C53"/>
    <w:rsid w:val="00301C6A"/>
    <w:rsid w:val="00301C7F"/>
    <w:rsid w:val="00301CEB"/>
    <w:rsid w:val="00302405"/>
    <w:rsid w:val="0030282D"/>
    <w:rsid w:val="00302CE7"/>
    <w:rsid w:val="00302DCD"/>
    <w:rsid w:val="00302E45"/>
    <w:rsid w:val="00303032"/>
    <w:rsid w:val="00303962"/>
    <w:rsid w:val="00303C83"/>
    <w:rsid w:val="00304032"/>
    <w:rsid w:val="00304763"/>
    <w:rsid w:val="00304775"/>
    <w:rsid w:val="00304EA1"/>
    <w:rsid w:val="00305203"/>
    <w:rsid w:val="0030531E"/>
    <w:rsid w:val="00305C9E"/>
    <w:rsid w:val="00306203"/>
    <w:rsid w:val="00306777"/>
    <w:rsid w:val="00306809"/>
    <w:rsid w:val="00306959"/>
    <w:rsid w:val="00306A56"/>
    <w:rsid w:val="00306B39"/>
    <w:rsid w:val="00306D1B"/>
    <w:rsid w:val="00306E2E"/>
    <w:rsid w:val="0030749D"/>
    <w:rsid w:val="00307C6A"/>
    <w:rsid w:val="00310175"/>
    <w:rsid w:val="003101DA"/>
    <w:rsid w:val="00310A60"/>
    <w:rsid w:val="003112AC"/>
    <w:rsid w:val="003114C7"/>
    <w:rsid w:val="00311574"/>
    <w:rsid w:val="00311582"/>
    <w:rsid w:val="0031165E"/>
    <w:rsid w:val="003119E6"/>
    <w:rsid w:val="003119EF"/>
    <w:rsid w:val="00311F83"/>
    <w:rsid w:val="003123C0"/>
    <w:rsid w:val="003126DD"/>
    <w:rsid w:val="00312FD9"/>
    <w:rsid w:val="00313327"/>
    <w:rsid w:val="00313699"/>
    <w:rsid w:val="00313ACF"/>
    <w:rsid w:val="0031460D"/>
    <w:rsid w:val="00314861"/>
    <w:rsid w:val="00314954"/>
    <w:rsid w:val="00314AEB"/>
    <w:rsid w:val="00314B5A"/>
    <w:rsid w:val="00314B5D"/>
    <w:rsid w:val="00314CF3"/>
    <w:rsid w:val="00314D29"/>
    <w:rsid w:val="00314DCB"/>
    <w:rsid w:val="00314EDE"/>
    <w:rsid w:val="0031514F"/>
    <w:rsid w:val="003151D6"/>
    <w:rsid w:val="0031528A"/>
    <w:rsid w:val="003153AC"/>
    <w:rsid w:val="003153DD"/>
    <w:rsid w:val="00315407"/>
    <w:rsid w:val="00315B48"/>
    <w:rsid w:val="003161D7"/>
    <w:rsid w:val="00316286"/>
    <w:rsid w:val="00316291"/>
    <w:rsid w:val="0031655E"/>
    <w:rsid w:val="0031672A"/>
    <w:rsid w:val="0031684B"/>
    <w:rsid w:val="00316B69"/>
    <w:rsid w:val="00316CDC"/>
    <w:rsid w:val="00316F2B"/>
    <w:rsid w:val="003171C8"/>
    <w:rsid w:val="003171E7"/>
    <w:rsid w:val="00317C1A"/>
    <w:rsid w:val="00317C6B"/>
    <w:rsid w:val="00317F2D"/>
    <w:rsid w:val="00320277"/>
    <w:rsid w:val="00320819"/>
    <w:rsid w:val="00320B47"/>
    <w:rsid w:val="00320DC3"/>
    <w:rsid w:val="00320FE7"/>
    <w:rsid w:val="003211DD"/>
    <w:rsid w:val="003214C4"/>
    <w:rsid w:val="00321602"/>
    <w:rsid w:val="00321690"/>
    <w:rsid w:val="00321BE2"/>
    <w:rsid w:val="00321DA4"/>
    <w:rsid w:val="003228BA"/>
    <w:rsid w:val="0032305B"/>
    <w:rsid w:val="003234C7"/>
    <w:rsid w:val="003240E7"/>
    <w:rsid w:val="00324268"/>
    <w:rsid w:val="003245A5"/>
    <w:rsid w:val="003246D5"/>
    <w:rsid w:val="00324A32"/>
    <w:rsid w:val="00324B07"/>
    <w:rsid w:val="00324B95"/>
    <w:rsid w:val="00324CB5"/>
    <w:rsid w:val="0032547D"/>
    <w:rsid w:val="00325632"/>
    <w:rsid w:val="003259EE"/>
    <w:rsid w:val="00325D5D"/>
    <w:rsid w:val="00326BB4"/>
    <w:rsid w:val="00326C41"/>
    <w:rsid w:val="00326F0B"/>
    <w:rsid w:val="003275B1"/>
    <w:rsid w:val="0032779C"/>
    <w:rsid w:val="00327AB0"/>
    <w:rsid w:val="00327CC8"/>
    <w:rsid w:val="00327EA0"/>
    <w:rsid w:val="00330422"/>
    <w:rsid w:val="0033144E"/>
    <w:rsid w:val="00331717"/>
    <w:rsid w:val="00331A5C"/>
    <w:rsid w:val="00331B29"/>
    <w:rsid w:val="00331BFC"/>
    <w:rsid w:val="0033206F"/>
    <w:rsid w:val="00333137"/>
    <w:rsid w:val="003331BA"/>
    <w:rsid w:val="003332C5"/>
    <w:rsid w:val="003342AB"/>
    <w:rsid w:val="003343A2"/>
    <w:rsid w:val="00334487"/>
    <w:rsid w:val="00334645"/>
    <w:rsid w:val="00334A2B"/>
    <w:rsid w:val="00334D13"/>
    <w:rsid w:val="0033577F"/>
    <w:rsid w:val="00335CA2"/>
    <w:rsid w:val="00336438"/>
    <w:rsid w:val="00336727"/>
    <w:rsid w:val="003370AC"/>
    <w:rsid w:val="00337485"/>
    <w:rsid w:val="00337A49"/>
    <w:rsid w:val="00337B5C"/>
    <w:rsid w:val="00337F70"/>
    <w:rsid w:val="0034049B"/>
    <w:rsid w:val="003404D0"/>
    <w:rsid w:val="00340816"/>
    <w:rsid w:val="0034085E"/>
    <w:rsid w:val="00341299"/>
    <w:rsid w:val="00341737"/>
    <w:rsid w:val="00341B15"/>
    <w:rsid w:val="00342C76"/>
    <w:rsid w:val="00342E67"/>
    <w:rsid w:val="0034304F"/>
    <w:rsid w:val="0034305B"/>
    <w:rsid w:val="003430D7"/>
    <w:rsid w:val="00343484"/>
    <w:rsid w:val="00343862"/>
    <w:rsid w:val="00343C50"/>
    <w:rsid w:val="00343CA4"/>
    <w:rsid w:val="00343F86"/>
    <w:rsid w:val="0034408F"/>
    <w:rsid w:val="003441C4"/>
    <w:rsid w:val="0034474A"/>
    <w:rsid w:val="003448EC"/>
    <w:rsid w:val="00344F0F"/>
    <w:rsid w:val="0034526F"/>
    <w:rsid w:val="0034536F"/>
    <w:rsid w:val="003455E1"/>
    <w:rsid w:val="00345648"/>
    <w:rsid w:val="00345818"/>
    <w:rsid w:val="00345D43"/>
    <w:rsid w:val="00345F10"/>
    <w:rsid w:val="003460E1"/>
    <w:rsid w:val="00346125"/>
    <w:rsid w:val="0034630A"/>
    <w:rsid w:val="003467B1"/>
    <w:rsid w:val="00346A2E"/>
    <w:rsid w:val="00346B8D"/>
    <w:rsid w:val="00346FA9"/>
    <w:rsid w:val="00347137"/>
    <w:rsid w:val="00347378"/>
    <w:rsid w:val="00347866"/>
    <w:rsid w:val="00347A45"/>
    <w:rsid w:val="00347C35"/>
    <w:rsid w:val="003508F2"/>
    <w:rsid w:val="003515B1"/>
    <w:rsid w:val="003520B0"/>
    <w:rsid w:val="00352817"/>
    <w:rsid w:val="0035298A"/>
    <w:rsid w:val="0035299B"/>
    <w:rsid w:val="003530E8"/>
    <w:rsid w:val="003531EE"/>
    <w:rsid w:val="003536CD"/>
    <w:rsid w:val="00353C4A"/>
    <w:rsid w:val="00353FB4"/>
    <w:rsid w:val="003544E6"/>
    <w:rsid w:val="00354628"/>
    <w:rsid w:val="00354DC8"/>
    <w:rsid w:val="003553CF"/>
    <w:rsid w:val="003563A8"/>
    <w:rsid w:val="00356686"/>
    <w:rsid w:val="003568C7"/>
    <w:rsid w:val="00356E03"/>
    <w:rsid w:val="003570A7"/>
    <w:rsid w:val="00357400"/>
    <w:rsid w:val="00357AE1"/>
    <w:rsid w:val="00360102"/>
    <w:rsid w:val="003602DC"/>
    <w:rsid w:val="00360AE8"/>
    <w:rsid w:val="00360B5C"/>
    <w:rsid w:val="00360C36"/>
    <w:rsid w:val="00360EE1"/>
    <w:rsid w:val="003612BF"/>
    <w:rsid w:val="003614BD"/>
    <w:rsid w:val="003618AC"/>
    <w:rsid w:val="00361D4D"/>
    <w:rsid w:val="003621EB"/>
    <w:rsid w:val="00362394"/>
    <w:rsid w:val="0036261D"/>
    <w:rsid w:val="0036286D"/>
    <w:rsid w:val="00362B4D"/>
    <w:rsid w:val="00362C3A"/>
    <w:rsid w:val="00362F3A"/>
    <w:rsid w:val="003630BD"/>
    <w:rsid w:val="003633F4"/>
    <w:rsid w:val="00363461"/>
    <w:rsid w:val="00363579"/>
    <w:rsid w:val="0036363E"/>
    <w:rsid w:val="003637EA"/>
    <w:rsid w:val="003638AF"/>
    <w:rsid w:val="00363C6F"/>
    <w:rsid w:val="00363F14"/>
    <w:rsid w:val="003646DA"/>
    <w:rsid w:val="00364892"/>
    <w:rsid w:val="0036491F"/>
    <w:rsid w:val="00364B6C"/>
    <w:rsid w:val="00364E0D"/>
    <w:rsid w:val="00365359"/>
    <w:rsid w:val="003654FD"/>
    <w:rsid w:val="003658AA"/>
    <w:rsid w:val="0036656F"/>
    <w:rsid w:val="00366C99"/>
    <w:rsid w:val="00367166"/>
    <w:rsid w:val="0036749D"/>
    <w:rsid w:val="00367512"/>
    <w:rsid w:val="0036760F"/>
    <w:rsid w:val="0037048F"/>
    <w:rsid w:val="00370A4B"/>
    <w:rsid w:val="00370BBF"/>
    <w:rsid w:val="00370DB6"/>
    <w:rsid w:val="003711E9"/>
    <w:rsid w:val="003712EC"/>
    <w:rsid w:val="00371953"/>
    <w:rsid w:val="00371C92"/>
    <w:rsid w:val="00371D19"/>
    <w:rsid w:val="00371E80"/>
    <w:rsid w:val="00372000"/>
    <w:rsid w:val="00372B5D"/>
    <w:rsid w:val="00372ECD"/>
    <w:rsid w:val="00372FA1"/>
    <w:rsid w:val="003736C9"/>
    <w:rsid w:val="00373907"/>
    <w:rsid w:val="00373F62"/>
    <w:rsid w:val="003742C9"/>
    <w:rsid w:val="003742FA"/>
    <w:rsid w:val="003744B6"/>
    <w:rsid w:val="00374548"/>
    <w:rsid w:val="00374788"/>
    <w:rsid w:val="00374B38"/>
    <w:rsid w:val="00375196"/>
    <w:rsid w:val="00375716"/>
    <w:rsid w:val="0037583B"/>
    <w:rsid w:val="00375949"/>
    <w:rsid w:val="003759B9"/>
    <w:rsid w:val="003759E3"/>
    <w:rsid w:val="00375A55"/>
    <w:rsid w:val="00375C2A"/>
    <w:rsid w:val="00375C4F"/>
    <w:rsid w:val="00376430"/>
    <w:rsid w:val="00376BCD"/>
    <w:rsid w:val="003774A4"/>
    <w:rsid w:val="00377585"/>
    <w:rsid w:val="00377CEF"/>
    <w:rsid w:val="00380154"/>
    <w:rsid w:val="00380273"/>
    <w:rsid w:val="0038036A"/>
    <w:rsid w:val="0038036B"/>
    <w:rsid w:val="0038058A"/>
    <w:rsid w:val="0038063F"/>
    <w:rsid w:val="003806E1"/>
    <w:rsid w:val="003807FC"/>
    <w:rsid w:val="00380D70"/>
    <w:rsid w:val="00380EF0"/>
    <w:rsid w:val="003817DF"/>
    <w:rsid w:val="00381885"/>
    <w:rsid w:val="003819C5"/>
    <w:rsid w:val="00381A64"/>
    <w:rsid w:val="00381F96"/>
    <w:rsid w:val="0038203B"/>
    <w:rsid w:val="00382118"/>
    <w:rsid w:val="003825D8"/>
    <w:rsid w:val="00382711"/>
    <w:rsid w:val="00382745"/>
    <w:rsid w:val="00382A7A"/>
    <w:rsid w:val="0038338A"/>
    <w:rsid w:val="00384004"/>
    <w:rsid w:val="00384760"/>
    <w:rsid w:val="00384AC6"/>
    <w:rsid w:val="00384C9E"/>
    <w:rsid w:val="00384F97"/>
    <w:rsid w:val="00385883"/>
    <w:rsid w:val="0038596F"/>
    <w:rsid w:val="00385A67"/>
    <w:rsid w:val="00385D13"/>
    <w:rsid w:val="00385E50"/>
    <w:rsid w:val="00386023"/>
    <w:rsid w:val="0038614E"/>
    <w:rsid w:val="003862C8"/>
    <w:rsid w:val="0038645A"/>
    <w:rsid w:val="00386802"/>
    <w:rsid w:val="003868B7"/>
    <w:rsid w:val="003868D3"/>
    <w:rsid w:val="00386A4C"/>
    <w:rsid w:val="00387370"/>
    <w:rsid w:val="0038768F"/>
    <w:rsid w:val="003876E3"/>
    <w:rsid w:val="003877CE"/>
    <w:rsid w:val="003877D9"/>
    <w:rsid w:val="00387A78"/>
    <w:rsid w:val="00390043"/>
    <w:rsid w:val="003902C0"/>
    <w:rsid w:val="00390690"/>
    <w:rsid w:val="0039092A"/>
    <w:rsid w:val="00390A1C"/>
    <w:rsid w:val="00390DF6"/>
    <w:rsid w:val="00390E23"/>
    <w:rsid w:val="00391323"/>
    <w:rsid w:val="00392291"/>
    <w:rsid w:val="003925B7"/>
    <w:rsid w:val="00392BB3"/>
    <w:rsid w:val="00392BE7"/>
    <w:rsid w:val="00392C77"/>
    <w:rsid w:val="0039306E"/>
    <w:rsid w:val="00393074"/>
    <w:rsid w:val="00393102"/>
    <w:rsid w:val="00393193"/>
    <w:rsid w:val="00393216"/>
    <w:rsid w:val="00393360"/>
    <w:rsid w:val="00393546"/>
    <w:rsid w:val="003935D3"/>
    <w:rsid w:val="003938AA"/>
    <w:rsid w:val="003943AB"/>
    <w:rsid w:val="003943DE"/>
    <w:rsid w:val="003949C2"/>
    <w:rsid w:val="00394A45"/>
    <w:rsid w:val="00394D89"/>
    <w:rsid w:val="00394F02"/>
    <w:rsid w:val="00394F1B"/>
    <w:rsid w:val="00394F94"/>
    <w:rsid w:val="00395014"/>
    <w:rsid w:val="00395078"/>
    <w:rsid w:val="00395194"/>
    <w:rsid w:val="003955E1"/>
    <w:rsid w:val="00395B6F"/>
    <w:rsid w:val="00395C4F"/>
    <w:rsid w:val="00395DF9"/>
    <w:rsid w:val="00396487"/>
    <w:rsid w:val="003967A4"/>
    <w:rsid w:val="00396A9E"/>
    <w:rsid w:val="00396AC7"/>
    <w:rsid w:val="0039700F"/>
    <w:rsid w:val="00397471"/>
    <w:rsid w:val="0039749A"/>
    <w:rsid w:val="0039754E"/>
    <w:rsid w:val="00397A3E"/>
    <w:rsid w:val="00397A94"/>
    <w:rsid w:val="00397D33"/>
    <w:rsid w:val="003A00C8"/>
    <w:rsid w:val="003A07D5"/>
    <w:rsid w:val="003A0ADB"/>
    <w:rsid w:val="003A0E99"/>
    <w:rsid w:val="003A0EC9"/>
    <w:rsid w:val="003A1749"/>
    <w:rsid w:val="003A1773"/>
    <w:rsid w:val="003A1A83"/>
    <w:rsid w:val="003A1B56"/>
    <w:rsid w:val="003A1E63"/>
    <w:rsid w:val="003A1E9B"/>
    <w:rsid w:val="003A206D"/>
    <w:rsid w:val="003A20FE"/>
    <w:rsid w:val="003A243D"/>
    <w:rsid w:val="003A2450"/>
    <w:rsid w:val="003A25F1"/>
    <w:rsid w:val="003A26A4"/>
    <w:rsid w:val="003A29D7"/>
    <w:rsid w:val="003A2BB6"/>
    <w:rsid w:val="003A3380"/>
    <w:rsid w:val="003A39E8"/>
    <w:rsid w:val="003A3B00"/>
    <w:rsid w:val="003A3EA0"/>
    <w:rsid w:val="003A482E"/>
    <w:rsid w:val="003A5005"/>
    <w:rsid w:val="003A517F"/>
    <w:rsid w:val="003A5AC7"/>
    <w:rsid w:val="003A5C11"/>
    <w:rsid w:val="003A5C58"/>
    <w:rsid w:val="003A5F38"/>
    <w:rsid w:val="003A5FD6"/>
    <w:rsid w:val="003A6C22"/>
    <w:rsid w:val="003A6C6C"/>
    <w:rsid w:val="003A6F41"/>
    <w:rsid w:val="003A75E4"/>
    <w:rsid w:val="003A79E9"/>
    <w:rsid w:val="003A7C1F"/>
    <w:rsid w:val="003A7C3D"/>
    <w:rsid w:val="003A7E53"/>
    <w:rsid w:val="003A7FBE"/>
    <w:rsid w:val="003B0E1B"/>
    <w:rsid w:val="003B1162"/>
    <w:rsid w:val="003B11F5"/>
    <w:rsid w:val="003B1E21"/>
    <w:rsid w:val="003B1E2A"/>
    <w:rsid w:val="003B1F59"/>
    <w:rsid w:val="003B20FF"/>
    <w:rsid w:val="003B2226"/>
    <w:rsid w:val="003B2507"/>
    <w:rsid w:val="003B27CC"/>
    <w:rsid w:val="003B2D06"/>
    <w:rsid w:val="003B383E"/>
    <w:rsid w:val="003B3A0A"/>
    <w:rsid w:val="003B3C31"/>
    <w:rsid w:val="003B3CB3"/>
    <w:rsid w:val="003B4354"/>
    <w:rsid w:val="003B4355"/>
    <w:rsid w:val="003B4483"/>
    <w:rsid w:val="003B4A43"/>
    <w:rsid w:val="003B4AD1"/>
    <w:rsid w:val="003B4E2E"/>
    <w:rsid w:val="003B4F2B"/>
    <w:rsid w:val="003B5399"/>
    <w:rsid w:val="003B57CD"/>
    <w:rsid w:val="003B5B91"/>
    <w:rsid w:val="003B5D13"/>
    <w:rsid w:val="003B5DB9"/>
    <w:rsid w:val="003B633E"/>
    <w:rsid w:val="003B66C7"/>
    <w:rsid w:val="003B71B0"/>
    <w:rsid w:val="003B7262"/>
    <w:rsid w:val="003B76A5"/>
    <w:rsid w:val="003B7A1D"/>
    <w:rsid w:val="003B7B3B"/>
    <w:rsid w:val="003B7DDF"/>
    <w:rsid w:val="003C068E"/>
    <w:rsid w:val="003C0833"/>
    <w:rsid w:val="003C092F"/>
    <w:rsid w:val="003C0A5D"/>
    <w:rsid w:val="003C0FA4"/>
    <w:rsid w:val="003C159C"/>
    <w:rsid w:val="003C1665"/>
    <w:rsid w:val="003C16F3"/>
    <w:rsid w:val="003C1B59"/>
    <w:rsid w:val="003C1C38"/>
    <w:rsid w:val="003C2016"/>
    <w:rsid w:val="003C2062"/>
    <w:rsid w:val="003C2102"/>
    <w:rsid w:val="003C2612"/>
    <w:rsid w:val="003C261A"/>
    <w:rsid w:val="003C2A58"/>
    <w:rsid w:val="003C2B3E"/>
    <w:rsid w:val="003C2C90"/>
    <w:rsid w:val="003C321C"/>
    <w:rsid w:val="003C34D6"/>
    <w:rsid w:val="003C35FA"/>
    <w:rsid w:val="003C3875"/>
    <w:rsid w:val="003C38D1"/>
    <w:rsid w:val="003C3C9E"/>
    <w:rsid w:val="003C4E52"/>
    <w:rsid w:val="003C4E5B"/>
    <w:rsid w:val="003C50BE"/>
    <w:rsid w:val="003C5254"/>
    <w:rsid w:val="003C55C7"/>
    <w:rsid w:val="003C5B3D"/>
    <w:rsid w:val="003C5C10"/>
    <w:rsid w:val="003C5EFE"/>
    <w:rsid w:val="003C60FA"/>
    <w:rsid w:val="003C6A87"/>
    <w:rsid w:val="003C7019"/>
    <w:rsid w:val="003C75AE"/>
    <w:rsid w:val="003C79BA"/>
    <w:rsid w:val="003C7AF0"/>
    <w:rsid w:val="003C7BCC"/>
    <w:rsid w:val="003C7D47"/>
    <w:rsid w:val="003C7E98"/>
    <w:rsid w:val="003D007D"/>
    <w:rsid w:val="003D01E6"/>
    <w:rsid w:val="003D094E"/>
    <w:rsid w:val="003D0BB0"/>
    <w:rsid w:val="003D0D90"/>
    <w:rsid w:val="003D0F99"/>
    <w:rsid w:val="003D101E"/>
    <w:rsid w:val="003D118C"/>
    <w:rsid w:val="003D14C0"/>
    <w:rsid w:val="003D1629"/>
    <w:rsid w:val="003D16A0"/>
    <w:rsid w:val="003D19DF"/>
    <w:rsid w:val="003D1CD1"/>
    <w:rsid w:val="003D1EEE"/>
    <w:rsid w:val="003D2173"/>
    <w:rsid w:val="003D2313"/>
    <w:rsid w:val="003D246E"/>
    <w:rsid w:val="003D26ED"/>
    <w:rsid w:val="003D289B"/>
    <w:rsid w:val="003D3195"/>
    <w:rsid w:val="003D34DB"/>
    <w:rsid w:val="003D3D41"/>
    <w:rsid w:val="003D3E43"/>
    <w:rsid w:val="003D3E56"/>
    <w:rsid w:val="003D41EF"/>
    <w:rsid w:val="003D43E1"/>
    <w:rsid w:val="003D4D3C"/>
    <w:rsid w:val="003D4F29"/>
    <w:rsid w:val="003D55C4"/>
    <w:rsid w:val="003D5936"/>
    <w:rsid w:val="003D5971"/>
    <w:rsid w:val="003D5BD4"/>
    <w:rsid w:val="003D6394"/>
    <w:rsid w:val="003D640D"/>
    <w:rsid w:val="003D6554"/>
    <w:rsid w:val="003D6EAA"/>
    <w:rsid w:val="003D6FEA"/>
    <w:rsid w:val="003D777D"/>
    <w:rsid w:val="003D7864"/>
    <w:rsid w:val="003D7ECA"/>
    <w:rsid w:val="003D7FF7"/>
    <w:rsid w:val="003E000D"/>
    <w:rsid w:val="003E0126"/>
    <w:rsid w:val="003E09F3"/>
    <w:rsid w:val="003E0A80"/>
    <w:rsid w:val="003E0F13"/>
    <w:rsid w:val="003E1A04"/>
    <w:rsid w:val="003E24BA"/>
    <w:rsid w:val="003E251E"/>
    <w:rsid w:val="003E2CAE"/>
    <w:rsid w:val="003E2E32"/>
    <w:rsid w:val="003E3130"/>
    <w:rsid w:val="003E3589"/>
    <w:rsid w:val="003E35AF"/>
    <w:rsid w:val="003E3686"/>
    <w:rsid w:val="003E3F7D"/>
    <w:rsid w:val="003E3FF0"/>
    <w:rsid w:val="003E403F"/>
    <w:rsid w:val="003E4212"/>
    <w:rsid w:val="003E442E"/>
    <w:rsid w:val="003E4567"/>
    <w:rsid w:val="003E4624"/>
    <w:rsid w:val="003E4808"/>
    <w:rsid w:val="003E483A"/>
    <w:rsid w:val="003E48F2"/>
    <w:rsid w:val="003E495F"/>
    <w:rsid w:val="003E4B2A"/>
    <w:rsid w:val="003E4CF0"/>
    <w:rsid w:val="003E4CFA"/>
    <w:rsid w:val="003E5026"/>
    <w:rsid w:val="003E54FD"/>
    <w:rsid w:val="003E5594"/>
    <w:rsid w:val="003E5DE5"/>
    <w:rsid w:val="003E6689"/>
    <w:rsid w:val="003E6798"/>
    <w:rsid w:val="003E68CD"/>
    <w:rsid w:val="003E6A45"/>
    <w:rsid w:val="003E6D35"/>
    <w:rsid w:val="003E6D4A"/>
    <w:rsid w:val="003E7566"/>
    <w:rsid w:val="003E7E02"/>
    <w:rsid w:val="003E7FDA"/>
    <w:rsid w:val="003F0691"/>
    <w:rsid w:val="003F0986"/>
    <w:rsid w:val="003F0AB2"/>
    <w:rsid w:val="003F0C90"/>
    <w:rsid w:val="003F1902"/>
    <w:rsid w:val="003F1D21"/>
    <w:rsid w:val="003F2251"/>
    <w:rsid w:val="003F2412"/>
    <w:rsid w:val="003F2672"/>
    <w:rsid w:val="003F27F5"/>
    <w:rsid w:val="003F2AE5"/>
    <w:rsid w:val="003F2BAB"/>
    <w:rsid w:val="003F30FB"/>
    <w:rsid w:val="003F3C11"/>
    <w:rsid w:val="003F466B"/>
    <w:rsid w:val="003F47F4"/>
    <w:rsid w:val="003F4AE8"/>
    <w:rsid w:val="003F51B4"/>
    <w:rsid w:val="003F5624"/>
    <w:rsid w:val="003F6214"/>
    <w:rsid w:val="003F64D3"/>
    <w:rsid w:val="003F688B"/>
    <w:rsid w:val="003F6B47"/>
    <w:rsid w:val="003F6B60"/>
    <w:rsid w:val="003F6B7C"/>
    <w:rsid w:val="003F6C4E"/>
    <w:rsid w:val="003F7A06"/>
    <w:rsid w:val="003F7D5B"/>
    <w:rsid w:val="00400911"/>
    <w:rsid w:val="00400A47"/>
    <w:rsid w:val="00400F22"/>
    <w:rsid w:val="00401156"/>
    <w:rsid w:val="0040115E"/>
    <w:rsid w:val="004013D7"/>
    <w:rsid w:val="00401747"/>
    <w:rsid w:val="00401796"/>
    <w:rsid w:val="0040184A"/>
    <w:rsid w:val="004019BA"/>
    <w:rsid w:val="00402719"/>
    <w:rsid w:val="0040288B"/>
    <w:rsid w:val="00402CCC"/>
    <w:rsid w:val="00402E60"/>
    <w:rsid w:val="004030CF"/>
    <w:rsid w:val="00403150"/>
    <w:rsid w:val="004032A0"/>
    <w:rsid w:val="004038CC"/>
    <w:rsid w:val="004039BB"/>
    <w:rsid w:val="00403B20"/>
    <w:rsid w:val="00403CDC"/>
    <w:rsid w:val="00403DE5"/>
    <w:rsid w:val="00403EF0"/>
    <w:rsid w:val="00404624"/>
    <w:rsid w:val="00404696"/>
    <w:rsid w:val="0040488B"/>
    <w:rsid w:val="00404C81"/>
    <w:rsid w:val="00404FD7"/>
    <w:rsid w:val="00405036"/>
    <w:rsid w:val="00405165"/>
    <w:rsid w:val="004051A6"/>
    <w:rsid w:val="00405665"/>
    <w:rsid w:val="00405734"/>
    <w:rsid w:val="00405E52"/>
    <w:rsid w:val="00405F85"/>
    <w:rsid w:val="004060A5"/>
    <w:rsid w:val="0040616C"/>
    <w:rsid w:val="004061B9"/>
    <w:rsid w:val="0040634E"/>
    <w:rsid w:val="00406736"/>
    <w:rsid w:val="004067BC"/>
    <w:rsid w:val="004067D3"/>
    <w:rsid w:val="00406C2E"/>
    <w:rsid w:val="00406ECB"/>
    <w:rsid w:val="004073BB"/>
    <w:rsid w:val="00407937"/>
    <w:rsid w:val="00407A2B"/>
    <w:rsid w:val="00407FD9"/>
    <w:rsid w:val="004102CA"/>
    <w:rsid w:val="00410659"/>
    <w:rsid w:val="004106C2"/>
    <w:rsid w:val="00410783"/>
    <w:rsid w:val="00410FD8"/>
    <w:rsid w:val="004114CF"/>
    <w:rsid w:val="00411889"/>
    <w:rsid w:val="004119A4"/>
    <w:rsid w:val="004119A5"/>
    <w:rsid w:val="00411D8A"/>
    <w:rsid w:val="00412305"/>
    <w:rsid w:val="00412474"/>
    <w:rsid w:val="004125B9"/>
    <w:rsid w:val="00412699"/>
    <w:rsid w:val="00412AAF"/>
    <w:rsid w:val="00412BBF"/>
    <w:rsid w:val="00412EA7"/>
    <w:rsid w:val="00413E63"/>
    <w:rsid w:val="00413F5F"/>
    <w:rsid w:val="0041415D"/>
    <w:rsid w:val="00414BF5"/>
    <w:rsid w:val="00414E9D"/>
    <w:rsid w:val="004153E0"/>
    <w:rsid w:val="00415CEC"/>
    <w:rsid w:val="00415D50"/>
    <w:rsid w:val="00415E95"/>
    <w:rsid w:val="0041600F"/>
    <w:rsid w:val="004164F6"/>
    <w:rsid w:val="0041661E"/>
    <w:rsid w:val="00416727"/>
    <w:rsid w:val="004169A8"/>
    <w:rsid w:val="00416A77"/>
    <w:rsid w:val="00417054"/>
    <w:rsid w:val="00417300"/>
    <w:rsid w:val="00417D53"/>
    <w:rsid w:val="004203A4"/>
    <w:rsid w:val="00420475"/>
    <w:rsid w:val="00420D38"/>
    <w:rsid w:val="00421292"/>
    <w:rsid w:val="004214CB"/>
    <w:rsid w:val="0042154F"/>
    <w:rsid w:val="004217EC"/>
    <w:rsid w:val="00421844"/>
    <w:rsid w:val="0042187B"/>
    <w:rsid w:val="0042187E"/>
    <w:rsid w:val="00421B25"/>
    <w:rsid w:val="0042222C"/>
    <w:rsid w:val="00422297"/>
    <w:rsid w:val="00422661"/>
    <w:rsid w:val="00422704"/>
    <w:rsid w:val="004228D8"/>
    <w:rsid w:val="00422BEB"/>
    <w:rsid w:val="00422FF8"/>
    <w:rsid w:val="004230E2"/>
    <w:rsid w:val="00423205"/>
    <w:rsid w:val="00423637"/>
    <w:rsid w:val="00423A61"/>
    <w:rsid w:val="00423B2E"/>
    <w:rsid w:val="00423F4B"/>
    <w:rsid w:val="004241CA"/>
    <w:rsid w:val="0042472E"/>
    <w:rsid w:val="00424A7A"/>
    <w:rsid w:val="00424C33"/>
    <w:rsid w:val="0042530C"/>
    <w:rsid w:val="004255F3"/>
    <w:rsid w:val="004258CB"/>
    <w:rsid w:val="00425B2D"/>
    <w:rsid w:val="00425F9E"/>
    <w:rsid w:val="00425FB1"/>
    <w:rsid w:val="00426067"/>
    <w:rsid w:val="004264BF"/>
    <w:rsid w:val="004266A7"/>
    <w:rsid w:val="004267EA"/>
    <w:rsid w:val="004268F2"/>
    <w:rsid w:val="004269FE"/>
    <w:rsid w:val="00427121"/>
    <w:rsid w:val="00427FFB"/>
    <w:rsid w:val="004300F4"/>
    <w:rsid w:val="00430200"/>
    <w:rsid w:val="00430376"/>
    <w:rsid w:val="004305A1"/>
    <w:rsid w:val="00430829"/>
    <w:rsid w:val="00430856"/>
    <w:rsid w:val="004308BE"/>
    <w:rsid w:val="0043098D"/>
    <w:rsid w:val="004309AF"/>
    <w:rsid w:val="00430CE1"/>
    <w:rsid w:val="00430E55"/>
    <w:rsid w:val="00431026"/>
    <w:rsid w:val="00431156"/>
    <w:rsid w:val="0043133A"/>
    <w:rsid w:val="004314AD"/>
    <w:rsid w:val="004315BA"/>
    <w:rsid w:val="004316BE"/>
    <w:rsid w:val="00431906"/>
    <w:rsid w:val="00431E92"/>
    <w:rsid w:val="0043217D"/>
    <w:rsid w:val="004322FC"/>
    <w:rsid w:val="00432648"/>
    <w:rsid w:val="00432848"/>
    <w:rsid w:val="00432E2C"/>
    <w:rsid w:val="00433028"/>
    <w:rsid w:val="004330F2"/>
    <w:rsid w:val="00433242"/>
    <w:rsid w:val="004335C8"/>
    <w:rsid w:val="00433CC5"/>
    <w:rsid w:val="00433D26"/>
    <w:rsid w:val="00434145"/>
    <w:rsid w:val="0043473F"/>
    <w:rsid w:val="004347DB"/>
    <w:rsid w:val="00434821"/>
    <w:rsid w:val="00434A11"/>
    <w:rsid w:val="00434B59"/>
    <w:rsid w:val="00434C2D"/>
    <w:rsid w:val="00434C3C"/>
    <w:rsid w:val="00434F5C"/>
    <w:rsid w:val="004356B0"/>
    <w:rsid w:val="00435A96"/>
    <w:rsid w:val="00435E6E"/>
    <w:rsid w:val="00435E7D"/>
    <w:rsid w:val="00436113"/>
    <w:rsid w:val="0043667F"/>
    <w:rsid w:val="00436BC1"/>
    <w:rsid w:val="00436FB2"/>
    <w:rsid w:val="004370B9"/>
    <w:rsid w:val="0043776E"/>
    <w:rsid w:val="00437E18"/>
    <w:rsid w:val="00437E24"/>
    <w:rsid w:val="00437F2C"/>
    <w:rsid w:val="004400A8"/>
    <w:rsid w:val="004405EF"/>
    <w:rsid w:val="0044079E"/>
    <w:rsid w:val="00440EFC"/>
    <w:rsid w:val="00440FA8"/>
    <w:rsid w:val="00441088"/>
    <w:rsid w:val="0044114D"/>
    <w:rsid w:val="00441634"/>
    <w:rsid w:val="0044169E"/>
    <w:rsid w:val="00441AF8"/>
    <w:rsid w:val="00441C1D"/>
    <w:rsid w:val="00441E72"/>
    <w:rsid w:val="00441F80"/>
    <w:rsid w:val="00441F9C"/>
    <w:rsid w:val="00442116"/>
    <w:rsid w:val="00442152"/>
    <w:rsid w:val="00442219"/>
    <w:rsid w:val="004423F5"/>
    <w:rsid w:val="004426E9"/>
    <w:rsid w:val="00442CA6"/>
    <w:rsid w:val="0044342F"/>
    <w:rsid w:val="00443803"/>
    <w:rsid w:val="00443D01"/>
    <w:rsid w:val="00443DAB"/>
    <w:rsid w:val="00444102"/>
    <w:rsid w:val="004441BF"/>
    <w:rsid w:val="00444691"/>
    <w:rsid w:val="0044497A"/>
    <w:rsid w:val="00444AC5"/>
    <w:rsid w:val="00444C69"/>
    <w:rsid w:val="00444F2A"/>
    <w:rsid w:val="00445391"/>
    <w:rsid w:val="004453AF"/>
    <w:rsid w:val="004454C2"/>
    <w:rsid w:val="004458F0"/>
    <w:rsid w:val="00445A5B"/>
    <w:rsid w:val="00445B3F"/>
    <w:rsid w:val="00445B9F"/>
    <w:rsid w:val="00445E19"/>
    <w:rsid w:val="00446308"/>
    <w:rsid w:val="00446495"/>
    <w:rsid w:val="00446766"/>
    <w:rsid w:val="00446A63"/>
    <w:rsid w:val="00446AB5"/>
    <w:rsid w:val="00446B96"/>
    <w:rsid w:val="00446DB3"/>
    <w:rsid w:val="00446EFC"/>
    <w:rsid w:val="0044701C"/>
    <w:rsid w:val="0044794A"/>
    <w:rsid w:val="00447962"/>
    <w:rsid w:val="00447D28"/>
    <w:rsid w:val="00447D5C"/>
    <w:rsid w:val="00447D97"/>
    <w:rsid w:val="00447DAD"/>
    <w:rsid w:val="004500CE"/>
    <w:rsid w:val="00450369"/>
    <w:rsid w:val="004508C9"/>
    <w:rsid w:val="004508D6"/>
    <w:rsid w:val="00450994"/>
    <w:rsid w:val="004509D2"/>
    <w:rsid w:val="00450C1C"/>
    <w:rsid w:val="004510EE"/>
    <w:rsid w:val="0045133B"/>
    <w:rsid w:val="00451582"/>
    <w:rsid w:val="00451625"/>
    <w:rsid w:val="00452145"/>
    <w:rsid w:val="0045238A"/>
    <w:rsid w:val="00452859"/>
    <w:rsid w:val="00452984"/>
    <w:rsid w:val="00452A04"/>
    <w:rsid w:val="00452D99"/>
    <w:rsid w:val="00452F57"/>
    <w:rsid w:val="00453136"/>
    <w:rsid w:val="0045318F"/>
    <w:rsid w:val="004536CA"/>
    <w:rsid w:val="004539C7"/>
    <w:rsid w:val="00453B71"/>
    <w:rsid w:val="0045445F"/>
    <w:rsid w:val="00454783"/>
    <w:rsid w:val="00454A07"/>
    <w:rsid w:val="00454DD7"/>
    <w:rsid w:val="00454ED5"/>
    <w:rsid w:val="00454FD7"/>
    <w:rsid w:val="0045506E"/>
    <w:rsid w:val="004551C8"/>
    <w:rsid w:val="0045529C"/>
    <w:rsid w:val="00455375"/>
    <w:rsid w:val="00455A91"/>
    <w:rsid w:val="00455E07"/>
    <w:rsid w:val="00455E3F"/>
    <w:rsid w:val="004561B1"/>
    <w:rsid w:val="00456280"/>
    <w:rsid w:val="004562A9"/>
    <w:rsid w:val="004562E8"/>
    <w:rsid w:val="00456587"/>
    <w:rsid w:val="00456937"/>
    <w:rsid w:val="00456D18"/>
    <w:rsid w:val="0045764A"/>
    <w:rsid w:val="004578FE"/>
    <w:rsid w:val="0045794C"/>
    <w:rsid w:val="00457B25"/>
    <w:rsid w:val="00457E8D"/>
    <w:rsid w:val="00460285"/>
    <w:rsid w:val="0046084E"/>
    <w:rsid w:val="00460A7E"/>
    <w:rsid w:val="00461099"/>
    <w:rsid w:val="004611B2"/>
    <w:rsid w:val="004611CE"/>
    <w:rsid w:val="00461C7D"/>
    <w:rsid w:val="00461D6F"/>
    <w:rsid w:val="00462797"/>
    <w:rsid w:val="00462B26"/>
    <w:rsid w:val="00462F12"/>
    <w:rsid w:val="004632C6"/>
    <w:rsid w:val="00463B1D"/>
    <w:rsid w:val="0046419E"/>
    <w:rsid w:val="0046419F"/>
    <w:rsid w:val="0046478A"/>
    <w:rsid w:val="00464B03"/>
    <w:rsid w:val="00464DA4"/>
    <w:rsid w:val="00464FD2"/>
    <w:rsid w:val="00465257"/>
    <w:rsid w:val="004655C1"/>
    <w:rsid w:val="00465620"/>
    <w:rsid w:val="00465977"/>
    <w:rsid w:val="00465B57"/>
    <w:rsid w:val="00465BD5"/>
    <w:rsid w:val="00465C8A"/>
    <w:rsid w:val="0046626B"/>
    <w:rsid w:val="0046665F"/>
    <w:rsid w:val="00466AA7"/>
    <w:rsid w:val="00466E9D"/>
    <w:rsid w:val="00467297"/>
    <w:rsid w:val="00467498"/>
    <w:rsid w:val="0046779D"/>
    <w:rsid w:val="0046793C"/>
    <w:rsid w:val="004679AD"/>
    <w:rsid w:val="00467BEE"/>
    <w:rsid w:val="00467CF8"/>
    <w:rsid w:val="00467EBA"/>
    <w:rsid w:val="004703A9"/>
    <w:rsid w:val="00470614"/>
    <w:rsid w:val="00470B5A"/>
    <w:rsid w:val="00470EB1"/>
    <w:rsid w:val="00470F01"/>
    <w:rsid w:val="00471043"/>
    <w:rsid w:val="0047108F"/>
    <w:rsid w:val="004711EA"/>
    <w:rsid w:val="00471459"/>
    <w:rsid w:val="00471890"/>
    <w:rsid w:val="004718B7"/>
    <w:rsid w:val="00471CE5"/>
    <w:rsid w:val="00471E05"/>
    <w:rsid w:val="0047268C"/>
    <w:rsid w:val="00472839"/>
    <w:rsid w:val="00472D24"/>
    <w:rsid w:val="00472EE5"/>
    <w:rsid w:val="00472FF4"/>
    <w:rsid w:val="004731BA"/>
    <w:rsid w:val="00473625"/>
    <w:rsid w:val="004737CE"/>
    <w:rsid w:val="004739EA"/>
    <w:rsid w:val="00473F4C"/>
    <w:rsid w:val="0047475E"/>
    <w:rsid w:val="0047497F"/>
    <w:rsid w:val="0047505D"/>
    <w:rsid w:val="004754FA"/>
    <w:rsid w:val="00475931"/>
    <w:rsid w:val="00475A29"/>
    <w:rsid w:val="00475D2A"/>
    <w:rsid w:val="00475F21"/>
    <w:rsid w:val="004761BD"/>
    <w:rsid w:val="004766FE"/>
    <w:rsid w:val="0047695E"/>
    <w:rsid w:val="00476A34"/>
    <w:rsid w:val="00476EC9"/>
    <w:rsid w:val="00476FF9"/>
    <w:rsid w:val="00477191"/>
    <w:rsid w:val="00477281"/>
    <w:rsid w:val="00477469"/>
    <w:rsid w:val="0047779B"/>
    <w:rsid w:val="004777AB"/>
    <w:rsid w:val="0047798F"/>
    <w:rsid w:val="00477A17"/>
    <w:rsid w:val="00477A33"/>
    <w:rsid w:val="00477B6D"/>
    <w:rsid w:val="00477C46"/>
    <w:rsid w:val="00477FE6"/>
    <w:rsid w:val="004802F4"/>
    <w:rsid w:val="004807C6"/>
    <w:rsid w:val="00480C93"/>
    <w:rsid w:val="00480C94"/>
    <w:rsid w:val="00480D6F"/>
    <w:rsid w:val="0048130B"/>
    <w:rsid w:val="00481402"/>
    <w:rsid w:val="004815A9"/>
    <w:rsid w:val="00481C37"/>
    <w:rsid w:val="0048208A"/>
    <w:rsid w:val="0048262B"/>
    <w:rsid w:val="00482AB8"/>
    <w:rsid w:val="00483227"/>
    <w:rsid w:val="004833A3"/>
    <w:rsid w:val="0048362E"/>
    <w:rsid w:val="00483A41"/>
    <w:rsid w:val="00483BE0"/>
    <w:rsid w:val="00483D63"/>
    <w:rsid w:val="004841A5"/>
    <w:rsid w:val="004841D3"/>
    <w:rsid w:val="00484BFB"/>
    <w:rsid w:val="00484F0E"/>
    <w:rsid w:val="00485509"/>
    <w:rsid w:val="004856AF"/>
    <w:rsid w:val="00485B85"/>
    <w:rsid w:val="00485D03"/>
    <w:rsid w:val="00485E48"/>
    <w:rsid w:val="00485F19"/>
    <w:rsid w:val="00486448"/>
    <w:rsid w:val="00486574"/>
    <w:rsid w:val="00486AC8"/>
    <w:rsid w:val="00486C92"/>
    <w:rsid w:val="00486DFF"/>
    <w:rsid w:val="00487047"/>
    <w:rsid w:val="00487126"/>
    <w:rsid w:val="0048770D"/>
    <w:rsid w:val="00487BAF"/>
    <w:rsid w:val="00487BEE"/>
    <w:rsid w:val="00487F72"/>
    <w:rsid w:val="00487FD1"/>
    <w:rsid w:val="00490D4F"/>
    <w:rsid w:val="00490DD7"/>
    <w:rsid w:val="00491043"/>
    <w:rsid w:val="004913CD"/>
    <w:rsid w:val="00491C29"/>
    <w:rsid w:val="004920C4"/>
    <w:rsid w:val="0049233F"/>
    <w:rsid w:val="004924F5"/>
    <w:rsid w:val="00492545"/>
    <w:rsid w:val="00492A51"/>
    <w:rsid w:val="00492A64"/>
    <w:rsid w:val="0049311B"/>
    <w:rsid w:val="00493625"/>
    <w:rsid w:val="00493C25"/>
    <w:rsid w:val="00493C9B"/>
    <w:rsid w:val="00493CDB"/>
    <w:rsid w:val="00493EFE"/>
    <w:rsid w:val="00494838"/>
    <w:rsid w:val="00494C09"/>
    <w:rsid w:val="00495203"/>
    <w:rsid w:val="0049557C"/>
    <w:rsid w:val="00495B15"/>
    <w:rsid w:val="004961E2"/>
    <w:rsid w:val="00496785"/>
    <w:rsid w:val="00496A9E"/>
    <w:rsid w:val="00496ACA"/>
    <w:rsid w:val="0049738D"/>
    <w:rsid w:val="0049770B"/>
    <w:rsid w:val="004978A1"/>
    <w:rsid w:val="004978BE"/>
    <w:rsid w:val="00497982"/>
    <w:rsid w:val="00497A57"/>
    <w:rsid w:val="00497C84"/>
    <w:rsid w:val="004A0249"/>
    <w:rsid w:val="004A079A"/>
    <w:rsid w:val="004A07DF"/>
    <w:rsid w:val="004A0820"/>
    <w:rsid w:val="004A11CB"/>
    <w:rsid w:val="004A1846"/>
    <w:rsid w:val="004A1AFB"/>
    <w:rsid w:val="004A20E1"/>
    <w:rsid w:val="004A2171"/>
    <w:rsid w:val="004A2321"/>
    <w:rsid w:val="004A25FE"/>
    <w:rsid w:val="004A2938"/>
    <w:rsid w:val="004A2A31"/>
    <w:rsid w:val="004A2B51"/>
    <w:rsid w:val="004A328D"/>
    <w:rsid w:val="004A369C"/>
    <w:rsid w:val="004A3F1D"/>
    <w:rsid w:val="004A4372"/>
    <w:rsid w:val="004A461D"/>
    <w:rsid w:val="004A4703"/>
    <w:rsid w:val="004A47A1"/>
    <w:rsid w:val="004A47EC"/>
    <w:rsid w:val="004A4908"/>
    <w:rsid w:val="004A537D"/>
    <w:rsid w:val="004A5503"/>
    <w:rsid w:val="004A562F"/>
    <w:rsid w:val="004A5800"/>
    <w:rsid w:val="004A64B0"/>
    <w:rsid w:val="004A68EA"/>
    <w:rsid w:val="004A6906"/>
    <w:rsid w:val="004A6C82"/>
    <w:rsid w:val="004A777B"/>
    <w:rsid w:val="004A77A9"/>
    <w:rsid w:val="004A7C94"/>
    <w:rsid w:val="004A7DAF"/>
    <w:rsid w:val="004A7E87"/>
    <w:rsid w:val="004B00F8"/>
    <w:rsid w:val="004B013B"/>
    <w:rsid w:val="004B02D0"/>
    <w:rsid w:val="004B0356"/>
    <w:rsid w:val="004B0563"/>
    <w:rsid w:val="004B06A2"/>
    <w:rsid w:val="004B0FD8"/>
    <w:rsid w:val="004B15FF"/>
    <w:rsid w:val="004B1935"/>
    <w:rsid w:val="004B202A"/>
    <w:rsid w:val="004B20C0"/>
    <w:rsid w:val="004B2288"/>
    <w:rsid w:val="004B22FB"/>
    <w:rsid w:val="004B2484"/>
    <w:rsid w:val="004B2550"/>
    <w:rsid w:val="004B25BA"/>
    <w:rsid w:val="004B29CF"/>
    <w:rsid w:val="004B2A74"/>
    <w:rsid w:val="004B2E36"/>
    <w:rsid w:val="004B2EBD"/>
    <w:rsid w:val="004B3148"/>
    <w:rsid w:val="004B3384"/>
    <w:rsid w:val="004B3D97"/>
    <w:rsid w:val="004B4123"/>
    <w:rsid w:val="004B41FF"/>
    <w:rsid w:val="004B4299"/>
    <w:rsid w:val="004B438B"/>
    <w:rsid w:val="004B44F8"/>
    <w:rsid w:val="004B457B"/>
    <w:rsid w:val="004B478B"/>
    <w:rsid w:val="004B4AC3"/>
    <w:rsid w:val="004B4BE8"/>
    <w:rsid w:val="004B4C9F"/>
    <w:rsid w:val="004B539D"/>
    <w:rsid w:val="004B5777"/>
    <w:rsid w:val="004B582F"/>
    <w:rsid w:val="004B650C"/>
    <w:rsid w:val="004B6954"/>
    <w:rsid w:val="004B698A"/>
    <w:rsid w:val="004B7880"/>
    <w:rsid w:val="004B7938"/>
    <w:rsid w:val="004B7B4F"/>
    <w:rsid w:val="004C01EF"/>
    <w:rsid w:val="004C02FE"/>
    <w:rsid w:val="004C045A"/>
    <w:rsid w:val="004C0626"/>
    <w:rsid w:val="004C0BBD"/>
    <w:rsid w:val="004C0D28"/>
    <w:rsid w:val="004C10F0"/>
    <w:rsid w:val="004C13A8"/>
    <w:rsid w:val="004C188D"/>
    <w:rsid w:val="004C1D8E"/>
    <w:rsid w:val="004C1E23"/>
    <w:rsid w:val="004C2CDC"/>
    <w:rsid w:val="004C30EA"/>
    <w:rsid w:val="004C31BB"/>
    <w:rsid w:val="004C32C5"/>
    <w:rsid w:val="004C3321"/>
    <w:rsid w:val="004C35CE"/>
    <w:rsid w:val="004C3B3B"/>
    <w:rsid w:val="004C3D15"/>
    <w:rsid w:val="004C41ED"/>
    <w:rsid w:val="004C425E"/>
    <w:rsid w:val="004C4290"/>
    <w:rsid w:val="004C43EB"/>
    <w:rsid w:val="004C46B4"/>
    <w:rsid w:val="004C47E9"/>
    <w:rsid w:val="004C4832"/>
    <w:rsid w:val="004C49EA"/>
    <w:rsid w:val="004C4A6F"/>
    <w:rsid w:val="004C4BBD"/>
    <w:rsid w:val="004C5038"/>
    <w:rsid w:val="004C50DD"/>
    <w:rsid w:val="004C5256"/>
    <w:rsid w:val="004C54D5"/>
    <w:rsid w:val="004C5AD6"/>
    <w:rsid w:val="004C5C11"/>
    <w:rsid w:val="004C6001"/>
    <w:rsid w:val="004C61B3"/>
    <w:rsid w:val="004C6682"/>
    <w:rsid w:val="004C6871"/>
    <w:rsid w:val="004C69A8"/>
    <w:rsid w:val="004C6F64"/>
    <w:rsid w:val="004C70CD"/>
    <w:rsid w:val="004C7F7F"/>
    <w:rsid w:val="004D0AEA"/>
    <w:rsid w:val="004D0BE4"/>
    <w:rsid w:val="004D0D07"/>
    <w:rsid w:val="004D0D69"/>
    <w:rsid w:val="004D0DA1"/>
    <w:rsid w:val="004D0F2B"/>
    <w:rsid w:val="004D1024"/>
    <w:rsid w:val="004D1590"/>
    <w:rsid w:val="004D1725"/>
    <w:rsid w:val="004D1949"/>
    <w:rsid w:val="004D1A25"/>
    <w:rsid w:val="004D1A7C"/>
    <w:rsid w:val="004D1AC8"/>
    <w:rsid w:val="004D1B11"/>
    <w:rsid w:val="004D1E25"/>
    <w:rsid w:val="004D1E79"/>
    <w:rsid w:val="004D1F7B"/>
    <w:rsid w:val="004D200D"/>
    <w:rsid w:val="004D2031"/>
    <w:rsid w:val="004D2048"/>
    <w:rsid w:val="004D2080"/>
    <w:rsid w:val="004D29F8"/>
    <w:rsid w:val="004D3043"/>
    <w:rsid w:val="004D3395"/>
    <w:rsid w:val="004D339E"/>
    <w:rsid w:val="004D36CD"/>
    <w:rsid w:val="004D3B0C"/>
    <w:rsid w:val="004D3B87"/>
    <w:rsid w:val="004D3C85"/>
    <w:rsid w:val="004D3E16"/>
    <w:rsid w:val="004D3F91"/>
    <w:rsid w:val="004D41EF"/>
    <w:rsid w:val="004D4393"/>
    <w:rsid w:val="004D4414"/>
    <w:rsid w:val="004D45E9"/>
    <w:rsid w:val="004D4BF9"/>
    <w:rsid w:val="004D5708"/>
    <w:rsid w:val="004D5E76"/>
    <w:rsid w:val="004D5EE6"/>
    <w:rsid w:val="004D60E7"/>
    <w:rsid w:val="004D614A"/>
    <w:rsid w:val="004D63A4"/>
    <w:rsid w:val="004D6417"/>
    <w:rsid w:val="004D65D3"/>
    <w:rsid w:val="004D688F"/>
    <w:rsid w:val="004D68B8"/>
    <w:rsid w:val="004D693C"/>
    <w:rsid w:val="004D700C"/>
    <w:rsid w:val="004D71F3"/>
    <w:rsid w:val="004D7881"/>
    <w:rsid w:val="004D7EC1"/>
    <w:rsid w:val="004E0216"/>
    <w:rsid w:val="004E04A4"/>
    <w:rsid w:val="004E0629"/>
    <w:rsid w:val="004E0CF5"/>
    <w:rsid w:val="004E0E11"/>
    <w:rsid w:val="004E0E24"/>
    <w:rsid w:val="004E1A42"/>
    <w:rsid w:val="004E1D8F"/>
    <w:rsid w:val="004E1E35"/>
    <w:rsid w:val="004E1E83"/>
    <w:rsid w:val="004E1ED5"/>
    <w:rsid w:val="004E27C6"/>
    <w:rsid w:val="004E282C"/>
    <w:rsid w:val="004E2A06"/>
    <w:rsid w:val="004E2A6A"/>
    <w:rsid w:val="004E2EB0"/>
    <w:rsid w:val="004E369E"/>
    <w:rsid w:val="004E374E"/>
    <w:rsid w:val="004E3E07"/>
    <w:rsid w:val="004E3F21"/>
    <w:rsid w:val="004E3FA1"/>
    <w:rsid w:val="004E45C5"/>
    <w:rsid w:val="004E463B"/>
    <w:rsid w:val="004E4816"/>
    <w:rsid w:val="004E4D06"/>
    <w:rsid w:val="004E4D56"/>
    <w:rsid w:val="004E4F00"/>
    <w:rsid w:val="004E50FB"/>
    <w:rsid w:val="004E517E"/>
    <w:rsid w:val="004E608A"/>
    <w:rsid w:val="004E62F1"/>
    <w:rsid w:val="004E6405"/>
    <w:rsid w:val="004E7042"/>
    <w:rsid w:val="004E7823"/>
    <w:rsid w:val="004E7950"/>
    <w:rsid w:val="004E7A3C"/>
    <w:rsid w:val="004E7DCE"/>
    <w:rsid w:val="004F0217"/>
    <w:rsid w:val="004F0834"/>
    <w:rsid w:val="004F09CA"/>
    <w:rsid w:val="004F09F8"/>
    <w:rsid w:val="004F0AFB"/>
    <w:rsid w:val="004F0FE7"/>
    <w:rsid w:val="004F11F0"/>
    <w:rsid w:val="004F23FF"/>
    <w:rsid w:val="004F27D5"/>
    <w:rsid w:val="004F2A33"/>
    <w:rsid w:val="004F3145"/>
    <w:rsid w:val="004F3DA6"/>
    <w:rsid w:val="004F42B3"/>
    <w:rsid w:val="004F43C7"/>
    <w:rsid w:val="004F446B"/>
    <w:rsid w:val="004F466B"/>
    <w:rsid w:val="004F47FC"/>
    <w:rsid w:val="004F497B"/>
    <w:rsid w:val="004F4B7C"/>
    <w:rsid w:val="004F4BC6"/>
    <w:rsid w:val="004F5297"/>
    <w:rsid w:val="004F56BD"/>
    <w:rsid w:val="004F6A4F"/>
    <w:rsid w:val="004F6F89"/>
    <w:rsid w:val="004F7023"/>
    <w:rsid w:val="004F729D"/>
    <w:rsid w:val="004F73D3"/>
    <w:rsid w:val="004F7469"/>
    <w:rsid w:val="004F7CC6"/>
    <w:rsid w:val="004F7E76"/>
    <w:rsid w:val="0050001F"/>
    <w:rsid w:val="005006C4"/>
    <w:rsid w:val="005006EE"/>
    <w:rsid w:val="00500B85"/>
    <w:rsid w:val="00500E98"/>
    <w:rsid w:val="00501254"/>
    <w:rsid w:val="00501294"/>
    <w:rsid w:val="00501300"/>
    <w:rsid w:val="00501418"/>
    <w:rsid w:val="00501490"/>
    <w:rsid w:val="005015C1"/>
    <w:rsid w:val="005016A3"/>
    <w:rsid w:val="00501AA1"/>
    <w:rsid w:val="00501D75"/>
    <w:rsid w:val="00502118"/>
    <w:rsid w:val="005026F1"/>
    <w:rsid w:val="00503162"/>
    <w:rsid w:val="005033B7"/>
    <w:rsid w:val="00503458"/>
    <w:rsid w:val="0050392A"/>
    <w:rsid w:val="0050424F"/>
    <w:rsid w:val="00504780"/>
    <w:rsid w:val="0050493E"/>
    <w:rsid w:val="005049AA"/>
    <w:rsid w:val="005049BB"/>
    <w:rsid w:val="0050533C"/>
    <w:rsid w:val="00505745"/>
    <w:rsid w:val="00505800"/>
    <w:rsid w:val="00505E00"/>
    <w:rsid w:val="00506317"/>
    <w:rsid w:val="00506374"/>
    <w:rsid w:val="005065E1"/>
    <w:rsid w:val="00506CE9"/>
    <w:rsid w:val="00506E54"/>
    <w:rsid w:val="005078D0"/>
    <w:rsid w:val="00507D15"/>
    <w:rsid w:val="00507D5E"/>
    <w:rsid w:val="00507FAD"/>
    <w:rsid w:val="0051009C"/>
    <w:rsid w:val="005102DB"/>
    <w:rsid w:val="00510535"/>
    <w:rsid w:val="00510722"/>
    <w:rsid w:val="00510854"/>
    <w:rsid w:val="005108AA"/>
    <w:rsid w:val="00510D83"/>
    <w:rsid w:val="00510E15"/>
    <w:rsid w:val="00510EC6"/>
    <w:rsid w:val="0051105F"/>
    <w:rsid w:val="00511111"/>
    <w:rsid w:val="0051190D"/>
    <w:rsid w:val="00511CAD"/>
    <w:rsid w:val="00511F07"/>
    <w:rsid w:val="005120F6"/>
    <w:rsid w:val="0051213F"/>
    <w:rsid w:val="005122FB"/>
    <w:rsid w:val="005123BE"/>
    <w:rsid w:val="0051248F"/>
    <w:rsid w:val="005125B4"/>
    <w:rsid w:val="00512777"/>
    <w:rsid w:val="005129BB"/>
    <w:rsid w:val="005138A0"/>
    <w:rsid w:val="005138D9"/>
    <w:rsid w:val="00513AA7"/>
    <w:rsid w:val="00513B7B"/>
    <w:rsid w:val="00513EE2"/>
    <w:rsid w:val="005140AB"/>
    <w:rsid w:val="00514257"/>
    <w:rsid w:val="005142B5"/>
    <w:rsid w:val="00514CD0"/>
    <w:rsid w:val="00514E0E"/>
    <w:rsid w:val="0051505C"/>
    <w:rsid w:val="00515602"/>
    <w:rsid w:val="00515A42"/>
    <w:rsid w:val="00515C0F"/>
    <w:rsid w:val="00515DE7"/>
    <w:rsid w:val="00515F4B"/>
    <w:rsid w:val="00515F7F"/>
    <w:rsid w:val="00516501"/>
    <w:rsid w:val="005165D2"/>
    <w:rsid w:val="0051689D"/>
    <w:rsid w:val="00516A62"/>
    <w:rsid w:val="00516C3E"/>
    <w:rsid w:val="00516EF0"/>
    <w:rsid w:val="00517724"/>
    <w:rsid w:val="00517C20"/>
    <w:rsid w:val="00517E33"/>
    <w:rsid w:val="0052027F"/>
    <w:rsid w:val="00520741"/>
    <w:rsid w:val="0052088F"/>
    <w:rsid w:val="005216B2"/>
    <w:rsid w:val="00521ABC"/>
    <w:rsid w:val="00521AFE"/>
    <w:rsid w:val="0052293B"/>
    <w:rsid w:val="00522D2B"/>
    <w:rsid w:val="005230A1"/>
    <w:rsid w:val="005230BB"/>
    <w:rsid w:val="00523249"/>
    <w:rsid w:val="00523AFF"/>
    <w:rsid w:val="00523B36"/>
    <w:rsid w:val="00523EF2"/>
    <w:rsid w:val="00524351"/>
    <w:rsid w:val="005243D2"/>
    <w:rsid w:val="00524783"/>
    <w:rsid w:val="005247C5"/>
    <w:rsid w:val="005248DD"/>
    <w:rsid w:val="00525716"/>
    <w:rsid w:val="00525D1C"/>
    <w:rsid w:val="00526023"/>
    <w:rsid w:val="005266B2"/>
    <w:rsid w:val="0052692C"/>
    <w:rsid w:val="00527190"/>
    <w:rsid w:val="005276B5"/>
    <w:rsid w:val="005277BC"/>
    <w:rsid w:val="005279FD"/>
    <w:rsid w:val="00527AA7"/>
    <w:rsid w:val="00530303"/>
    <w:rsid w:val="005305FC"/>
    <w:rsid w:val="005306E2"/>
    <w:rsid w:val="005312DE"/>
    <w:rsid w:val="0053166E"/>
    <w:rsid w:val="00531BF6"/>
    <w:rsid w:val="00531D65"/>
    <w:rsid w:val="00532113"/>
    <w:rsid w:val="00532201"/>
    <w:rsid w:val="005322B8"/>
    <w:rsid w:val="005324BB"/>
    <w:rsid w:val="00532FD6"/>
    <w:rsid w:val="00533162"/>
    <w:rsid w:val="005331DB"/>
    <w:rsid w:val="00533319"/>
    <w:rsid w:val="00533353"/>
    <w:rsid w:val="0053384D"/>
    <w:rsid w:val="005338F4"/>
    <w:rsid w:val="00533A41"/>
    <w:rsid w:val="00533DFF"/>
    <w:rsid w:val="00533F13"/>
    <w:rsid w:val="005343D5"/>
    <w:rsid w:val="0053469A"/>
    <w:rsid w:val="005347DF"/>
    <w:rsid w:val="0053512F"/>
    <w:rsid w:val="00535365"/>
    <w:rsid w:val="005353B6"/>
    <w:rsid w:val="00535657"/>
    <w:rsid w:val="005357A0"/>
    <w:rsid w:val="005357E7"/>
    <w:rsid w:val="00535978"/>
    <w:rsid w:val="00535AF0"/>
    <w:rsid w:val="00535FE2"/>
    <w:rsid w:val="00536151"/>
    <w:rsid w:val="005363B0"/>
    <w:rsid w:val="0053650A"/>
    <w:rsid w:val="005366F9"/>
    <w:rsid w:val="005367E4"/>
    <w:rsid w:val="00536A64"/>
    <w:rsid w:val="00536B0A"/>
    <w:rsid w:val="00537160"/>
    <w:rsid w:val="005377D4"/>
    <w:rsid w:val="00537A12"/>
    <w:rsid w:val="00537F2F"/>
    <w:rsid w:val="00540238"/>
    <w:rsid w:val="005403EB"/>
    <w:rsid w:val="005405A8"/>
    <w:rsid w:val="005406C5"/>
    <w:rsid w:val="005408FB"/>
    <w:rsid w:val="00540C99"/>
    <w:rsid w:val="00540C9F"/>
    <w:rsid w:val="00540E94"/>
    <w:rsid w:val="00540EEC"/>
    <w:rsid w:val="005413DC"/>
    <w:rsid w:val="00541813"/>
    <w:rsid w:val="00541CA8"/>
    <w:rsid w:val="005425C3"/>
    <w:rsid w:val="00542C05"/>
    <w:rsid w:val="00542C06"/>
    <w:rsid w:val="005433CC"/>
    <w:rsid w:val="00543413"/>
    <w:rsid w:val="00543A66"/>
    <w:rsid w:val="00543C44"/>
    <w:rsid w:val="00543C9F"/>
    <w:rsid w:val="00543DA7"/>
    <w:rsid w:val="005441EE"/>
    <w:rsid w:val="00544298"/>
    <w:rsid w:val="00544522"/>
    <w:rsid w:val="005447E6"/>
    <w:rsid w:val="00544BDE"/>
    <w:rsid w:val="00544EB2"/>
    <w:rsid w:val="00544F7F"/>
    <w:rsid w:val="005450B5"/>
    <w:rsid w:val="00545235"/>
    <w:rsid w:val="0054542D"/>
    <w:rsid w:val="005454E2"/>
    <w:rsid w:val="00545B86"/>
    <w:rsid w:val="00545C33"/>
    <w:rsid w:val="00545F76"/>
    <w:rsid w:val="00545F8B"/>
    <w:rsid w:val="00546115"/>
    <w:rsid w:val="00546E8A"/>
    <w:rsid w:val="00546FCE"/>
    <w:rsid w:val="005470A8"/>
    <w:rsid w:val="00547146"/>
    <w:rsid w:val="00547DB9"/>
    <w:rsid w:val="00547ED4"/>
    <w:rsid w:val="00550268"/>
    <w:rsid w:val="00550E0E"/>
    <w:rsid w:val="00551275"/>
    <w:rsid w:val="005514FC"/>
    <w:rsid w:val="005515AD"/>
    <w:rsid w:val="00551CF8"/>
    <w:rsid w:val="00551D8D"/>
    <w:rsid w:val="00552218"/>
    <w:rsid w:val="00552269"/>
    <w:rsid w:val="00552585"/>
    <w:rsid w:val="00552638"/>
    <w:rsid w:val="00552F0A"/>
    <w:rsid w:val="005535A0"/>
    <w:rsid w:val="00553774"/>
    <w:rsid w:val="00553919"/>
    <w:rsid w:val="00553B4E"/>
    <w:rsid w:val="00554136"/>
    <w:rsid w:val="005547F7"/>
    <w:rsid w:val="00554A1C"/>
    <w:rsid w:val="00554CB2"/>
    <w:rsid w:val="005553CD"/>
    <w:rsid w:val="005553F8"/>
    <w:rsid w:val="005557FC"/>
    <w:rsid w:val="00555CBF"/>
    <w:rsid w:val="00555D41"/>
    <w:rsid w:val="0055603E"/>
    <w:rsid w:val="005562C9"/>
    <w:rsid w:val="0055642A"/>
    <w:rsid w:val="00556E3E"/>
    <w:rsid w:val="00556F9F"/>
    <w:rsid w:val="00556FC3"/>
    <w:rsid w:val="00557349"/>
    <w:rsid w:val="00557404"/>
    <w:rsid w:val="00557470"/>
    <w:rsid w:val="00557BD6"/>
    <w:rsid w:val="00557FC3"/>
    <w:rsid w:val="0056028B"/>
    <w:rsid w:val="0056054A"/>
    <w:rsid w:val="005608E9"/>
    <w:rsid w:val="005609A0"/>
    <w:rsid w:val="00560A1E"/>
    <w:rsid w:val="00560E89"/>
    <w:rsid w:val="005611AF"/>
    <w:rsid w:val="0056128A"/>
    <w:rsid w:val="005612C3"/>
    <w:rsid w:val="005613CB"/>
    <w:rsid w:val="00561676"/>
    <w:rsid w:val="00561689"/>
    <w:rsid w:val="005616F6"/>
    <w:rsid w:val="0056190A"/>
    <w:rsid w:val="00561948"/>
    <w:rsid w:val="00561CBA"/>
    <w:rsid w:val="00561DEA"/>
    <w:rsid w:val="005623B2"/>
    <w:rsid w:val="00562442"/>
    <w:rsid w:val="005628CA"/>
    <w:rsid w:val="00562A03"/>
    <w:rsid w:val="00562F8E"/>
    <w:rsid w:val="0056382E"/>
    <w:rsid w:val="0056406A"/>
    <w:rsid w:val="00564120"/>
    <w:rsid w:val="005653E6"/>
    <w:rsid w:val="00565521"/>
    <w:rsid w:val="0056566B"/>
    <w:rsid w:val="00565C76"/>
    <w:rsid w:val="00565DF2"/>
    <w:rsid w:val="00566786"/>
    <w:rsid w:val="00566EF9"/>
    <w:rsid w:val="00567138"/>
    <w:rsid w:val="005676C3"/>
    <w:rsid w:val="005709E3"/>
    <w:rsid w:val="00570A07"/>
    <w:rsid w:val="00570CBE"/>
    <w:rsid w:val="00571638"/>
    <w:rsid w:val="00571887"/>
    <w:rsid w:val="00571ABB"/>
    <w:rsid w:val="00571C27"/>
    <w:rsid w:val="00571EC8"/>
    <w:rsid w:val="00572D6F"/>
    <w:rsid w:val="00572F80"/>
    <w:rsid w:val="0057369A"/>
    <w:rsid w:val="00573875"/>
    <w:rsid w:val="005738A0"/>
    <w:rsid w:val="00573CA5"/>
    <w:rsid w:val="00573CF0"/>
    <w:rsid w:val="0057409F"/>
    <w:rsid w:val="0057460C"/>
    <w:rsid w:val="005749AB"/>
    <w:rsid w:val="00574A85"/>
    <w:rsid w:val="00574B85"/>
    <w:rsid w:val="00574D38"/>
    <w:rsid w:val="00574EA4"/>
    <w:rsid w:val="00575104"/>
    <w:rsid w:val="0057518F"/>
    <w:rsid w:val="005753EE"/>
    <w:rsid w:val="00575A8A"/>
    <w:rsid w:val="0057605C"/>
    <w:rsid w:val="005762D5"/>
    <w:rsid w:val="00576672"/>
    <w:rsid w:val="00576737"/>
    <w:rsid w:val="005767EF"/>
    <w:rsid w:val="00576A8F"/>
    <w:rsid w:val="00576CA6"/>
    <w:rsid w:val="00576CDE"/>
    <w:rsid w:val="005776EC"/>
    <w:rsid w:val="005779E4"/>
    <w:rsid w:val="00577BF3"/>
    <w:rsid w:val="00577EDF"/>
    <w:rsid w:val="005803AF"/>
    <w:rsid w:val="005804E9"/>
    <w:rsid w:val="00580797"/>
    <w:rsid w:val="00580921"/>
    <w:rsid w:val="00580AC4"/>
    <w:rsid w:val="00580C2D"/>
    <w:rsid w:val="00580E1C"/>
    <w:rsid w:val="0058158F"/>
    <w:rsid w:val="00581791"/>
    <w:rsid w:val="00581989"/>
    <w:rsid w:val="005819DA"/>
    <w:rsid w:val="00581C32"/>
    <w:rsid w:val="00581D87"/>
    <w:rsid w:val="00581ECF"/>
    <w:rsid w:val="00581FC3"/>
    <w:rsid w:val="0058277D"/>
    <w:rsid w:val="00582787"/>
    <w:rsid w:val="0058290A"/>
    <w:rsid w:val="00582F19"/>
    <w:rsid w:val="005830A4"/>
    <w:rsid w:val="00583D15"/>
    <w:rsid w:val="00583DA5"/>
    <w:rsid w:val="00583E00"/>
    <w:rsid w:val="005840B5"/>
    <w:rsid w:val="00584474"/>
    <w:rsid w:val="00584756"/>
    <w:rsid w:val="00584B4E"/>
    <w:rsid w:val="00584FAA"/>
    <w:rsid w:val="0058532A"/>
    <w:rsid w:val="0058542C"/>
    <w:rsid w:val="00585443"/>
    <w:rsid w:val="005854D3"/>
    <w:rsid w:val="0058605D"/>
    <w:rsid w:val="0058618B"/>
    <w:rsid w:val="005862F4"/>
    <w:rsid w:val="00586436"/>
    <w:rsid w:val="0058690A"/>
    <w:rsid w:val="00586944"/>
    <w:rsid w:val="00586A2C"/>
    <w:rsid w:val="0058710F"/>
    <w:rsid w:val="00587280"/>
    <w:rsid w:val="0058761B"/>
    <w:rsid w:val="00587B09"/>
    <w:rsid w:val="00587C0C"/>
    <w:rsid w:val="00587D7B"/>
    <w:rsid w:val="00587F6A"/>
    <w:rsid w:val="00587FBA"/>
    <w:rsid w:val="00590105"/>
    <w:rsid w:val="00590980"/>
    <w:rsid w:val="00590EA6"/>
    <w:rsid w:val="00591081"/>
    <w:rsid w:val="00591475"/>
    <w:rsid w:val="0059192B"/>
    <w:rsid w:val="00591B4D"/>
    <w:rsid w:val="00591BF0"/>
    <w:rsid w:val="00591E7D"/>
    <w:rsid w:val="005920B3"/>
    <w:rsid w:val="005920EA"/>
    <w:rsid w:val="005925D4"/>
    <w:rsid w:val="005926F9"/>
    <w:rsid w:val="005927F7"/>
    <w:rsid w:val="00592AE4"/>
    <w:rsid w:val="00592CA9"/>
    <w:rsid w:val="00592ED9"/>
    <w:rsid w:val="005934F9"/>
    <w:rsid w:val="0059398A"/>
    <w:rsid w:val="00593D9B"/>
    <w:rsid w:val="00594457"/>
    <w:rsid w:val="00594796"/>
    <w:rsid w:val="00594E6A"/>
    <w:rsid w:val="00595AA6"/>
    <w:rsid w:val="0059604E"/>
    <w:rsid w:val="00596200"/>
    <w:rsid w:val="005966BF"/>
    <w:rsid w:val="0059688A"/>
    <w:rsid w:val="00596D62"/>
    <w:rsid w:val="00596E62"/>
    <w:rsid w:val="00596F01"/>
    <w:rsid w:val="0059710F"/>
    <w:rsid w:val="005973FC"/>
    <w:rsid w:val="005973FE"/>
    <w:rsid w:val="005976DD"/>
    <w:rsid w:val="005977C7"/>
    <w:rsid w:val="00597949"/>
    <w:rsid w:val="00597B4C"/>
    <w:rsid w:val="00597BAB"/>
    <w:rsid w:val="005A05CE"/>
    <w:rsid w:val="005A06B3"/>
    <w:rsid w:val="005A0705"/>
    <w:rsid w:val="005A08A9"/>
    <w:rsid w:val="005A0ABE"/>
    <w:rsid w:val="005A0F5A"/>
    <w:rsid w:val="005A12DA"/>
    <w:rsid w:val="005A14BC"/>
    <w:rsid w:val="005A1670"/>
    <w:rsid w:val="005A1AD3"/>
    <w:rsid w:val="005A1B59"/>
    <w:rsid w:val="005A1D19"/>
    <w:rsid w:val="005A1EA7"/>
    <w:rsid w:val="005A20F1"/>
    <w:rsid w:val="005A23F8"/>
    <w:rsid w:val="005A2AD1"/>
    <w:rsid w:val="005A2BF4"/>
    <w:rsid w:val="005A2C93"/>
    <w:rsid w:val="005A2D07"/>
    <w:rsid w:val="005A2E8F"/>
    <w:rsid w:val="005A3145"/>
    <w:rsid w:val="005A31EF"/>
    <w:rsid w:val="005A3BD3"/>
    <w:rsid w:val="005A3BE3"/>
    <w:rsid w:val="005A3C4E"/>
    <w:rsid w:val="005A3DA8"/>
    <w:rsid w:val="005A45A6"/>
    <w:rsid w:val="005A4993"/>
    <w:rsid w:val="005A4A8E"/>
    <w:rsid w:val="005A4E98"/>
    <w:rsid w:val="005A4F2A"/>
    <w:rsid w:val="005A521A"/>
    <w:rsid w:val="005A52E2"/>
    <w:rsid w:val="005A5426"/>
    <w:rsid w:val="005A55D2"/>
    <w:rsid w:val="005A566B"/>
    <w:rsid w:val="005A5933"/>
    <w:rsid w:val="005A5D77"/>
    <w:rsid w:val="005A5D80"/>
    <w:rsid w:val="005A5D8B"/>
    <w:rsid w:val="005A5DC7"/>
    <w:rsid w:val="005A6498"/>
    <w:rsid w:val="005A6529"/>
    <w:rsid w:val="005A69E1"/>
    <w:rsid w:val="005A6A26"/>
    <w:rsid w:val="005A6B68"/>
    <w:rsid w:val="005A6D7E"/>
    <w:rsid w:val="005A71EA"/>
    <w:rsid w:val="005A723C"/>
    <w:rsid w:val="005A742A"/>
    <w:rsid w:val="005A7632"/>
    <w:rsid w:val="005A7F7C"/>
    <w:rsid w:val="005B00B4"/>
    <w:rsid w:val="005B0296"/>
    <w:rsid w:val="005B03A2"/>
    <w:rsid w:val="005B052B"/>
    <w:rsid w:val="005B0B88"/>
    <w:rsid w:val="005B0BD7"/>
    <w:rsid w:val="005B0DD6"/>
    <w:rsid w:val="005B12C0"/>
    <w:rsid w:val="005B17E4"/>
    <w:rsid w:val="005B1863"/>
    <w:rsid w:val="005B1CC9"/>
    <w:rsid w:val="005B212E"/>
    <w:rsid w:val="005B2412"/>
    <w:rsid w:val="005B24C7"/>
    <w:rsid w:val="005B24D0"/>
    <w:rsid w:val="005B2857"/>
    <w:rsid w:val="005B2E3F"/>
    <w:rsid w:val="005B34CA"/>
    <w:rsid w:val="005B3546"/>
    <w:rsid w:val="005B3782"/>
    <w:rsid w:val="005B37A6"/>
    <w:rsid w:val="005B3845"/>
    <w:rsid w:val="005B3B2D"/>
    <w:rsid w:val="005B3E36"/>
    <w:rsid w:val="005B40E7"/>
    <w:rsid w:val="005B4287"/>
    <w:rsid w:val="005B439F"/>
    <w:rsid w:val="005B4811"/>
    <w:rsid w:val="005B492B"/>
    <w:rsid w:val="005B4952"/>
    <w:rsid w:val="005B49A6"/>
    <w:rsid w:val="005B545B"/>
    <w:rsid w:val="005B5589"/>
    <w:rsid w:val="005B56F1"/>
    <w:rsid w:val="005B5741"/>
    <w:rsid w:val="005B5E94"/>
    <w:rsid w:val="005B61A0"/>
    <w:rsid w:val="005B646D"/>
    <w:rsid w:val="005B64E0"/>
    <w:rsid w:val="005B64FF"/>
    <w:rsid w:val="005B6600"/>
    <w:rsid w:val="005B6A06"/>
    <w:rsid w:val="005B755C"/>
    <w:rsid w:val="005B77C6"/>
    <w:rsid w:val="005B7C1F"/>
    <w:rsid w:val="005B7D7C"/>
    <w:rsid w:val="005B7F5F"/>
    <w:rsid w:val="005C002B"/>
    <w:rsid w:val="005C054E"/>
    <w:rsid w:val="005C0EE7"/>
    <w:rsid w:val="005C1A20"/>
    <w:rsid w:val="005C1A43"/>
    <w:rsid w:val="005C1C10"/>
    <w:rsid w:val="005C21A4"/>
    <w:rsid w:val="005C26FD"/>
    <w:rsid w:val="005C27F2"/>
    <w:rsid w:val="005C2861"/>
    <w:rsid w:val="005C29A9"/>
    <w:rsid w:val="005C29F9"/>
    <w:rsid w:val="005C2AE8"/>
    <w:rsid w:val="005C2AF7"/>
    <w:rsid w:val="005C2B22"/>
    <w:rsid w:val="005C2F3B"/>
    <w:rsid w:val="005C3029"/>
    <w:rsid w:val="005C35EE"/>
    <w:rsid w:val="005C361A"/>
    <w:rsid w:val="005C3792"/>
    <w:rsid w:val="005C3793"/>
    <w:rsid w:val="005C380F"/>
    <w:rsid w:val="005C3F2F"/>
    <w:rsid w:val="005C3F92"/>
    <w:rsid w:val="005C40E9"/>
    <w:rsid w:val="005C446B"/>
    <w:rsid w:val="005C47FC"/>
    <w:rsid w:val="005C4A7D"/>
    <w:rsid w:val="005C4CD2"/>
    <w:rsid w:val="005C4D87"/>
    <w:rsid w:val="005C4F75"/>
    <w:rsid w:val="005C5008"/>
    <w:rsid w:val="005C5142"/>
    <w:rsid w:val="005C52CE"/>
    <w:rsid w:val="005C536B"/>
    <w:rsid w:val="005C5F55"/>
    <w:rsid w:val="005C612F"/>
    <w:rsid w:val="005C6398"/>
    <w:rsid w:val="005C6447"/>
    <w:rsid w:val="005C6FF4"/>
    <w:rsid w:val="005C7006"/>
    <w:rsid w:val="005C706A"/>
    <w:rsid w:val="005C75AB"/>
    <w:rsid w:val="005C78AD"/>
    <w:rsid w:val="005C7C82"/>
    <w:rsid w:val="005C7D2B"/>
    <w:rsid w:val="005D0DA9"/>
    <w:rsid w:val="005D1206"/>
    <w:rsid w:val="005D120D"/>
    <w:rsid w:val="005D1556"/>
    <w:rsid w:val="005D1691"/>
    <w:rsid w:val="005D1CCD"/>
    <w:rsid w:val="005D21CA"/>
    <w:rsid w:val="005D245E"/>
    <w:rsid w:val="005D264E"/>
    <w:rsid w:val="005D28B7"/>
    <w:rsid w:val="005D2A7A"/>
    <w:rsid w:val="005D2B3A"/>
    <w:rsid w:val="005D2CE1"/>
    <w:rsid w:val="005D2E34"/>
    <w:rsid w:val="005D30C1"/>
    <w:rsid w:val="005D32AB"/>
    <w:rsid w:val="005D37E3"/>
    <w:rsid w:val="005D3DE5"/>
    <w:rsid w:val="005D4075"/>
    <w:rsid w:val="005D4483"/>
    <w:rsid w:val="005D45AC"/>
    <w:rsid w:val="005D4F89"/>
    <w:rsid w:val="005D537C"/>
    <w:rsid w:val="005D5461"/>
    <w:rsid w:val="005D56A5"/>
    <w:rsid w:val="005D573A"/>
    <w:rsid w:val="005D589B"/>
    <w:rsid w:val="005D5989"/>
    <w:rsid w:val="005D59A5"/>
    <w:rsid w:val="005D5ACB"/>
    <w:rsid w:val="005D6253"/>
    <w:rsid w:val="005D6290"/>
    <w:rsid w:val="005D6471"/>
    <w:rsid w:val="005D64C0"/>
    <w:rsid w:val="005D6B75"/>
    <w:rsid w:val="005D6B7B"/>
    <w:rsid w:val="005D6F20"/>
    <w:rsid w:val="005D6F5E"/>
    <w:rsid w:val="005D7191"/>
    <w:rsid w:val="005D77A4"/>
    <w:rsid w:val="005D7BC0"/>
    <w:rsid w:val="005D7C6F"/>
    <w:rsid w:val="005D7C8F"/>
    <w:rsid w:val="005E0039"/>
    <w:rsid w:val="005E0301"/>
    <w:rsid w:val="005E0449"/>
    <w:rsid w:val="005E09F9"/>
    <w:rsid w:val="005E0AFB"/>
    <w:rsid w:val="005E0CBE"/>
    <w:rsid w:val="005E0E3E"/>
    <w:rsid w:val="005E0ECD"/>
    <w:rsid w:val="005E0FEA"/>
    <w:rsid w:val="005E1074"/>
    <w:rsid w:val="005E136F"/>
    <w:rsid w:val="005E152E"/>
    <w:rsid w:val="005E15E8"/>
    <w:rsid w:val="005E1634"/>
    <w:rsid w:val="005E1894"/>
    <w:rsid w:val="005E1B36"/>
    <w:rsid w:val="005E20D7"/>
    <w:rsid w:val="005E20DC"/>
    <w:rsid w:val="005E20EB"/>
    <w:rsid w:val="005E21DE"/>
    <w:rsid w:val="005E23FF"/>
    <w:rsid w:val="005E24FD"/>
    <w:rsid w:val="005E34E7"/>
    <w:rsid w:val="005E36E6"/>
    <w:rsid w:val="005E3D42"/>
    <w:rsid w:val="005E3D5E"/>
    <w:rsid w:val="005E4389"/>
    <w:rsid w:val="005E4533"/>
    <w:rsid w:val="005E47BB"/>
    <w:rsid w:val="005E49A7"/>
    <w:rsid w:val="005E4D8B"/>
    <w:rsid w:val="005E5317"/>
    <w:rsid w:val="005E58E1"/>
    <w:rsid w:val="005E59A4"/>
    <w:rsid w:val="005E5FB9"/>
    <w:rsid w:val="005E60EA"/>
    <w:rsid w:val="005E6146"/>
    <w:rsid w:val="005E6283"/>
    <w:rsid w:val="005E639E"/>
    <w:rsid w:val="005E67E6"/>
    <w:rsid w:val="005E6C38"/>
    <w:rsid w:val="005E7909"/>
    <w:rsid w:val="005E7BE4"/>
    <w:rsid w:val="005F019A"/>
    <w:rsid w:val="005F019C"/>
    <w:rsid w:val="005F0339"/>
    <w:rsid w:val="005F048D"/>
    <w:rsid w:val="005F049C"/>
    <w:rsid w:val="005F0640"/>
    <w:rsid w:val="005F0705"/>
    <w:rsid w:val="005F0746"/>
    <w:rsid w:val="005F0839"/>
    <w:rsid w:val="005F08A2"/>
    <w:rsid w:val="005F0B15"/>
    <w:rsid w:val="005F0EC5"/>
    <w:rsid w:val="005F10F4"/>
    <w:rsid w:val="005F135A"/>
    <w:rsid w:val="005F15A8"/>
    <w:rsid w:val="005F16C6"/>
    <w:rsid w:val="005F2020"/>
    <w:rsid w:val="005F21F3"/>
    <w:rsid w:val="005F2238"/>
    <w:rsid w:val="005F2327"/>
    <w:rsid w:val="005F239F"/>
    <w:rsid w:val="005F24FF"/>
    <w:rsid w:val="005F2545"/>
    <w:rsid w:val="005F2A38"/>
    <w:rsid w:val="005F2BED"/>
    <w:rsid w:val="005F2C72"/>
    <w:rsid w:val="005F2DB6"/>
    <w:rsid w:val="005F3369"/>
    <w:rsid w:val="005F34BE"/>
    <w:rsid w:val="005F35BD"/>
    <w:rsid w:val="005F35D1"/>
    <w:rsid w:val="005F37BC"/>
    <w:rsid w:val="005F3A4C"/>
    <w:rsid w:val="005F3C8E"/>
    <w:rsid w:val="005F3D47"/>
    <w:rsid w:val="005F3DB6"/>
    <w:rsid w:val="005F4456"/>
    <w:rsid w:val="005F4573"/>
    <w:rsid w:val="005F49E8"/>
    <w:rsid w:val="005F4E95"/>
    <w:rsid w:val="005F4ED4"/>
    <w:rsid w:val="005F5081"/>
    <w:rsid w:val="005F5105"/>
    <w:rsid w:val="005F5170"/>
    <w:rsid w:val="005F51F1"/>
    <w:rsid w:val="005F53CE"/>
    <w:rsid w:val="005F5AB8"/>
    <w:rsid w:val="005F5C49"/>
    <w:rsid w:val="005F603E"/>
    <w:rsid w:val="005F6097"/>
    <w:rsid w:val="005F6523"/>
    <w:rsid w:val="005F6894"/>
    <w:rsid w:val="005F6AAA"/>
    <w:rsid w:val="005F6AE5"/>
    <w:rsid w:val="005F732A"/>
    <w:rsid w:val="005F757C"/>
    <w:rsid w:val="005F75BC"/>
    <w:rsid w:val="006001D6"/>
    <w:rsid w:val="006004A3"/>
    <w:rsid w:val="00600570"/>
    <w:rsid w:val="006005C8"/>
    <w:rsid w:val="006009B5"/>
    <w:rsid w:val="00600AC6"/>
    <w:rsid w:val="00600CC6"/>
    <w:rsid w:val="00600FDD"/>
    <w:rsid w:val="00601365"/>
    <w:rsid w:val="006014B9"/>
    <w:rsid w:val="006017C8"/>
    <w:rsid w:val="00601DC1"/>
    <w:rsid w:val="00601E90"/>
    <w:rsid w:val="00601E94"/>
    <w:rsid w:val="006023EB"/>
    <w:rsid w:val="00602635"/>
    <w:rsid w:val="00602763"/>
    <w:rsid w:val="00602793"/>
    <w:rsid w:val="00602CCB"/>
    <w:rsid w:val="00602EF3"/>
    <w:rsid w:val="006032F4"/>
    <w:rsid w:val="00603351"/>
    <w:rsid w:val="00603460"/>
    <w:rsid w:val="00603464"/>
    <w:rsid w:val="00603B3F"/>
    <w:rsid w:val="00603B4F"/>
    <w:rsid w:val="00603C23"/>
    <w:rsid w:val="006040E3"/>
    <w:rsid w:val="0060439F"/>
    <w:rsid w:val="006047CD"/>
    <w:rsid w:val="00604DAB"/>
    <w:rsid w:val="00604E80"/>
    <w:rsid w:val="00604E9C"/>
    <w:rsid w:val="00605386"/>
    <w:rsid w:val="00605ADC"/>
    <w:rsid w:val="00605D07"/>
    <w:rsid w:val="0060626E"/>
    <w:rsid w:val="006065E9"/>
    <w:rsid w:val="006069A5"/>
    <w:rsid w:val="00606ACF"/>
    <w:rsid w:val="00607288"/>
    <w:rsid w:val="00607350"/>
    <w:rsid w:val="0060792B"/>
    <w:rsid w:val="006079E8"/>
    <w:rsid w:val="00607A83"/>
    <w:rsid w:val="00610676"/>
    <w:rsid w:val="00610884"/>
    <w:rsid w:val="00610F83"/>
    <w:rsid w:val="00611303"/>
    <w:rsid w:val="00611627"/>
    <w:rsid w:val="00611737"/>
    <w:rsid w:val="00611BA1"/>
    <w:rsid w:val="00611C3B"/>
    <w:rsid w:val="00612005"/>
    <w:rsid w:val="00612310"/>
    <w:rsid w:val="00612553"/>
    <w:rsid w:val="00612969"/>
    <w:rsid w:val="0061314B"/>
    <w:rsid w:val="006132A5"/>
    <w:rsid w:val="00613541"/>
    <w:rsid w:val="006137FE"/>
    <w:rsid w:val="00613B5A"/>
    <w:rsid w:val="00613F3E"/>
    <w:rsid w:val="00614764"/>
    <w:rsid w:val="00614C17"/>
    <w:rsid w:val="00616516"/>
    <w:rsid w:val="006166A0"/>
    <w:rsid w:val="00616C6A"/>
    <w:rsid w:val="00616F39"/>
    <w:rsid w:val="0061752C"/>
    <w:rsid w:val="006178BA"/>
    <w:rsid w:val="00617A14"/>
    <w:rsid w:val="00617F47"/>
    <w:rsid w:val="00620593"/>
    <w:rsid w:val="00620893"/>
    <w:rsid w:val="00620BA2"/>
    <w:rsid w:val="00620C71"/>
    <w:rsid w:val="00620F34"/>
    <w:rsid w:val="006216AD"/>
    <w:rsid w:val="00621B91"/>
    <w:rsid w:val="0062219F"/>
    <w:rsid w:val="006221CB"/>
    <w:rsid w:val="0062224F"/>
    <w:rsid w:val="0062285D"/>
    <w:rsid w:val="006228E5"/>
    <w:rsid w:val="00622F71"/>
    <w:rsid w:val="0062329A"/>
    <w:rsid w:val="006232CC"/>
    <w:rsid w:val="0062332A"/>
    <w:rsid w:val="00623417"/>
    <w:rsid w:val="006238D6"/>
    <w:rsid w:val="00623908"/>
    <w:rsid w:val="00623A64"/>
    <w:rsid w:val="00623BC3"/>
    <w:rsid w:val="00623D4E"/>
    <w:rsid w:val="00624297"/>
    <w:rsid w:val="0062458F"/>
    <w:rsid w:val="006245C1"/>
    <w:rsid w:val="0062462F"/>
    <w:rsid w:val="0062483F"/>
    <w:rsid w:val="006248E8"/>
    <w:rsid w:val="00624A71"/>
    <w:rsid w:val="006255C8"/>
    <w:rsid w:val="0062561B"/>
    <w:rsid w:val="00625623"/>
    <w:rsid w:val="00625801"/>
    <w:rsid w:val="0062586D"/>
    <w:rsid w:val="0062591B"/>
    <w:rsid w:val="006262A4"/>
    <w:rsid w:val="006262BC"/>
    <w:rsid w:val="00626803"/>
    <w:rsid w:val="00626A50"/>
    <w:rsid w:val="00626DEF"/>
    <w:rsid w:val="00627038"/>
    <w:rsid w:val="006271BD"/>
    <w:rsid w:val="0062723A"/>
    <w:rsid w:val="006277AC"/>
    <w:rsid w:val="006277D3"/>
    <w:rsid w:val="00627B23"/>
    <w:rsid w:val="00627B35"/>
    <w:rsid w:val="00627BAD"/>
    <w:rsid w:val="006308BA"/>
    <w:rsid w:val="0063137E"/>
    <w:rsid w:val="00631B4F"/>
    <w:rsid w:val="00631BC4"/>
    <w:rsid w:val="0063231B"/>
    <w:rsid w:val="00632714"/>
    <w:rsid w:val="0063275D"/>
    <w:rsid w:val="00632FBC"/>
    <w:rsid w:val="0063308F"/>
    <w:rsid w:val="00633351"/>
    <w:rsid w:val="0063343D"/>
    <w:rsid w:val="00633592"/>
    <w:rsid w:val="00633727"/>
    <w:rsid w:val="0063497B"/>
    <w:rsid w:val="00634DD5"/>
    <w:rsid w:val="00634E3D"/>
    <w:rsid w:val="0063507C"/>
    <w:rsid w:val="006351BE"/>
    <w:rsid w:val="006353A2"/>
    <w:rsid w:val="00635890"/>
    <w:rsid w:val="006359BD"/>
    <w:rsid w:val="00635D40"/>
    <w:rsid w:val="00635E2F"/>
    <w:rsid w:val="00635F6D"/>
    <w:rsid w:val="006360F8"/>
    <w:rsid w:val="006365C5"/>
    <w:rsid w:val="00636A38"/>
    <w:rsid w:val="00636CE2"/>
    <w:rsid w:val="00636EA7"/>
    <w:rsid w:val="00636F44"/>
    <w:rsid w:val="00636F67"/>
    <w:rsid w:val="00637069"/>
    <w:rsid w:val="006376B6"/>
    <w:rsid w:val="0063785D"/>
    <w:rsid w:val="00637A69"/>
    <w:rsid w:val="00637C6D"/>
    <w:rsid w:val="00637CA7"/>
    <w:rsid w:val="00637DAA"/>
    <w:rsid w:val="0064021E"/>
    <w:rsid w:val="006411EA"/>
    <w:rsid w:val="00641412"/>
    <w:rsid w:val="006414CB"/>
    <w:rsid w:val="0064196A"/>
    <w:rsid w:val="00641A77"/>
    <w:rsid w:val="00641E1B"/>
    <w:rsid w:val="00642100"/>
    <w:rsid w:val="00642101"/>
    <w:rsid w:val="00642192"/>
    <w:rsid w:val="0064231D"/>
    <w:rsid w:val="00642392"/>
    <w:rsid w:val="0064269E"/>
    <w:rsid w:val="00643132"/>
    <w:rsid w:val="00643717"/>
    <w:rsid w:val="00643FB1"/>
    <w:rsid w:val="006442B5"/>
    <w:rsid w:val="00644609"/>
    <w:rsid w:val="0064480C"/>
    <w:rsid w:val="00644F20"/>
    <w:rsid w:val="00644F9A"/>
    <w:rsid w:val="00645164"/>
    <w:rsid w:val="00645634"/>
    <w:rsid w:val="00645765"/>
    <w:rsid w:val="006458BB"/>
    <w:rsid w:val="00645C24"/>
    <w:rsid w:val="00645EFD"/>
    <w:rsid w:val="00645F35"/>
    <w:rsid w:val="00645FDF"/>
    <w:rsid w:val="0064609F"/>
    <w:rsid w:val="00646190"/>
    <w:rsid w:val="006462BB"/>
    <w:rsid w:val="006462F2"/>
    <w:rsid w:val="006463EA"/>
    <w:rsid w:val="00646430"/>
    <w:rsid w:val="00646679"/>
    <w:rsid w:val="00646943"/>
    <w:rsid w:val="00646A1E"/>
    <w:rsid w:val="00646CCE"/>
    <w:rsid w:val="0064737B"/>
    <w:rsid w:val="00647715"/>
    <w:rsid w:val="0064783D"/>
    <w:rsid w:val="00647ECB"/>
    <w:rsid w:val="006501D2"/>
    <w:rsid w:val="006501E8"/>
    <w:rsid w:val="006503AE"/>
    <w:rsid w:val="00650819"/>
    <w:rsid w:val="006511C8"/>
    <w:rsid w:val="006516BF"/>
    <w:rsid w:val="006517D9"/>
    <w:rsid w:val="00651880"/>
    <w:rsid w:val="00652174"/>
    <w:rsid w:val="006521D6"/>
    <w:rsid w:val="00652673"/>
    <w:rsid w:val="00652821"/>
    <w:rsid w:val="0065299F"/>
    <w:rsid w:val="00652AAE"/>
    <w:rsid w:val="00652C16"/>
    <w:rsid w:val="00652D8B"/>
    <w:rsid w:val="006533AD"/>
    <w:rsid w:val="00653885"/>
    <w:rsid w:val="00653D09"/>
    <w:rsid w:val="00654DF7"/>
    <w:rsid w:val="00654EF2"/>
    <w:rsid w:val="00654FD8"/>
    <w:rsid w:val="00654FE1"/>
    <w:rsid w:val="0065520F"/>
    <w:rsid w:val="006553C4"/>
    <w:rsid w:val="0065541A"/>
    <w:rsid w:val="00655B97"/>
    <w:rsid w:val="006562F1"/>
    <w:rsid w:val="006565B4"/>
    <w:rsid w:val="00656B55"/>
    <w:rsid w:val="00656D0A"/>
    <w:rsid w:val="0065740F"/>
    <w:rsid w:val="0065768A"/>
    <w:rsid w:val="00657A5E"/>
    <w:rsid w:val="00660084"/>
    <w:rsid w:val="0066074A"/>
    <w:rsid w:val="00660AB6"/>
    <w:rsid w:val="00660D6A"/>
    <w:rsid w:val="006611AB"/>
    <w:rsid w:val="00661806"/>
    <w:rsid w:val="0066190C"/>
    <w:rsid w:val="00661F4F"/>
    <w:rsid w:val="00662147"/>
    <w:rsid w:val="006621BC"/>
    <w:rsid w:val="0066260F"/>
    <w:rsid w:val="0066271F"/>
    <w:rsid w:val="006627A7"/>
    <w:rsid w:val="00662A63"/>
    <w:rsid w:val="00662F72"/>
    <w:rsid w:val="00663302"/>
    <w:rsid w:val="006633F8"/>
    <w:rsid w:val="006634D7"/>
    <w:rsid w:val="0066362C"/>
    <w:rsid w:val="0066384D"/>
    <w:rsid w:val="00664110"/>
    <w:rsid w:val="006643E7"/>
    <w:rsid w:val="00664460"/>
    <w:rsid w:val="006647B7"/>
    <w:rsid w:val="0066497F"/>
    <w:rsid w:val="0066498F"/>
    <w:rsid w:val="00664A3F"/>
    <w:rsid w:val="00664C21"/>
    <w:rsid w:val="0066515C"/>
    <w:rsid w:val="006653F5"/>
    <w:rsid w:val="006654C0"/>
    <w:rsid w:val="006656DD"/>
    <w:rsid w:val="00665DCA"/>
    <w:rsid w:val="00665EAA"/>
    <w:rsid w:val="0066656D"/>
    <w:rsid w:val="00666B06"/>
    <w:rsid w:val="006671E1"/>
    <w:rsid w:val="00667554"/>
    <w:rsid w:val="00667B93"/>
    <w:rsid w:val="00667F3A"/>
    <w:rsid w:val="00670A93"/>
    <w:rsid w:val="00670D7F"/>
    <w:rsid w:val="0067148E"/>
    <w:rsid w:val="00671BDC"/>
    <w:rsid w:val="00671E1C"/>
    <w:rsid w:val="006721E6"/>
    <w:rsid w:val="006725A1"/>
    <w:rsid w:val="0067291D"/>
    <w:rsid w:val="00672C21"/>
    <w:rsid w:val="00672E0C"/>
    <w:rsid w:val="00672E83"/>
    <w:rsid w:val="00673F85"/>
    <w:rsid w:val="006740E7"/>
    <w:rsid w:val="006741F9"/>
    <w:rsid w:val="006742B7"/>
    <w:rsid w:val="00674C30"/>
    <w:rsid w:val="0067529F"/>
    <w:rsid w:val="006753F4"/>
    <w:rsid w:val="00675441"/>
    <w:rsid w:val="00676245"/>
    <w:rsid w:val="00676818"/>
    <w:rsid w:val="006768F0"/>
    <w:rsid w:val="00676E04"/>
    <w:rsid w:val="00676F93"/>
    <w:rsid w:val="0067730C"/>
    <w:rsid w:val="006773E0"/>
    <w:rsid w:val="00677441"/>
    <w:rsid w:val="00677F94"/>
    <w:rsid w:val="00677FE3"/>
    <w:rsid w:val="00680DBD"/>
    <w:rsid w:val="0068191D"/>
    <w:rsid w:val="00681D1B"/>
    <w:rsid w:val="00681F27"/>
    <w:rsid w:val="00681F29"/>
    <w:rsid w:val="006823C6"/>
    <w:rsid w:val="006823ED"/>
    <w:rsid w:val="00682548"/>
    <w:rsid w:val="00682622"/>
    <w:rsid w:val="00682B47"/>
    <w:rsid w:val="00682C5F"/>
    <w:rsid w:val="00683098"/>
    <w:rsid w:val="006830CF"/>
    <w:rsid w:val="00683129"/>
    <w:rsid w:val="00683225"/>
    <w:rsid w:val="006838BC"/>
    <w:rsid w:val="00683A31"/>
    <w:rsid w:val="006842FE"/>
    <w:rsid w:val="006846A1"/>
    <w:rsid w:val="00684A00"/>
    <w:rsid w:val="00684B7F"/>
    <w:rsid w:val="00684C40"/>
    <w:rsid w:val="00684C62"/>
    <w:rsid w:val="00684E32"/>
    <w:rsid w:val="0068515B"/>
    <w:rsid w:val="00685224"/>
    <w:rsid w:val="0068542C"/>
    <w:rsid w:val="00685A5E"/>
    <w:rsid w:val="00685B7D"/>
    <w:rsid w:val="00685CE6"/>
    <w:rsid w:val="00685E3A"/>
    <w:rsid w:val="0068618C"/>
    <w:rsid w:val="0068652B"/>
    <w:rsid w:val="006868E4"/>
    <w:rsid w:val="006868E6"/>
    <w:rsid w:val="00686BB2"/>
    <w:rsid w:val="00686EA3"/>
    <w:rsid w:val="006875D3"/>
    <w:rsid w:val="0068762C"/>
    <w:rsid w:val="006877B4"/>
    <w:rsid w:val="006877C3"/>
    <w:rsid w:val="00687A63"/>
    <w:rsid w:val="00687B8B"/>
    <w:rsid w:val="0069000C"/>
    <w:rsid w:val="00690101"/>
    <w:rsid w:val="006907AA"/>
    <w:rsid w:val="00690FB3"/>
    <w:rsid w:val="0069104E"/>
    <w:rsid w:val="006911E3"/>
    <w:rsid w:val="00691FF5"/>
    <w:rsid w:val="0069217C"/>
    <w:rsid w:val="00692478"/>
    <w:rsid w:val="006927C3"/>
    <w:rsid w:val="006928DE"/>
    <w:rsid w:val="00692C4E"/>
    <w:rsid w:val="00692D99"/>
    <w:rsid w:val="006936AC"/>
    <w:rsid w:val="006939F2"/>
    <w:rsid w:val="00693B80"/>
    <w:rsid w:val="006941BC"/>
    <w:rsid w:val="00694315"/>
    <w:rsid w:val="006945DE"/>
    <w:rsid w:val="00694ECC"/>
    <w:rsid w:val="00695350"/>
    <w:rsid w:val="0069547B"/>
    <w:rsid w:val="00695692"/>
    <w:rsid w:val="00695BF9"/>
    <w:rsid w:val="00696196"/>
    <w:rsid w:val="0069657F"/>
    <w:rsid w:val="006967BE"/>
    <w:rsid w:val="00696B9C"/>
    <w:rsid w:val="006973C2"/>
    <w:rsid w:val="006974C4"/>
    <w:rsid w:val="0069776C"/>
    <w:rsid w:val="00697794"/>
    <w:rsid w:val="00697E0B"/>
    <w:rsid w:val="006A01DB"/>
    <w:rsid w:val="006A03B9"/>
    <w:rsid w:val="006A0624"/>
    <w:rsid w:val="006A0F1D"/>
    <w:rsid w:val="006A1085"/>
    <w:rsid w:val="006A1101"/>
    <w:rsid w:val="006A1222"/>
    <w:rsid w:val="006A12F9"/>
    <w:rsid w:val="006A144F"/>
    <w:rsid w:val="006A1570"/>
    <w:rsid w:val="006A2030"/>
    <w:rsid w:val="006A283B"/>
    <w:rsid w:val="006A2A40"/>
    <w:rsid w:val="006A2A6D"/>
    <w:rsid w:val="006A2AC0"/>
    <w:rsid w:val="006A3076"/>
    <w:rsid w:val="006A371A"/>
    <w:rsid w:val="006A38F0"/>
    <w:rsid w:val="006A3C75"/>
    <w:rsid w:val="006A4288"/>
    <w:rsid w:val="006A4555"/>
    <w:rsid w:val="006A46B0"/>
    <w:rsid w:val="006A4AC1"/>
    <w:rsid w:val="006A4BD1"/>
    <w:rsid w:val="006A5886"/>
    <w:rsid w:val="006A593B"/>
    <w:rsid w:val="006A5B14"/>
    <w:rsid w:val="006A5D19"/>
    <w:rsid w:val="006A5F93"/>
    <w:rsid w:val="006A683B"/>
    <w:rsid w:val="006A6AD2"/>
    <w:rsid w:val="006A718C"/>
    <w:rsid w:val="006A7359"/>
    <w:rsid w:val="006A7756"/>
    <w:rsid w:val="006A77A1"/>
    <w:rsid w:val="006A7936"/>
    <w:rsid w:val="006A7B70"/>
    <w:rsid w:val="006B00A3"/>
    <w:rsid w:val="006B02A0"/>
    <w:rsid w:val="006B0587"/>
    <w:rsid w:val="006B093D"/>
    <w:rsid w:val="006B09BA"/>
    <w:rsid w:val="006B0BD3"/>
    <w:rsid w:val="006B0F61"/>
    <w:rsid w:val="006B0FE9"/>
    <w:rsid w:val="006B1492"/>
    <w:rsid w:val="006B160D"/>
    <w:rsid w:val="006B1A05"/>
    <w:rsid w:val="006B1E2F"/>
    <w:rsid w:val="006B22A6"/>
    <w:rsid w:val="006B252C"/>
    <w:rsid w:val="006B2626"/>
    <w:rsid w:val="006B29C5"/>
    <w:rsid w:val="006B2B66"/>
    <w:rsid w:val="006B2F4E"/>
    <w:rsid w:val="006B343E"/>
    <w:rsid w:val="006B351E"/>
    <w:rsid w:val="006B35E0"/>
    <w:rsid w:val="006B3640"/>
    <w:rsid w:val="006B365A"/>
    <w:rsid w:val="006B379B"/>
    <w:rsid w:val="006B3DA1"/>
    <w:rsid w:val="006B40AD"/>
    <w:rsid w:val="006B4193"/>
    <w:rsid w:val="006B426C"/>
    <w:rsid w:val="006B44B3"/>
    <w:rsid w:val="006B4619"/>
    <w:rsid w:val="006B4850"/>
    <w:rsid w:val="006B4A27"/>
    <w:rsid w:val="006B4ED4"/>
    <w:rsid w:val="006B532A"/>
    <w:rsid w:val="006B5740"/>
    <w:rsid w:val="006B59D0"/>
    <w:rsid w:val="006B5A57"/>
    <w:rsid w:val="006B5BFF"/>
    <w:rsid w:val="006B5D34"/>
    <w:rsid w:val="006B5DFD"/>
    <w:rsid w:val="006B5E96"/>
    <w:rsid w:val="006B5F24"/>
    <w:rsid w:val="006B5F83"/>
    <w:rsid w:val="006B634D"/>
    <w:rsid w:val="006B6376"/>
    <w:rsid w:val="006B638F"/>
    <w:rsid w:val="006B667C"/>
    <w:rsid w:val="006B6DE7"/>
    <w:rsid w:val="006B6FC6"/>
    <w:rsid w:val="006B7D6A"/>
    <w:rsid w:val="006B7E68"/>
    <w:rsid w:val="006C05D6"/>
    <w:rsid w:val="006C0721"/>
    <w:rsid w:val="006C08C9"/>
    <w:rsid w:val="006C0EDC"/>
    <w:rsid w:val="006C11D3"/>
    <w:rsid w:val="006C1370"/>
    <w:rsid w:val="006C13A4"/>
    <w:rsid w:val="006C15C7"/>
    <w:rsid w:val="006C1CD4"/>
    <w:rsid w:val="006C225A"/>
    <w:rsid w:val="006C295D"/>
    <w:rsid w:val="006C2A0E"/>
    <w:rsid w:val="006C2BDF"/>
    <w:rsid w:val="006C2C29"/>
    <w:rsid w:val="006C2C8A"/>
    <w:rsid w:val="006C2F07"/>
    <w:rsid w:val="006C2F43"/>
    <w:rsid w:val="006C30D0"/>
    <w:rsid w:val="006C37A0"/>
    <w:rsid w:val="006C3A41"/>
    <w:rsid w:val="006C464E"/>
    <w:rsid w:val="006C4CE8"/>
    <w:rsid w:val="006C4E52"/>
    <w:rsid w:val="006C520D"/>
    <w:rsid w:val="006C53F2"/>
    <w:rsid w:val="006C548D"/>
    <w:rsid w:val="006C5610"/>
    <w:rsid w:val="006C5A09"/>
    <w:rsid w:val="006C5B53"/>
    <w:rsid w:val="006C5C79"/>
    <w:rsid w:val="006C5D26"/>
    <w:rsid w:val="006C5D72"/>
    <w:rsid w:val="006C6192"/>
    <w:rsid w:val="006C634E"/>
    <w:rsid w:val="006C6435"/>
    <w:rsid w:val="006C6643"/>
    <w:rsid w:val="006C69ED"/>
    <w:rsid w:val="006C7191"/>
    <w:rsid w:val="006C7249"/>
    <w:rsid w:val="006C738B"/>
    <w:rsid w:val="006C7741"/>
    <w:rsid w:val="006C7788"/>
    <w:rsid w:val="006C7896"/>
    <w:rsid w:val="006C7F69"/>
    <w:rsid w:val="006D01AA"/>
    <w:rsid w:val="006D0769"/>
    <w:rsid w:val="006D07FD"/>
    <w:rsid w:val="006D0D25"/>
    <w:rsid w:val="006D0FE2"/>
    <w:rsid w:val="006D1134"/>
    <w:rsid w:val="006D1374"/>
    <w:rsid w:val="006D2447"/>
    <w:rsid w:val="006D2A06"/>
    <w:rsid w:val="006D2C58"/>
    <w:rsid w:val="006D2F6B"/>
    <w:rsid w:val="006D31BC"/>
    <w:rsid w:val="006D33AF"/>
    <w:rsid w:val="006D3704"/>
    <w:rsid w:val="006D3AAC"/>
    <w:rsid w:val="006D40DD"/>
    <w:rsid w:val="006D46C5"/>
    <w:rsid w:val="006D48DB"/>
    <w:rsid w:val="006D4ECA"/>
    <w:rsid w:val="006D523B"/>
    <w:rsid w:val="006D58C4"/>
    <w:rsid w:val="006D608C"/>
    <w:rsid w:val="006D66D3"/>
    <w:rsid w:val="006D713B"/>
    <w:rsid w:val="006D739B"/>
    <w:rsid w:val="006D74ED"/>
    <w:rsid w:val="006D7785"/>
    <w:rsid w:val="006D7A66"/>
    <w:rsid w:val="006D7DEE"/>
    <w:rsid w:val="006E002A"/>
    <w:rsid w:val="006E00FE"/>
    <w:rsid w:val="006E01B8"/>
    <w:rsid w:val="006E03EC"/>
    <w:rsid w:val="006E047A"/>
    <w:rsid w:val="006E058B"/>
    <w:rsid w:val="006E058E"/>
    <w:rsid w:val="006E05BB"/>
    <w:rsid w:val="006E0A28"/>
    <w:rsid w:val="006E0B70"/>
    <w:rsid w:val="006E0EAC"/>
    <w:rsid w:val="006E118F"/>
    <w:rsid w:val="006E120D"/>
    <w:rsid w:val="006E1250"/>
    <w:rsid w:val="006E150E"/>
    <w:rsid w:val="006E1557"/>
    <w:rsid w:val="006E15FA"/>
    <w:rsid w:val="006E1A55"/>
    <w:rsid w:val="006E1B62"/>
    <w:rsid w:val="006E1D35"/>
    <w:rsid w:val="006E22A4"/>
    <w:rsid w:val="006E2319"/>
    <w:rsid w:val="006E296E"/>
    <w:rsid w:val="006E2C90"/>
    <w:rsid w:val="006E3162"/>
    <w:rsid w:val="006E32D0"/>
    <w:rsid w:val="006E3409"/>
    <w:rsid w:val="006E38F3"/>
    <w:rsid w:val="006E3925"/>
    <w:rsid w:val="006E3ED5"/>
    <w:rsid w:val="006E3F23"/>
    <w:rsid w:val="006E3F29"/>
    <w:rsid w:val="006E3F67"/>
    <w:rsid w:val="006E4156"/>
    <w:rsid w:val="006E42C8"/>
    <w:rsid w:val="006E50CC"/>
    <w:rsid w:val="006E51BC"/>
    <w:rsid w:val="006E5219"/>
    <w:rsid w:val="006E5BD5"/>
    <w:rsid w:val="006E65B1"/>
    <w:rsid w:val="006E6B78"/>
    <w:rsid w:val="006E6D91"/>
    <w:rsid w:val="006E6EC3"/>
    <w:rsid w:val="006E7B15"/>
    <w:rsid w:val="006E7BA1"/>
    <w:rsid w:val="006E7CEE"/>
    <w:rsid w:val="006E7CF9"/>
    <w:rsid w:val="006F0547"/>
    <w:rsid w:val="006F068B"/>
    <w:rsid w:val="006F0875"/>
    <w:rsid w:val="006F0D43"/>
    <w:rsid w:val="006F1314"/>
    <w:rsid w:val="006F13D0"/>
    <w:rsid w:val="006F1AC1"/>
    <w:rsid w:val="006F1C97"/>
    <w:rsid w:val="006F1CB1"/>
    <w:rsid w:val="006F24BB"/>
    <w:rsid w:val="006F2655"/>
    <w:rsid w:val="006F292B"/>
    <w:rsid w:val="006F2AC8"/>
    <w:rsid w:val="006F3584"/>
    <w:rsid w:val="006F375C"/>
    <w:rsid w:val="006F3832"/>
    <w:rsid w:val="006F3A96"/>
    <w:rsid w:val="006F3C7B"/>
    <w:rsid w:val="006F3E2F"/>
    <w:rsid w:val="006F40F3"/>
    <w:rsid w:val="006F43CA"/>
    <w:rsid w:val="006F4AB2"/>
    <w:rsid w:val="006F4B32"/>
    <w:rsid w:val="006F4BDA"/>
    <w:rsid w:val="006F5046"/>
    <w:rsid w:val="006F50AB"/>
    <w:rsid w:val="006F5212"/>
    <w:rsid w:val="006F5A6C"/>
    <w:rsid w:val="006F5DEB"/>
    <w:rsid w:val="006F61D5"/>
    <w:rsid w:val="006F6232"/>
    <w:rsid w:val="006F678F"/>
    <w:rsid w:val="006F69B2"/>
    <w:rsid w:val="006F69DC"/>
    <w:rsid w:val="006F6B02"/>
    <w:rsid w:val="006F6B66"/>
    <w:rsid w:val="006F6D1B"/>
    <w:rsid w:val="006F7009"/>
    <w:rsid w:val="006F7381"/>
    <w:rsid w:val="006F741D"/>
    <w:rsid w:val="006F74A9"/>
    <w:rsid w:val="006F75A2"/>
    <w:rsid w:val="006F79EA"/>
    <w:rsid w:val="006F7C98"/>
    <w:rsid w:val="0070073F"/>
    <w:rsid w:val="00700810"/>
    <w:rsid w:val="00700871"/>
    <w:rsid w:val="00700A6A"/>
    <w:rsid w:val="00700E62"/>
    <w:rsid w:val="00700FB6"/>
    <w:rsid w:val="00701AC3"/>
    <w:rsid w:val="00701F48"/>
    <w:rsid w:val="00702131"/>
    <w:rsid w:val="007021CE"/>
    <w:rsid w:val="0070232B"/>
    <w:rsid w:val="0070256F"/>
    <w:rsid w:val="007028FC"/>
    <w:rsid w:val="007029F5"/>
    <w:rsid w:val="007031D1"/>
    <w:rsid w:val="007035D4"/>
    <w:rsid w:val="0070382A"/>
    <w:rsid w:val="00703BC9"/>
    <w:rsid w:val="00704217"/>
    <w:rsid w:val="00704693"/>
    <w:rsid w:val="007046A8"/>
    <w:rsid w:val="0070471D"/>
    <w:rsid w:val="0070485C"/>
    <w:rsid w:val="007048DE"/>
    <w:rsid w:val="00705136"/>
    <w:rsid w:val="0070524B"/>
    <w:rsid w:val="00705C19"/>
    <w:rsid w:val="00705C56"/>
    <w:rsid w:val="00705EAA"/>
    <w:rsid w:val="00706366"/>
    <w:rsid w:val="00706574"/>
    <w:rsid w:val="0070669B"/>
    <w:rsid w:val="007067A8"/>
    <w:rsid w:val="00707362"/>
    <w:rsid w:val="007075F3"/>
    <w:rsid w:val="00710B09"/>
    <w:rsid w:val="00710B78"/>
    <w:rsid w:val="00711126"/>
    <w:rsid w:val="007112E2"/>
    <w:rsid w:val="00711462"/>
    <w:rsid w:val="00711475"/>
    <w:rsid w:val="00711B23"/>
    <w:rsid w:val="00711EE8"/>
    <w:rsid w:val="00712144"/>
    <w:rsid w:val="00712153"/>
    <w:rsid w:val="007127E8"/>
    <w:rsid w:val="00712EE5"/>
    <w:rsid w:val="007132D3"/>
    <w:rsid w:val="00713748"/>
    <w:rsid w:val="00713853"/>
    <w:rsid w:val="00713A54"/>
    <w:rsid w:val="00713C39"/>
    <w:rsid w:val="00713ED7"/>
    <w:rsid w:val="0071410F"/>
    <w:rsid w:val="007141FA"/>
    <w:rsid w:val="00714757"/>
    <w:rsid w:val="00714AD5"/>
    <w:rsid w:val="00714BD1"/>
    <w:rsid w:val="00715237"/>
    <w:rsid w:val="007152FC"/>
    <w:rsid w:val="007153AE"/>
    <w:rsid w:val="00715EB6"/>
    <w:rsid w:val="00715F11"/>
    <w:rsid w:val="007160D0"/>
    <w:rsid w:val="007160DE"/>
    <w:rsid w:val="00716343"/>
    <w:rsid w:val="00716396"/>
    <w:rsid w:val="0071668D"/>
    <w:rsid w:val="007167AD"/>
    <w:rsid w:val="007167CF"/>
    <w:rsid w:val="007169C6"/>
    <w:rsid w:val="00716E60"/>
    <w:rsid w:val="00716ED0"/>
    <w:rsid w:val="007178D7"/>
    <w:rsid w:val="007208A2"/>
    <w:rsid w:val="00720EA6"/>
    <w:rsid w:val="0072121F"/>
    <w:rsid w:val="0072187D"/>
    <w:rsid w:val="00721BDA"/>
    <w:rsid w:val="00721BDB"/>
    <w:rsid w:val="00721DEB"/>
    <w:rsid w:val="00721FD0"/>
    <w:rsid w:val="00722936"/>
    <w:rsid w:val="00722FA8"/>
    <w:rsid w:val="007230A2"/>
    <w:rsid w:val="00723354"/>
    <w:rsid w:val="007234DE"/>
    <w:rsid w:val="00723537"/>
    <w:rsid w:val="0072360B"/>
    <w:rsid w:val="00723EFF"/>
    <w:rsid w:val="00724423"/>
    <w:rsid w:val="00724585"/>
    <w:rsid w:val="0072481B"/>
    <w:rsid w:val="00724A3E"/>
    <w:rsid w:val="00724A43"/>
    <w:rsid w:val="00724CAE"/>
    <w:rsid w:val="00724D87"/>
    <w:rsid w:val="00724EC5"/>
    <w:rsid w:val="0072555D"/>
    <w:rsid w:val="00725618"/>
    <w:rsid w:val="00725628"/>
    <w:rsid w:val="0072565E"/>
    <w:rsid w:val="007258C9"/>
    <w:rsid w:val="007259AC"/>
    <w:rsid w:val="00725BE3"/>
    <w:rsid w:val="00725D39"/>
    <w:rsid w:val="00725E8D"/>
    <w:rsid w:val="00725EB3"/>
    <w:rsid w:val="007260CD"/>
    <w:rsid w:val="007260D7"/>
    <w:rsid w:val="00726178"/>
    <w:rsid w:val="00726AC1"/>
    <w:rsid w:val="00726C2B"/>
    <w:rsid w:val="00726E79"/>
    <w:rsid w:val="00726F18"/>
    <w:rsid w:val="0072738B"/>
    <w:rsid w:val="007275A6"/>
    <w:rsid w:val="00727BCC"/>
    <w:rsid w:val="00727C3C"/>
    <w:rsid w:val="00727DE3"/>
    <w:rsid w:val="00730365"/>
    <w:rsid w:val="007303A2"/>
    <w:rsid w:val="00730A85"/>
    <w:rsid w:val="00731032"/>
    <w:rsid w:val="0073189D"/>
    <w:rsid w:val="00731943"/>
    <w:rsid w:val="00731C4C"/>
    <w:rsid w:val="00732183"/>
    <w:rsid w:val="007321DB"/>
    <w:rsid w:val="0073233C"/>
    <w:rsid w:val="00732783"/>
    <w:rsid w:val="00733300"/>
    <w:rsid w:val="00733372"/>
    <w:rsid w:val="00733719"/>
    <w:rsid w:val="00733862"/>
    <w:rsid w:val="00733AB6"/>
    <w:rsid w:val="00733AC6"/>
    <w:rsid w:val="00733AF6"/>
    <w:rsid w:val="00734399"/>
    <w:rsid w:val="00734B0E"/>
    <w:rsid w:val="00734DE4"/>
    <w:rsid w:val="00734F82"/>
    <w:rsid w:val="00735355"/>
    <w:rsid w:val="007353AE"/>
    <w:rsid w:val="0073567B"/>
    <w:rsid w:val="0073576C"/>
    <w:rsid w:val="00735DF9"/>
    <w:rsid w:val="00736148"/>
    <w:rsid w:val="00736189"/>
    <w:rsid w:val="0073669E"/>
    <w:rsid w:val="00736729"/>
    <w:rsid w:val="00736B2F"/>
    <w:rsid w:val="00736C3F"/>
    <w:rsid w:val="007371DA"/>
    <w:rsid w:val="007373FE"/>
    <w:rsid w:val="007376A5"/>
    <w:rsid w:val="0073777D"/>
    <w:rsid w:val="00740022"/>
    <w:rsid w:val="00740144"/>
    <w:rsid w:val="00740241"/>
    <w:rsid w:val="0074039E"/>
    <w:rsid w:val="007403D4"/>
    <w:rsid w:val="00740731"/>
    <w:rsid w:val="0074091D"/>
    <w:rsid w:val="0074107B"/>
    <w:rsid w:val="00741392"/>
    <w:rsid w:val="00741718"/>
    <w:rsid w:val="00742502"/>
    <w:rsid w:val="00742C53"/>
    <w:rsid w:val="0074330E"/>
    <w:rsid w:val="007436B6"/>
    <w:rsid w:val="00743899"/>
    <w:rsid w:val="00743C3F"/>
    <w:rsid w:val="00743E2E"/>
    <w:rsid w:val="007441D3"/>
    <w:rsid w:val="007441FA"/>
    <w:rsid w:val="0074432B"/>
    <w:rsid w:val="00744493"/>
    <w:rsid w:val="007445E1"/>
    <w:rsid w:val="00744A58"/>
    <w:rsid w:val="00744BD6"/>
    <w:rsid w:val="00744C2D"/>
    <w:rsid w:val="00744F5F"/>
    <w:rsid w:val="00745BBA"/>
    <w:rsid w:val="0074636F"/>
    <w:rsid w:val="0074686C"/>
    <w:rsid w:val="00746BD2"/>
    <w:rsid w:val="00746E11"/>
    <w:rsid w:val="00747161"/>
    <w:rsid w:val="0074759E"/>
    <w:rsid w:val="007475B1"/>
    <w:rsid w:val="007475C2"/>
    <w:rsid w:val="007476E6"/>
    <w:rsid w:val="00747786"/>
    <w:rsid w:val="00747DAD"/>
    <w:rsid w:val="00747EA8"/>
    <w:rsid w:val="00747EAF"/>
    <w:rsid w:val="00747F91"/>
    <w:rsid w:val="007504AA"/>
    <w:rsid w:val="00750664"/>
    <w:rsid w:val="00750978"/>
    <w:rsid w:val="00750993"/>
    <w:rsid w:val="00750C40"/>
    <w:rsid w:val="007513EA"/>
    <w:rsid w:val="007517B1"/>
    <w:rsid w:val="007517ED"/>
    <w:rsid w:val="00752260"/>
    <w:rsid w:val="00752711"/>
    <w:rsid w:val="00752788"/>
    <w:rsid w:val="00754758"/>
    <w:rsid w:val="00754BCB"/>
    <w:rsid w:val="00754CCC"/>
    <w:rsid w:val="00754D54"/>
    <w:rsid w:val="00755E9B"/>
    <w:rsid w:val="00755FB8"/>
    <w:rsid w:val="007562C1"/>
    <w:rsid w:val="00756DEE"/>
    <w:rsid w:val="00756EDD"/>
    <w:rsid w:val="00756F6B"/>
    <w:rsid w:val="0075736A"/>
    <w:rsid w:val="00757600"/>
    <w:rsid w:val="00757C28"/>
    <w:rsid w:val="00757DE8"/>
    <w:rsid w:val="00757FCA"/>
    <w:rsid w:val="00760C96"/>
    <w:rsid w:val="00760DEE"/>
    <w:rsid w:val="00760E1A"/>
    <w:rsid w:val="007614B1"/>
    <w:rsid w:val="007615F2"/>
    <w:rsid w:val="0076182B"/>
    <w:rsid w:val="00761A90"/>
    <w:rsid w:val="0076211D"/>
    <w:rsid w:val="007632F1"/>
    <w:rsid w:val="0076333C"/>
    <w:rsid w:val="00763408"/>
    <w:rsid w:val="007635C5"/>
    <w:rsid w:val="007637C3"/>
    <w:rsid w:val="00763AE7"/>
    <w:rsid w:val="00763C9E"/>
    <w:rsid w:val="00763CFE"/>
    <w:rsid w:val="00764146"/>
    <w:rsid w:val="007646DA"/>
    <w:rsid w:val="00764915"/>
    <w:rsid w:val="00764A26"/>
    <w:rsid w:val="00764B30"/>
    <w:rsid w:val="00764D22"/>
    <w:rsid w:val="00764ED3"/>
    <w:rsid w:val="0076585F"/>
    <w:rsid w:val="00765C2A"/>
    <w:rsid w:val="00765CA5"/>
    <w:rsid w:val="00765D1E"/>
    <w:rsid w:val="00766007"/>
    <w:rsid w:val="0076682F"/>
    <w:rsid w:val="0076684B"/>
    <w:rsid w:val="00766A5D"/>
    <w:rsid w:val="00767018"/>
    <w:rsid w:val="007673EB"/>
    <w:rsid w:val="007678E3"/>
    <w:rsid w:val="00767923"/>
    <w:rsid w:val="00767F8F"/>
    <w:rsid w:val="00770116"/>
    <w:rsid w:val="00770A88"/>
    <w:rsid w:val="00770ADA"/>
    <w:rsid w:val="00770BAA"/>
    <w:rsid w:val="00770C4C"/>
    <w:rsid w:val="00771290"/>
    <w:rsid w:val="007713D1"/>
    <w:rsid w:val="00771432"/>
    <w:rsid w:val="007714F4"/>
    <w:rsid w:val="007716CD"/>
    <w:rsid w:val="0077183D"/>
    <w:rsid w:val="007718B0"/>
    <w:rsid w:val="0077204D"/>
    <w:rsid w:val="007720D7"/>
    <w:rsid w:val="007720FE"/>
    <w:rsid w:val="007725D8"/>
    <w:rsid w:val="0077344E"/>
    <w:rsid w:val="00773720"/>
    <w:rsid w:val="007739C9"/>
    <w:rsid w:val="007740F3"/>
    <w:rsid w:val="007742CE"/>
    <w:rsid w:val="00774500"/>
    <w:rsid w:val="007747C3"/>
    <w:rsid w:val="00774F29"/>
    <w:rsid w:val="0077516D"/>
    <w:rsid w:val="00775A11"/>
    <w:rsid w:val="00775A64"/>
    <w:rsid w:val="00775B9A"/>
    <w:rsid w:val="00775CAD"/>
    <w:rsid w:val="007768A2"/>
    <w:rsid w:val="00776A35"/>
    <w:rsid w:val="00777354"/>
    <w:rsid w:val="007773A5"/>
    <w:rsid w:val="00777B57"/>
    <w:rsid w:val="00777E05"/>
    <w:rsid w:val="00777E16"/>
    <w:rsid w:val="00777EC8"/>
    <w:rsid w:val="00780244"/>
    <w:rsid w:val="007806EB"/>
    <w:rsid w:val="00780753"/>
    <w:rsid w:val="007808E5"/>
    <w:rsid w:val="00780A7C"/>
    <w:rsid w:val="00780C2D"/>
    <w:rsid w:val="00780CA1"/>
    <w:rsid w:val="00780D97"/>
    <w:rsid w:val="007812D5"/>
    <w:rsid w:val="0078179A"/>
    <w:rsid w:val="00781D7A"/>
    <w:rsid w:val="00781ED7"/>
    <w:rsid w:val="0078235B"/>
    <w:rsid w:val="00782482"/>
    <w:rsid w:val="00782564"/>
    <w:rsid w:val="007826AB"/>
    <w:rsid w:val="00783B9B"/>
    <w:rsid w:val="00784577"/>
    <w:rsid w:val="007849B2"/>
    <w:rsid w:val="00785012"/>
    <w:rsid w:val="007852D0"/>
    <w:rsid w:val="007854A0"/>
    <w:rsid w:val="0078571D"/>
    <w:rsid w:val="0078571E"/>
    <w:rsid w:val="00785788"/>
    <w:rsid w:val="007859A8"/>
    <w:rsid w:val="00785F66"/>
    <w:rsid w:val="007863E9"/>
    <w:rsid w:val="0078645E"/>
    <w:rsid w:val="007867B6"/>
    <w:rsid w:val="00786A16"/>
    <w:rsid w:val="00786F88"/>
    <w:rsid w:val="00787549"/>
    <w:rsid w:val="0078794C"/>
    <w:rsid w:val="00787994"/>
    <w:rsid w:val="007879CE"/>
    <w:rsid w:val="00787B4A"/>
    <w:rsid w:val="00787B99"/>
    <w:rsid w:val="007903E7"/>
    <w:rsid w:val="0079062B"/>
    <w:rsid w:val="0079066D"/>
    <w:rsid w:val="00790818"/>
    <w:rsid w:val="0079095A"/>
    <w:rsid w:val="00790D00"/>
    <w:rsid w:val="00790D8D"/>
    <w:rsid w:val="00790F37"/>
    <w:rsid w:val="007911F1"/>
    <w:rsid w:val="007913D7"/>
    <w:rsid w:val="0079154A"/>
    <w:rsid w:val="0079162E"/>
    <w:rsid w:val="00791BD8"/>
    <w:rsid w:val="00791C08"/>
    <w:rsid w:val="0079206F"/>
    <w:rsid w:val="007926D3"/>
    <w:rsid w:val="00793171"/>
    <w:rsid w:val="0079364B"/>
    <w:rsid w:val="00793AAA"/>
    <w:rsid w:val="00793B58"/>
    <w:rsid w:val="0079432D"/>
    <w:rsid w:val="0079433B"/>
    <w:rsid w:val="007948D1"/>
    <w:rsid w:val="00794CE1"/>
    <w:rsid w:val="00795916"/>
    <w:rsid w:val="00795AF7"/>
    <w:rsid w:val="0079600B"/>
    <w:rsid w:val="007960CA"/>
    <w:rsid w:val="007961B3"/>
    <w:rsid w:val="0079625A"/>
    <w:rsid w:val="007965F5"/>
    <w:rsid w:val="007969D9"/>
    <w:rsid w:val="00796E9E"/>
    <w:rsid w:val="007970B3"/>
    <w:rsid w:val="007973F7"/>
    <w:rsid w:val="007974CD"/>
    <w:rsid w:val="0079769B"/>
    <w:rsid w:val="007978E5"/>
    <w:rsid w:val="00797ED4"/>
    <w:rsid w:val="007A024A"/>
    <w:rsid w:val="007A03D3"/>
    <w:rsid w:val="007A085D"/>
    <w:rsid w:val="007A08F4"/>
    <w:rsid w:val="007A10F4"/>
    <w:rsid w:val="007A12E2"/>
    <w:rsid w:val="007A142E"/>
    <w:rsid w:val="007A186E"/>
    <w:rsid w:val="007A1872"/>
    <w:rsid w:val="007A1948"/>
    <w:rsid w:val="007A1B2A"/>
    <w:rsid w:val="007A222C"/>
    <w:rsid w:val="007A2BA3"/>
    <w:rsid w:val="007A2CCD"/>
    <w:rsid w:val="007A2D78"/>
    <w:rsid w:val="007A2D94"/>
    <w:rsid w:val="007A3634"/>
    <w:rsid w:val="007A393E"/>
    <w:rsid w:val="007A3994"/>
    <w:rsid w:val="007A3B43"/>
    <w:rsid w:val="007A3C2C"/>
    <w:rsid w:val="007A3E5B"/>
    <w:rsid w:val="007A44E7"/>
    <w:rsid w:val="007A4DDA"/>
    <w:rsid w:val="007A50C0"/>
    <w:rsid w:val="007A51DA"/>
    <w:rsid w:val="007A59CB"/>
    <w:rsid w:val="007A5A05"/>
    <w:rsid w:val="007A5EF3"/>
    <w:rsid w:val="007A5F14"/>
    <w:rsid w:val="007A5F19"/>
    <w:rsid w:val="007A6368"/>
    <w:rsid w:val="007A63C5"/>
    <w:rsid w:val="007A661B"/>
    <w:rsid w:val="007A67C0"/>
    <w:rsid w:val="007A6910"/>
    <w:rsid w:val="007A6922"/>
    <w:rsid w:val="007A6B5A"/>
    <w:rsid w:val="007A6C8C"/>
    <w:rsid w:val="007A78CF"/>
    <w:rsid w:val="007A79EC"/>
    <w:rsid w:val="007A7BAA"/>
    <w:rsid w:val="007A7D90"/>
    <w:rsid w:val="007A7E21"/>
    <w:rsid w:val="007B002C"/>
    <w:rsid w:val="007B020C"/>
    <w:rsid w:val="007B0449"/>
    <w:rsid w:val="007B0A38"/>
    <w:rsid w:val="007B0A8E"/>
    <w:rsid w:val="007B0C2B"/>
    <w:rsid w:val="007B0D33"/>
    <w:rsid w:val="007B1197"/>
    <w:rsid w:val="007B16C0"/>
    <w:rsid w:val="007B2093"/>
    <w:rsid w:val="007B245B"/>
    <w:rsid w:val="007B263D"/>
    <w:rsid w:val="007B27C7"/>
    <w:rsid w:val="007B2A7F"/>
    <w:rsid w:val="007B2D6D"/>
    <w:rsid w:val="007B34B2"/>
    <w:rsid w:val="007B3D0D"/>
    <w:rsid w:val="007B44A6"/>
    <w:rsid w:val="007B44F7"/>
    <w:rsid w:val="007B4D73"/>
    <w:rsid w:val="007B4E01"/>
    <w:rsid w:val="007B4F13"/>
    <w:rsid w:val="007B5034"/>
    <w:rsid w:val="007B5122"/>
    <w:rsid w:val="007B55FE"/>
    <w:rsid w:val="007B5690"/>
    <w:rsid w:val="007B5772"/>
    <w:rsid w:val="007B5BF9"/>
    <w:rsid w:val="007B5D34"/>
    <w:rsid w:val="007B65F1"/>
    <w:rsid w:val="007B6759"/>
    <w:rsid w:val="007B6804"/>
    <w:rsid w:val="007B6B63"/>
    <w:rsid w:val="007B719C"/>
    <w:rsid w:val="007B756B"/>
    <w:rsid w:val="007C03C1"/>
    <w:rsid w:val="007C03C2"/>
    <w:rsid w:val="007C0866"/>
    <w:rsid w:val="007C08EF"/>
    <w:rsid w:val="007C1126"/>
    <w:rsid w:val="007C130E"/>
    <w:rsid w:val="007C17AC"/>
    <w:rsid w:val="007C1B67"/>
    <w:rsid w:val="007C1C0B"/>
    <w:rsid w:val="007C1C79"/>
    <w:rsid w:val="007C2048"/>
    <w:rsid w:val="007C2296"/>
    <w:rsid w:val="007C248B"/>
    <w:rsid w:val="007C2569"/>
    <w:rsid w:val="007C25F4"/>
    <w:rsid w:val="007C2608"/>
    <w:rsid w:val="007C2B4C"/>
    <w:rsid w:val="007C2D8E"/>
    <w:rsid w:val="007C2F8A"/>
    <w:rsid w:val="007C2FBC"/>
    <w:rsid w:val="007C3818"/>
    <w:rsid w:val="007C384F"/>
    <w:rsid w:val="007C407E"/>
    <w:rsid w:val="007C4AA0"/>
    <w:rsid w:val="007C4C50"/>
    <w:rsid w:val="007C4E70"/>
    <w:rsid w:val="007C5013"/>
    <w:rsid w:val="007C53E7"/>
    <w:rsid w:val="007C5554"/>
    <w:rsid w:val="007C58AA"/>
    <w:rsid w:val="007C5B4F"/>
    <w:rsid w:val="007C602C"/>
    <w:rsid w:val="007C6169"/>
    <w:rsid w:val="007C6232"/>
    <w:rsid w:val="007C62EF"/>
    <w:rsid w:val="007C665A"/>
    <w:rsid w:val="007C67ED"/>
    <w:rsid w:val="007C694B"/>
    <w:rsid w:val="007C6BB3"/>
    <w:rsid w:val="007C6D2E"/>
    <w:rsid w:val="007C6E91"/>
    <w:rsid w:val="007C7602"/>
    <w:rsid w:val="007C77B4"/>
    <w:rsid w:val="007C7828"/>
    <w:rsid w:val="007C7963"/>
    <w:rsid w:val="007C7C90"/>
    <w:rsid w:val="007D04C5"/>
    <w:rsid w:val="007D0538"/>
    <w:rsid w:val="007D0559"/>
    <w:rsid w:val="007D077C"/>
    <w:rsid w:val="007D089C"/>
    <w:rsid w:val="007D0B45"/>
    <w:rsid w:val="007D0C59"/>
    <w:rsid w:val="007D0E11"/>
    <w:rsid w:val="007D0F02"/>
    <w:rsid w:val="007D0F92"/>
    <w:rsid w:val="007D11F9"/>
    <w:rsid w:val="007D1235"/>
    <w:rsid w:val="007D1290"/>
    <w:rsid w:val="007D15DD"/>
    <w:rsid w:val="007D1665"/>
    <w:rsid w:val="007D1FAF"/>
    <w:rsid w:val="007D30DF"/>
    <w:rsid w:val="007D3345"/>
    <w:rsid w:val="007D3B1F"/>
    <w:rsid w:val="007D3FAA"/>
    <w:rsid w:val="007D410D"/>
    <w:rsid w:val="007D451C"/>
    <w:rsid w:val="007D4AD0"/>
    <w:rsid w:val="007D4C60"/>
    <w:rsid w:val="007D4D08"/>
    <w:rsid w:val="007D4E43"/>
    <w:rsid w:val="007D5166"/>
    <w:rsid w:val="007D51A2"/>
    <w:rsid w:val="007D52A7"/>
    <w:rsid w:val="007D54C2"/>
    <w:rsid w:val="007D5749"/>
    <w:rsid w:val="007D57CC"/>
    <w:rsid w:val="007D57D2"/>
    <w:rsid w:val="007D58C8"/>
    <w:rsid w:val="007D5A7E"/>
    <w:rsid w:val="007D612B"/>
    <w:rsid w:val="007D65B6"/>
    <w:rsid w:val="007D66CA"/>
    <w:rsid w:val="007D68FE"/>
    <w:rsid w:val="007D694D"/>
    <w:rsid w:val="007D6DB3"/>
    <w:rsid w:val="007D7004"/>
    <w:rsid w:val="007D702B"/>
    <w:rsid w:val="007D761F"/>
    <w:rsid w:val="007D7863"/>
    <w:rsid w:val="007D7955"/>
    <w:rsid w:val="007D79F0"/>
    <w:rsid w:val="007E00B9"/>
    <w:rsid w:val="007E05A8"/>
    <w:rsid w:val="007E074E"/>
    <w:rsid w:val="007E0778"/>
    <w:rsid w:val="007E08A5"/>
    <w:rsid w:val="007E08EC"/>
    <w:rsid w:val="007E0A90"/>
    <w:rsid w:val="007E0BD2"/>
    <w:rsid w:val="007E1663"/>
    <w:rsid w:val="007E1874"/>
    <w:rsid w:val="007E19DC"/>
    <w:rsid w:val="007E1BA6"/>
    <w:rsid w:val="007E1E83"/>
    <w:rsid w:val="007E2A70"/>
    <w:rsid w:val="007E2C31"/>
    <w:rsid w:val="007E2C3B"/>
    <w:rsid w:val="007E2E19"/>
    <w:rsid w:val="007E308D"/>
    <w:rsid w:val="007E320E"/>
    <w:rsid w:val="007E32CF"/>
    <w:rsid w:val="007E33E2"/>
    <w:rsid w:val="007E3D4A"/>
    <w:rsid w:val="007E3ECE"/>
    <w:rsid w:val="007E4200"/>
    <w:rsid w:val="007E42AD"/>
    <w:rsid w:val="007E4481"/>
    <w:rsid w:val="007E46E0"/>
    <w:rsid w:val="007E57B8"/>
    <w:rsid w:val="007E5953"/>
    <w:rsid w:val="007E5D1B"/>
    <w:rsid w:val="007E5FA5"/>
    <w:rsid w:val="007E66B6"/>
    <w:rsid w:val="007E6BA1"/>
    <w:rsid w:val="007E6F52"/>
    <w:rsid w:val="007E7142"/>
    <w:rsid w:val="007E7242"/>
    <w:rsid w:val="007E7592"/>
    <w:rsid w:val="007E75F3"/>
    <w:rsid w:val="007E7682"/>
    <w:rsid w:val="007E78FA"/>
    <w:rsid w:val="007E7FAE"/>
    <w:rsid w:val="007F018E"/>
    <w:rsid w:val="007F093F"/>
    <w:rsid w:val="007F0B45"/>
    <w:rsid w:val="007F0D41"/>
    <w:rsid w:val="007F0E73"/>
    <w:rsid w:val="007F10F1"/>
    <w:rsid w:val="007F11CB"/>
    <w:rsid w:val="007F1207"/>
    <w:rsid w:val="007F13F6"/>
    <w:rsid w:val="007F15C1"/>
    <w:rsid w:val="007F17C8"/>
    <w:rsid w:val="007F1E5D"/>
    <w:rsid w:val="007F200A"/>
    <w:rsid w:val="007F2241"/>
    <w:rsid w:val="007F271A"/>
    <w:rsid w:val="007F3179"/>
    <w:rsid w:val="007F3244"/>
    <w:rsid w:val="007F341E"/>
    <w:rsid w:val="007F34C0"/>
    <w:rsid w:val="007F3599"/>
    <w:rsid w:val="007F3A2F"/>
    <w:rsid w:val="007F3B45"/>
    <w:rsid w:val="007F3E14"/>
    <w:rsid w:val="007F3E81"/>
    <w:rsid w:val="007F4260"/>
    <w:rsid w:val="007F4421"/>
    <w:rsid w:val="007F4864"/>
    <w:rsid w:val="007F48E5"/>
    <w:rsid w:val="007F498B"/>
    <w:rsid w:val="007F500A"/>
    <w:rsid w:val="007F511E"/>
    <w:rsid w:val="007F5433"/>
    <w:rsid w:val="007F551C"/>
    <w:rsid w:val="007F55D3"/>
    <w:rsid w:val="007F5798"/>
    <w:rsid w:val="007F5C07"/>
    <w:rsid w:val="007F5F99"/>
    <w:rsid w:val="007F6180"/>
    <w:rsid w:val="007F6213"/>
    <w:rsid w:val="007F62E8"/>
    <w:rsid w:val="007F640F"/>
    <w:rsid w:val="007F6B20"/>
    <w:rsid w:val="007F6B2D"/>
    <w:rsid w:val="007F6D52"/>
    <w:rsid w:val="007F6D82"/>
    <w:rsid w:val="007F7011"/>
    <w:rsid w:val="007F70A3"/>
    <w:rsid w:val="007F7385"/>
    <w:rsid w:val="007F753B"/>
    <w:rsid w:val="007F754C"/>
    <w:rsid w:val="007F77AA"/>
    <w:rsid w:val="007F78A1"/>
    <w:rsid w:val="007F7960"/>
    <w:rsid w:val="007F79CA"/>
    <w:rsid w:val="007F79ED"/>
    <w:rsid w:val="007F7B57"/>
    <w:rsid w:val="007F7B89"/>
    <w:rsid w:val="007F7F4F"/>
    <w:rsid w:val="00800454"/>
    <w:rsid w:val="00800AFA"/>
    <w:rsid w:val="00800DE7"/>
    <w:rsid w:val="0080187E"/>
    <w:rsid w:val="00802057"/>
    <w:rsid w:val="00802188"/>
    <w:rsid w:val="0080218F"/>
    <w:rsid w:val="0080240E"/>
    <w:rsid w:val="0080252C"/>
    <w:rsid w:val="00802620"/>
    <w:rsid w:val="00802806"/>
    <w:rsid w:val="00802B22"/>
    <w:rsid w:val="00802C5D"/>
    <w:rsid w:val="00802D9B"/>
    <w:rsid w:val="00802DED"/>
    <w:rsid w:val="00803046"/>
    <w:rsid w:val="00803095"/>
    <w:rsid w:val="008034B5"/>
    <w:rsid w:val="008035EF"/>
    <w:rsid w:val="0080366D"/>
    <w:rsid w:val="008036F9"/>
    <w:rsid w:val="0080378C"/>
    <w:rsid w:val="00804031"/>
    <w:rsid w:val="00804214"/>
    <w:rsid w:val="008046BE"/>
    <w:rsid w:val="00804A81"/>
    <w:rsid w:val="00804B49"/>
    <w:rsid w:val="00804D7F"/>
    <w:rsid w:val="0080534D"/>
    <w:rsid w:val="0080547E"/>
    <w:rsid w:val="008055A9"/>
    <w:rsid w:val="00805819"/>
    <w:rsid w:val="00805E92"/>
    <w:rsid w:val="0080613C"/>
    <w:rsid w:val="0080629E"/>
    <w:rsid w:val="00806602"/>
    <w:rsid w:val="00806843"/>
    <w:rsid w:val="0080694A"/>
    <w:rsid w:val="00806B96"/>
    <w:rsid w:val="00806BFD"/>
    <w:rsid w:val="00807121"/>
    <w:rsid w:val="00807484"/>
    <w:rsid w:val="00807A9A"/>
    <w:rsid w:val="00807B9B"/>
    <w:rsid w:val="0081038A"/>
    <w:rsid w:val="008104E7"/>
    <w:rsid w:val="008104EB"/>
    <w:rsid w:val="00810896"/>
    <w:rsid w:val="008109D8"/>
    <w:rsid w:val="00810AD3"/>
    <w:rsid w:val="00810C0C"/>
    <w:rsid w:val="00810D83"/>
    <w:rsid w:val="00811CE5"/>
    <w:rsid w:val="008121C4"/>
    <w:rsid w:val="008127D3"/>
    <w:rsid w:val="00812803"/>
    <w:rsid w:val="0081283C"/>
    <w:rsid w:val="008129CB"/>
    <w:rsid w:val="00812A9B"/>
    <w:rsid w:val="00813174"/>
    <w:rsid w:val="0081330B"/>
    <w:rsid w:val="00813682"/>
    <w:rsid w:val="00813762"/>
    <w:rsid w:val="00813793"/>
    <w:rsid w:val="008137E0"/>
    <w:rsid w:val="008137F7"/>
    <w:rsid w:val="0081401F"/>
    <w:rsid w:val="00814063"/>
    <w:rsid w:val="00814230"/>
    <w:rsid w:val="00814AEE"/>
    <w:rsid w:val="00815001"/>
    <w:rsid w:val="008150C0"/>
    <w:rsid w:val="008153CF"/>
    <w:rsid w:val="00815A92"/>
    <w:rsid w:val="00815AE7"/>
    <w:rsid w:val="008165F0"/>
    <w:rsid w:val="00816DAE"/>
    <w:rsid w:val="0081720F"/>
    <w:rsid w:val="00817556"/>
    <w:rsid w:val="008176B1"/>
    <w:rsid w:val="00817950"/>
    <w:rsid w:val="00817A01"/>
    <w:rsid w:val="00817D26"/>
    <w:rsid w:val="008201F3"/>
    <w:rsid w:val="00820433"/>
    <w:rsid w:val="008206F2"/>
    <w:rsid w:val="00820727"/>
    <w:rsid w:val="008208D4"/>
    <w:rsid w:val="00821138"/>
    <w:rsid w:val="00821521"/>
    <w:rsid w:val="0082189B"/>
    <w:rsid w:val="008218D8"/>
    <w:rsid w:val="00821AD4"/>
    <w:rsid w:val="00821B93"/>
    <w:rsid w:val="0082249A"/>
    <w:rsid w:val="00822651"/>
    <w:rsid w:val="00822E1E"/>
    <w:rsid w:val="00822E2E"/>
    <w:rsid w:val="00823012"/>
    <w:rsid w:val="00823237"/>
    <w:rsid w:val="008232CA"/>
    <w:rsid w:val="008232D8"/>
    <w:rsid w:val="00823322"/>
    <w:rsid w:val="008239F7"/>
    <w:rsid w:val="00823AF5"/>
    <w:rsid w:val="00823BE2"/>
    <w:rsid w:val="00823F6F"/>
    <w:rsid w:val="00824659"/>
    <w:rsid w:val="0082491D"/>
    <w:rsid w:val="00824B76"/>
    <w:rsid w:val="00824D66"/>
    <w:rsid w:val="00824E88"/>
    <w:rsid w:val="00824EC6"/>
    <w:rsid w:val="008256E0"/>
    <w:rsid w:val="00825827"/>
    <w:rsid w:val="00825DDC"/>
    <w:rsid w:val="00826224"/>
    <w:rsid w:val="00826271"/>
    <w:rsid w:val="008262E9"/>
    <w:rsid w:val="00826660"/>
    <w:rsid w:val="00826721"/>
    <w:rsid w:val="008267F8"/>
    <w:rsid w:val="00826859"/>
    <w:rsid w:val="008269DB"/>
    <w:rsid w:val="008269DC"/>
    <w:rsid w:val="00826B31"/>
    <w:rsid w:val="00826E29"/>
    <w:rsid w:val="00826E6F"/>
    <w:rsid w:val="00826F60"/>
    <w:rsid w:val="00827D11"/>
    <w:rsid w:val="008307AB"/>
    <w:rsid w:val="00830B21"/>
    <w:rsid w:val="00830E86"/>
    <w:rsid w:val="008310A6"/>
    <w:rsid w:val="008310FE"/>
    <w:rsid w:val="00831129"/>
    <w:rsid w:val="008313F9"/>
    <w:rsid w:val="008314CB"/>
    <w:rsid w:val="0083168C"/>
    <w:rsid w:val="008317C4"/>
    <w:rsid w:val="00831944"/>
    <w:rsid w:val="00831B6B"/>
    <w:rsid w:val="00831BB1"/>
    <w:rsid w:val="00831F74"/>
    <w:rsid w:val="00831FA0"/>
    <w:rsid w:val="008321FD"/>
    <w:rsid w:val="00832759"/>
    <w:rsid w:val="0083275E"/>
    <w:rsid w:val="008329BC"/>
    <w:rsid w:val="00832A2C"/>
    <w:rsid w:val="00832A44"/>
    <w:rsid w:val="00832AAE"/>
    <w:rsid w:val="00832D1A"/>
    <w:rsid w:val="00833292"/>
    <w:rsid w:val="008333D8"/>
    <w:rsid w:val="008336E9"/>
    <w:rsid w:val="0083374D"/>
    <w:rsid w:val="00833B1C"/>
    <w:rsid w:val="00833BAF"/>
    <w:rsid w:val="00834053"/>
    <w:rsid w:val="008340B7"/>
    <w:rsid w:val="008344E5"/>
    <w:rsid w:val="008345A4"/>
    <w:rsid w:val="00834612"/>
    <w:rsid w:val="00834636"/>
    <w:rsid w:val="008347C7"/>
    <w:rsid w:val="0083499F"/>
    <w:rsid w:val="0083500D"/>
    <w:rsid w:val="00835053"/>
    <w:rsid w:val="00835106"/>
    <w:rsid w:val="0083538A"/>
    <w:rsid w:val="008356B1"/>
    <w:rsid w:val="00835C17"/>
    <w:rsid w:val="00836422"/>
    <w:rsid w:val="008365D5"/>
    <w:rsid w:val="00836763"/>
    <w:rsid w:val="00836B85"/>
    <w:rsid w:val="00836D14"/>
    <w:rsid w:val="00836F68"/>
    <w:rsid w:val="008371CD"/>
    <w:rsid w:val="008374C9"/>
    <w:rsid w:val="008374D1"/>
    <w:rsid w:val="00837AD4"/>
    <w:rsid w:val="00837EE1"/>
    <w:rsid w:val="00840078"/>
    <w:rsid w:val="008401F7"/>
    <w:rsid w:val="0084043F"/>
    <w:rsid w:val="008404B7"/>
    <w:rsid w:val="00840C2F"/>
    <w:rsid w:val="0084103D"/>
    <w:rsid w:val="00841501"/>
    <w:rsid w:val="00841546"/>
    <w:rsid w:val="008415F9"/>
    <w:rsid w:val="008415FD"/>
    <w:rsid w:val="0084162A"/>
    <w:rsid w:val="00841AAD"/>
    <w:rsid w:val="00841BA5"/>
    <w:rsid w:val="00841EA9"/>
    <w:rsid w:val="00841ED9"/>
    <w:rsid w:val="00842447"/>
    <w:rsid w:val="008427DC"/>
    <w:rsid w:val="00842988"/>
    <w:rsid w:val="00842CEE"/>
    <w:rsid w:val="00842DD5"/>
    <w:rsid w:val="008434AA"/>
    <w:rsid w:val="00843613"/>
    <w:rsid w:val="008436EA"/>
    <w:rsid w:val="00843953"/>
    <w:rsid w:val="00843B6C"/>
    <w:rsid w:val="00843CA7"/>
    <w:rsid w:val="0084417F"/>
    <w:rsid w:val="00844468"/>
    <w:rsid w:val="008444A4"/>
    <w:rsid w:val="00844778"/>
    <w:rsid w:val="00844BB5"/>
    <w:rsid w:val="008452D3"/>
    <w:rsid w:val="008453D6"/>
    <w:rsid w:val="00845752"/>
    <w:rsid w:val="008458C3"/>
    <w:rsid w:val="00845C84"/>
    <w:rsid w:val="008461C6"/>
    <w:rsid w:val="00846562"/>
    <w:rsid w:val="00846D3B"/>
    <w:rsid w:val="00847188"/>
    <w:rsid w:val="008472F7"/>
    <w:rsid w:val="00847560"/>
    <w:rsid w:val="008479B9"/>
    <w:rsid w:val="00847EA5"/>
    <w:rsid w:val="00850DAD"/>
    <w:rsid w:val="00851269"/>
    <w:rsid w:val="008513FA"/>
    <w:rsid w:val="008516A0"/>
    <w:rsid w:val="00851709"/>
    <w:rsid w:val="008517FA"/>
    <w:rsid w:val="008517FB"/>
    <w:rsid w:val="00852179"/>
    <w:rsid w:val="0085223D"/>
    <w:rsid w:val="00852452"/>
    <w:rsid w:val="00852595"/>
    <w:rsid w:val="0085261D"/>
    <w:rsid w:val="0085265C"/>
    <w:rsid w:val="00852823"/>
    <w:rsid w:val="008528A3"/>
    <w:rsid w:val="00852A1F"/>
    <w:rsid w:val="00852A50"/>
    <w:rsid w:val="00853135"/>
    <w:rsid w:val="0085336B"/>
    <w:rsid w:val="008543E4"/>
    <w:rsid w:val="00854BA3"/>
    <w:rsid w:val="0085506B"/>
    <w:rsid w:val="00855150"/>
    <w:rsid w:val="00855A16"/>
    <w:rsid w:val="008566B9"/>
    <w:rsid w:val="00856C08"/>
    <w:rsid w:val="00856FB9"/>
    <w:rsid w:val="00856FDC"/>
    <w:rsid w:val="00857092"/>
    <w:rsid w:val="00857109"/>
    <w:rsid w:val="00857194"/>
    <w:rsid w:val="00857D38"/>
    <w:rsid w:val="00857E47"/>
    <w:rsid w:val="00857EE9"/>
    <w:rsid w:val="00857FF1"/>
    <w:rsid w:val="00860291"/>
    <w:rsid w:val="00860386"/>
    <w:rsid w:val="00860A1B"/>
    <w:rsid w:val="00860C8E"/>
    <w:rsid w:val="00860C96"/>
    <w:rsid w:val="00860DBC"/>
    <w:rsid w:val="00860FAD"/>
    <w:rsid w:val="00861003"/>
    <w:rsid w:val="00861756"/>
    <w:rsid w:val="00861AB6"/>
    <w:rsid w:val="00861C8B"/>
    <w:rsid w:val="00861DED"/>
    <w:rsid w:val="00861F6C"/>
    <w:rsid w:val="00862096"/>
    <w:rsid w:val="008622FA"/>
    <w:rsid w:val="0086272D"/>
    <w:rsid w:val="00862BB5"/>
    <w:rsid w:val="00863727"/>
    <w:rsid w:val="008637F2"/>
    <w:rsid w:val="00863DFB"/>
    <w:rsid w:val="00863E21"/>
    <w:rsid w:val="008642B9"/>
    <w:rsid w:val="008643A9"/>
    <w:rsid w:val="008643C7"/>
    <w:rsid w:val="008646AB"/>
    <w:rsid w:val="0086488B"/>
    <w:rsid w:val="00864AD3"/>
    <w:rsid w:val="00864F0E"/>
    <w:rsid w:val="008651EF"/>
    <w:rsid w:val="008652B7"/>
    <w:rsid w:val="008652D1"/>
    <w:rsid w:val="00865523"/>
    <w:rsid w:val="00865A78"/>
    <w:rsid w:val="00865D09"/>
    <w:rsid w:val="00865D0A"/>
    <w:rsid w:val="00865DF2"/>
    <w:rsid w:val="00865E9C"/>
    <w:rsid w:val="00865F91"/>
    <w:rsid w:val="00865FED"/>
    <w:rsid w:val="0086636C"/>
    <w:rsid w:val="00866AF4"/>
    <w:rsid w:val="00866C45"/>
    <w:rsid w:val="00866FF2"/>
    <w:rsid w:val="00867219"/>
    <w:rsid w:val="0086764C"/>
    <w:rsid w:val="00867843"/>
    <w:rsid w:val="0086790C"/>
    <w:rsid w:val="00867FB4"/>
    <w:rsid w:val="00867FD5"/>
    <w:rsid w:val="00870945"/>
    <w:rsid w:val="00870AF1"/>
    <w:rsid w:val="00870B83"/>
    <w:rsid w:val="0087157C"/>
    <w:rsid w:val="00871647"/>
    <w:rsid w:val="008718A1"/>
    <w:rsid w:val="00871B09"/>
    <w:rsid w:val="00872238"/>
    <w:rsid w:val="008722D7"/>
    <w:rsid w:val="00872660"/>
    <w:rsid w:val="00872B53"/>
    <w:rsid w:val="00872D65"/>
    <w:rsid w:val="00872E82"/>
    <w:rsid w:val="00873786"/>
    <w:rsid w:val="0087442C"/>
    <w:rsid w:val="0087496D"/>
    <w:rsid w:val="008749F2"/>
    <w:rsid w:val="00874BAF"/>
    <w:rsid w:val="00874CEE"/>
    <w:rsid w:val="00874D58"/>
    <w:rsid w:val="00875352"/>
    <w:rsid w:val="008753B0"/>
    <w:rsid w:val="00875771"/>
    <w:rsid w:val="00875BD0"/>
    <w:rsid w:val="00875C5E"/>
    <w:rsid w:val="00876073"/>
    <w:rsid w:val="00876829"/>
    <w:rsid w:val="00876ABC"/>
    <w:rsid w:val="00876EA3"/>
    <w:rsid w:val="00877027"/>
    <w:rsid w:val="0087757C"/>
    <w:rsid w:val="00877CD4"/>
    <w:rsid w:val="00877FD0"/>
    <w:rsid w:val="00880000"/>
    <w:rsid w:val="0088007D"/>
    <w:rsid w:val="008801A4"/>
    <w:rsid w:val="008802E4"/>
    <w:rsid w:val="00880319"/>
    <w:rsid w:val="008809AD"/>
    <w:rsid w:val="00880B7A"/>
    <w:rsid w:val="00880BA7"/>
    <w:rsid w:val="00880FBC"/>
    <w:rsid w:val="008813F3"/>
    <w:rsid w:val="0088196C"/>
    <w:rsid w:val="00881BDD"/>
    <w:rsid w:val="00881C85"/>
    <w:rsid w:val="00881FAC"/>
    <w:rsid w:val="00882465"/>
    <w:rsid w:val="00882D78"/>
    <w:rsid w:val="008833A9"/>
    <w:rsid w:val="00883453"/>
    <w:rsid w:val="008836A2"/>
    <w:rsid w:val="0088379A"/>
    <w:rsid w:val="008842D9"/>
    <w:rsid w:val="008843FC"/>
    <w:rsid w:val="008844E6"/>
    <w:rsid w:val="00884577"/>
    <w:rsid w:val="008847CF"/>
    <w:rsid w:val="00884845"/>
    <w:rsid w:val="00884C32"/>
    <w:rsid w:val="00885160"/>
    <w:rsid w:val="00885443"/>
    <w:rsid w:val="00885A1B"/>
    <w:rsid w:val="00886474"/>
    <w:rsid w:val="008869FC"/>
    <w:rsid w:val="00886DD4"/>
    <w:rsid w:val="00887188"/>
    <w:rsid w:val="00887B2B"/>
    <w:rsid w:val="00887E81"/>
    <w:rsid w:val="008900BB"/>
    <w:rsid w:val="0089014C"/>
    <w:rsid w:val="008905C6"/>
    <w:rsid w:val="008908A6"/>
    <w:rsid w:val="008908E1"/>
    <w:rsid w:val="00890B72"/>
    <w:rsid w:val="00891190"/>
    <w:rsid w:val="008911AB"/>
    <w:rsid w:val="00891B3C"/>
    <w:rsid w:val="00891DC8"/>
    <w:rsid w:val="00891F3C"/>
    <w:rsid w:val="00892183"/>
    <w:rsid w:val="008921CB"/>
    <w:rsid w:val="00892443"/>
    <w:rsid w:val="00892554"/>
    <w:rsid w:val="008926E1"/>
    <w:rsid w:val="00892706"/>
    <w:rsid w:val="00892960"/>
    <w:rsid w:val="0089296F"/>
    <w:rsid w:val="0089313C"/>
    <w:rsid w:val="0089378A"/>
    <w:rsid w:val="00894015"/>
    <w:rsid w:val="00894357"/>
    <w:rsid w:val="008944B2"/>
    <w:rsid w:val="008946CA"/>
    <w:rsid w:val="0089486B"/>
    <w:rsid w:val="008948A5"/>
    <w:rsid w:val="008958D3"/>
    <w:rsid w:val="00896498"/>
    <w:rsid w:val="008966A8"/>
    <w:rsid w:val="00896AAE"/>
    <w:rsid w:val="008970F7"/>
    <w:rsid w:val="008971E4"/>
    <w:rsid w:val="00897656"/>
    <w:rsid w:val="00897700"/>
    <w:rsid w:val="00897A4A"/>
    <w:rsid w:val="00897D34"/>
    <w:rsid w:val="00897FDE"/>
    <w:rsid w:val="008A01AA"/>
    <w:rsid w:val="008A081D"/>
    <w:rsid w:val="008A0F08"/>
    <w:rsid w:val="008A1375"/>
    <w:rsid w:val="008A142D"/>
    <w:rsid w:val="008A14D1"/>
    <w:rsid w:val="008A152D"/>
    <w:rsid w:val="008A199E"/>
    <w:rsid w:val="008A1B94"/>
    <w:rsid w:val="008A1DB8"/>
    <w:rsid w:val="008A27DC"/>
    <w:rsid w:val="008A29E5"/>
    <w:rsid w:val="008A2CB3"/>
    <w:rsid w:val="008A2E50"/>
    <w:rsid w:val="008A32CC"/>
    <w:rsid w:val="008A37F8"/>
    <w:rsid w:val="008A3A49"/>
    <w:rsid w:val="008A401A"/>
    <w:rsid w:val="008A42E0"/>
    <w:rsid w:val="008A42E7"/>
    <w:rsid w:val="008A445F"/>
    <w:rsid w:val="008A44EF"/>
    <w:rsid w:val="008A48CC"/>
    <w:rsid w:val="008A4E98"/>
    <w:rsid w:val="008A4F11"/>
    <w:rsid w:val="008A4F34"/>
    <w:rsid w:val="008A572D"/>
    <w:rsid w:val="008A591D"/>
    <w:rsid w:val="008A591F"/>
    <w:rsid w:val="008A5B0C"/>
    <w:rsid w:val="008A5BE0"/>
    <w:rsid w:val="008A5F6A"/>
    <w:rsid w:val="008A63BE"/>
    <w:rsid w:val="008A64A7"/>
    <w:rsid w:val="008A64B4"/>
    <w:rsid w:val="008A6557"/>
    <w:rsid w:val="008A6A50"/>
    <w:rsid w:val="008A6A74"/>
    <w:rsid w:val="008A7637"/>
    <w:rsid w:val="008A77A4"/>
    <w:rsid w:val="008A7A36"/>
    <w:rsid w:val="008A7FF9"/>
    <w:rsid w:val="008B019D"/>
    <w:rsid w:val="008B04E3"/>
    <w:rsid w:val="008B0515"/>
    <w:rsid w:val="008B05D3"/>
    <w:rsid w:val="008B06EC"/>
    <w:rsid w:val="008B0765"/>
    <w:rsid w:val="008B0A74"/>
    <w:rsid w:val="008B0D6C"/>
    <w:rsid w:val="008B1436"/>
    <w:rsid w:val="008B1973"/>
    <w:rsid w:val="008B1E92"/>
    <w:rsid w:val="008B2E30"/>
    <w:rsid w:val="008B2F3F"/>
    <w:rsid w:val="008B377A"/>
    <w:rsid w:val="008B3B30"/>
    <w:rsid w:val="008B3F0E"/>
    <w:rsid w:val="008B4302"/>
    <w:rsid w:val="008B46CE"/>
    <w:rsid w:val="008B4996"/>
    <w:rsid w:val="008B4B34"/>
    <w:rsid w:val="008B57A1"/>
    <w:rsid w:val="008B58B1"/>
    <w:rsid w:val="008B5AFE"/>
    <w:rsid w:val="008B5B1D"/>
    <w:rsid w:val="008B5EBA"/>
    <w:rsid w:val="008B6269"/>
    <w:rsid w:val="008B6605"/>
    <w:rsid w:val="008B68BB"/>
    <w:rsid w:val="008B6C13"/>
    <w:rsid w:val="008B6F0C"/>
    <w:rsid w:val="008B75AE"/>
    <w:rsid w:val="008B78B0"/>
    <w:rsid w:val="008B7CD3"/>
    <w:rsid w:val="008B7F0C"/>
    <w:rsid w:val="008B7F95"/>
    <w:rsid w:val="008C046B"/>
    <w:rsid w:val="008C04B1"/>
    <w:rsid w:val="008C07C3"/>
    <w:rsid w:val="008C08DD"/>
    <w:rsid w:val="008C0ABA"/>
    <w:rsid w:val="008C0AFD"/>
    <w:rsid w:val="008C0C60"/>
    <w:rsid w:val="008C11D4"/>
    <w:rsid w:val="008C1449"/>
    <w:rsid w:val="008C1673"/>
    <w:rsid w:val="008C1A92"/>
    <w:rsid w:val="008C1B2C"/>
    <w:rsid w:val="008C1E0B"/>
    <w:rsid w:val="008C1EB2"/>
    <w:rsid w:val="008C1EC4"/>
    <w:rsid w:val="008C23B4"/>
    <w:rsid w:val="008C249E"/>
    <w:rsid w:val="008C2D43"/>
    <w:rsid w:val="008C2E3D"/>
    <w:rsid w:val="008C2F27"/>
    <w:rsid w:val="008C3232"/>
    <w:rsid w:val="008C35FE"/>
    <w:rsid w:val="008C3663"/>
    <w:rsid w:val="008C36F5"/>
    <w:rsid w:val="008C370F"/>
    <w:rsid w:val="008C3715"/>
    <w:rsid w:val="008C3AF6"/>
    <w:rsid w:val="008C3E10"/>
    <w:rsid w:val="008C3F06"/>
    <w:rsid w:val="008C4979"/>
    <w:rsid w:val="008C5347"/>
    <w:rsid w:val="008C5471"/>
    <w:rsid w:val="008C5525"/>
    <w:rsid w:val="008C558E"/>
    <w:rsid w:val="008C56A7"/>
    <w:rsid w:val="008C58F9"/>
    <w:rsid w:val="008C5A24"/>
    <w:rsid w:val="008C5B6A"/>
    <w:rsid w:val="008C5EAC"/>
    <w:rsid w:val="008C5FDD"/>
    <w:rsid w:val="008C6480"/>
    <w:rsid w:val="008C6649"/>
    <w:rsid w:val="008C66DC"/>
    <w:rsid w:val="008C70DA"/>
    <w:rsid w:val="008C72A4"/>
    <w:rsid w:val="008C7423"/>
    <w:rsid w:val="008C78FD"/>
    <w:rsid w:val="008C7AB6"/>
    <w:rsid w:val="008C7FC6"/>
    <w:rsid w:val="008D00AB"/>
    <w:rsid w:val="008D0900"/>
    <w:rsid w:val="008D1009"/>
    <w:rsid w:val="008D12C4"/>
    <w:rsid w:val="008D1416"/>
    <w:rsid w:val="008D1476"/>
    <w:rsid w:val="008D1729"/>
    <w:rsid w:val="008D17D9"/>
    <w:rsid w:val="008D19F6"/>
    <w:rsid w:val="008D1A42"/>
    <w:rsid w:val="008D1BA4"/>
    <w:rsid w:val="008D1C93"/>
    <w:rsid w:val="008D2337"/>
    <w:rsid w:val="008D26C1"/>
    <w:rsid w:val="008D26EC"/>
    <w:rsid w:val="008D2F86"/>
    <w:rsid w:val="008D30D9"/>
    <w:rsid w:val="008D3576"/>
    <w:rsid w:val="008D3992"/>
    <w:rsid w:val="008D43BB"/>
    <w:rsid w:val="008D43D0"/>
    <w:rsid w:val="008D448F"/>
    <w:rsid w:val="008D45AB"/>
    <w:rsid w:val="008D4974"/>
    <w:rsid w:val="008D49B6"/>
    <w:rsid w:val="008D4CE5"/>
    <w:rsid w:val="008D5683"/>
    <w:rsid w:val="008D59F9"/>
    <w:rsid w:val="008D5A12"/>
    <w:rsid w:val="008D5F47"/>
    <w:rsid w:val="008D6986"/>
    <w:rsid w:val="008D6D68"/>
    <w:rsid w:val="008D6F8A"/>
    <w:rsid w:val="008D73F8"/>
    <w:rsid w:val="008D74C7"/>
    <w:rsid w:val="008D7616"/>
    <w:rsid w:val="008D76AD"/>
    <w:rsid w:val="008D7BCF"/>
    <w:rsid w:val="008E0011"/>
    <w:rsid w:val="008E0054"/>
    <w:rsid w:val="008E05E5"/>
    <w:rsid w:val="008E06AF"/>
    <w:rsid w:val="008E0735"/>
    <w:rsid w:val="008E185D"/>
    <w:rsid w:val="008E1B58"/>
    <w:rsid w:val="008E1B75"/>
    <w:rsid w:val="008E1C20"/>
    <w:rsid w:val="008E1CEE"/>
    <w:rsid w:val="008E1CF1"/>
    <w:rsid w:val="008E1F7F"/>
    <w:rsid w:val="008E21A0"/>
    <w:rsid w:val="008E236F"/>
    <w:rsid w:val="008E2997"/>
    <w:rsid w:val="008E2BC0"/>
    <w:rsid w:val="008E2C63"/>
    <w:rsid w:val="008E2E91"/>
    <w:rsid w:val="008E3110"/>
    <w:rsid w:val="008E33EC"/>
    <w:rsid w:val="008E34E3"/>
    <w:rsid w:val="008E374A"/>
    <w:rsid w:val="008E3A82"/>
    <w:rsid w:val="008E453C"/>
    <w:rsid w:val="008E46E3"/>
    <w:rsid w:val="008E4A04"/>
    <w:rsid w:val="008E4E2F"/>
    <w:rsid w:val="008E531F"/>
    <w:rsid w:val="008E5571"/>
    <w:rsid w:val="008E5576"/>
    <w:rsid w:val="008E560C"/>
    <w:rsid w:val="008E5D4C"/>
    <w:rsid w:val="008E5D79"/>
    <w:rsid w:val="008E663B"/>
    <w:rsid w:val="008E698D"/>
    <w:rsid w:val="008E6EDA"/>
    <w:rsid w:val="008E723A"/>
    <w:rsid w:val="008E7281"/>
    <w:rsid w:val="008E7703"/>
    <w:rsid w:val="008E773F"/>
    <w:rsid w:val="008E77D3"/>
    <w:rsid w:val="008E787F"/>
    <w:rsid w:val="008E7A11"/>
    <w:rsid w:val="008E7A6A"/>
    <w:rsid w:val="008E7EBB"/>
    <w:rsid w:val="008F00F6"/>
    <w:rsid w:val="008F015C"/>
    <w:rsid w:val="008F0192"/>
    <w:rsid w:val="008F01DC"/>
    <w:rsid w:val="008F0A55"/>
    <w:rsid w:val="008F0BB1"/>
    <w:rsid w:val="008F11BC"/>
    <w:rsid w:val="008F13C8"/>
    <w:rsid w:val="008F19BE"/>
    <w:rsid w:val="008F1E2E"/>
    <w:rsid w:val="008F23DD"/>
    <w:rsid w:val="008F3151"/>
    <w:rsid w:val="008F35F1"/>
    <w:rsid w:val="008F3863"/>
    <w:rsid w:val="008F3972"/>
    <w:rsid w:val="008F3B30"/>
    <w:rsid w:val="008F3B86"/>
    <w:rsid w:val="008F3E51"/>
    <w:rsid w:val="008F40B7"/>
    <w:rsid w:val="008F4252"/>
    <w:rsid w:val="008F45F5"/>
    <w:rsid w:val="008F4EEF"/>
    <w:rsid w:val="008F57E7"/>
    <w:rsid w:val="008F5921"/>
    <w:rsid w:val="008F59E9"/>
    <w:rsid w:val="008F62A5"/>
    <w:rsid w:val="008F6711"/>
    <w:rsid w:val="008F6918"/>
    <w:rsid w:val="008F6920"/>
    <w:rsid w:val="008F6A82"/>
    <w:rsid w:val="008F6C84"/>
    <w:rsid w:val="008F7882"/>
    <w:rsid w:val="008F7A78"/>
    <w:rsid w:val="008F7F7E"/>
    <w:rsid w:val="009001DD"/>
    <w:rsid w:val="0090022F"/>
    <w:rsid w:val="00900701"/>
    <w:rsid w:val="00900932"/>
    <w:rsid w:val="00900A05"/>
    <w:rsid w:val="00900C03"/>
    <w:rsid w:val="00901165"/>
    <w:rsid w:val="00901181"/>
    <w:rsid w:val="00902194"/>
    <w:rsid w:val="0090245D"/>
    <w:rsid w:val="00902552"/>
    <w:rsid w:val="00902594"/>
    <w:rsid w:val="00902826"/>
    <w:rsid w:val="00902899"/>
    <w:rsid w:val="00902B6F"/>
    <w:rsid w:val="00902F65"/>
    <w:rsid w:val="009030A5"/>
    <w:rsid w:val="00903103"/>
    <w:rsid w:val="009032CE"/>
    <w:rsid w:val="009034DB"/>
    <w:rsid w:val="0090361E"/>
    <w:rsid w:val="009036B7"/>
    <w:rsid w:val="009036F6"/>
    <w:rsid w:val="00903706"/>
    <w:rsid w:val="0090386A"/>
    <w:rsid w:val="00903B54"/>
    <w:rsid w:val="009046DD"/>
    <w:rsid w:val="00904735"/>
    <w:rsid w:val="00904B54"/>
    <w:rsid w:val="00904F42"/>
    <w:rsid w:val="009050FC"/>
    <w:rsid w:val="0090550B"/>
    <w:rsid w:val="00905695"/>
    <w:rsid w:val="00905AB5"/>
    <w:rsid w:val="009062C9"/>
    <w:rsid w:val="00906391"/>
    <w:rsid w:val="0090667A"/>
    <w:rsid w:val="009066EC"/>
    <w:rsid w:val="0090706F"/>
    <w:rsid w:val="00907586"/>
    <w:rsid w:val="00907619"/>
    <w:rsid w:val="00907650"/>
    <w:rsid w:val="00907799"/>
    <w:rsid w:val="00907D66"/>
    <w:rsid w:val="00907E38"/>
    <w:rsid w:val="00910001"/>
    <w:rsid w:val="009109E8"/>
    <w:rsid w:val="00910D86"/>
    <w:rsid w:val="00910F48"/>
    <w:rsid w:val="00911145"/>
    <w:rsid w:val="00911194"/>
    <w:rsid w:val="0091134C"/>
    <w:rsid w:val="009114AA"/>
    <w:rsid w:val="009115AA"/>
    <w:rsid w:val="00912274"/>
    <w:rsid w:val="009123EC"/>
    <w:rsid w:val="009129F4"/>
    <w:rsid w:val="00912B9C"/>
    <w:rsid w:val="0091307D"/>
    <w:rsid w:val="009133E1"/>
    <w:rsid w:val="009138E6"/>
    <w:rsid w:val="009145F3"/>
    <w:rsid w:val="00914658"/>
    <w:rsid w:val="00914A62"/>
    <w:rsid w:val="00915410"/>
    <w:rsid w:val="00915481"/>
    <w:rsid w:val="0091584C"/>
    <w:rsid w:val="00915EA7"/>
    <w:rsid w:val="00916466"/>
    <w:rsid w:val="009171A6"/>
    <w:rsid w:val="009171F6"/>
    <w:rsid w:val="009174CD"/>
    <w:rsid w:val="0091788C"/>
    <w:rsid w:val="00917B15"/>
    <w:rsid w:val="00917B1E"/>
    <w:rsid w:val="009200CB"/>
    <w:rsid w:val="00920315"/>
    <w:rsid w:val="0092049B"/>
    <w:rsid w:val="00920C42"/>
    <w:rsid w:val="00920E7E"/>
    <w:rsid w:val="00920EF2"/>
    <w:rsid w:val="009218CE"/>
    <w:rsid w:val="00921DFC"/>
    <w:rsid w:val="00921E9D"/>
    <w:rsid w:val="0092266C"/>
    <w:rsid w:val="00922A60"/>
    <w:rsid w:val="00922B6C"/>
    <w:rsid w:val="00922B92"/>
    <w:rsid w:val="00922C38"/>
    <w:rsid w:val="00922ED8"/>
    <w:rsid w:val="0092361E"/>
    <w:rsid w:val="00923A46"/>
    <w:rsid w:val="00923C09"/>
    <w:rsid w:val="00923DAE"/>
    <w:rsid w:val="0092457A"/>
    <w:rsid w:val="00924827"/>
    <w:rsid w:val="00924886"/>
    <w:rsid w:val="00924954"/>
    <w:rsid w:val="009249A1"/>
    <w:rsid w:val="009251A6"/>
    <w:rsid w:val="00925605"/>
    <w:rsid w:val="009258EF"/>
    <w:rsid w:val="00925A42"/>
    <w:rsid w:val="00925B81"/>
    <w:rsid w:val="00925C37"/>
    <w:rsid w:val="00925C4F"/>
    <w:rsid w:val="00925E4F"/>
    <w:rsid w:val="00926093"/>
    <w:rsid w:val="00926430"/>
    <w:rsid w:val="00926A34"/>
    <w:rsid w:val="009276CF"/>
    <w:rsid w:val="009276D4"/>
    <w:rsid w:val="009277A4"/>
    <w:rsid w:val="00927864"/>
    <w:rsid w:val="00927AF8"/>
    <w:rsid w:val="00927D3C"/>
    <w:rsid w:val="009301CE"/>
    <w:rsid w:val="0093041E"/>
    <w:rsid w:val="00930928"/>
    <w:rsid w:val="00930BA4"/>
    <w:rsid w:val="00930DF1"/>
    <w:rsid w:val="0093123F"/>
    <w:rsid w:val="009316E0"/>
    <w:rsid w:val="009317DF"/>
    <w:rsid w:val="00931AED"/>
    <w:rsid w:val="00932303"/>
    <w:rsid w:val="00932698"/>
    <w:rsid w:val="00932817"/>
    <w:rsid w:val="0093289D"/>
    <w:rsid w:val="00932A63"/>
    <w:rsid w:val="00932DBE"/>
    <w:rsid w:val="009338F8"/>
    <w:rsid w:val="00933E2A"/>
    <w:rsid w:val="00933EE7"/>
    <w:rsid w:val="0093418C"/>
    <w:rsid w:val="00934751"/>
    <w:rsid w:val="00934F95"/>
    <w:rsid w:val="00935174"/>
    <w:rsid w:val="00935A00"/>
    <w:rsid w:val="009360DB"/>
    <w:rsid w:val="009361A7"/>
    <w:rsid w:val="009366A4"/>
    <w:rsid w:val="009368F5"/>
    <w:rsid w:val="00936A4D"/>
    <w:rsid w:val="00936A89"/>
    <w:rsid w:val="00936B4B"/>
    <w:rsid w:val="00936D2B"/>
    <w:rsid w:val="00936DA0"/>
    <w:rsid w:val="00937DD9"/>
    <w:rsid w:val="0094004B"/>
    <w:rsid w:val="009400A9"/>
    <w:rsid w:val="009401F5"/>
    <w:rsid w:val="009403F4"/>
    <w:rsid w:val="00940530"/>
    <w:rsid w:val="00940561"/>
    <w:rsid w:val="009411A0"/>
    <w:rsid w:val="00941935"/>
    <w:rsid w:val="00941B40"/>
    <w:rsid w:val="00941F86"/>
    <w:rsid w:val="00941FE3"/>
    <w:rsid w:val="00942060"/>
    <w:rsid w:val="00942122"/>
    <w:rsid w:val="009426F1"/>
    <w:rsid w:val="009428E8"/>
    <w:rsid w:val="00942BF9"/>
    <w:rsid w:val="00942E90"/>
    <w:rsid w:val="00942F95"/>
    <w:rsid w:val="00943513"/>
    <w:rsid w:val="0094360B"/>
    <w:rsid w:val="009437E9"/>
    <w:rsid w:val="00943B4E"/>
    <w:rsid w:val="00943D54"/>
    <w:rsid w:val="00943EA8"/>
    <w:rsid w:val="00943FF4"/>
    <w:rsid w:val="009441A2"/>
    <w:rsid w:val="009441D1"/>
    <w:rsid w:val="00944274"/>
    <w:rsid w:val="00944DB1"/>
    <w:rsid w:val="00944DF7"/>
    <w:rsid w:val="00945459"/>
    <w:rsid w:val="00945632"/>
    <w:rsid w:val="00945704"/>
    <w:rsid w:val="00945825"/>
    <w:rsid w:val="009458C0"/>
    <w:rsid w:val="00946123"/>
    <w:rsid w:val="00946212"/>
    <w:rsid w:val="0094628B"/>
    <w:rsid w:val="0094639E"/>
    <w:rsid w:val="00947063"/>
    <w:rsid w:val="00947168"/>
    <w:rsid w:val="0094726E"/>
    <w:rsid w:val="00947882"/>
    <w:rsid w:val="009479E0"/>
    <w:rsid w:val="00947C57"/>
    <w:rsid w:val="0095009A"/>
    <w:rsid w:val="00950223"/>
    <w:rsid w:val="0095027B"/>
    <w:rsid w:val="0095063E"/>
    <w:rsid w:val="00950AEF"/>
    <w:rsid w:val="00950D8A"/>
    <w:rsid w:val="009514FA"/>
    <w:rsid w:val="00951623"/>
    <w:rsid w:val="0095173D"/>
    <w:rsid w:val="00951769"/>
    <w:rsid w:val="009517C5"/>
    <w:rsid w:val="00951C62"/>
    <w:rsid w:val="00951C8F"/>
    <w:rsid w:val="00951DD9"/>
    <w:rsid w:val="00951F04"/>
    <w:rsid w:val="009524F7"/>
    <w:rsid w:val="0095277C"/>
    <w:rsid w:val="0095293C"/>
    <w:rsid w:val="00952B65"/>
    <w:rsid w:val="00952C44"/>
    <w:rsid w:val="00952EA9"/>
    <w:rsid w:val="00953177"/>
    <w:rsid w:val="009532FA"/>
    <w:rsid w:val="00953B36"/>
    <w:rsid w:val="00953EB5"/>
    <w:rsid w:val="00953F38"/>
    <w:rsid w:val="009541E6"/>
    <w:rsid w:val="00954324"/>
    <w:rsid w:val="00954468"/>
    <w:rsid w:val="009545D1"/>
    <w:rsid w:val="00954637"/>
    <w:rsid w:val="00954763"/>
    <w:rsid w:val="00954782"/>
    <w:rsid w:val="0095520E"/>
    <w:rsid w:val="00955288"/>
    <w:rsid w:val="00955544"/>
    <w:rsid w:val="00955E34"/>
    <w:rsid w:val="0095665A"/>
    <w:rsid w:val="00956A45"/>
    <w:rsid w:val="00956BC3"/>
    <w:rsid w:val="009572B8"/>
    <w:rsid w:val="009577F1"/>
    <w:rsid w:val="00957CDA"/>
    <w:rsid w:val="00957CE0"/>
    <w:rsid w:val="00957D66"/>
    <w:rsid w:val="00960369"/>
    <w:rsid w:val="00960720"/>
    <w:rsid w:val="00960E06"/>
    <w:rsid w:val="00960EF1"/>
    <w:rsid w:val="00960F37"/>
    <w:rsid w:val="0096132C"/>
    <w:rsid w:val="0096162C"/>
    <w:rsid w:val="009616A1"/>
    <w:rsid w:val="00961767"/>
    <w:rsid w:val="009617A2"/>
    <w:rsid w:val="0096189F"/>
    <w:rsid w:val="0096197F"/>
    <w:rsid w:val="009624C6"/>
    <w:rsid w:val="00962632"/>
    <w:rsid w:val="009626D3"/>
    <w:rsid w:val="0096293B"/>
    <w:rsid w:val="00962FE9"/>
    <w:rsid w:val="009633AC"/>
    <w:rsid w:val="00963842"/>
    <w:rsid w:val="009638EE"/>
    <w:rsid w:val="00963BCC"/>
    <w:rsid w:val="00963F45"/>
    <w:rsid w:val="009647BE"/>
    <w:rsid w:val="00964822"/>
    <w:rsid w:val="009648A8"/>
    <w:rsid w:val="00964980"/>
    <w:rsid w:val="00964AAC"/>
    <w:rsid w:val="00965006"/>
    <w:rsid w:val="00965047"/>
    <w:rsid w:val="00965066"/>
    <w:rsid w:val="00965711"/>
    <w:rsid w:val="00965AA8"/>
    <w:rsid w:val="00965CC5"/>
    <w:rsid w:val="00965DB1"/>
    <w:rsid w:val="00965EE4"/>
    <w:rsid w:val="00966008"/>
    <w:rsid w:val="009665A0"/>
    <w:rsid w:val="00966C99"/>
    <w:rsid w:val="00967046"/>
    <w:rsid w:val="00967153"/>
    <w:rsid w:val="00967B89"/>
    <w:rsid w:val="0097023D"/>
    <w:rsid w:val="00970742"/>
    <w:rsid w:val="009709FD"/>
    <w:rsid w:val="009710CA"/>
    <w:rsid w:val="0097110D"/>
    <w:rsid w:val="009718B8"/>
    <w:rsid w:val="00971ACB"/>
    <w:rsid w:val="009724CE"/>
    <w:rsid w:val="0097255D"/>
    <w:rsid w:val="00972612"/>
    <w:rsid w:val="009728D4"/>
    <w:rsid w:val="00972900"/>
    <w:rsid w:val="00972BBD"/>
    <w:rsid w:val="0097300C"/>
    <w:rsid w:val="00973397"/>
    <w:rsid w:val="00973770"/>
    <w:rsid w:val="00973967"/>
    <w:rsid w:val="00973BDC"/>
    <w:rsid w:val="00973D2A"/>
    <w:rsid w:val="009742AF"/>
    <w:rsid w:val="00974EEF"/>
    <w:rsid w:val="0097506B"/>
    <w:rsid w:val="009751CF"/>
    <w:rsid w:val="00975589"/>
    <w:rsid w:val="009757C1"/>
    <w:rsid w:val="009757D4"/>
    <w:rsid w:val="009761AB"/>
    <w:rsid w:val="00976547"/>
    <w:rsid w:val="009766C6"/>
    <w:rsid w:val="009771D6"/>
    <w:rsid w:val="009772D0"/>
    <w:rsid w:val="009772FF"/>
    <w:rsid w:val="009773AD"/>
    <w:rsid w:val="009774C9"/>
    <w:rsid w:val="009779C1"/>
    <w:rsid w:val="00977A7D"/>
    <w:rsid w:val="00977B7C"/>
    <w:rsid w:val="00977D8A"/>
    <w:rsid w:val="00977E74"/>
    <w:rsid w:val="00977F43"/>
    <w:rsid w:val="00977F6D"/>
    <w:rsid w:val="00977F73"/>
    <w:rsid w:val="00977FEB"/>
    <w:rsid w:val="009805C3"/>
    <w:rsid w:val="00980C67"/>
    <w:rsid w:val="00981288"/>
    <w:rsid w:val="00981411"/>
    <w:rsid w:val="00981615"/>
    <w:rsid w:val="00981F02"/>
    <w:rsid w:val="00982495"/>
    <w:rsid w:val="00982766"/>
    <w:rsid w:val="00982975"/>
    <w:rsid w:val="009831EB"/>
    <w:rsid w:val="00983528"/>
    <w:rsid w:val="009838B6"/>
    <w:rsid w:val="00983922"/>
    <w:rsid w:val="00983DA3"/>
    <w:rsid w:val="00983E3B"/>
    <w:rsid w:val="009843E6"/>
    <w:rsid w:val="009844AF"/>
    <w:rsid w:val="00984644"/>
    <w:rsid w:val="00984EA3"/>
    <w:rsid w:val="00984F90"/>
    <w:rsid w:val="009850F7"/>
    <w:rsid w:val="00985362"/>
    <w:rsid w:val="00985699"/>
    <w:rsid w:val="009858A8"/>
    <w:rsid w:val="00985AB7"/>
    <w:rsid w:val="00985B37"/>
    <w:rsid w:val="00985BAC"/>
    <w:rsid w:val="00985D0C"/>
    <w:rsid w:val="0098620D"/>
    <w:rsid w:val="00986525"/>
    <w:rsid w:val="00986605"/>
    <w:rsid w:val="00986A74"/>
    <w:rsid w:val="00986D9E"/>
    <w:rsid w:val="00986F3A"/>
    <w:rsid w:val="00986FE3"/>
    <w:rsid w:val="00987220"/>
    <w:rsid w:val="00987385"/>
    <w:rsid w:val="009876D7"/>
    <w:rsid w:val="00987A44"/>
    <w:rsid w:val="00987DFB"/>
    <w:rsid w:val="0099002E"/>
    <w:rsid w:val="009903CA"/>
    <w:rsid w:val="0099063B"/>
    <w:rsid w:val="0099083E"/>
    <w:rsid w:val="009909E7"/>
    <w:rsid w:val="00990B15"/>
    <w:rsid w:val="00990C06"/>
    <w:rsid w:val="00990C15"/>
    <w:rsid w:val="00990D4B"/>
    <w:rsid w:val="00990D74"/>
    <w:rsid w:val="009912DB"/>
    <w:rsid w:val="00991473"/>
    <w:rsid w:val="00991988"/>
    <w:rsid w:val="00992528"/>
    <w:rsid w:val="009925F8"/>
    <w:rsid w:val="00992779"/>
    <w:rsid w:val="0099286F"/>
    <w:rsid w:val="0099307C"/>
    <w:rsid w:val="00993134"/>
    <w:rsid w:val="00993630"/>
    <w:rsid w:val="009936FC"/>
    <w:rsid w:val="00993715"/>
    <w:rsid w:val="00993891"/>
    <w:rsid w:val="00993F05"/>
    <w:rsid w:val="009941A0"/>
    <w:rsid w:val="009941B5"/>
    <w:rsid w:val="009941CC"/>
    <w:rsid w:val="0099440A"/>
    <w:rsid w:val="00994671"/>
    <w:rsid w:val="0099479E"/>
    <w:rsid w:val="0099489A"/>
    <w:rsid w:val="00994CD9"/>
    <w:rsid w:val="00994D3F"/>
    <w:rsid w:val="00994EC8"/>
    <w:rsid w:val="00995561"/>
    <w:rsid w:val="00995C1C"/>
    <w:rsid w:val="00995C20"/>
    <w:rsid w:val="00995D22"/>
    <w:rsid w:val="00996088"/>
    <w:rsid w:val="009967DA"/>
    <w:rsid w:val="00996861"/>
    <w:rsid w:val="00996934"/>
    <w:rsid w:val="009974F7"/>
    <w:rsid w:val="0099750D"/>
    <w:rsid w:val="00997937"/>
    <w:rsid w:val="00997BB6"/>
    <w:rsid w:val="00997CB0"/>
    <w:rsid w:val="009A00F3"/>
    <w:rsid w:val="009A0B99"/>
    <w:rsid w:val="009A0E6E"/>
    <w:rsid w:val="009A0FE9"/>
    <w:rsid w:val="009A1102"/>
    <w:rsid w:val="009A113D"/>
    <w:rsid w:val="009A11A9"/>
    <w:rsid w:val="009A1E9B"/>
    <w:rsid w:val="009A207D"/>
    <w:rsid w:val="009A255C"/>
    <w:rsid w:val="009A2592"/>
    <w:rsid w:val="009A25D8"/>
    <w:rsid w:val="009A3BDB"/>
    <w:rsid w:val="009A3C6A"/>
    <w:rsid w:val="009A3ED7"/>
    <w:rsid w:val="009A3F9C"/>
    <w:rsid w:val="009A46F2"/>
    <w:rsid w:val="009A4A69"/>
    <w:rsid w:val="009A4DB6"/>
    <w:rsid w:val="009A5278"/>
    <w:rsid w:val="009A5450"/>
    <w:rsid w:val="009A568A"/>
    <w:rsid w:val="009A57A4"/>
    <w:rsid w:val="009A59D0"/>
    <w:rsid w:val="009A5EB4"/>
    <w:rsid w:val="009A6091"/>
    <w:rsid w:val="009A6170"/>
    <w:rsid w:val="009A66F3"/>
    <w:rsid w:val="009A67F4"/>
    <w:rsid w:val="009A697A"/>
    <w:rsid w:val="009A6A1C"/>
    <w:rsid w:val="009A6D5C"/>
    <w:rsid w:val="009A702E"/>
    <w:rsid w:val="009A74F0"/>
    <w:rsid w:val="009A7506"/>
    <w:rsid w:val="009A77BF"/>
    <w:rsid w:val="009A78EF"/>
    <w:rsid w:val="009A7A1A"/>
    <w:rsid w:val="009A7C21"/>
    <w:rsid w:val="009B014A"/>
    <w:rsid w:val="009B03D1"/>
    <w:rsid w:val="009B03E2"/>
    <w:rsid w:val="009B053A"/>
    <w:rsid w:val="009B0DB1"/>
    <w:rsid w:val="009B150D"/>
    <w:rsid w:val="009B1C9E"/>
    <w:rsid w:val="009B1FF1"/>
    <w:rsid w:val="009B257B"/>
    <w:rsid w:val="009B34F7"/>
    <w:rsid w:val="009B3574"/>
    <w:rsid w:val="009B35DE"/>
    <w:rsid w:val="009B3B0A"/>
    <w:rsid w:val="009B3CA3"/>
    <w:rsid w:val="009B3CC4"/>
    <w:rsid w:val="009B3D74"/>
    <w:rsid w:val="009B3E29"/>
    <w:rsid w:val="009B3EE0"/>
    <w:rsid w:val="009B4071"/>
    <w:rsid w:val="009B43D2"/>
    <w:rsid w:val="009B44DD"/>
    <w:rsid w:val="009B45D7"/>
    <w:rsid w:val="009B469F"/>
    <w:rsid w:val="009B4959"/>
    <w:rsid w:val="009B4974"/>
    <w:rsid w:val="009B4BBA"/>
    <w:rsid w:val="009B5542"/>
    <w:rsid w:val="009B580D"/>
    <w:rsid w:val="009B5D3A"/>
    <w:rsid w:val="009B637F"/>
    <w:rsid w:val="009B653D"/>
    <w:rsid w:val="009B6653"/>
    <w:rsid w:val="009B66E0"/>
    <w:rsid w:val="009B685C"/>
    <w:rsid w:val="009B6C7A"/>
    <w:rsid w:val="009B6E4B"/>
    <w:rsid w:val="009B76FE"/>
    <w:rsid w:val="009B77B6"/>
    <w:rsid w:val="009B7B4C"/>
    <w:rsid w:val="009B7CDA"/>
    <w:rsid w:val="009B7E4E"/>
    <w:rsid w:val="009B7FA7"/>
    <w:rsid w:val="009C0176"/>
    <w:rsid w:val="009C06A6"/>
    <w:rsid w:val="009C07B0"/>
    <w:rsid w:val="009C0A49"/>
    <w:rsid w:val="009C0D17"/>
    <w:rsid w:val="009C1026"/>
    <w:rsid w:val="009C188E"/>
    <w:rsid w:val="009C1A64"/>
    <w:rsid w:val="009C23AB"/>
    <w:rsid w:val="009C287C"/>
    <w:rsid w:val="009C28EE"/>
    <w:rsid w:val="009C2D18"/>
    <w:rsid w:val="009C2E8F"/>
    <w:rsid w:val="009C2FB8"/>
    <w:rsid w:val="009C322E"/>
    <w:rsid w:val="009C3400"/>
    <w:rsid w:val="009C3C84"/>
    <w:rsid w:val="009C3E7B"/>
    <w:rsid w:val="009C42B7"/>
    <w:rsid w:val="009C4AF7"/>
    <w:rsid w:val="009C4F51"/>
    <w:rsid w:val="009C5241"/>
    <w:rsid w:val="009C5272"/>
    <w:rsid w:val="009C52BB"/>
    <w:rsid w:val="009C586E"/>
    <w:rsid w:val="009C5AF5"/>
    <w:rsid w:val="009C5C85"/>
    <w:rsid w:val="009C647B"/>
    <w:rsid w:val="009C64E4"/>
    <w:rsid w:val="009C66AF"/>
    <w:rsid w:val="009C6992"/>
    <w:rsid w:val="009C6CBD"/>
    <w:rsid w:val="009C6FA7"/>
    <w:rsid w:val="009C7122"/>
    <w:rsid w:val="009C72F0"/>
    <w:rsid w:val="009C74EE"/>
    <w:rsid w:val="009C79C8"/>
    <w:rsid w:val="009C7A81"/>
    <w:rsid w:val="009C7C08"/>
    <w:rsid w:val="009C7C79"/>
    <w:rsid w:val="009C7DA1"/>
    <w:rsid w:val="009C7ECD"/>
    <w:rsid w:val="009D02E7"/>
    <w:rsid w:val="009D032F"/>
    <w:rsid w:val="009D04C3"/>
    <w:rsid w:val="009D0573"/>
    <w:rsid w:val="009D0584"/>
    <w:rsid w:val="009D077C"/>
    <w:rsid w:val="009D08DE"/>
    <w:rsid w:val="009D095D"/>
    <w:rsid w:val="009D1316"/>
    <w:rsid w:val="009D175E"/>
    <w:rsid w:val="009D1A61"/>
    <w:rsid w:val="009D1A91"/>
    <w:rsid w:val="009D1C3F"/>
    <w:rsid w:val="009D22A0"/>
    <w:rsid w:val="009D2359"/>
    <w:rsid w:val="009D2574"/>
    <w:rsid w:val="009D2C23"/>
    <w:rsid w:val="009D2C76"/>
    <w:rsid w:val="009D2CD3"/>
    <w:rsid w:val="009D2D16"/>
    <w:rsid w:val="009D2DCC"/>
    <w:rsid w:val="009D2F65"/>
    <w:rsid w:val="009D3816"/>
    <w:rsid w:val="009D3900"/>
    <w:rsid w:val="009D4134"/>
    <w:rsid w:val="009D420D"/>
    <w:rsid w:val="009D4515"/>
    <w:rsid w:val="009D479C"/>
    <w:rsid w:val="009D47E5"/>
    <w:rsid w:val="009D4B29"/>
    <w:rsid w:val="009D4C9C"/>
    <w:rsid w:val="009D4D79"/>
    <w:rsid w:val="009D4F24"/>
    <w:rsid w:val="009D57FD"/>
    <w:rsid w:val="009D58AB"/>
    <w:rsid w:val="009D5977"/>
    <w:rsid w:val="009D5A78"/>
    <w:rsid w:val="009D5BC7"/>
    <w:rsid w:val="009D5BD2"/>
    <w:rsid w:val="009D5C00"/>
    <w:rsid w:val="009D5CDE"/>
    <w:rsid w:val="009D5FA7"/>
    <w:rsid w:val="009D6233"/>
    <w:rsid w:val="009D64AB"/>
    <w:rsid w:val="009D66E6"/>
    <w:rsid w:val="009D670A"/>
    <w:rsid w:val="009D672E"/>
    <w:rsid w:val="009D6746"/>
    <w:rsid w:val="009D68B3"/>
    <w:rsid w:val="009D7006"/>
    <w:rsid w:val="009D7355"/>
    <w:rsid w:val="009D786E"/>
    <w:rsid w:val="009D7FBD"/>
    <w:rsid w:val="009E1457"/>
    <w:rsid w:val="009E1741"/>
    <w:rsid w:val="009E18EA"/>
    <w:rsid w:val="009E1969"/>
    <w:rsid w:val="009E211D"/>
    <w:rsid w:val="009E22D1"/>
    <w:rsid w:val="009E24AE"/>
    <w:rsid w:val="009E2562"/>
    <w:rsid w:val="009E2BD0"/>
    <w:rsid w:val="009E2FF0"/>
    <w:rsid w:val="009E31A2"/>
    <w:rsid w:val="009E389E"/>
    <w:rsid w:val="009E3929"/>
    <w:rsid w:val="009E41B5"/>
    <w:rsid w:val="009E4582"/>
    <w:rsid w:val="009E4618"/>
    <w:rsid w:val="009E46B2"/>
    <w:rsid w:val="009E4738"/>
    <w:rsid w:val="009E499E"/>
    <w:rsid w:val="009E49D8"/>
    <w:rsid w:val="009E4E3A"/>
    <w:rsid w:val="009E4EDC"/>
    <w:rsid w:val="009E5196"/>
    <w:rsid w:val="009E532A"/>
    <w:rsid w:val="009E573C"/>
    <w:rsid w:val="009E5B89"/>
    <w:rsid w:val="009E6BB5"/>
    <w:rsid w:val="009E6EC8"/>
    <w:rsid w:val="009E6F11"/>
    <w:rsid w:val="009E7796"/>
    <w:rsid w:val="009E77E3"/>
    <w:rsid w:val="009E7FEB"/>
    <w:rsid w:val="009F0146"/>
    <w:rsid w:val="009F01C4"/>
    <w:rsid w:val="009F0545"/>
    <w:rsid w:val="009F06FA"/>
    <w:rsid w:val="009F0754"/>
    <w:rsid w:val="009F08E7"/>
    <w:rsid w:val="009F0D90"/>
    <w:rsid w:val="009F1439"/>
    <w:rsid w:val="009F15C8"/>
    <w:rsid w:val="009F1746"/>
    <w:rsid w:val="009F1B23"/>
    <w:rsid w:val="009F1B64"/>
    <w:rsid w:val="009F1D36"/>
    <w:rsid w:val="009F1E0B"/>
    <w:rsid w:val="009F213D"/>
    <w:rsid w:val="009F27CD"/>
    <w:rsid w:val="009F331B"/>
    <w:rsid w:val="009F3417"/>
    <w:rsid w:val="009F4084"/>
    <w:rsid w:val="009F4636"/>
    <w:rsid w:val="009F4819"/>
    <w:rsid w:val="009F4918"/>
    <w:rsid w:val="009F492A"/>
    <w:rsid w:val="009F520D"/>
    <w:rsid w:val="009F551F"/>
    <w:rsid w:val="009F594E"/>
    <w:rsid w:val="009F5A37"/>
    <w:rsid w:val="009F645F"/>
    <w:rsid w:val="009F67C9"/>
    <w:rsid w:val="009F6DBB"/>
    <w:rsid w:val="009F71E9"/>
    <w:rsid w:val="009F7265"/>
    <w:rsid w:val="009F774A"/>
    <w:rsid w:val="009F77B1"/>
    <w:rsid w:val="009F7B66"/>
    <w:rsid w:val="009F7BCF"/>
    <w:rsid w:val="009F7DDC"/>
    <w:rsid w:val="00A008F1"/>
    <w:rsid w:val="00A0118E"/>
    <w:rsid w:val="00A01293"/>
    <w:rsid w:val="00A0156C"/>
    <w:rsid w:val="00A01595"/>
    <w:rsid w:val="00A015FD"/>
    <w:rsid w:val="00A01754"/>
    <w:rsid w:val="00A01A33"/>
    <w:rsid w:val="00A021F0"/>
    <w:rsid w:val="00A0239D"/>
    <w:rsid w:val="00A02529"/>
    <w:rsid w:val="00A02786"/>
    <w:rsid w:val="00A027FF"/>
    <w:rsid w:val="00A02C61"/>
    <w:rsid w:val="00A031D6"/>
    <w:rsid w:val="00A0347E"/>
    <w:rsid w:val="00A03505"/>
    <w:rsid w:val="00A03692"/>
    <w:rsid w:val="00A038C3"/>
    <w:rsid w:val="00A03B7C"/>
    <w:rsid w:val="00A04039"/>
    <w:rsid w:val="00A04389"/>
    <w:rsid w:val="00A0458C"/>
    <w:rsid w:val="00A047DC"/>
    <w:rsid w:val="00A048C4"/>
    <w:rsid w:val="00A04E2D"/>
    <w:rsid w:val="00A05132"/>
    <w:rsid w:val="00A05209"/>
    <w:rsid w:val="00A05326"/>
    <w:rsid w:val="00A05750"/>
    <w:rsid w:val="00A05C37"/>
    <w:rsid w:val="00A06146"/>
    <w:rsid w:val="00A0645D"/>
    <w:rsid w:val="00A06570"/>
    <w:rsid w:val="00A0681E"/>
    <w:rsid w:val="00A06C96"/>
    <w:rsid w:val="00A06DAD"/>
    <w:rsid w:val="00A0727B"/>
    <w:rsid w:val="00A0744C"/>
    <w:rsid w:val="00A0770F"/>
    <w:rsid w:val="00A07A75"/>
    <w:rsid w:val="00A101B6"/>
    <w:rsid w:val="00A10628"/>
    <w:rsid w:val="00A10864"/>
    <w:rsid w:val="00A108C5"/>
    <w:rsid w:val="00A1144A"/>
    <w:rsid w:val="00A119DD"/>
    <w:rsid w:val="00A11FBC"/>
    <w:rsid w:val="00A1209E"/>
    <w:rsid w:val="00A1240C"/>
    <w:rsid w:val="00A12495"/>
    <w:rsid w:val="00A128CF"/>
    <w:rsid w:val="00A128EB"/>
    <w:rsid w:val="00A133F0"/>
    <w:rsid w:val="00A134B1"/>
    <w:rsid w:val="00A1451D"/>
    <w:rsid w:val="00A14523"/>
    <w:rsid w:val="00A14556"/>
    <w:rsid w:val="00A145FD"/>
    <w:rsid w:val="00A15443"/>
    <w:rsid w:val="00A15540"/>
    <w:rsid w:val="00A1574A"/>
    <w:rsid w:val="00A15825"/>
    <w:rsid w:val="00A16110"/>
    <w:rsid w:val="00A16111"/>
    <w:rsid w:val="00A1614A"/>
    <w:rsid w:val="00A16183"/>
    <w:rsid w:val="00A16391"/>
    <w:rsid w:val="00A168BF"/>
    <w:rsid w:val="00A17485"/>
    <w:rsid w:val="00A17995"/>
    <w:rsid w:val="00A17C20"/>
    <w:rsid w:val="00A20075"/>
    <w:rsid w:val="00A204B9"/>
    <w:rsid w:val="00A20A7B"/>
    <w:rsid w:val="00A20A99"/>
    <w:rsid w:val="00A20DA0"/>
    <w:rsid w:val="00A20E09"/>
    <w:rsid w:val="00A21028"/>
    <w:rsid w:val="00A21338"/>
    <w:rsid w:val="00A21469"/>
    <w:rsid w:val="00A215A4"/>
    <w:rsid w:val="00A21B51"/>
    <w:rsid w:val="00A21E95"/>
    <w:rsid w:val="00A2206E"/>
    <w:rsid w:val="00A224F4"/>
    <w:rsid w:val="00A23450"/>
    <w:rsid w:val="00A23680"/>
    <w:rsid w:val="00A23955"/>
    <w:rsid w:val="00A24243"/>
    <w:rsid w:val="00A246C1"/>
    <w:rsid w:val="00A2497B"/>
    <w:rsid w:val="00A24A90"/>
    <w:rsid w:val="00A24B89"/>
    <w:rsid w:val="00A24EFD"/>
    <w:rsid w:val="00A25022"/>
    <w:rsid w:val="00A25841"/>
    <w:rsid w:val="00A25CE4"/>
    <w:rsid w:val="00A25FDE"/>
    <w:rsid w:val="00A26020"/>
    <w:rsid w:val="00A262FD"/>
    <w:rsid w:val="00A2646B"/>
    <w:rsid w:val="00A265BF"/>
    <w:rsid w:val="00A265C2"/>
    <w:rsid w:val="00A2679C"/>
    <w:rsid w:val="00A26E7A"/>
    <w:rsid w:val="00A270E5"/>
    <w:rsid w:val="00A27245"/>
    <w:rsid w:val="00A2726A"/>
    <w:rsid w:val="00A272DE"/>
    <w:rsid w:val="00A27616"/>
    <w:rsid w:val="00A27AC4"/>
    <w:rsid w:val="00A27C63"/>
    <w:rsid w:val="00A27DF7"/>
    <w:rsid w:val="00A302D1"/>
    <w:rsid w:val="00A30995"/>
    <w:rsid w:val="00A3115E"/>
    <w:rsid w:val="00A311CB"/>
    <w:rsid w:val="00A31339"/>
    <w:rsid w:val="00A315B9"/>
    <w:rsid w:val="00A316E5"/>
    <w:rsid w:val="00A31ACC"/>
    <w:rsid w:val="00A323A4"/>
    <w:rsid w:val="00A326AB"/>
    <w:rsid w:val="00A328A9"/>
    <w:rsid w:val="00A32BE4"/>
    <w:rsid w:val="00A32C83"/>
    <w:rsid w:val="00A32CFB"/>
    <w:rsid w:val="00A32D30"/>
    <w:rsid w:val="00A33007"/>
    <w:rsid w:val="00A33448"/>
    <w:rsid w:val="00A335A8"/>
    <w:rsid w:val="00A33867"/>
    <w:rsid w:val="00A33997"/>
    <w:rsid w:val="00A33F36"/>
    <w:rsid w:val="00A33FA2"/>
    <w:rsid w:val="00A3518E"/>
    <w:rsid w:val="00A35282"/>
    <w:rsid w:val="00A3562A"/>
    <w:rsid w:val="00A357F6"/>
    <w:rsid w:val="00A35808"/>
    <w:rsid w:val="00A35BF0"/>
    <w:rsid w:val="00A362BB"/>
    <w:rsid w:val="00A3660C"/>
    <w:rsid w:val="00A36A74"/>
    <w:rsid w:val="00A36A8F"/>
    <w:rsid w:val="00A36CD8"/>
    <w:rsid w:val="00A3730C"/>
    <w:rsid w:val="00A3785D"/>
    <w:rsid w:val="00A37AC2"/>
    <w:rsid w:val="00A37C52"/>
    <w:rsid w:val="00A37D96"/>
    <w:rsid w:val="00A37F6F"/>
    <w:rsid w:val="00A40101"/>
    <w:rsid w:val="00A40A05"/>
    <w:rsid w:val="00A40B93"/>
    <w:rsid w:val="00A4120A"/>
    <w:rsid w:val="00A4144D"/>
    <w:rsid w:val="00A4193D"/>
    <w:rsid w:val="00A41BDD"/>
    <w:rsid w:val="00A41C77"/>
    <w:rsid w:val="00A41CAB"/>
    <w:rsid w:val="00A41D5B"/>
    <w:rsid w:val="00A41F73"/>
    <w:rsid w:val="00A4262A"/>
    <w:rsid w:val="00A426B0"/>
    <w:rsid w:val="00A42711"/>
    <w:rsid w:val="00A42A88"/>
    <w:rsid w:val="00A42D62"/>
    <w:rsid w:val="00A431D1"/>
    <w:rsid w:val="00A431DB"/>
    <w:rsid w:val="00A43307"/>
    <w:rsid w:val="00A4336C"/>
    <w:rsid w:val="00A434CF"/>
    <w:rsid w:val="00A438FE"/>
    <w:rsid w:val="00A43D48"/>
    <w:rsid w:val="00A4459E"/>
    <w:rsid w:val="00A445FD"/>
    <w:rsid w:val="00A44879"/>
    <w:rsid w:val="00A44A99"/>
    <w:rsid w:val="00A44ABA"/>
    <w:rsid w:val="00A44D88"/>
    <w:rsid w:val="00A44FDD"/>
    <w:rsid w:val="00A454F5"/>
    <w:rsid w:val="00A45551"/>
    <w:rsid w:val="00A45748"/>
    <w:rsid w:val="00A45E4D"/>
    <w:rsid w:val="00A46850"/>
    <w:rsid w:val="00A46BB4"/>
    <w:rsid w:val="00A46F7D"/>
    <w:rsid w:val="00A470F5"/>
    <w:rsid w:val="00A476C2"/>
    <w:rsid w:val="00A478CB"/>
    <w:rsid w:val="00A47A81"/>
    <w:rsid w:val="00A47D15"/>
    <w:rsid w:val="00A47D8A"/>
    <w:rsid w:val="00A505B7"/>
    <w:rsid w:val="00A5072F"/>
    <w:rsid w:val="00A5128A"/>
    <w:rsid w:val="00A513B9"/>
    <w:rsid w:val="00A51777"/>
    <w:rsid w:val="00A5199E"/>
    <w:rsid w:val="00A51A84"/>
    <w:rsid w:val="00A51FCF"/>
    <w:rsid w:val="00A52702"/>
    <w:rsid w:val="00A52ED7"/>
    <w:rsid w:val="00A53055"/>
    <w:rsid w:val="00A531B5"/>
    <w:rsid w:val="00A53344"/>
    <w:rsid w:val="00A53B4D"/>
    <w:rsid w:val="00A53E10"/>
    <w:rsid w:val="00A53FEF"/>
    <w:rsid w:val="00A54078"/>
    <w:rsid w:val="00A54394"/>
    <w:rsid w:val="00A54A1A"/>
    <w:rsid w:val="00A54B30"/>
    <w:rsid w:val="00A54BCC"/>
    <w:rsid w:val="00A55502"/>
    <w:rsid w:val="00A55612"/>
    <w:rsid w:val="00A5569F"/>
    <w:rsid w:val="00A5586C"/>
    <w:rsid w:val="00A55A02"/>
    <w:rsid w:val="00A560E1"/>
    <w:rsid w:val="00A567CE"/>
    <w:rsid w:val="00A567CF"/>
    <w:rsid w:val="00A56E4F"/>
    <w:rsid w:val="00A570BC"/>
    <w:rsid w:val="00A57236"/>
    <w:rsid w:val="00A575CD"/>
    <w:rsid w:val="00A5764E"/>
    <w:rsid w:val="00A57A6D"/>
    <w:rsid w:val="00A57B39"/>
    <w:rsid w:val="00A57FDF"/>
    <w:rsid w:val="00A60047"/>
    <w:rsid w:val="00A6066F"/>
    <w:rsid w:val="00A60674"/>
    <w:rsid w:val="00A606EA"/>
    <w:rsid w:val="00A60B51"/>
    <w:rsid w:val="00A60C1E"/>
    <w:rsid w:val="00A60CFB"/>
    <w:rsid w:val="00A60D5A"/>
    <w:rsid w:val="00A612B9"/>
    <w:rsid w:val="00A6130B"/>
    <w:rsid w:val="00A6132B"/>
    <w:rsid w:val="00A6184E"/>
    <w:rsid w:val="00A61A1B"/>
    <w:rsid w:val="00A61A48"/>
    <w:rsid w:val="00A61E58"/>
    <w:rsid w:val="00A61E93"/>
    <w:rsid w:val="00A620D7"/>
    <w:rsid w:val="00A62605"/>
    <w:rsid w:val="00A626E4"/>
    <w:rsid w:val="00A62A7C"/>
    <w:rsid w:val="00A62FBB"/>
    <w:rsid w:val="00A6327C"/>
    <w:rsid w:val="00A636CE"/>
    <w:rsid w:val="00A63725"/>
    <w:rsid w:val="00A63A27"/>
    <w:rsid w:val="00A63AFC"/>
    <w:rsid w:val="00A63F13"/>
    <w:rsid w:val="00A645F2"/>
    <w:rsid w:val="00A64D15"/>
    <w:rsid w:val="00A64E98"/>
    <w:rsid w:val="00A65134"/>
    <w:rsid w:val="00A65686"/>
    <w:rsid w:val="00A656EC"/>
    <w:rsid w:val="00A6577A"/>
    <w:rsid w:val="00A659E2"/>
    <w:rsid w:val="00A65E02"/>
    <w:rsid w:val="00A661A1"/>
    <w:rsid w:val="00A66452"/>
    <w:rsid w:val="00A66905"/>
    <w:rsid w:val="00A66A80"/>
    <w:rsid w:val="00A66C40"/>
    <w:rsid w:val="00A6738A"/>
    <w:rsid w:val="00A674C0"/>
    <w:rsid w:val="00A67C90"/>
    <w:rsid w:val="00A7023A"/>
    <w:rsid w:val="00A70393"/>
    <w:rsid w:val="00A70563"/>
    <w:rsid w:val="00A707A0"/>
    <w:rsid w:val="00A70AC4"/>
    <w:rsid w:val="00A70BBD"/>
    <w:rsid w:val="00A71053"/>
    <w:rsid w:val="00A7105A"/>
    <w:rsid w:val="00A710DE"/>
    <w:rsid w:val="00A7132F"/>
    <w:rsid w:val="00A71B9F"/>
    <w:rsid w:val="00A71C60"/>
    <w:rsid w:val="00A71E2E"/>
    <w:rsid w:val="00A71EEE"/>
    <w:rsid w:val="00A7201C"/>
    <w:rsid w:val="00A7215C"/>
    <w:rsid w:val="00A72611"/>
    <w:rsid w:val="00A72649"/>
    <w:rsid w:val="00A72C2E"/>
    <w:rsid w:val="00A72CD3"/>
    <w:rsid w:val="00A72E21"/>
    <w:rsid w:val="00A72EAE"/>
    <w:rsid w:val="00A730F0"/>
    <w:rsid w:val="00A7314A"/>
    <w:rsid w:val="00A7351F"/>
    <w:rsid w:val="00A73655"/>
    <w:rsid w:val="00A73A5E"/>
    <w:rsid w:val="00A73DC1"/>
    <w:rsid w:val="00A73FFD"/>
    <w:rsid w:val="00A744CA"/>
    <w:rsid w:val="00A746D5"/>
    <w:rsid w:val="00A74A4F"/>
    <w:rsid w:val="00A74B32"/>
    <w:rsid w:val="00A74CCD"/>
    <w:rsid w:val="00A750A9"/>
    <w:rsid w:val="00A75358"/>
    <w:rsid w:val="00A754A2"/>
    <w:rsid w:val="00A75639"/>
    <w:rsid w:val="00A756FB"/>
    <w:rsid w:val="00A75899"/>
    <w:rsid w:val="00A7678C"/>
    <w:rsid w:val="00A76AD0"/>
    <w:rsid w:val="00A76B2B"/>
    <w:rsid w:val="00A76E50"/>
    <w:rsid w:val="00A77474"/>
    <w:rsid w:val="00A77943"/>
    <w:rsid w:val="00A77A79"/>
    <w:rsid w:val="00A802BA"/>
    <w:rsid w:val="00A80563"/>
    <w:rsid w:val="00A809CA"/>
    <w:rsid w:val="00A80DBA"/>
    <w:rsid w:val="00A81228"/>
    <w:rsid w:val="00A81277"/>
    <w:rsid w:val="00A8161C"/>
    <w:rsid w:val="00A81D0F"/>
    <w:rsid w:val="00A81EC5"/>
    <w:rsid w:val="00A82135"/>
    <w:rsid w:val="00A8291B"/>
    <w:rsid w:val="00A829E8"/>
    <w:rsid w:val="00A8322E"/>
    <w:rsid w:val="00A832AC"/>
    <w:rsid w:val="00A832EF"/>
    <w:rsid w:val="00A838C7"/>
    <w:rsid w:val="00A83B3D"/>
    <w:rsid w:val="00A83BB9"/>
    <w:rsid w:val="00A84432"/>
    <w:rsid w:val="00A84760"/>
    <w:rsid w:val="00A84C90"/>
    <w:rsid w:val="00A84F2A"/>
    <w:rsid w:val="00A85068"/>
    <w:rsid w:val="00A85150"/>
    <w:rsid w:val="00A856FF"/>
    <w:rsid w:val="00A8577E"/>
    <w:rsid w:val="00A857CB"/>
    <w:rsid w:val="00A85855"/>
    <w:rsid w:val="00A8585E"/>
    <w:rsid w:val="00A859DF"/>
    <w:rsid w:val="00A85E9A"/>
    <w:rsid w:val="00A86285"/>
    <w:rsid w:val="00A86461"/>
    <w:rsid w:val="00A86859"/>
    <w:rsid w:val="00A869AB"/>
    <w:rsid w:val="00A86A43"/>
    <w:rsid w:val="00A86B7F"/>
    <w:rsid w:val="00A871C9"/>
    <w:rsid w:val="00A871EF"/>
    <w:rsid w:val="00A875FF"/>
    <w:rsid w:val="00A877AE"/>
    <w:rsid w:val="00A878F0"/>
    <w:rsid w:val="00A87A4C"/>
    <w:rsid w:val="00A87D4E"/>
    <w:rsid w:val="00A9071A"/>
    <w:rsid w:val="00A91061"/>
    <w:rsid w:val="00A911E1"/>
    <w:rsid w:val="00A911E2"/>
    <w:rsid w:val="00A91342"/>
    <w:rsid w:val="00A91A58"/>
    <w:rsid w:val="00A91AC8"/>
    <w:rsid w:val="00A91F45"/>
    <w:rsid w:val="00A92753"/>
    <w:rsid w:val="00A92DD8"/>
    <w:rsid w:val="00A934FE"/>
    <w:rsid w:val="00A9356D"/>
    <w:rsid w:val="00A943D0"/>
    <w:rsid w:val="00A9440E"/>
    <w:rsid w:val="00A944E5"/>
    <w:rsid w:val="00A9462C"/>
    <w:rsid w:val="00A949B1"/>
    <w:rsid w:val="00A94B71"/>
    <w:rsid w:val="00A94B7D"/>
    <w:rsid w:val="00A94E50"/>
    <w:rsid w:val="00A94F0C"/>
    <w:rsid w:val="00A955ED"/>
    <w:rsid w:val="00A9565C"/>
    <w:rsid w:val="00A957CA"/>
    <w:rsid w:val="00A95BD6"/>
    <w:rsid w:val="00A95EEE"/>
    <w:rsid w:val="00A95F4B"/>
    <w:rsid w:val="00A965BD"/>
    <w:rsid w:val="00A96611"/>
    <w:rsid w:val="00A96874"/>
    <w:rsid w:val="00A9698B"/>
    <w:rsid w:val="00A97052"/>
    <w:rsid w:val="00A972E9"/>
    <w:rsid w:val="00A9732C"/>
    <w:rsid w:val="00A97931"/>
    <w:rsid w:val="00A97994"/>
    <w:rsid w:val="00A97A17"/>
    <w:rsid w:val="00A97F2B"/>
    <w:rsid w:val="00AA01BD"/>
    <w:rsid w:val="00AA04F8"/>
    <w:rsid w:val="00AA06AE"/>
    <w:rsid w:val="00AA071A"/>
    <w:rsid w:val="00AA0767"/>
    <w:rsid w:val="00AA0780"/>
    <w:rsid w:val="00AA099A"/>
    <w:rsid w:val="00AA0B49"/>
    <w:rsid w:val="00AA0B9E"/>
    <w:rsid w:val="00AA0D44"/>
    <w:rsid w:val="00AA0D6B"/>
    <w:rsid w:val="00AA10EA"/>
    <w:rsid w:val="00AA132A"/>
    <w:rsid w:val="00AA17B3"/>
    <w:rsid w:val="00AA1A68"/>
    <w:rsid w:val="00AA1B3E"/>
    <w:rsid w:val="00AA2021"/>
    <w:rsid w:val="00AA281E"/>
    <w:rsid w:val="00AA29E4"/>
    <w:rsid w:val="00AA2F21"/>
    <w:rsid w:val="00AA3097"/>
    <w:rsid w:val="00AA38CF"/>
    <w:rsid w:val="00AA3C57"/>
    <w:rsid w:val="00AA3CF3"/>
    <w:rsid w:val="00AA44B3"/>
    <w:rsid w:val="00AA463A"/>
    <w:rsid w:val="00AA46ED"/>
    <w:rsid w:val="00AA4738"/>
    <w:rsid w:val="00AA49F9"/>
    <w:rsid w:val="00AA4A40"/>
    <w:rsid w:val="00AA4A87"/>
    <w:rsid w:val="00AA4C4D"/>
    <w:rsid w:val="00AA53E4"/>
    <w:rsid w:val="00AA5685"/>
    <w:rsid w:val="00AA56C1"/>
    <w:rsid w:val="00AA576F"/>
    <w:rsid w:val="00AA5808"/>
    <w:rsid w:val="00AA581B"/>
    <w:rsid w:val="00AA5A86"/>
    <w:rsid w:val="00AA5FF4"/>
    <w:rsid w:val="00AA6111"/>
    <w:rsid w:val="00AA6150"/>
    <w:rsid w:val="00AA62C3"/>
    <w:rsid w:val="00AA6464"/>
    <w:rsid w:val="00AA697F"/>
    <w:rsid w:val="00AA6BEA"/>
    <w:rsid w:val="00AA6BFB"/>
    <w:rsid w:val="00AA7354"/>
    <w:rsid w:val="00AA7502"/>
    <w:rsid w:val="00AA7C73"/>
    <w:rsid w:val="00AB0329"/>
    <w:rsid w:val="00AB047F"/>
    <w:rsid w:val="00AB04EB"/>
    <w:rsid w:val="00AB06BE"/>
    <w:rsid w:val="00AB0868"/>
    <w:rsid w:val="00AB0BDC"/>
    <w:rsid w:val="00AB0DC9"/>
    <w:rsid w:val="00AB174B"/>
    <w:rsid w:val="00AB1877"/>
    <w:rsid w:val="00AB1A28"/>
    <w:rsid w:val="00AB1B8C"/>
    <w:rsid w:val="00AB1FF7"/>
    <w:rsid w:val="00AB20C4"/>
    <w:rsid w:val="00AB2767"/>
    <w:rsid w:val="00AB29B4"/>
    <w:rsid w:val="00AB2DCD"/>
    <w:rsid w:val="00AB31E6"/>
    <w:rsid w:val="00AB33EC"/>
    <w:rsid w:val="00AB38A6"/>
    <w:rsid w:val="00AB3B25"/>
    <w:rsid w:val="00AB3B43"/>
    <w:rsid w:val="00AB3CAA"/>
    <w:rsid w:val="00AB3D2D"/>
    <w:rsid w:val="00AB4736"/>
    <w:rsid w:val="00AB4928"/>
    <w:rsid w:val="00AB4C44"/>
    <w:rsid w:val="00AB4EF8"/>
    <w:rsid w:val="00AB4F43"/>
    <w:rsid w:val="00AB50CC"/>
    <w:rsid w:val="00AB55B8"/>
    <w:rsid w:val="00AB5939"/>
    <w:rsid w:val="00AB5EBB"/>
    <w:rsid w:val="00AB6C66"/>
    <w:rsid w:val="00AB701E"/>
    <w:rsid w:val="00AB7208"/>
    <w:rsid w:val="00AB735D"/>
    <w:rsid w:val="00AB767F"/>
    <w:rsid w:val="00AB7A49"/>
    <w:rsid w:val="00AB7C0E"/>
    <w:rsid w:val="00AC0F45"/>
    <w:rsid w:val="00AC1323"/>
    <w:rsid w:val="00AC1651"/>
    <w:rsid w:val="00AC16AC"/>
    <w:rsid w:val="00AC209A"/>
    <w:rsid w:val="00AC24B6"/>
    <w:rsid w:val="00AC2F38"/>
    <w:rsid w:val="00AC3492"/>
    <w:rsid w:val="00AC3AE0"/>
    <w:rsid w:val="00AC4200"/>
    <w:rsid w:val="00AC4C12"/>
    <w:rsid w:val="00AC4C26"/>
    <w:rsid w:val="00AC534E"/>
    <w:rsid w:val="00AC5A2D"/>
    <w:rsid w:val="00AC5DE3"/>
    <w:rsid w:val="00AC62BA"/>
    <w:rsid w:val="00AC643F"/>
    <w:rsid w:val="00AC66DA"/>
    <w:rsid w:val="00AC6EAB"/>
    <w:rsid w:val="00AC710E"/>
    <w:rsid w:val="00AC738F"/>
    <w:rsid w:val="00AC7CDA"/>
    <w:rsid w:val="00AD0013"/>
    <w:rsid w:val="00AD00FE"/>
    <w:rsid w:val="00AD0332"/>
    <w:rsid w:val="00AD0368"/>
    <w:rsid w:val="00AD04B3"/>
    <w:rsid w:val="00AD0831"/>
    <w:rsid w:val="00AD0B23"/>
    <w:rsid w:val="00AD1070"/>
    <w:rsid w:val="00AD108C"/>
    <w:rsid w:val="00AD113C"/>
    <w:rsid w:val="00AD1208"/>
    <w:rsid w:val="00AD1604"/>
    <w:rsid w:val="00AD22BB"/>
    <w:rsid w:val="00AD2515"/>
    <w:rsid w:val="00AD2799"/>
    <w:rsid w:val="00AD2A03"/>
    <w:rsid w:val="00AD2A31"/>
    <w:rsid w:val="00AD2CB5"/>
    <w:rsid w:val="00AD2D9C"/>
    <w:rsid w:val="00AD36C6"/>
    <w:rsid w:val="00AD389B"/>
    <w:rsid w:val="00AD39BF"/>
    <w:rsid w:val="00AD3CF5"/>
    <w:rsid w:val="00AD44BB"/>
    <w:rsid w:val="00AD465E"/>
    <w:rsid w:val="00AD4B78"/>
    <w:rsid w:val="00AD504D"/>
    <w:rsid w:val="00AD5735"/>
    <w:rsid w:val="00AD58BB"/>
    <w:rsid w:val="00AD59AF"/>
    <w:rsid w:val="00AD5D88"/>
    <w:rsid w:val="00AD5FAC"/>
    <w:rsid w:val="00AD614B"/>
    <w:rsid w:val="00AD6200"/>
    <w:rsid w:val="00AD670C"/>
    <w:rsid w:val="00AD6A16"/>
    <w:rsid w:val="00AD6B81"/>
    <w:rsid w:val="00AD734A"/>
    <w:rsid w:val="00AD7885"/>
    <w:rsid w:val="00AD78F1"/>
    <w:rsid w:val="00AD7B20"/>
    <w:rsid w:val="00AD7C92"/>
    <w:rsid w:val="00AD7CCF"/>
    <w:rsid w:val="00AD7EAF"/>
    <w:rsid w:val="00AE0025"/>
    <w:rsid w:val="00AE024C"/>
    <w:rsid w:val="00AE03D7"/>
    <w:rsid w:val="00AE04FF"/>
    <w:rsid w:val="00AE1128"/>
    <w:rsid w:val="00AE1771"/>
    <w:rsid w:val="00AE1919"/>
    <w:rsid w:val="00AE1FD2"/>
    <w:rsid w:val="00AE25CE"/>
    <w:rsid w:val="00AE2C7A"/>
    <w:rsid w:val="00AE3A46"/>
    <w:rsid w:val="00AE4396"/>
    <w:rsid w:val="00AE49F3"/>
    <w:rsid w:val="00AE4B29"/>
    <w:rsid w:val="00AE4B55"/>
    <w:rsid w:val="00AE4BCC"/>
    <w:rsid w:val="00AE4BFA"/>
    <w:rsid w:val="00AE55A6"/>
    <w:rsid w:val="00AE5D28"/>
    <w:rsid w:val="00AE5EB7"/>
    <w:rsid w:val="00AE5F9E"/>
    <w:rsid w:val="00AE6179"/>
    <w:rsid w:val="00AE6220"/>
    <w:rsid w:val="00AE659D"/>
    <w:rsid w:val="00AE6DB3"/>
    <w:rsid w:val="00AE6EE4"/>
    <w:rsid w:val="00AE71BA"/>
    <w:rsid w:val="00AE7266"/>
    <w:rsid w:val="00AE736A"/>
    <w:rsid w:val="00AE73F9"/>
    <w:rsid w:val="00AE7642"/>
    <w:rsid w:val="00AE765B"/>
    <w:rsid w:val="00AE7744"/>
    <w:rsid w:val="00AE7835"/>
    <w:rsid w:val="00AE7A48"/>
    <w:rsid w:val="00AE7DC4"/>
    <w:rsid w:val="00AE7F6E"/>
    <w:rsid w:val="00AF0061"/>
    <w:rsid w:val="00AF0630"/>
    <w:rsid w:val="00AF068E"/>
    <w:rsid w:val="00AF0FEE"/>
    <w:rsid w:val="00AF1C9A"/>
    <w:rsid w:val="00AF1E4C"/>
    <w:rsid w:val="00AF1E88"/>
    <w:rsid w:val="00AF24C0"/>
    <w:rsid w:val="00AF25B0"/>
    <w:rsid w:val="00AF2C70"/>
    <w:rsid w:val="00AF327D"/>
    <w:rsid w:val="00AF32E3"/>
    <w:rsid w:val="00AF33AB"/>
    <w:rsid w:val="00AF3B6F"/>
    <w:rsid w:val="00AF3CD2"/>
    <w:rsid w:val="00AF3D5A"/>
    <w:rsid w:val="00AF41E5"/>
    <w:rsid w:val="00AF4383"/>
    <w:rsid w:val="00AF44F0"/>
    <w:rsid w:val="00AF4837"/>
    <w:rsid w:val="00AF488B"/>
    <w:rsid w:val="00AF52DF"/>
    <w:rsid w:val="00AF53A3"/>
    <w:rsid w:val="00AF55C7"/>
    <w:rsid w:val="00AF565E"/>
    <w:rsid w:val="00AF62ED"/>
    <w:rsid w:val="00AF64D0"/>
    <w:rsid w:val="00AF6D92"/>
    <w:rsid w:val="00AF6DB7"/>
    <w:rsid w:val="00AF6DBC"/>
    <w:rsid w:val="00AF7A31"/>
    <w:rsid w:val="00AF7D96"/>
    <w:rsid w:val="00AF7FDD"/>
    <w:rsid w:val="00B000F2"/>
    <w:rsid w:val="00B002C6"/>
    <w:rsid w:val="00B00575"/>
    <w:rsid w:val="00B0067A"/>
    <w:rsid w:val="00B007E1"/>
    <w:rsid w:val="00B0081D"/>
    <w:rsid w:val="00B00A6B"/>
    <w:rsid w:val="00B0100B"/>
    <w:rsid w:val="00B0157E"/>
    <w:rsid w:val="00B01581"/>
    <w:rsid w:val="00B015BB"/>
    <w:rsid w:val="00B018CD"/>
    <w:rsid w:val="00B01FF4"/>
    <w:rsid w:val="00B02202"/>
    <w:rsid w:val="00B029BF"/>
    <w:rsid w:val="00B02BA7"/>
    <w:rsid w:val="00B03292"/>
    <w:rsid w:val="00B03ABF"/>
    <w:rsid w:val="00B03B23"/>
    <w:rsid w:val="00B03E7C"/>
    <w:rsid w:val="00B04124"/>
    <w:rsid w:val="00B0422E"/>
    <w:rsid w:val="00B04287"/>
    <w:rsid w:val="00B043E7"/>
    <w:rsid w:val="00B045ED"/>
    <w:rsid w:val="00B04AE8"/>
    <w:rsid w:val="00B05047"/>
    <w:rsid w:val="00B062B6"/>
    <w:rsid w:val="00B06374"/>
    <w:rsid w:val="00B06488"/>
    <w:rsid w:val="00B06792"/>
    <w:rsid w:val="00B06A29"/>
    <w:rsid w:val="00B06CE9"/>
    <w:rsid w:val="00B06D89"/>
    <w:rsid w:val="00B0712A"/>
    <w:rsid w:val="00B0712D"/>
    <w:rsid w:val="00B0728F"/>
    <w:rsid w:val="00B0733D"/>
    <w:rsid w:val="00B07918"/>
    <w:rsid w:val="00B07A08"/>
    <w:rsid w:val="00B07A21"/>
    <w:rsid w:val="00B1035F"/>
    <w:rsid w:val="00B103E7"/>
    <w:rsid w:val="00B1040A"/>
    <w:rsid w:val="00B10588"/>
    <w:rsid w:val="00B11871"/>
    <w:rsid w:val="00B11A2A"/>
    <w:rsid w:val="00B11CFA"/>
    <w:rsid w:val="00B11D2C"/>
    <w:rsid w:val="00B11DCE"/>
    <w:rsid w:val="00B11FCC"/>
    <w:rsid w:val="00B123C7"/>
    <w:rsid w:val="00B125B4"/>
    <w:rsid w:val="00B1292E"/>
    <w:rsid w:val="00B12ECB"/>
    <w:rsid w:val="00B12F78"/>
    <w:rsid w:val="00B137D9"/>
    <w:rsid w:val="00B13842"/>
    <w:rsid w:val="00B13B35"/>
    <w:rsid w:val="00B13E93"/>
    <w:rsid w:val="00B13F02"/>
    <w:rsid w:val="00B14157"/>
    <w:rsid w:val="00B141AE"/>
    <w:rsid w:val="00B1469B"/>
    <w:rsid w:val="00B156A8"/>
    <w:rsid w:val="00B156AA"/>
    <w:rsid w:val="00B15754"/>
    <w:rsid w:val="00B1586A"/>
    <w:rsid w:val="00B15A6C"/>
    <w:rsid w:val="00B15B70"/>
    <w:rsid w:val="00B15D2C"/>
    <w:rsid w:val="00B1663A"/>
    <w:rsid w:val="00B16A44"/>
    <w:rsid w:val="00B16AD3"/>
    <w:rsid w:val="00B1711F"/>
    <w:rsid w:val="00B172D0"/>
    <w:rsid w:val="00B17757"/>
    <w:rsid w:val="00B177AD"/>
    <w:rsid w:val="00B17847"/>
    <w:rsid w:val="00B17916"/>
    <w:rsid w:val="00B17A30"/>
    <w:rsid w:val="00B17B39"/>
    <w:rsid w:val="00B17D95"/>
    <w:rsid w:val="00B17D9E"/>
    <w:rsid w:val="00B20049"/>
    <w:rsid w:val="00B202FB"/>
    <w:rsid w:val="00B20319"/>
    <w:rsid w:val="00B20DB8"/>
    <w:rsid w:val="00B20F5D"/>
    <w:rsid w:val="00B20FCF"/>
    <w:rsid w:val="00B21058"/>
    <w:rsid w:val="00B2115E"/>
    <w:rsid w:val="00B21383"/>
    <w:rsid w:val="00B21589"/>
    <w:rsid w:val="00B2171A"/>
    <w:rsid w:val="00B217F8"/>
    <w:rsid w:val="00B2182A"/>
    <w:rsid w:val="00B21919"/>
    <w:rsid w:val="00B21B3F"/>
    <w:rsid w:val="00B21BB0"/>
    <w:rsid w:val="00B2205D"/>
    <w:rsid w:val="00B221D3"/>
    <w:rsid w:val="00B222AC"/>
    <w:rsid w:val="00B22527"/>
    <w:rsid w:val="00B2289F"/>
    <w:rsid w:val="00B22DF3"/>
    <w:rsid w:val="00B231D1"/>
    <w:rsid w:val="00B231D6"/>
    <w:rsid w:val="00B23374"/>
    <w:rsid w:val="00B2346B"/>
    <w:rsid w:val="00B23EFA"/>
    <w:rsid w:val="00B24002"/>
    <w:rsid w:val="00B240EC"/>
    <w:rsid w:val="00B240F7"/>
    <w:rsid w:val="00B24697"/>
    <w:rsid w:val="00B246B0"/>
    <w:rsid w:val="00B24CA6"/>
    <w:rsid w:val="00B250C3"/>
    <w:rsid w:val="00B256CB"/>
    <w:rsid w:val="00B25747"/>
    <w:rsid w:val="00B2585E"/>
    <w:rsid w:val="00B25C4B"/>
    <w:rsid w:val="00B25D94"/>
    <w:rsid w:val="00B25DDB"/>
    <w:rsid w:val="00B25E1C"/>
    <w:rsid w:val="00B263D0"/>
    <w:rsid w:val="00B265A5"/>
    <w:rsid w:val="00B26968"/>
    <w:rsid w:val="00B26A69"/>
    <w:rsid w:val="00B26B70"/>
    <w:rsid w:val="00B26D57"/>
    <w:rsid w:val="00B2771B"/>
    <w:rsid w:val="00B27A0E"/>
    <w:rsid w:val="00B27AE1"/>
    <w:rsid w:val="00B30021"/>
    <w:rsid w:val="00B30047"/>
    <w:rsid w:val="00B30229"/>
    <w:rsid w:val="00B304A1"/>
    <w:rsid w:val="00B305F8"/>
    <w:rsid w:val="00B308F8"/>
    <w:rsid w:val="00B31503"/>
    <w:rsid w:val="00B31AA9"/>
    <w:rsid w:val="00B31B09"/>
    <w:rsid w:val="00B31F18"/>
    <w:rsid w:val="00B321C4"/>
    <w:rsid w:val="00B32279"/>
    <w:rsid w:val="00B32637"/>
    <w:rsid w:val="00B32660"/>
    <w:rsid w:val="00B32D36"/>
    <w:rsid w:val="00B32D6D"/>
    <w:rsid w:val="00B337C8"/>
    <w:rsid w:val="00B338B4"/>
    <w:rsid w:val="00B33A7C"/>
    <w:rsid w:val="00B33D8C"/>
    <w:rsid w:val="00B33EC7"/>
    <w:rsid w:val="00B345B9"/>
    <w:rsid w:val="00B3462A"/>
    <w:rsid w:val="00B34A7A"/>
    <w:rsid w:val="00B34AFF"/>
    <w:rsid w:val="00B34CDD"/>
    <w:rsid w:val="00B34D06"/>
    <w:rsid w:val="00B34D71"/>
    <w:rsid w:val="00B34E82"/>
    <w:rsid w:val="00B34F8B"/>
    <w:rsid w:val="00B352F3"/>
    <w:rsid w:val="00B35751"/>
    <w:rsid w:val="00B3582B"/>
    <w:rsid w:val="00B35B18"/>
    <w:rsid w:val="00B35C9C"/>
    <w:rsid w:val="00B35CF1"/>
    <w:rsid w:val="00B3605B"/>
    <w:rsid w:val="00B3642B"/>
    <w:rsid w:val="00B36937"/>
    <w:rsid w:val="00B36C60"/>
    <w:rsid w:val="00B371C4"/>
    <w:rsid w:val="00B373E7"/>
    <w:rsid w:val="00B37428"/>
    <w:rsid w:val="00B37614"/>
    <w:rsid w:val="00B3771B"/>
    <w:rsid w:val="00B37A69"/>
    <w:rsid w:val="00B37E69"/>
    <w:rsid w:val="00B37ED1"/>
    <w:rsid w:val="00B37F0F"/>
    <w:rsid w:val="00B400B1"/>
    <w:rsid w:val="00B401D2"/>
    <w:rsid w:val="00B402B2"/>
    <w:rsid w:val="00B403CF"/>
    <w:rsid w:val="00B405D6"/>
    <w:rsid w:val="00B406CF"/>
    <w:rsid w:val="00B40873"/>
    <w:rsid w:val="00B408C7"/>
    <w:rsid w:val="00B40912"/>
    <w:rsid w:val="00B40C2B"/>
    <w:rsid w:val="00B4109F"/>
    <w:rsid w:val="00B4132F"/>
    <w:rsid w:val="00B417BF"/>
    <w:rsid w:val="00B41A40"/>
    <w:rsid w:val="00B41D9D"/>
    <w:rsid w:val="00B421C1"/>
    <w:rsid w:val="00B42477"/>
    <w:rsid w:val="00B42714"/>
    <w:rsid w:val="00B42948"/>
    <w:rsid w:val="00B43111"/>
    <w:rsid w:val="00B4337F"/>
    <w:rsid w:val="00B434AE"/>
    <w:rsid w:val="00B44155"/>
    <w:rsid w:val="00B44180"/>
    <w:rsid w:val="00B442B3"/>
    <w:rsid w:val="00B444EF"/>
    <w:rsid w:val="00B44D76"/>
    <w:rsid w:val="00B452FB"/>
    <w:rsid w:val="00B458AB"/>
    <w:rsid w:val="00B45948"/>
    <w:rsid w:val="00B4605E"/>
    <w:rsid w:val="00B46088"/>
    <w:rsid w:val="00B46570"/>
    <w:rsid w:val="00B4698A"/>
    <w:rsid w:val="00B469B3"/>
    <w:rsid w:val="00B46A1C"/>
    <w:rsid w:val="00B46D4C"/>
    <w:rsid w:val="00B470D7"/>
    <w:rsid w:val="00B47556"/>
    <w:rsid w:val="00B47748"/>
    <w:rsid w:val="00B47B3A"/>
    <w:rsid w:val="00B47D28"/>
    <w:rsid w:val="00B47F37"/>
    <w:rsid w:val="00B5016B"/>
    <w:rsid w:val="00B50B0D"/>
    <w:rsid w:val="00B510F2"/>
    <w:rsid w:val="00B5188D"/>
    <w:rsid w:val="00B519F8"/>
    <w:rsid w:val="00B51DE3"/>
    <w:rsid w:val="00B51E6A"/>
    <w:rsid w:val="00B520D5"/>
    <w:rsid w:val="00B52172"/>
    <w:rsid w:val="00B52631"/>
    <w:rsid w:val="00B52761"/>
    <w:rsid w:val="00B52786"/>
    <w:rsid w:val="00B5285C"/>
    <w:rsid w:val="00B52C4B"/>
    <w:rsid w:val="00B53064"/>
    <w:rsid w:val="00B5325C"/>
    <w:rsid w:val="00B536FD"/>
    <w:rsid w:val="00B538B7"/>
    <w:rsid w:val="00B53989"/>
    <w:rsid w:val="00B53A74"/>
    <w:rsid w:val="00B53B29"/>
    <w:rsid w:val="00B53B74"/>
    <w:rsid w:val="00B53DF8"/>
    <w:rsid w:val="00B542F9"/>
    <w:rsid w:val="00B5478D"/>
    <w:rsid w:val="00B54A1D"/>
    <w:rsid w:val="00B54C4B"/>
    <w:rsid w:val="00B54D70"/>
    <w:rsid w:val="00B55122"/>
    <w:rsid w:val="00B556A4"/>
    <w:rsid w:val="00B55747"/>
    <w:rsid w:val="00B558AC"/>
    <w:rsid w:val="00B56107"/>
    <w:rsid w:val="00B561BD"/>
    <w:rsid w:val="00B56A40"/>
    <w:rsid w:val="00B56C11"/>
    <w:rsid w:val="00B56D4E"/>
    <w:rsid w:val="00B56E0F"/>
    <w:rsid w:val="00B56FBA"/>
    <w:rsid w:val="00B5740A"/>
    <w:rsid w:val="00B57870"/>
    <w:rsid w:val="00B57C05"/>
    <w:rsid w:val="00B57DF5"/>
    <w:rsid w:val="00B57E34"/>
    <w:rsid w:val="00B600BC"/>
    <w:rsid w:val="00B600D9"/>
    <w:rsid w:val="00B601FC"/>
    <w:rsid w:val="00B60466"/>
    <w:rsid w:val="00B605C6"/>
    <w:rsid w:val="00B609BA"/>
    <w:rsid w:val="00B60A8C"/>
    <w:rsid w:val="00B60DDE"/>
    <w:rsid w:val="00B6140B"/>
    <w:rsid w:val="00B61574"/>
    <w:rsid w:val="00B616CB"/>
    <w:rsid w:val="00B61AC1"/>
    <w:rsid w:val="00B622EC"/>
    <w:rsid w:val="00B624BB"/>
    <w:rsid w:val="00B6268F"/>
    <w:rsid w:val="00B62736"/>
    <w:rsid w:val="00B6279A"/>
    <w:rsid w:val="00B62DE4"/>
    <w:rsid w:val="00B62F64"/>
    <w:rsid w:val="00B630E8"/>
    <w:rsid w:val="00B63129"/>
    <w:rsid w:val="00B6334A"/>
    <w:rsid w:val="00B633B8"/>
    <w:rsid w:val="00B637ED"/>
    <w:rsid w:val="00B63840"/>
    <w:rsid w:val="00B63A49"/>
    <w:rsid w:val="00B63B0D"/>
    <w:rsid w:val="00B63DBC"/>
    <w:rsid w:val="00B6447C"/>
    <w:rsid w:val="00B64557"/>
    <w:rsid w:val="00B6464F"/>
    <w:rsid w:val="00B6488C"/>
    <w:rsid w:val="00B64D53"/>
    <w:rsid w:val="00B64DF7"/>
    <w:rsid w:val="00B64EA4"/>
    <w:rsid w:val="00B64FBC"/>
    <w:rsid w:val="00B65678"/>
    <w:rsid w:val="00B6571C"/>
    <w:rsid w:val="00B65D20"/>
    <w:rsid w:val="00B664D3"/>
    <w:rsid w:val="00B66741"/>
    <w:rsid w:val="00B669DA"/>
    <w:rsid w:val="00B67027"/>
    <w:rsid w:val="00B67450"/>
    <w:rsid w:val="00B67D23"/>
    <w:rsid w:val="00B700DB"/>
    <w:rsid w:val="00B704C4"/>
    <w:rsid w:val="00B707BE"/>
    <w:rsid w:val="00B70D98"/>
    <w:rsid w:val="00B71011"/>
    <w:rsid w:val="00B713AC"/>
    <w:rsid w:val="00B714B1"/>
    <w:rsid w:val="00B71DC9"/>
    <w:rsid w:val="00B71E6C"/>
    <w:rsid w:val="00B7214C"/>
    <w:rsid w:val="00B72337"/>
    <w:rsid w:val="00B72695"/>
    <w:rsid w:val="00B72706"/>
    <w:rsid w:val="00B73D3A"/>
    <w:rsid w:val="00B73EB5"/>
    <w:rsid w:val="00B73EFE"/>
    <w:rsid w:val="00B743DD"/>
    <w:rsid w:val="00B74A90"/>
    <w:rsid w:val="00B74C37"/>
    <w:rsid w:val="00B7515C"/>
    <w:rsid w:val="00B75732"/>
    <w:rsid w:val="00B759B5"/>
    <w:rsid w:val="00B75CA9"/>
    <w:rsid w:val="00B75E4D"/>
    <w:rsid w:val="00B761FD"/>
    <w:rsid w:val="00B76523"/>
    <w:rsid w:val="00B766C1"/>
    <w:rsid w:val="00B76F23"/>
    <w:rsid w:val="00B76F96"/>
    <w:rsid w:val="00B773C8"/>
    <w:rsid w:val="00B77473"/>
    <w:rsid w:val="00B777DC"/>
    <w:rsid w:val="00B77B6E"/>
    <w:rsid w:val="00B77C01"/>
    <w:rsid w:val="00B77DD8"/>
    <w:rsid w:val="00B802EE"/>
    <w:rsid w:val="00B80502"/>
    <w:rsid w:val="00B80726"/>
    <w:rsid w:val="00B80CCD"/>
    <w:rsid w:val="00B8138B"/>
    <w:rsid w:val="00B81B84"/>
    <w:rsid w:val="00B82260"/>
    <w:rsid w:val="00B8240A"/>
    <w:rsid w:val="00B8241E"/>
    <w:rsid w:val="00B8244C"/>
    <w:rsid w:val="00B82C52"/>
    <w:rsid w:val="00B82C6D"/>
    <w:rsid w:val="00B832D4"/>
    <w:rsid w:val="00B8386F"/>
    <w:rsid w:val="00B83A7A"/>
    <w:rsid w:val="00B83BB6"/>
    <w:rsid w:val="00B83BD8"/>
    <w:rsid w:val="00B83C02"/>
    <w:rsid w:val="00B83FAE"/>
    <w:rsid w:val="00B84124"/>
    <w:rsid w:val="00B845BD"/>
    <w:rsid w:val="00B84EE1"/>
    <w:rsid w:val="00B8517C"/>
    <w:rsid w:val="00B85506"/>
    <w:rsid w:val="00B855CE"/>
    <w:rsid w:val="00B86061"/>
    <w:rsid w:val="00B8656B"/>
    <w:rsid w:val="00B8700C"/>
    <w:rsid w:val="00B874F1"/>
    <w:rsid w:val="00B87700"/>
    <w:rsid w:val="00B8791C"/>
    <w:rsid w:val="00B8794A"/>
    <w:rsid w:val="00B879E0"/>
    <w:rsid w:val="00B87B39"/>
    <w:rsid w:val="00B87B3B"/>
    <w:rsid w:val="00B90200"/>
    <w:rsid w:val="00B9022A"/>
    <w:rsid w:val="00B9039B"/>
    <w:rsid w:val="00B90487"/>
    <w:rsid w:val="00B905F6"/>
    <w:rsid w:val="00B90705"/>
    <w:rsid w:val="00B90750"/>
    <w:rsid w:val="00B90E93"/>
    <w:rsid w:val="00B9211B"/>
    <w:rsid w:val="00B923C1"/>
    <w:rsid w:val="00B9247F"/>
    <w:rsid w:val="00B92A19"/>
    <w:rsid w:val="00B92C42"/>
    <w:rsid w:val="00B935B3"/>
    <w:rsid w:val="00B93E73"/>
    <w:rsid w:val="00B93FF9"/>
    <w:rsid w:val="00B94233"/>
    <w:rsid w:val="00B942BC"/>
    <w:rsid w:val="00B94300"/>
    <w:rsid w:val="00B94485"/>
    <w:rsid w:val="00B946BE"/>
    <w:rsid w:val="00B9477D"/>
    <w:rsid w:val="00B949D8"/>
    <w:rsid w:val="00B94A01"/>
    <w:rsid w:val="00B94E5D"/>
    <w:rsid w:val="00B95002"/>
    <w:rsid w:val="00B95375"/>
    <w:rsid w:val="00B95A07"/>
    <w:rsid w:val="00B95A7C"/>
    <w:rsid w:val="00B95AA5"/>
    <w:rsid w:val="00B95BA7"/>
    <w:rsid w:val="00B95FF5"/>
    <w:rsid w:val="00B963DC"/>
    <w:rsid w:val="00B968E1"/>
    <w:rsid w:val="00B968F8"/>
    <w:rsid w:val="00B96A1F"/>
    <w:rsid w:val="00B972A1"/>
    <w:rsid w:val="00B973BE"/>
    <w:rsid w:val="00B97696"/>
    <w:rsid w:val="00B9788C"/>
    <w:rsid w:val="00B978F1"/>
    <w:rsid w:val="00B97C2E"/>
    <w:rsid w:val="00B97CA6"/>
    <w:rsid w:val="00B97CAC"/>
    <w:rsid w:val="00BA02CE"/>
    <w:rsid w:val="00BA0534"/>
    <w:rsid w:val="00BA05BA"/>
    <w:rsid w:val="00BA0604"/>
    <w:rsid w:val="00BA0A3F"/>
    <w:rsid w:val="00BA0EF7"/>
    <w:rsid w:val="00BA1431"/>
    <w:rsid w:val="00BA17AC"/>
    <w:rsid w:val="00BA18EC"/>
    <w:rsid w:val="00BA19E9"/>
    <w:rsid w:val="00BA1A57"/>
    <w:rsid w:val="00BA1AE2"/>
    <w:rsid w:val="00BA2122"/>
    <w:rsid w:val="00BA2600"/>
    <w:rsid w:val="00BA2674"/>
    <w:rsid w:val="00BA29D1"/>
    <w:rsid w:val="00BA2FA1"/>
    <w:rsid w:val="00BA31D0"/>
    <w:rsid w:val="00BA34D9"/>
    <w:rsid w:val="00BA3720"/>
    <w:rsid w:val="00BA3754"/>
    <w:rsid w:val="00BA3853"/>
    <w:rsid w:val="00BA3875"/>
    <w:rsid w:val="00BA39C6"/>
    <w:rsid w:val="00BA3A4E"/>
    <w:rsid w:val="00BA3C49"/>
    <w:rsid w:val="00BA3CF1"/>
    <w:rsid w:val="00BA3F3B"/>
    <w:rsid w:val="00BA44E7"/>
    <w:rsid w:val="00BA4671"/>
    <w:rsid w:val="00BA4BD3"/>
    <w:rsid w:val="00BA4CF6"/>
    <w:rsid w:val="00BA5064"/>
    <w:rsid w:val="00BA5635"/>
    <w:rsid w:val="00BA5744"/>
    <w:rsid w:val="00BA5B45"/>
    <w:rsid w:val="00BA6105"/>
    <w:rsid w:val="00BA6276"/>
    <w:rsid w:val="00BA6414"/>
    <w:rsid w:val="00BA6658"/>
    <w:rsid w:val="00BA67C8"/>
    <w:rsid w:val="00BA6A1F"/>
    <w:rsid w:val="00BA717C"/>
    <w:rsid w:val="00BA7C9D"/>
    <w:rsid w:val="00BA7F1E"/>
    <w:rsid w:val="00BB07BF"/>
    <w:rsid w:val="00BB0C7A"/>
    <w:rsid w:val="00BB105D"/>
    <w:rsid w:val="00BB10B7"/>
    <w:rsid w:val="00BB16EB"/>
    <w:rsid w:val="00BB170F"/>
    <w:rsid w:val="00BB19F8"/>
    <w:rsid w:val="00BB1DD3"/>
    <w:rsid w:val="00BB21CC"/>
    <w:rsid w:val="00BB21E7"/>
    <w:rsid w:val="00BB2754"/>
    <w:rsid w:val="00BB282C"/>
    <w:rsid w:val="00BB288E"/>
    <w:rsid w:val="00BB2899"/>
    <w:rsid w:val="00BB3153"/>
    <w:rsid w:val="00BB3202"/>
    <w:rsid w:val="00BB32F8"/>
    <w:rsid w:val="00BB3316"/>
    <w:rsid w:val="00BB3727"/>
    <w:rsid w:val="00BB3937"/>
    <w:rsid w:val="00BB3ACD"/>
    <w:rsid w:val="00BB3D7B"/>
    <w:rsid w:val="00BB4008"/>
    <w:rsid w:val="00BB401F"/>
    <w:rsid w:val="00BB409E"/>
    <w:rsid w:val="00BB4A10"/>
    <w:rsid w:val="00BB5244"/>
    <w:rsid w:val="00BB55A7"/>
    <w:rsid w:val="00BB57F0"/>
    <w:rsid w:val="00BB5CA9"/>
    <w:rsid w:val="00BB5D2C"/>
    <w:rsid w:val="00BB5E78"/>
    <w:rsid w:val="00BB6A2B"/>
    <w:rsid w:val="00BB6C5B"/>
    <w:rsid w:val="00BB70D1"/>
    <w:rsid w:val="00BB70E4"/>
    <w:rsid w:val="00BB749B"/>
    <w:rsid w:val="00BB74F5"/>
    <w:rsid w:val="00BB7586"/>
    <w:rsid w:val="00BB79E9"/>
    <w:rsid w:val="00BB7A93"/>
    <w:rsid w:val="00BB7EBB"/>
    <w:rsid w:val="00BC0146"/>
    <w:rsid w:val="00BC031D"/>
    <w:rsid w:val="00BC0464"/>
    <w:rsid w:val="00BC0729"/>
    <w:rsid w:val="00BC0739"/>
    <w:rsid w:val="00BC078A"/>
    <w:rsid w:val="00BC0A70"/>
    <w:rsid w:val="00BC0F85"/>
    <w:rsid w:val="00BC25F9"/>
    <w:rsid w:val="00BC2602"/>
    <w:rsid w:val="00BC29F5"/>
    <w:rsid w:val="00BC3676"/>
    <w:rsid w:val="00BC36EC"/>
    <w:rsid w:val="00BC3FCD"/>
    <w:rsid w:val="00BC4055"/>
    <w:rsid w:val="00BC46D2"/>
    <w:rsid w:val="00BC47CE"/>
    <w:rsid w:val="00BC4DD8"/>
    <w:rsid w:val="00BC4EA6"/>
    <w:rsid w:val="00BC550E"/>
    <w:rsid w:val="00BC5AB3"/>
    <w:rsid w:val="00BC5D5F"/>
    <w:rsid w:val="00BC5E9D"/>
    <w:rsid w:val="00BC5F48"/>
    <w:rsid w:val="00BC64A2"/>
    <w:rsid w:val="00BC65DF"/>
    <w:rsid w:val="00BC663A"/>
    <w:rsid w:val="00BC6C43"/>
    <w:rsid w:val="00BC6DBA"/>
    <w:rsid w:val="00BC6E91"/>
    <w:rsid w:val="00BC7055"/>
    <w:rsid w:val="00BC7131"/>
    <w:rsid w:val="00BC7391"/>
    <w:rsid w:val="00BC78CA"/>
    <w:rsid w:val="00BC7B15"/>
    <w:rsid w:val="00BD00F5"/>
    <w:rsid w:val="00BD0549"/>
    <w:rsid w:val="00BD05E0"/>
    <w:rsid w:val="00BD06A3"/>
    <w:rsid w:val="00BD08E5"/>
    <w:rsid w:val="00BD1530"/>
    <w:rsid w:val="00BD1543"/>
    <w:rsid w:val="00BD1717"/>
    <w:rsid w:val="00BD17E2"/>
    <w:rsid w:val="00BD19CC"/>
    <w:rsid w:val="00BD19F1"/>
    <w:rsid w:val="00BD1A55"/>
    <w:rsid w:val="00BD1D20"/>
    <w:rsid w:val="00BD1DED"/>
    <w:rsid w:val="00BD1E2E"/>
    <w:rsid w:val="00BD208E"/>
    <w:rsid w:val="00BD229D"/>
    <w:rsid w:val="00BD23D0"/>
    <w:rsid w:val="00BD24AD"/>
    <w:rsid w:val="00BD2663"/>
    <w:rsid w:val="00BD2F7C"/>
    <w:rsid w:val="00BD314B"/>
    <w:rsid w:val="00BD333F"/>
    <w:rsid w:val="00BD390D"/>
    <w:rsid w:val="00BD3A3A"/>
    <w:rsid w:val="00BD3A4F"/>
    <w:rsid w:val="00BD3DCD"/>
    <w:rsid w:val="00BD3E27"/>
    <w:rsid w:val="00BD3E45"/>
    <w:rsid w:val="00BD4299"/>
    <w:rsid w:val="00BD42B2"/>
    <w:rsid w:val="00BD4CFD"/>
    <w:rsid w:val="00BD4E19"/>
    <w:rsid w:val="00BD5207"/>
    <w:rsid w:val="00BD520A"/>
    <w:rsid w:val="00BD54DC"/>
    <w:rsid w:val="00BD5823"/>
    <w:rsid w:val="00BD5D0C"/>
    <w:rsid w:val="00BD660A"/>
    <w:rsid w:val="00BD6D2B"/>
    <w:rsid w:val="00BD6DE1"/>
    <w:rsid w:val="00BD70DA"/>
    <w:rsid w:val="00BD70FE"/>
    <w:rsid w:val="00BD721C"/>
    <w:rsid w:val="00BD788F"/>
    <w:rsid w:val="00BE0B41"/>
    <w:rsid w:val="00BE0BA9"/>
    <w:rsid w:val="00BE0C31"/>
    <w:rsid w:val="00BE137C"/>
    <w:rsid w:val="00BE156C"/>
    <w:rsid w:val="00BE1645"/>
    <w:rsid w:val="00BE1662"/>
    <w:rsid w:val="00BE1E24"/>
    <w:rsid w:val="00BE22D4"/>
    <w:rsid w:val="00BE2BE3"/>
    <w:rsid w:val="00BE2E6E"/>
    <w:rsid w:val="00BE2F3E"/>
    <w:rsid w:val="00BE32BC"/>
    <w:rsid w:val="00BE3684"/>
    <w:rsid w:val="00BE3936"/>
    <w:rsid w:val="00BE3A42"/>
    <w:rsid w:val="00BE3A92"/>
    <w:rsid w:val="00BE3CDB"/>
    <w:rsid w:val="00BE3E74"/>
    <w:rsid w:val="00BE40CB"/>
    <w:rsid w:val="00BE41CF"/>
    <w:rsid w:val="00BE4780"/>
    <w:rsid w:val="00BE4796"/>
    <w:rsid w:val="00BE48A3"/>
    <w:rsid w:val="00BE4D50"/>
    <w:rsid w:val="00BE4E68"/>
    <w:rsid w:val="00BE4F4F"/>
    <w:rsid w:val="00BE4F83"/>
    <w:rsid w:val="00BE52FB"/>
    <w:rsid w:val="00BE5402"/>
    <w:rsid w:val="00BE55C2"/>
    <w:rsid w:val="00BE5833"/>
    <w:rsid w:val="00BE5CB7"/>
    <w:rsid w:val="00BE5DF5"/>
    <w:rsid w:val="00BE602A"/>
    <w:rsid w:val="00BE6082"/>
    <w:rsid w:val="00BE6992"/>
    <w:rsid w:val="00BE6BB7"/>
    <w:rsid w:val="00BE6CCF"/>
    <w:rsid w:val="00BE6EAF"/>
    <w:rsid w:val="00BE6ECE"/>
    <w:rsid w:val="00BE6F18"/>
    <w:rsid w:val="00BE7272"/>
    <w:rsid w:val="00BE731D"/>
    <w:rsid w:val="00BE7835"/>
    <w:rsid w:val="00BE7B09"/>
    <w:rsid w:val="00BE7C40"/>
    <w:rsid w:val="00BE7E68"/>
    <w:rsid w:val="00BE7F66"/>
    <w:rsid w:val="00BE7FDD"/>
    <w:rsid w:val="00BF006A"/>
    <w:rsid w:val="00BF07FD"/>
    <w:rsid w:val="00BF0C32"/>
    <w:rsid w:val="00BF1097"/>
    <w:rsid w:val="00BF139E"/>
    <w:rsid w:val="00BF16E8"/>
    <w:rsid w:val="00BF1961"/>
    <w:rsid w:val="00BF19CA"/>
    <w:rsid w:val="00BF1F7E"/>
    <w:rsid w:val="00BF227F"/>
    <w:rsid w:val="00BF2BB3"/>
    <w:rsid w:val="00BF2C9F"/>
    <w:rsid w:val="00BF2D09"/>
    <w:rsid w:val="00BF2DF6"/>
    <w:rsid w:val="00BF2E7E"/>
    <w:rsid w:val="00BF3438"/>
    <w:rsid w:val="00BF3A12"/>
    <w:rsid w:val="00BF413A"/>
    <w:rsid w:val="00BF414D"/>
    <w:rsid w:val="00BF42D1"/>
    <w:rsid w:val="00BF475E"/>
    <w:rsid w:val="00BF48BA"/>
    <w:rsid w:val="00BF4D90"/>
    <w:rsid w:val="00BF4F69"/>
    <w:rsid w:val="00BF5671"/>
    <w:rsid w:val="00BF5BDE"/>
    <w:rsid w:val="00BF5BED"/>
    <w:rsid w:val="00BF616F"/>
    <w:rsid w:val="00BF634B"/>
    <w:rsid w:val="00BF63A3"/>
    <w:rsid w:val="00BF6522"/>
    <w:rsid w:val="00BF666A"/>
    <w:rsid w:val="00BF6867"/>
    <w:rsid w:val="00BF6B9A"/>
    <w:rsid w:val="00BF6C57"/>
    <w:rsid w:val="00BF720B"/>
    <w:rsid w:val="00BF7226"/>
    <w:rsid w:val="00BF7237"/>
    <w:rsid w:val="00BF7967"/>
    <w:rsid w:val="00BF7E05"/>
    <w:rsid w:val="00BF7F97"/>
    <w:rsid w:val="00C00094"/>
    <w:rsid w:val="00C0021E"/>
    <w:rsid w:val="00C00466"/>
    <w:rsid w:val="00C00830"/>
    <w:rsid w:val="00C0097F"/>
    <w:rsid w:val="00C00B5C"/>
    <w:rsid w:val="00C00EC3"/>
    <w:rsid w:val="00C0116B"/>
    <w:rsid w:val="00C0175B"/>
    <w:rsid w:val="00C017B4"/>
    <w:rsid w:val="00C0189F"/>
    <w:rsid w:val="00C01BFD"/>
    <w:rsid w:val="00C01D05"/>
    <w:rsid w:val="00C02053"/>
    <w:rsid w:val="00C02340"/>
    <w:rsid w:val="00C025EA"/>
    <w:rsid w:val="00C026EF"/>
    <w:rsid w:val="00C02A29"/>
    <w:rsid w:val="00C02C1A"/>
    <w:rsid w:val="00C02C9B"/>
    <w:rsid w:val="00C02E22"/>
    <w:rsid w:val="00C03063"/>
    <w:rsid w:val="00C030AA"/>
    <w:rsid w:val="00C03539"/>
    <w:rsid w:val="00C03786"/>
    <w:rsid w:val="00C037D9"/>
    <w:rsid w:val="00C0396B"/>
    <w:rsid w:val="00C03B2D"/>
    <w:rsid w:val="00C04340"/>
    <w:rsid w:val="00C0453E"/>
    <w:rsid w:val="00C046E2"/>
    <w:rsid w:val="00C04723"/>
    <w:rsid w:val="00C0476C"/>
    <w:rsid w:val="00C04898"/>
    <w:rsid w:val="00C049D5"/>
    <w:rsid w:val="00C04BAE"/>
    <w:rsid w:val="00C04DE4"/>
    <w:rsid w:val="00C053E5"/>
    <w:rsid w:val="00C05565"/>
    <w:rsid w:val="00C056E4"/>
    <w:rsid w:val="00C0588F"/>
    <w:rsid w:val="00C060CC"/>
    <w:rsid w:val="00C06687"/>
    <w:rsid w:val="00C0669E"/>
    <w:rsid w:val="00C066B7"/>
    <w:rsid w:val="00C06BB4"/>
    <w:rsid w:val="00C070D2"/>
    <w:rsid w:val="00C078A8"/>
    <w:rsid w:val="00C07A2F"/>
    <w:rsid w:val="00C07B71"/>
    <w:rsid w:val="00C07C11"/>
    <w:rsid w:val="00C07C86"/>
    <w:rsid w:val="00C07D93"/>
    <w:rsid w:val="00C07EE4"/>
    <w:rsid w:val="00C10ABB"/>
    <w:rsid w:val="00C10EFB"/>
    <w:rsid w:val="00C110E2"/>
    <w:rsid w:val="00C1123E"/>
    <w:rsid w:val="00C11CF8"/>
    <w:rsid w:val="00C11DF0"/>
    <w:rsid w:val="00C11E21"/>
    <w:rsid w:val="00C11E75"/>
    <w:rsid w:val="00C1217F"/>
    <w:rsid w:val="00C12436"/>
    <w:rsid w:val="00C130CB"/>
    <w:rsid w:val="00C13330"/>
    <w:rsid w:val="00C1339D"/>
    <w:rsid w:val="00C13C3D"/>
    <w:rsid w:val="00C13D7E"/>
    <w:rsid w:val="00C13F14"/>
    <w:rsid w:val="00C146C4"/>
    <w:rsid w:val="00C146DC"/>
    <w:rsid w:val="00C147F3"/>
    <w:rsid w:val="00C14861"/>
    <w:rsid w:val="00C14B4C"/>
    <w:rsid w:val="00C150CD"/>
    <w:rsid w:val="00C15809"/>
    <w:rsid w:val="00C15DCC"/>
    <w:rsid w:val="00C15E01"/>
    <w:rsid w:val="00C15E49"/>
    <w:rsid w:val="00C15E91"/>
    <w:rsid w:val="00C15F9F"/>
    <w:rsid w:val="00C164CF"/>
    <w:rsid w:val="00C1747B"/>
    <w:rsid w:val="00C17BBD"/>
    <w:rsid w:val="00C17D48"/>
    <w:rsid w:val="00C17F30"/>
    <w:rsid w:val="00C2027C"/>
    <w:rsid w:val="00C2035D"/>
    <w:rsid w:val="00C2043B"/>
    <w:rsid w:val="00C20927"/>
    <w:rsid w:val="00C20A66"/>
    <w:rsid w:val="00C20ACE"/>
    <w:rsid w:val="00C20DB5"/>
    <w:rsid w:val="00C21A57"/>
    <w:rsid w:val="00C21D2E"/>
    <w:rsid w:val="00C21D3F"/>
    <w:rsid w:val="00C223EF"/>
    <w:rsid w:val="00C22414"/>
    <w:rsid w:val="00C224CE"/>
    <w:rsid w:val="00C22982"/>
    <w:rsid w:val="00C22BB0"/>
    <w:rsid w:val="00C22E8A"/>
    <w:rsid w:val="00C22F8F"/>
    <w:rsid w:val="00C22F98"/>
    <w:rsid w:val="00C234AA"/>
    <w:rsid w:val="00C23670"/>
    <w:rsid w:val="00C2374C"/>
    <w:rsid w:val="00C23774"/>
    <w:rsid w:val="00C23782"/>
    <w:rsid w:val="00C23B95"/>
    <w:rsid w:val="00C23CA8"/>
    <w:rsid w:val="00C24184"/>
    <w:rsid w:val="00C24260"/>
    <w:rsid w:val="00C247C9"/>
    <w:rsid w:val="00C2484E"/>
    <w:rsid w:val="00C24FDE"/>
    <w:rsid w:val="00C2570C"/>
    <w:rsid w:val="00C258CF"/>
    <w:rsid w:val="00C25CBA"/>
    <w:rsid w:val="00C25F12"/>
    <w:rsid w:val="00C265D1"/>
    <w:rsid w:val="00C26732"/>
    <w:rsid w:val="00C26783"/>
    <w:rsid w:val="00C268F7"/>
    <w:rsid w:val="00C26E27"/>
    <w:rsid w:val="00C26E47"/>
    <w:rsid w:val="00C270AA"/>
    <w:rsid w:val="00C27362"/>
    <w:rsid w:val="00C2760F"/>
    <w:rsid w:val="00C279EA"/>
    <w:rsid w:val="00C30250"/>
    <w:rsid w:val="00C3068D"/>
    <w:rsid w:val="00C30B90"/>
    <w:rsid w:val="00C32084"/>
    <w:rsid w:val="00C325E0"/>
    <w:rsid w:val="00C326C2"/>
    <w:rsid w:val="00C32C15"/>
    <w:rsid w:val="00C32D9B"/>
    <w:rsid w:val="00C33743"/>
    <w:rsid w:val="00C338F3"/>
    <w:rsid w:val="00C33939"/>
    <w:rsid w:val="00C339CB"/>
    <w:rsid w:val="00C33C3B"/>
    <w:rsid w:val="00C3425A"/>
    <w:rsid w:val="00C347CF"/>
    <w:rsid w:val="00C34B6C"/>
    <w:rsid w:val="00C34DB7"/>
    <w:rsid w:val="00C34F7B"/>
    <w:rsid w:val="00C353C4"/>
    <w:rsid w:val="00C35732"/>
    <w:rsid w:val="00C35955"/>
    <w:rsid w:val="00C35A06"/>
    <w:rsid w:val="00C35D27"/>
    <w:rsid w:val="00C35D3A"/>
    <w:rsid w:val="00C35FBD"/>
    <w:rsid w:val="00C36154"/>
    <w:rsid w:val="00C36377"/>
    <w:rsid w:val="00C36AF7"/>
    <w:rsid w:val="00C36E29"/>
    <w:rsid w:val="00C36F1F"/>
    <w:rsid w:val="00C36F95"/>
    <w:rsid w:val="00C37072"/>
    <w:rsid w:val="00C3777B"/>
    <w:rsid w:val="00C3778B"/>
    <w:rsid w:val="00C379B2"/>
    <w:rsid w:val="00C379BE"/>
    <w:rsid w:val="00C37E40"/>
    <w:rsid w:val="00C40149"/>
    <w:rsid w:val="00C401E6"/>
    <w:rsid w:val="00C405EA"/>
    <w:rsid w:val="00C405F0"/>
    <w:rsid w:val="00C411AC"/>
    <w:rsid w:val="00C418FD"/>
    <w:rsid w:val="00C42036"/>
    <w:rsid w:val="00C42063"/>
    <w:rsid w:val="00C42C4B"/>
    <w:rsid w:val="00C43F9F"/>
    <w:rsid w:val="00C44508"/>
    <w:rsid w:val="00C44704"/>
    <w:rsid w:val="00C4489F"/>
    <w:rsid w:val="00C44A8D"/>
    <w:rsid w:val="00C44BDA"/>
    <w:rsid w:val="00C45583"/>
    <w:rsid w:val="00C45D28"/>
    <w:rsid w:val="00C45F45"/>
    <w:rsid w:val="00C46393"/>
    <w:rsid w:val="00C46718"/>
    <w:rsid w:val="00C46861"/>
    <w:rsid w:val="00C46B1A"/>
    <w:rsid w:val="00C46C40"/>
    <w:rsid w:val="00C46DFA"/>
    <w:rsid w:val="00C47293"/>
    <w:rsid w:val="00C4737E"/>
    <w:rsid w:val="00C47730"/>
    <w:rsid w:val="00C478CE"/>
    <w:rsid w:val="00C47CCC"/>
    <w:rsid w:val="00C47E92"/>
    <w:rsid w:val="00C5073A"/>
    <w:rsid w:val="00C50E65"/>
    <w:rsid w:val="00C517E6"/>
    <w:rsid w:val="00C5278F"/>
    <w:rsid w:val="00C52A0E"/>
    <w:rsid w:val="00C52E81"/>
    <w:rsid w:val="00C534B3"/>
    <w:rsid w:val="00C537BC"/>
    <w:rsid w:val="00C53C9C"/>
    <w:rsid w:val="00C541EE"/>
    <w:rsid w:val="00C54354"/>
    <w:rsid w:val="00C54396"/>
    <w:rsid w:val="00C54824"/>
    <w:rsid w:val="00C549B0"/>
    <w:rsid w:val="00C54DC2"/>
    <w:rsid w:val="00C54E1B"/>
    <w:rsid w:val="00C54FB9"/>
    <w:rsid w:val="00C54FD7"/>
    <w:rsid w:val="00C553FF"/>
    <w:rsid w:val="00C55637"/>
    <w:rsid w:val="00C55786"/>
    <w:rsid w:val="00C55E2D"/>
    <w:rsid w:val="00C57292"/>
    <w:rsid w:val="00C5731F"/>
    <w:rsid w:val="00C57539"/>
    <w:rsid w:val="00C57AF4"/>
    <w:rsid w:val="00C57E0F"/>
    <w:rsid w:val="00C60505"/>
    <w:rsid w:val="00C6055C"/>
    <w:rsid w:val="00C606BE"/>
    <w:rsid w:val="00C608EA"/>
    <w:rsid w:val="00C609D9"/>
    <w:rsid w:val="00C60AD6"/>
    <w:rsid w:val="00C60CB9"/>
    <w:rsid w:val="00C60CE9"/>
    <w:rsid w:val="00C61108"/>
    <w:rsid w:val="00C6126D"/>
    <w:rsid w:val="00C61281"/>
    <w:rsid w:val="00C61491"/>
    <w:rsid w:val="00C61760"/>
    <w:rsid w:val="00C61C0E"/>
    <w:rsid w:val="00C61C49"/>
    <w:rsid w:val="00C61CAA"/>
    <w:rsid w:val="00C61E7C"/>
    <w:rsid w:val="00C62587"/>
    <w:rsid w:val="00C6265F"/>
    <w:rsid w:val="00C627D4"/>
    <w:rsid w:val="00C62834"/>
    <w:rsid w:val="00C62879"/>
    <w:rsid w:val="00C62B0B"/>
    <w:rsid w:val="00C62FAA"/>
    <w:rsid w:val="00C63149"/>
    <w:rsid w:val="00C63177"/>
    <w:rsid w:val="00C63298"/>
    <w:rsid w:val="00C632D5"/>
    <w:rsid w:val="00C635AC"/>
    <w:rsid w:val="00C636EE"/>
    <w:rsid w:val="00C63711"/>
    <w:rsid w:val="00C6385E"/>
    <w:rsid w:val="00C64134"/>
    <w:rsid w:val="00C644E4"/>
    <w:rsid w:val="00C645A3"/>
    <w:rsid w:val="00C645FD"/>
    <w:rsid w:val="00C646AD"/>
    <w:rsid w:val="00C64921"/>
    <w:rsid w:val="00C64986"/>
    <w:rsid w:val="00C64A7B"/>
    <w:rsid w:val="00C65362"/>
    <w:rsid w:val="00C65526"/>
    <w:rsid w:val="00C65B31"/>
    <w:rsid w:val="00C661AC"/>
    <w:rsid w:val="00C66526"/>
    <w:rsid w:val="00C6660D"/>
    <w:rsid w:val="00C6680E"/>
    <w:rsid w:val="00C66D1C"/>
    <w:rsid w:val="00C672D7"/>
    <w:rsid w:val="00C673E0"/>
    <w:rsid w:val="00C6770C"/>
    <w:rsid w:val="00C67DA6"/>
    <w:rsid w:val="00C70082"/>
    <w:rsid w:val="00C7019F"/>
    <w:rsid w:val="00C70338"/>
    <w:rsid w:val="00C7068F"/>
    <w:rsid w:val="00C709D1"/>
    <w:rsid w:val="00C7129A"/>
    <w:rsid w:val="00C712CA"/>
    <w:rsid w:val="00C712FD"/>
    <w:rsid w:val="00C7152A"/>
    <w:rsid w:val="00C7230E"/>
    <w:rsid w:val="00C72312"/>
    <w:rsid w:val="00C72438"/>
    <w:rsid w:val="00C73376"/>
    <w:rsid w:val="00C733CD"/>
    <w:rsid w:val="00C7353C"/>
    <w:rsid w:val="00C73778"/>
    <w:rsid w:val="00C73AC1"/>
    <w:rsid w:val="00C73BC7"/>
    <w:rsid w:val="00C73CFB"/>
    <w:rsid w:val="00C73DAE"/>
    <w:rsid w:val="00C74188"/>
    <w:rsid w:val="00C745D3"/>
    <w:rsid w:val="00C74690"/>
    <w:rsid w:val="00C746DE"/>
    <w:rsid w:val="00C74915"/>
    <w:rsid w:val="00C74AA6"/>
    <w:rsid w:val="00C74AEC"/>
    <w:rsid w:val="00C74BAF"/>
    <w:rsid w:val="00C751A9"/>
    <w:rsid w:val="00C75960"/>
    <w:rsid w:val="00C7597E"/>
    <w:rsid w:val="00C7600E"/>
    <w:rsid w:val="00C767FD"/>
    <w:rsid w:val="00C7682B"/>
    <w:rsid w:val="00C76E79"/>
    <w:rsid w:val="00C77471"/>
    <w:rsid w:val="00C7752F"/>
    <w:rsid w:val="00C77824"/>
    <w:rsid w:val="00C779BB"/>
    <w:rsid w:val="00C77C63"/>
    <w:rsid w:val="00C77F53"/>
    <w:rsid w:val="00C801F7"/>
    <w:rsid w:val="00C805FA"/>
    <w:rsid w:val="00C80738"/>
    <w:rsid w:val="00C80FAE"/>
    <w:rsid w:val="00C8135C"/>
    <w:rsid w:val="00C8139C"/>
    <w:rsid w:val="00C813A5"/>
    <w:rsid w:val="00C81465"/>
    <w:rsid w:val="00C818E3"/>
    <w:rsid w:val="00C82004"/>
    <w:rsid w:val="00C821C7"/>
    <w:rsid w:val="00C822AF"/>
    <w:rsid w:val="00C828F6"/>
    <w:rsid w:val="00C82939"/>
    <w:rsid w:val="00C8294C"/>
    <w:rsid w:val="00C82AAD"/>
    <w:rsid w:val="00C82C45"/>
    <w:rsid w:val="00C82ED2"/>
    <w:rsid w:val="00C82FD0"/>
    <w:rsid w:val="00C8390A"/>
    <w:rsid w:val="00C83A9C"/>
    <w:rsid w:val="00C83F5F"/>
    <w:rsid w:val="00C84169"/>
    <w:rsid w:val="00C84539"/>
    <w:rsid w:val="00C84A40"/>
    <w:rsid w:val="00C85323"/>
    <w:rsid w:val="00C859C0"/>
    <w:rsid w:val="00C85D06"/>
    <w:rsid w:val="00C864A1"/>
    <w:rsid w:val="00C86B04"/>
    <w:rsid w:val="00C86E73"/>
    <w:rsid w:val="00C87092"/>
    <w:rsid w:val="00C870FB"/>
    <w:rsid w:val="00C8721A"/>
    <w:rsid w:val="00C873C7"/>
    <w:rsid w:val="00C8754A"/>
    <w:rsid w:val="00C87BDF"/>
    <w:rsid w:val="00C87DF7"/>
    <w:rsid w:val="00C87E0A"/>
    <w:rsid w:val="00C87E2D"/>
    <w:rsid w:val="00C87FDD"/>
    <w:rsid w:val="00C9020B"/>
    <w:rsid w:val="00C9061A"/>
    <w:rsid w:val="00C90754"/>
    <w:rsid w:val="00C909BF"/>
    <w:rsid w:val="00C90A31"/>
    <w:rsid w:val="00C90A38"/>
    <w:rsid w:val="00C91634"/>
    <w:rsid w:val="00C91A34"/>
    <w:rsid w:val="00C91B2C"/>
    <w:rsid w:val="00C91B6F"/>
    <w:rsid w:val="00C91C65"/>
    <w:rsid w:val="00C9204F"/>
    <w:rsid w:val="00C920AB"/>
    <w:rsid w:val="00C922DC"/>
    <w:rsid w:val="00C924B5"/>
    <w:rsid w:val="00C924EC"/>
    <w:rsid w:val="00C92739"/>
    <w:rsid w:val="00C92B74"/>
    <w:rsid w:val="00C92DEF"/>
    <w:rsid w:val="00C936F8"/>
    <w:rsid w:val="00C94016"/>
    <w:rsid w:val="00C945B6"/>
    <w:rsid w:val="00C94A94"/>
    <w:rsid w:val="00C94B22"/>
    <w:rsid w:val="00C94F0C"/>
    <w:rsid w:val="00C9508A"/>
    <w:rsid w:val="00C95986"/>
    <w:rsid w:val="00C95DB6"/>
    <w:rsid w:val="00C9611D"/>
    <w:rsid w:val="00C96546"/>
    <w:rsid w:val="00C9682B"/>
    <w:rsid w:val="00C96B2A"/>
    <w:rsid w:val="00C96DF6"/>
    <w:rsid w:val="00C9719C"/>
    <w:rsid w:val="00C97933"/>
    <w:rsid w:val="00C97B4E"/>
    <w:rsid w:val="00CA0351"/>
    <w:rsid w:val="00CA0397"/>
    <w:rsid w:val="00CA07BF"/>
    <w:rsid w:val="00CA0939"/>
    <w:rsid w:val="00CA0A50"/>
    <w:rsid w:val="00CA0B30"/>
    <w:rsid w:val="00CA140A"/>
    <w:rsid w:val="00CA183F"/>
    <w:rsid w:val="00CA18D1"/>
    <w:rsid w:val="00CA1F66"/>
    <w:rsid w:val="00CA1FE3"/>
    <w:rsid w:val="00CA24C9"/>
    <w:rsid w:val="00CA28B1"/>
    <w:rsid w:val="00CA2A18"/>
    <w:rsid w:val="00CA2CBD"/>
    <w:rsid w:val="00CA347A"/>
    <w:rsid w:val="00CA367D"/>
    <w:rsid w:val="00CA395F"/>
    <w:rsid w:val="00CA3D7A"/>
    <w:rsid w:val="00CA3E90"/>
    <w:rsid w:val="00CA46E6"/>
    <w:rsid w:val="00CA481F"/>
    <w:rsid w:val="00CA4BFE"/>
    <w:rsid w:val="00CA4D11"/>
    <w:rsid w:val="00CA4EEE"/>
    <w:rsid w:val="00CA503D"/>
    <w:rsid w:val="00CA548F"/>
    <w:rsid w:val="00CA5AF9"/>
    <w:rsid w:val="00CA5BE7"/>
    <w:rsid w:val="00CA5E7A"/>
    <w:rsid w:val="00CA5F19"/>
    <w:rsid w:val="00CA604B"/>
    <w:rsid w:val="00CA60EE"/>
    <w:rsid w:val="00CA6445"/>
    <w:rsid w:val="00CA6565"/>
    <w:rsid w:val="00CA6678"/>
    <w:rsid w:val="00CA6839"/>
    <w:rsid w:val="00CA6AD0"/>
    <w:rsid w:val="00CA6C85"/>
    <w:rsid w:val="00CA7371"/>
    <w:rsid w:val="00CA74FA"/>
    <w:rsid w:val="00CA7A04"/>
    <w:rsid w:val="00CA7D0B"/>
    <w:rsid w:val="00CA7F25"/>
    <w:rsid w:val="00CB0015"/>
    <w:rsid w:val="00CB02F6"/>
    <w:rsid w:val="00CB043A"/>
    <w:rsid w:val="00CB0850"/>
    <w:rsid w:val="00CB08D5"/>
    <w:rsid w:val="00CB0A4A"/>
    <w:rsid w:val="00CB12A4"/>
    <w:rsid w:val="00CB14BA"/>
    <w:rsid w:val="00CB1863"/>
    <w:rsid w:val="00CB1A00"/>
    <w:rsid w:val="00CB1B8C"/>
    <w:rsid w:val="00CB1C50"/>
    <w:rsid w:val="00CB1D40"/>
    <w:rsid w:val="00CB2237"/>
    <w:rsid w:val="00CB283B"/>
    <w:rsid w:val="00CB2E9F"/>
    <w:rsid w:val="00CB30F2"/>
    <w:rsid w:val="00CB3E0D"/>
    <w:rsid w:val="00CB3F61"/>
    <w:rsid w:val="00CB4E51"/>
    <w:rsid w:val="00CB5202"/>
    <w:rsid w:val="00CB532A"/>
    <w:rsid w:val="00CB5BA9"/>
    <w:rsid w:val="00CB5F01"/>
    <w:rsid w:val="00CB5F27"/>
    <w:rsid w:val="00CB5F4B"/>
    <w:rsid w:val="00CB5F7C"/>
    <w:rsid w:val="00CB5F9A"/>
    <w:rsid w:val="00CB640D"/>
    <w:rsid w:val="00CB6D12"/>
    <w:rsid w:val="00CB6E7A"/>
    <w:rsid w:val="00CB704C"/>
    <w:rsid w:val="00CB70C8"/>
    <w:rsid w:val="00CB70FA"/>
    <w:rsid w:val="00CB7281"/>
    <w:rsid w:val="00CB7818"/>
    <w:rsid w:val="00CB7A3F"/>
    <w:rsid w:val="00CB7BCB"/>
    <w:rsid w:val="00CC013F"/>
    <w:rsid w:val="00CC0ACA"/>
    <w:rsid w:val="00CC0DF0"/>
    <w:rsid w:val="00CC1ADF"/>
    <w:rsid w:val="00CC20D2"/>
    <w:rsid w:val="00CC25BF"/>
    <w:rsid w:val="00CC275B"/>
    <w:rsid w:val="00CC2A3C"/>
    <w:rsid w:val="00CC2B8F"/>
    <w:rsid w:val="00CC31B3"/>
    <w:rsid w:val="00CC35A5"/>
    <w:rsid w:val="00CC37B1"/>
    <w:rsid w:val="00CC3AF8"/>
    <w:rsid w:val="00CC3B4B"/>
    <w:rsid w:val="00CC3D6B"/>
    <w:rsid w:val="00CC40EC"/>
    <w:rsid w:val="00CC460E"/>
    <w:rsid w:val="00CC4759"/>
    <w:rsid w:val="00CC4884"/>
    <w:rsid w:val="00CC49CA"/>
    <w:rsid w:val="00CC49CE"/>
    <w:rsid w:val="00CC49D7"/>
    <w:rsid w:val="00CC4AC6"/>
    <w:rsid w:val="00CC518B"/>
    <w:rsid w:val="00CC51EC"/>
    <w:rsid w:val="00CC5582"/>
    <w:rsid w:val="00CC55D6"/>
    <w:rsid w:val="00CC594F"/>
    <w:rsid w:val="00CC5995"/>
    <w:rsid w:val="00CC5A17"/>
    <w:rsid w:val="00CC5BBC"/>
    <w:rsid w:val="00CC5C1C"/>
    <w:rsid w:val="00CC61AF"/>
    <w:rsid w:val="00CC637D"/>
    <w:rsid w:val="00CC6ED4"/>
    <w:rsid w:val="00CC700B"/>
    <w:rsid w:val="00CC7385"/>
    <w:rsid w:val="00CD081A"/>
    <w:rsid w:val="00CD0822"/>
    <w:rsid w:val="00CD0C7D"/>
    <w:rsid w:val="00CD116A"/>
    <w:rsid w:val="00CD18C2"/>
    <w:rsid w:val="00CD19B0"/>
    <w:rsid w:val="00CD1AE0"/>
    <w:rsid w:val="00CD206B"/>
    <w:rsid w:val="00CD2091"/>
    <w:rsid w:val="00CD216F"/>
    <w:rsid w:val="00CD218F"/>
    <w:rsid w:val="00CD21F8"/>
    <w:rsid w:val="00CD24C4"/>
    <w:rsid w:val="00CD25C6"/>
    <w:rsid w:val="00CD2624"/>
    <w:rsid w:val="00CD2E1C"/>
    <w:rsid w:val="00CD2EA8"/>
    <w:rsid w:val="00CD30E9"/>
    <w:rsid w:val="00CD37BB"/>
    <w:rsid w:val="00CD37FB"/>
    <w:rsid w:val="00CD3AF9"/>
    <w:rsid w:val="00CD3D13"/>
    <w:rsid w:val="00CD4AB2"/>
    <w:rsid w:val="00CD4DB7"/>
    <w:rsid w:val="00CD5361"/>
    <w:rsid w:val="00CD5851"/>
    <w:rsid w:val="00CD5ADD"/>
    <w:rsid w:val="00CD5C4F"/>
    <w:rsid w:val="00CD607F"/>
    <w:rsid w:val="00CD61B7"/>
    <w:rsid w:val="00CD650F"/>
    <w:rsid w:val="00CD65ED"/>
    <w:rsid w:val="00CD679D"/>
    <w:rsid w:val="00CD6AF9"/>
    <w:rsid w:val="00CD6DFF"/>
    <w:rsid w:val="00CD70FB"/>
    <w:rsid w:val="00CD76F2"/>
    <w:rsid w:val="00CD77B3"/>
    <w:rsid w:val="00CE0129"/>
    <w:rsid w:val="00CE01C9"/>
    <w:rsid w:val="00CE06B4"/>
    <w:rsid w:val="00CE0B2E"/>
    <w:rsid w:val="00CE1269"/>
    <w:rsid w:val="00CE1585"/>
    <w:rsid w:val="00CE1757"/>
    <w:rsid w:val="00CE20A3"/>
    <w:rsid w:val="00CE2371"/>
    <w:rsid w:val="00CE2B13"/>
    <w:rsid w:val="00CE2C6B"/>
    <w:rsid w:val="00CE2E93"/>
    <w:rsid w:val="00CE307D"/>
    <w:rsid w:val="00CE31F1"/>
    <w:rsid w:val="00CE32D0"/>
    <w:rsid w:val="00CE3301"/>
    <w:rsid w:val="00CE3698"/>
    <w:rsid w:val="00CE3866"/>
    <w:rsid w:val="00CE38AB"/>
    <w:rsid w:val="00CE3D0C"/>
    <w:rsid w:val="00CE42A8"/>
    <w:rsid w:val="00CE446C"/>
    <w:rsid w:val="00CE461B"/>
    <w:rsid w:val="00CE46DD"/>
    <w:rsid w:val="00CE4CA6"/>
    <w:rsid w:val="00CE524C"/>
    <w:rsid w:val="00CE5554"/>
    <w:rsid w:val="00CE61FE"/>
    <w:rsid w:val="00CE65C9"/>
    <w:rsid w:val="00CE6ABF"/>
    <w:rsid w:val="00CE6BD4"/>
    <w:rsid w:val="00CE6C53"/>
    <w:rsid w:val="00CE6DBA"/>
    <w:rsid w:val="00CE7740"/>
    <w:rsid w:val="00CE7D0D"/>
    <w:rsid w:val="00CE7F8B"/>
    <w:rsid w:val="00CF066F"/>
    <w:rsid w:val="00CF0C01"/>
    <w:rsid w:val="00CF0C6B"/>
    <w:rsid w:val="00CF0E95"/>
    <w:rsid w:val="00CF114E"/>
    <w:rsid w:val="00CF13D0"/>
    <w:rsid w:val="00CF1453"/>
    <w:rsid w:val="00CF1557"/>
    <w:rsid w:val="00CF1804"/>
    <w:rsid w:val="00CF1D18"/>
    <w:rsid w:val="00CF1F76"/>
    <w:rsid w:val="00CF216B"/>
    <w:rsid w:val="00CF249D"/>
    <w:rsid w:val="00CF24A5"/>
    <w:rsid w:val="00CF2854"/>
    <w:rsid w:val="00CF29CE"/>
    <w:rsid w:val="00CF2D8D"/>
    <w:rsid w:val="00CF3014"/>
    <w:rsid w:val="00CF317A"/>
    <w:rsid w:val="00CF3212"/>
    <w:rsid w:val="00CF325F"/>
    <w:rsid w:val="00CF35AF"/>
    <w:rsid w:val="00CF360F"/>
    <w:rsid w:val="00CF36AE"/>
    <w:rsid w:val="00CF379F"/>
    <w:rsid w:val="00CF37E9"/>
    <w:rsid w:val="00CF38AA"/>
    <w:rsid w:val="00CF4B3C"/>
    <w:rsid w:val="00CF4D2B"/>
    <w:rsid w:val="00CF4EE0"/>
    <w:rsid w:val="00CF4FBD"/>
    <w:rsid w:val="00CF54A2"/>
    <w:rsid w:val="00CF57F1"/>
    <w:rsid w:val="00CF599A"/>
    <w:rsid w:val="00CF5B8A"/>
    <w:rsid w:val="00CF5EA6"/>
    <w:rsid w:val="00CF6245"/>
    <w:rsid w:val="00CF6D53"/>
    <w:rsid w:val="00CF6FD5"/>
    <w:rsid w:val="00CF73F7"/>
    <w:rsid w:val="00CF7743"/>
    <w:rsid w:val="00CF785B"/>
    <w:rsid w:val="00CF7B1C"/>
    <w:rsid w:val="00CF7F99"/>
    <w:rsid w:val="00D00B6A"/>
    <w:rsid w:val="00D00BFD"/>
    <w:rsid w:val="00D00C07"/>
    <w:rsid w:val="00D00C8D"/>
    <w:rsid w:val="00D00DF8"/>
    <w:rsid w:val="00D0110C"/>
    <w:rsid w:val="00D014AD"/>
    <w:rsid w:val="00D01BEA"/>
    <w:rsid w:val="00D01DDA"/>
    <w:rsid w:val="00D01E76"/>
    <w:rsid w:val="00D01F9B"/>
    <w:rsid w:val="00D020EC"/>
    <w:rsid w:val="00D02468"/>
    <w:rsid w:val="00D02625"/>
    <w:rsid w:val="00D02781"/>
    <w:rsid w:val="00D02BF8"/>
    <w:rsid w:val="00D02FED"/>
    <w:rsid w:val="00D03030"/>
    <w:rsid w:val="00D03212"/>
    <w:rsid w:val="00D03906"/>
    <w:rsid w:val="00D03968"/>
    <w:rsid w:val="00D03AAA"/>
    <w:rsid w:val="00D03F60"/>
    <w:rsid w:val="00D03FF4"/>
    <w:rsid w:val="00D04047"/>
    <w:rsid w:val="00D040FC"/>
    <w:rsid w:val="00D04140"/>
    <w:rsid w:val="00D04ABC"/>
    <w:rsid w:val="00D04AE5"/>
    <w:rsid w:val="00D04AE8"/>
    <w:rsid w:val="00D053C2"/>
    <w:rsid w:val="00D05538"/>
    <w:rsid w:val="00D05789"/>
    <w:rsid w:val="00D057C1"/>
    <w:rsid w:val="00D059BE"/>
    <w:rsid w:val="00D06126"/>
    <w:rsid w:val="00D0652A"/>
    <w:rsid w:val="00D06885"/>
    <w:rsid w:val="00D06A5A"/>
    <w:rsid w:val="00D06C1B"/>
    <w:rsid w:val="00D0703B"/>
    <w:rsid w:val="00D07131"/>
    <w:rsid w:val="00D07281"/>
    <w:rsid w:val="00D0750D"/>
    <w:rsid w:val="00D0789C"/>
    <w:rsid w:val="00D07E1F"/>
    <w:rsid w:val="00D10043"/>
    <w:rsid w:val="00D10518"/>
    <w:rsid w:val="00D106D2"/>
    <w:rsid w:val="00D112B9"/>
    <w:rsid w:val="00D1159D"/>
    <w:rsid w:val="00D1174F"/>
    <w:rsid w:val="00D1189C"/>
    <w:rsid w:val="00D118C2"/>
    <w:rsid w:val="00D11AD6"/>
    <w:rsid w:val="00D12378"/>
    <w:rsid w:val="00D12396"/>
    <w:rsid w:val="00D123DD"/>
    <w:rsid w:val="00D12A6B"/>
    <w:rsid w:val="00D12B1B"/>
    <w:rsid w:val="00D12BB5"/>
    <w:rsid w:val="00D12C3C"/>
    <w:rsid w:val="00D1339C"/>
    <w:rsid w:val="00D134E4"/>
    <w:rsid w:val="00D135E4"/>
    <w:rsid w:val="00D13978"/>
    <w:rsid w:val="00D13E34"/>
    <w:rsid w:val="00D146CA"/>
    <w:rsid w:val="00D14C22"/>
    <w:rsid w:val="00D14EAD"/>
    <w:rsid w:val="00D155DE"/>
    <w:rsid w:val="00D15A2F"/>
    <w:rsid w:val="00D15A43"/>
    <w:rsid w:val="00D15A89"/>
    <w:rsid w:val="00D15C29"/>
    <w:rsid w:val="00D15EEC"/>
    <w:rsid w:val="00D15F1F"/>
    <w:rsid w:val="00D1644D"/>
    <w:rsid w:val="00D16BA7"/>
    <w:rsid w:val="00D171AC"/>
    <w:rsid w:val="00D17F06"/>
    <w:rsid w:val="00D200A3"/>
    <w:rsid w:val="00D20142"/>
    <w:rsid w:val="00D20162"/>
    <w:rsid w:val="00D20C59"/>
    <w:rsid w:val="00D20E43"/>
    <w:rsid w:val="00D2134C"/>
    <w:rsid w:val="00D2150E"/>
    <w:rsid w:val="00D215EF"/>
    <w:rsid w:val="00D215F6"/>
    <w:rsid w:val="00D21C0A"/>
    <w:rsid w:val="00D21E38"/>
    <w:rsid w:val="00D22308"/>
    <w:rsid w:val="00D22608"/>
    <w:rsid w:val="00D22635"/>
    <w:rsid w:val="00D22839"/>
    <w:rsid w:val="00D235CE"/>
    <w:rsid w:val="00D23E88"/>
    <w:rsid w:val="00D24150"/>
    <w:rsid w:val="00D241CC"/>
    <w:rsid w:val="00D24857"/>
    <w:rsid w:val="00D24D15"/>
    <w:rsid w:val="00D24E48"/>
    <w:rsid w:val="00D24ECB"/>
    <w:rsid w:val="00D2533F"/>
    <w:rsid w:val="00D254E7"/>
    <w:rsid w:val="00D255D2"/>
    <w:rsid w:val="00D25C40"/>
    <w:rsid w:val="00D25E6C"/>
    <w:rsid w:val="00D260A8"/>
    <w:rsid w:val="00D2619D"/>
    <w:rsid w:val="00D264D3"/>
    <w:rsid w:val="00D268B9"/>
    <w:rsid w:val="00D26E5A"/>
    <w:rsid w:val="00D271A2"/>
    <w:rsid w:val="00D272D7"/>
    <w:rsid w:val="00D27A76"/>
    <w:rsid w:val="00D27CE4"/>
    <w:rsid w:val="00D303B3"/>
    <w:rsid w:val="00D30461"/>
    <w:rsid w:val="00D30515"/>
    <w:rsid w:val="00D306A2"/>
    <w:rsid w:val="00D30709"/>
    <w:rsid w:val="00D30A5E"/>
    <w:rsid w:val="00D30B69"/>
    <w:rsid w:val="00D30D2B"/>
    <w:rsid w:val="00D3255E"/>
    <w:rsid w:val="00D325D6"/>
    <w:rsid w:val="00D325E1"/>
    <w:rsid w:val="00D32A12"/>
    <w:rsid w:val="00D33024"/>
    <w:rsid w:val="00D3306D"/>
    <w:rsid w:val="00D33BDA"/>
    <w:rsid w:val="00D33BDC"/>
    <w:rsid w:val="00D34357"/>
    <w:rsid w:val="00D345DF"/>
    <w:rsid w:val="00D347E6"/>
    <w:rsid w:val="00D34BCC"/>
    <w:rsid w:val="00D34BD4"/>
    <w:rsid w:val="00D35301"/>
    <w:rsid w:val="00D353FC"/>
    <w:rsid w:val="00D355B0"/>
    <w:rsid w:val="00D3564D"/>
    <w:rsid w:val="00D35750"/>
    <w:rsid w:val="00D35931"/>
    <w:rsid w:val="00D3609D"/>
    <w:rsid w:val="00D3658A"/>
    <w:rsid w:val="00D36637"/>
    <w:rsid w:val="00D3678B"/>
    <w:rsid w:val="00D36A90"/>
    <w:rsid w:val="00D36BE1"/>
    <w:rsid w:val="00D36C64"/>
    <w:rsid w:val="00D37D6C"/>
    <w:rsid w:val="00D37EC9"/>
    <w:rsid w:val="00D400AB"/>
    <w:rsid w:val="00D402D2"/>
    <w:rsid w:val="00D406E0"/>
    <w:rsid w:val="00D407C0"/>
    <w:rsid w:val="00D4087C"/>
    <w:rsid w:val="00D4088D"/>
    <w:rsid w:val="00D40D62"/>
    <w:rsid w:val="00D41567"/>
    <w:rsid w:val="00D419C8"/>
    <w:rsid w:val="00D41A70"/>
    <w:rsid w:val="00D41D7D"/>
    <w:rsid w:val="00D41FA1"/>
    <w:rsid w:val="00D427BD"/>
    <w:rsid w:val="00D42E17"/>
    <w:rsid w:val="00D42FD5"/>
    <w:rsid w:val="00D433E1"/>
    <w:rsid w:val="00D435AC"/>
    <w:rsid w:val="00D4370A"/>
    <w:rsid w:val="00D43C09"/>
    <w:rsid w:val="00D4403A"/>
    <w:rsid w:val="00D443D9"/>
    <w:rsid w:val="00D449E0"/>
    <w:rsid w:val="00D44A7E"/>
    <w:rsid w:val="00D44AF6"/>
    <w:rsid w:val="00D44D9B"/>
    <w:rsid w:val="00D44E25"/>
    <w:rsid w:val="00D45031"/>
    <w:rsid w:val="00D453B5"/>
    <w:rsid w:val="00D454EA"/>
    <w:rsid w:val="00D45919"/>
    <w:rsid w:val="00D4596A"/>
    <w:rsid w:val="00D45B51"/>
    <w:rsid w:val="00D4614E"/>
    <w:rsid w:val="00D4617C"/>
    <w:rsid w:val="00D461C0"/>
    <w:rsid w:val="00D465E2"/>
    <w:rsid w:val="00D467B8"/>
    <w:rsid w:val="00D46C11"/>
    <w:rsid w:val="00D46CE3"/>
    <w:rsid w:val="00D471D5"/>
    <w:rsid w:val="00D471E6"/>
    <w:rsid w:val="00D4731F"/>
    <w:rsid w:val="00D47386"/>
    <w:rsid w:val="00D4755E"/>
    <w:rsid w:val="00D478E3"/>
    <w:rsid w:val="00D500CE"/>
    <w:rsid w:val="00D502AA"/>
    <w:rsid w:val="00D50E92"/>
    <w:rsid w:val="00D50F81"/>
    <w:rsid w:val="00D510B9"/>
    <w:rsid w:val="00D5130C"/>
    <w:rsid w:val="00D513D9"/>
    <w:rsid w:val="00D51775"/>
    <w:rsid w:val="00D5193A"/>
    <w:rsid w:val="00D51B39"/>
    <w:rsid w:val="00D51CB7"/>
    <w:rsid w:val="00D51F34"/>
    <w:rsid w:val="00D525A0"/>
    <w:rsid w:val="00D528A7"/>
    <w:rsid w:val="00D528E3"/>
    <w:rsid w:val="00D52DDA"/>
    <w:rsid w:val="00D52EA2"/>
    <w:rsid w:val="00D52F10"/>
    <w:rsid w:val="00D5383F"/>
    <w:rsid w:val="00D53DA1"/>
    <w:rsid w:val="00D5403A"/>
    <w:rsid w:val="00D5433A"/>
    <w:rsid w:val="00D5438D"/>
    <w:rsid w:val="00D54474"/>
    <w:rsid w:val="00D545BA"/>
    <w:rsid w:val="00D548C3"/>
    <w:rsid w:val="00D549C8"/>
    <w:rsid w:val="00D55047"/>
    <w:rsid w:val="00D55108"/>
    <w:rsid w:val="00D55B42"/>
    <w:rsid w:val="00D5601F"/>
    <w:rsid w:val="00D560FA"/>
    <w:rsid w:val="00D56167"/>
    <w:rsid w:val="00D562CD"/>
    <w:rsid w:val="00D56361"/>
    <w:rsid w:val="00D56653"/>
    <w:rsid w:val="00D566EE"/>
    <w:rsid w:val="00D5674D"/>
    <w:rsid w:val="00D5682E"/>
    <w:rsid w:val="00D56B7C"/>
    <w:rsid w:val="00D57664"/>
    <w:rsid w:val="00D57B50"/>
    <w:rsid w:val="00D57E93"/>
    <w:rsid w:val="00D60054"/>
    <w:rsid w:val="00D600F8"/>
    <w:rsid w:val="00D6064F"/>
    <w:rsid w:val="00D60714"/>
    <w:rsid w:val="00D6073E"/>
    <w:rsid w:val="00D60A12"/>
    <w:rsid w:val="00D60BD4"/>
    <w:rsid w:val="00D60F58"/>
    <w:rsid w:val="00D611DD"/>
    <w:rsid w:val="00D6217D"/>
    <w:rsid w:val="00D625E4"/>
    <w:rsid w:val="00D62B27"/>
    <w:rsid w:val="00D62BC7"/>
    <w:rsid w:val="00D62CD9"/>
    <w:rsid w:val="00D631C0"/>
    <w:rsid w:val="00D6362E"/>
    <w:rsid w:val="00D63AD6"/>
    <w:rsid w:val="00D63B69"/>
    <w:rsid w:val="00D63D8C"/>
    <w:rsid w:val="00D6490B"/>
    <w:rsid w:val="00D6496F"/>
    <w:rsid w:val="00D64AF6"/>
    <w:rsid w:val="00D64DAE"/>
    <w:rsid w:val="00D651C1"/>
    <w:rsid w:val="00D65641"/>
    <w:rsid w:val="00D659C0"/>
    <w:rsid w:val="00D65AA0"/>
    <w:rsid w:val="00D65C4B"/>
    <w:rsid w:val="00D6633B"/>
    <w:rsid w:val="00D665B0"/>
    <w:rsid w:val="00D66D48"/>
    <w:rsid w:val="00D67034"/>
    <w:rsid w:val="00D672EF"/>
    <w:rsid w:val="00D67585"/>
    <w:rsid w:val="00D677B0"/>
    <w:rsid w:val="00D700A7"/>
    <w:rsid w:val="00D70147"/>
    <w:rsid w:val="00D7027E"/>
    <w:rsid w:val="00D7103A"/>
    <w:rsid w:val="00D711BF"/>
    <w:rsid w:val="00D71348"/>
    <w:rsid w:val="00D7144A"/>
    <w:rsid w:val="00D715CD"/>
    <w:rsid w:val="00D7194D"/>
    <w:rsid w:val="00D71979"/>
    <w:rsid w:val="00D71C0C"/>
    <w:rsid w:val="00D71E63"/>
    <w:rsid w:val="00D71EED"/>
    <w:rsid w:val="00D72165"/>
    <w:rsid w:val="00D7247C"/>
    <w:rsid w:val="00D725B4"/>
    <w:rsid w:val="00D727BB"/>
    <w:rsid w:val="00D7289F"/>
    <w:rsid w:val="00D72B5C"/>
    <w:rsid w:val="00D72C48"/>
    <w:rsid w:val="00D72D32"/>
    <w:rsid w:val="00D7307F"/>
    <w:rsid w:val="00D73175"/>
    <w:rsid w:val="00D7321A"/>
    <w:rsid w:val="00D73504"/>
    <w:rsid w:val="00D73BCA"/>
    <w:rsid w:val="00D73CA9"/>
    <w:rsid w:val="00D744A8"/>
    <w:rsid w:val="00D74CB4"/>
    <w:rsid w:val="00D74F65"/>
    <w:rsid w:val="00D751DF"/>
    <w:rsid w:val="00D753DA"/>
    <w:rsid w:val="00D75CE6"/>
    <w:rsid w:val="00D76034"/>
    <w:rsid w:val="00D76354"/>
    <w:rsid w:val="00D763AF"/>
    <w:rsid w:val="00D77162"/>
    <w:rsid w:val="00D77219"/>
    <w:rsid w:val="00D778D0"/>
    <w:rsid w:val="00D77A1C"/>
    <w:rsid w:val="00D77C19"/>
    <w:rsid w:val="00D77CCE"/>
    <w:rsid w:val="00D77DCE"/>
    <w:rsid w:val="00D80760"/>
    <w:rsid w:val="00D80AE6"/>
    <w:rsid w:val="00D80E7F"/>
    <w:rsid w:val="00D8115C"/>
    <w:rsid w:val="00D811F9"/>
    <w:rsid w:val="00D8131D"/>
    <w:rsid w:val="00D81B68"/>
    <w:rsid w:val="00D81E08"/>
    <w:rsid w:val="00D81E1C"/>
    <w:rsid w:val="00D81F9E"/>
    <w:rsid w:val="00D820C8"/>
    <w:rsid w:val="00D823E6"/>
    <w:rsid w:val="00D827A3"/>
    <w:rsid w:val="00D82CB1"/>
    <w:rsid w:val="00D82D08"/>
    <w:rsid w:val="00D8305D"/>
    <w:rsid w:val="00D83209"/>
    <w:rsid w:val="00D832C1"/>
    <w:rsid w:val="00D8344A"/>
    <w:rsid w:val="00D8361C"/>
    <w:rsid w:val="00D837A5"/>
    <w:rsid w:val="00D8462A"/>
    <w:rsid w:val="00D84A46"/>
    <w:rsid w:val="00D84A70"/>
    <w:rsid w:val="00D8530E"/>
    <w:rsid w:val="00D85743"/>
    <w:rsid w:val="00D859D3"/>
    <w:rsid w:val="00D85C7E"/>
    <w:rsid w:val="00D85FA6"/>
    <w:rsid w:val="00D8622A"/>
    <w:rsid w:val="00D8626B"/>
    <w:rsid w:val="00D86576"/>
    <w:rsid w:val="00D86669"/>
    <w:rsid w:val="00D867E4"/>
    <w:rsid w:val="00D8683F"/>
    <w:rsid w:val="00D868EB"/>
    <w:rsid w:val="00D86C23"/>
    <w:rsid w:val="00D879A4"/>
    <w:rsid w:val="00D87AF0"/>
    <w:rsid w:val="00D87F30"/>
    <w:rsid w:val="00D903AA"/>
    <w:rsid w:val="00D906B1"/>
    <w:rsid w:val="00D91CF2"/>
    <w:rsid w:val="00D91CFC"/>
    <w:rsid w:val="00D91DDC"/>
    <w:rsid w:val="00D91F36"/>
    <w:rsid w:val="00D91FF0"/>
    <w:rsid w:val="00D9214C"/>
    <w:rsid w:val="00D9216D"/>
    <w:rsid w:val="00D921B8"/>
    <w:rsid w:val="00D9247F"/>
    <w:rsid w:val="00D92D8C"/>
    <w:rsid w:val="00D92E0D"/>
    <w:rsid w:val="00D93059"/>
    <w:rsid w:val="00D93DFF"/>
    <w:rsid w:val="00D940E0"/>
    <w:rsid w:val="00D94141"/>
    <w:rsid w:val="00D94569"/>
    <w:rsid w:val="00D949D6"/>
    <w:rsid w:val="00D94A99"/>
    <w:rsid w:val="00D94C0F"/>
    <w:rsid w:val="00D94D5A"/>
    <w:rsid w:val="00D95104"/>
    <w:rsid w:val="00D9581B"/>
    <w:rsid w:val="00D9586F"/>
    <w:rsid w:val="00D95CED"/>
    <w:rsid w:val="00D96020"/>
    <w:rsid w:val="00D965D7"/>
    <w:rsid w:val="00D96BF8"/>
    <w:rsid w:val="00D96C3E"/>
    <w:rsid w:val="00D96F5F"/>
    <w:rsid w:val="00D97362"/>
    <w:rsid w:val="00D973A2"/>
    <w:rsid w:val="00D97510"/>
    <w:rsid w:val="00D97A00"/>
    <w:rsid w:val="00D97A25"/>
    <w:rsid w:val="00D97B95"/>
    <w:rsid w:val="00DA001E"/>
    <w:rsid w:val="00DA04F8"/>
    <w:rsid w:val="00DA05D2"/>
    <w:rsid w:val="00DA0D2D"/>
    <w:rsid w:val="00DA169D"/>
    <w:rsid w:val="00DA1B88"/>
    <w:rsid w:val="00DA1C55"/>
    <w:rsid w:val="00DA1E9C"/>
    <w:rsid w:val="00DA1F03"/>
    <w:rsid w:val="00DA2278"/>
    <w:rsid w:val="00DA295A"/>
    <w:rsid w:val="00DA2DE6"/>
    <w:rsid w:val="00DA3123"/>
    <w:rsid w:val="00DA3678"/>
    <w:rsid w:val="00DA36C3"/>
    <w:rsid w:val="00DA3BA3"/>
    <w:rsid w:val="00DA3D32"/>
    <w:rsid w:val="00DA490B"/>
    <w:rsid w:val="00DA49DF"/>
    <w:rsid w:val="00DA4B95"/>
    <w:rsid w:val="00DA4C9F"/>
    <w:rsid w:val="00DA4F58"/>
    <w:rsid w:val="00DA5A18"/>
    <w:rsid w:val="00DA5AB4"/>
    <w:rsid w:val="00DA5CFB"/>
    <w:rsid w:val="00DA5FC1"/>
    <w:rsid w:val="00DA6184"/>
    <w:rsid w:val="00DA67D1"/>
    <w:rsid w:val="00DA6967"/>
    <w:rsid w:val="00DA6CE4"/>
    <w:rsid w:val="00DA6D7E"/>
    <w:rsid w:val="00DA71A0"/>
    <w:rsid w:val="00DA73E9"/>
    <w:rsid w:val="00DA774D"/>
    <w:rsid w:val="00DA79A0"/>
    <w:rsid w:val="00DA7BD6"/>
    <w:rsid w:val="00DB0045"/>
    <w:rsid w:val="00DB0246"/>
    <w:rsid w:val="00DB031C"/>
    <w:rsid w:val="00DB0348"/>
    <w:rsid w:val="00DB0456"/>
    <w:rsid w:val="00DB0606"/>
    <w:rsid w:val="00DB0713"/>
    <w:rsid w:val="00DB08D4"/>
    <w:rsid w:val="00DB0B50"/>
    <w:rsid w:val="00DB0BB5"/>
    <w:rsid w:val="00DB101F"/>
    <w:rsid w:val="00DB1237"/>
    <w:rsid w:val="00DB1498"/>
    <w:rsid w:val="00DB14E3"/>
    <w:rsid w:val="00DB1A3D"/>
    <w:rsid w:val="00DB1BC6"/>
    <w:rsid w:val="00DB1C97"/>
    <w:rsid w:val="00DB1CED"/>
    <w:rsid w:val="00DB25E2"/>
    <w:rsid w:val="00DB262D"/>
    <w:rsid w:val="00DB2A57"/>
    <w:rsid w:val="00DB32D6"/>
    <w:rsid w:val="00DB33EA"/>
    <w:rsid w:val="00DB399F"/>
    <w:rsid w:val="00DB3FE5"/>
    <w:rsid w:val="00DB4515"/>
    <w:rsid w:val="00DB464A"/>
    <w:rsid w:val="00DB4C2C"/>
    <w:rsid w:val="00DB550F"/>
    <w:rsid w:val="00DB5534"/>
    <w:rsid w:val="00DB57EA"/>
    <w:rsid w:val="00DB588E"/>
    <w:rsid w:val="00DB5B23"/>
    <w:rsid w:val="00DB5DD5"/>
    <w:rsid w:val="00DB5FE0"/>
    <w:rsid w:val="00DB614E"/>
    <w:rsid w:val="00DB6270"/>
    <w:rsid w:val="00DB62BF"/>
    <w:rsid w:val="00DB643B"/>
    <w:rsid w:val="00DB6464"/>
    <w:rsid w:val="00DB66BA"/>
    <w:rsid w:val="00DB686E"/>
    <w:rsid w:val="00DB6FC6"/>
    <w:rsid w:val="00DB707D"/>
    <w:rsid w:val="00DB7592"/>
    <w:rsid w:val="00DB7687"/>
    <w:rsid w:val="00DB793A"/>
    <w:rsid w:val="00DB7B45"/>
    <w:rsid w:val="00DB7BC1"/>
    <w:rsid w:val="00DB7F1E"/>
    <w:rsid w:val="00DC0D4F"/>
    <w:rsid w:val="00DC16BA"/>
    <w:rsid w:val="00DC1C0A"/>
    <w:rsid w:val="00DC237D"/>
    <w:rsid w:val="00DC281D"/>
    <w:rsid w:val="00DC2A41"/>
    <w:rsid w:val="00DC2A74"/>
    <w:rsid w:val="00DC2F13"/>
    <w:rsid w:val="00DC311B"/>
    <w:rsid w:val="00DC3670"/>
    <w:rsid w:val="00DC3682"/>
    <w:rsid w:val="00DC38C6"/>
    <w:rsid w:val="00DC3D54"/>
    <w:rsid w:val="00DC4BBD"/>
    <w:rsid w:val="00DC4D9A"/>
    <w:rsid w:val="00DC4E92"/>
    <w:rsid w:val="00DC4EB0"/>
    <w:rsid w:val="00DC4F2C"/>
    <w:rsid w:val="00DC4F5A"/>
    <w:rsid w:val="00DC5071"/>
    <w:rsid w:val="00DC50AC"/>
    <w:rsid w:val="00DC5288"/>
    <w:rsid w:val="00DC5B53"/>
    <w:rsid w:val="00DC5BDE"/>
    <w:rsid w:val="00DC5C0F"/>
    <w:rsid w:val="00DC5C1A"/>
    <w:rsid w:val="00DC5CB6"/>
    <w:rsid w:val="00DC67AA"/>
    <w:rsid w:val="00DC697F"/>
    <w:rsid w:val="00DC6B02"/>
    <w:rsid w:val="00DC70F5"/>
    <w:rsid w:val="00DC74E6"/>
    <w:rsid w:val="00DC75DD"/>
    <w:rsid w:val="00DC79C5"/>
    <w:rsid w:val="00DC7BD8"/>
    <w:rsid w:val="00DC7CA6"/>
    <w:rsid w:val="00DC7E0A"/>
    <w:rsid w:val="00DC7E13"/>
    <w:rsid w:val="00DC7E3B"/>
    <w:rsid w:val="00DC7E9A"/>
    <w:rsid w:val="00DD02E1"/>
    <w:rsid w:val="00DD05AD"/>
    <w:rsid w:val="00DD08DC"/>
    <w:rsid w:val="00DD0D88"/>
    <w:rsid w:val="00DD0DC2"/>
    <w:rsid w:val="00DD121D"/>
    <w:rsid w:val="00DD17B9"/>
    <w:rsid w:val="00DD1BEF"/>
    <w:rsid w:val="00DD1CA6"/>
    <w:rsid w:val="00DD26FE"/>
    <w:rsid w:val="00DD27F9"/>
    <w:rsid w:val="00DD2800"/>
    <w:rsid w:val="00DD287B"/>
    <w:rsid w:val="00DD3382"/>
    <w:rsid w:val="00DD3B65"/>
    <w:rsid w:val="00DD4A35"/>
    <w:rsid w:val="00DD4A99"/>
    <w:rsid w:val="00DD4E6A"/>
    <w:rsid w:val="00DD504A"/>
    <w:rsid w:val="00DD55AF"/>
    <w:rsid w:val="00DD587F"/>
    <w:rsid w:val="00DD5C52"/>
    <w:rsid w:val="00DD69DA"/>
    <w:rsid w:val="00DD70C0"/>
    <w:rsid w:val="00DD7167"/>
    <w:rsid w:val="00DD7404"/>
    <w:rsid w:val="00DD79C8"/>
    <w:rsid w:val="00DD7BE2"/>
    <w:rsid w:val="00DE03FC"/>
    <w:rsid w:val="00DE0FBA"/>
    <w:rsid w:val="00DE1353"/>
    <w:rsid w:val="00DE150E"/>
    <w:rsid w:val="00DE15AA"/>
    <w:rsid w:val="00DE189F"/>
    <w:rsid w:val="00DE1AC7"/>
    <w:rsid w:val="00DE1B2B"/>
    <w:rsid w:val="00DE1FA6"/>
    <w:rsid w:val="00DE2101"/>
    <w:rsid w:val="00DE231B"/>
    <w:rsid w:val="00DE25B1"/>
    <w:rsid w:val="00DE2A55"/>
    <w:rsid w:val="00DE2BE8"/>
    <w:rsid w:val="00DE306F"/>
    <w:rsid w:val="00DE3190"/>
    <w:rsid w:val="00DE31D8"/>
    <w:rsid w:val="00DE33B3"/>
    <w:rsid w:val="00DE35D9"/>
    <w:rsid w:val="00DE3C7F"/>
    <w:rsid w:val="00DE3DF9"/>
    <w:rsid w:val="00DE3E8E"/>
    <w:rsid w:val="00DE3F2D"/>
    <w:rsid w:val="00DE4138"/>
    <w:rsid w:val="00DE42C0"/>
    <w:rsid w:val="00DE4517"/>
    <w:rsid w:val="00DE45AD"/>
    <w:rsid w:val="00DE464A"/>
    <w:rsid w:val="00DE4CCF"/>
    <w:rsid w:val="00DE4E3E"/>
    <w:rsid w:val="00DE4FDB"/>
    <w:rsid w:val="00DE5208"/>
    <w:rsid w:val="00DE525C"/>
    <w:rsid w:val="00DE5AAD"/>
    <w:rsid w:val="00DE636B"/>
    <w:rsid w:val="00DE63EC"/>
    <w:rsid w:val="00DE6693"/>
    <w:rsid w:val="00DE6A4C"/>
    <w:rsid w:val="00DE6C30"/>
    <w:rsid w:val="00DE7A23"/>
    <w:rsid w:val="00DE7B82"/>
    <w:rsid w:val="00DF0B08"/>
    <w:rsid w:val="00DF0C38"/>
    <w:rsid w:val="00DF100A"/>
    <w:rsid w:val="00DF1382"/>
    <w:rsid w:val="00DF1476"/>
    <w:rsid w:val="00DF15DB"/>
    <w:rsid w:val="00DF1673"/>
    <w:rsid w:val="00DF1893"/>
    <w:rsid w:val="00DF18DA"/>
    <w:rsid w:val="00DF1BEE"/>
    <w:rsid w:val="00DF1C2F"/>
    <w:rsid w:val="00DF1E17"/>
    <w:rsid w:val="00DF2095"/>
    <w:rsid w:val="00DF2860"/>
    <w:rsid w:val="00DF2A6B"/>
    <w:rsid w:val="00DF2BB5"/>
    <w:rsid w:val="00DF2DA8"/>
    <w:rsid w:val="00DF2DAC"/>
    <w:rsid w:val="00DF2E1E"/>
    <w:rsid w:val="00DF3003"/>
    <w:rsid w:val="00DF309A"/>
    <w:rsid w:val="00DF3142"/>
    <w:rsid w:val="00DF3902"/>
    <w:rsid w:val="00DF3F55"/>
    <w:rsid w:val="00DF4771"/>
    <w:rsid w:val="00DF480E"/>
    <w:rsid w:val="00DF4BA4"/>
    <w:rsid w:val="00DF4F58"/>
    <w:rsid w:val="00DF5053"/>
    <w:rsid w:val="00DF51BD"/>
    <w:rsid w:val="00DF541C"/>
    <w:rsid w:val="00DF547C"/>
    <w:rsid w:val="00DF5D11"/>
    <w:rsid w:val="00DF608A"/>
    <w:rsid w:val="00DF61F5"/>
    <w:rsid w:val="00DF6583"/>
    <w:rsid w:val="00DF6875"/>
    <w:rsid w:val="00DF69AB"/>
    <w:rsid w:val="00DF6F77"/>
    <w:rsid w:val="00DF71A4"/>
    <w:rsid w:val="00DF789E"/>
    <w:rsid w:val="00DF7A08"/>
    <w:rsid w:val="00E00D1E"/>
    <w:rsid w:val="00E00D65"/>
    <w:rsid w:val="00E00F59"/>
    <w:rsid w:val="00E0151D"/>
    <w:rsid w:val="00E0193B"/>
    <w:rsid w:val="00E02299"/>
    <w:rsid w:val="00E028AA"/>
    <w:rsid w:val="00E02A0D"/>
    <w:rsid w:val="00E02DF6"/>
    <w:rsid w:val="00E02E4D"/>
    <w:rsid w:val="00E0389E"/>
    <w:rsid w:val="00E03AAB"/>
    <w:rsid w:val="00E03B92"/>
    <w:rsid w:val="00E03ED3"/>
    <w:rsid w:val="00E03F61"/>
    <w:rsid w:val="00E04241"/>
    <w:rsid w:val="00E0441F"/>
    <w:rsid w:val="00E049A2"/>
    <w:rsid w:val="00E04A82"/>
    <w:rsid w:val="00E0559A"/>
    <w:rsid w:val="00E0572C"/>
    <w:rsid w:val="00E05A8E"/>
    <w:rsid w:val="00E068DD"/>
    <w:rsid w:val="00E06FE0"/>
    <w:rsid w:val="00E07F03"/>
    <w:rsid w:val="00E100D2"/>
    <w:rsid w:val="00E10288"/>
    <w:rsid w:val="00E103FB"/>
    <w:rsid w:val="00E10539"/>
    <w:rsid w:val="00E107AB"/>
    <w:rsid w:val="00E10854"/>
    <w:rsid w:val="00E1097F"/>
    <w:rsid w:val="00E10BE1"/>
    <w:rsid w:val="00E10C6C"/>
    <w:rsid w:val="00E10E6A"/>
    <w:rsid w:val="00E10EAC"/>
    <w:rsid w:val="00E10FAE"/>
    <w:rsid w:val="00E10FDE"/>
    <w:rsid w:val="00E1103D"/>
    <w:rsid w:val="00E114D3"/>
    <w:rsid w:val="00E1197D"/>
    <w:rsid w:val="00E11CE7"/>
    <w:rsid w:val="00E1205D"/>
    <w:rsid w:val="00E12095"/>
    <w:rsid w:val="00E1215D"/>
    <w:rsid w:val="00E12401"/>
    <w:rsid w:val="00E1296C"/>
    <w:rsid w:val="00E12E7B"/>
    <w:rsid w:val="00E13221"/>
    <w:rsid w:val="00E13327"/>
    <w:rsid w:val="00E1363C"/>
    <w:rsid w:val="00E13765"/>
    <w:rsid w:val="00E1399F"/>
    <w:rsid w:val="00E13F1E"/>
    <w:rsid w:val="00E1455F"/>
    <w:rsid w:val="00E14578"/>
    <w:rsid w:val="00E14833"/>
    <w:rsid w:val="00E1486D"/>
    <w:rsid w:val="00E14E0F"/>
    <w:rsid w:val="00E152D5"/>
    <w:rsid w:val="00E15772"/>
    <w:rsid w:val="00E159DD"/>
    <w:rsid w:val="00E15D1C"/>
    <w:rsid w:val="00E15E31"/>
    <w:rsid w:val="00E15E6F"/>
    <w:rsid w:val="00E15F53"/>
    <w:rsid w:val="00E1612D"/>
    <w:rsid w:val="00E16647"/>
    <w:rsid w:val="00E16989"/>
    <w:rsid w:val="00E16AF5"/>
    <w:rsid w:val="00E16F2C"/>
    <w:rsid w:val="00E16FE9"/>
    <w:rsid w:val="00E16FEB"/>
    <w:rsid w:val="00E172FA"/>
    <w:rsid w:val="00E17526"/>
    <w:rsid w:val="00E1780C"/>
    <w:rsid w:val="00E1782D"/>
    <w:rsid w:val="00E178B8"/>
    <w:rsid w:val="00E17CFA"/>
    <w:rsid w:val="00E17EE7"/>
    <w:rsid w:val="00E2007B"/>
    <w:rsid w:val="00E202EC"/>
    <w:rsid w:val="00E20444"/>
    <w:rsid w:val="00E207A5"/>
    <w:rsid w:val="00E20966"/>
    <w:rsid w:val="00E20B58"/>
    <w:rsid w:val="00E20C83"/>
    <w:rsid w:val="00E20CD1"/>
    <w:rsid w:val="00E210C8"/>
    <w:rsid w:val="00E210F6"/>
    <w:rsid w:val="00E21228"/>
    <w:rsid w:val="00E2129D"/>
    <w:rsid w:val="00E212E2"/>
    <w:rsid w:val="00E21447"/>
    <w:rsid w:val="00E2146E"/>
    <w:rsid w:val="00E216DF"/>
    <w:rsid w:val="00E21707"/>
    <w:rsid w:val="00E2184C"/>
    <w:rsid w:val="00E21D38"/>
    <w:rsid w:val="00E21D85"/>
    <w:rsid w:val="00E224DE"/>
    <w:rsid w:val="00E22A40"/>
    <w:rsid w:val="00E22A59"/>
    <w:rsid w:val="00E22B40"/>
    <w:rsid w:val="00E22C9C"/>
    <w:rsid w:val="00E22CBD"/>
    <w:rsid w:val="00E234D6"/>
    <w:rsid w:val="00E235C2"/>
    <w:rsid w:val="00E2388B"/>
    <w:rsid w:val="00E239DE"/>
    <w:rsid w:val="00E23C19"/>
    <w:rsid w:val="00E23E16"/>
    <w:rsid w:val="00E24040"/>
    <w:rsid w:val="00E24431"/>
    <w:rsid w:val="00E2486D"/>
    <w:rsid w:val="00E24908"/>
    <w:rsid w:val="00E2496A"/>
    <w:rsid w:val="00E24A81"/>
    <w:rsid w:val="00E24F27"/>
    <w:rsid w:val="00E25081"/>
    <w:rsid w:val="00E250C3"/>
    <w:rsid w:val="00E25916"/>
    <w:rsid w:val="00E259F5"/>
    <w:rsid w:val="00E25A91"/>
    <w:rsid w:val="00E25C25"/>
    <w:rsid w:val="00E260E1"/>
    <w:rsid w:val="00E260ED"/>
    <w:rsid w:val="00E263AC"/>
    <w:rsid w:val="00E26423"/>
    <w:rsid w:val="00E2666D"/>
    <w:rsid w:val="00E2668C"/>
    <w:rsid w:val="00E268CF"/>
    <w:rsid w:val="00E269DD"/>
    <w:rsid w:val="00E26C2A"/>
    <w:rsid w:val="00E27422"/>
    <w:rsid w:val="00E27BB4"/>
    <w:rsid w:val="00E27D7F"/>
    <w:rsid w:val="00E30625"/>
    <w:rsid w:val="00E30B70"/>
    <w:rsid w:val="00E315E3"/>
    <w:rsid w:val="00E3187D"/>
    <w:rsid w:val="00E32211"/>
    <w:rsid w:val="00E324D2"/>
    <w:rsid w:val="00E325BB"/>
    <w:rsid w:val="00E32E15"/>
    <w:rsid w:val="00E330F6"/>
    <w:rsid w:val="00E332EA"/>
    <w:rsid w:val="00E33A19"/>
    <w:rsid w:val="00E33D4B"/>
    <w:rsid w:val="00E340E2"/>
    <w:rsid w:val="00E35300"/>
    <w:rsid w:val="00E35642"/>
    <w:rsid w:val="00E35B43"/>
    <w:rsid w:val="00E35BCA"/>
    <w:rsid w:val="00E35F50"/>
    <w:rsid w:val="00E36458"/>
    <w:rsid w:val="00E36839"/>
    <w:rsid w:val="00E36A43"/>
    <w:rsid w:val="00E36A68"/>
    <w:rsid w:val="00E36D1D"/>
    <w:rsid w:val="00E370D8"/>
    <w:rsid w:val="00E373F7"/>
    <w:rsid w:val="00E37975"/>
    <w:rsid w:val="00E37E08"/>
    <w:rsid w:val="00E401D2"/>
    <w:rsid w:val="00E4058B"/>
    <w:rsid w:val="00E40EEA"/>
    <w:rsid w:val="00E41265"/>
    <w:rsid w:val="00E418BD"/>
    <w:rsid w:val="00E42160"/>
    <w:rsid w:val="00E4244A"/>
    <w:rsid w:val="00E42588"/>
    <w:rsid w:val="00E42745"/>
    <w:rsid w:val="00E42897"/>
    <w:rsid w:val="00E4298F"/>
    <w:rsid w:val="00E42BC0"/>
    <w:rsid w:val="00E431EF"/>
    <w:rsid w:val="00E43360"/>
    <w:rsid w:val="00E436C5"/>
    <w:rsid w:val="00E436E1"/>
    <w:rsid w:val="00E441BC"/>
    <w:rsid w:val="00E443E6"/>
    <w:rsid w:val="00E44579"/>
    <w:rsid w:val="00E44716"/>
    <w:rsid w:val="00E4472C"/>
    <w:rsid w:val="00E447B5"/>
    <w:rsid w:val="00E450C3"/>
    <w:rsid w:val="00E45632"/>
    <w:rsid w:val="00E457A4"/>
    <w:rsid w:val="00E45CAB"/>
    <w:rsid w:val="00E46043"/>
    <w:rsid w:val="00E463CD"/>
    <w:rsid w:val="00E46F94"/>
    <w:rsid w:val="00E474BD"/>
    <w:rsid w:val="00E47C22"/>
    <w:rsid w:val="00E47C75"/>
    <w:rsid w:val="00E47E31"/>
    <w:rsid w:val="00E504F9"/>
    <w:rsid w:val="00E507F6"/>
    <w:rsid w:val="00E50894"/>
    <w:rsid w:val="00E5122B"/>
    <w:rsid w:val="00E5132A"/>
    <w:rsid w:val="00E51495"/>
    <w:rsid w:val="00E51702"/>
    <w:rsid w:val="00E5198D"/>
    <w:rsid w:val="00E51CF8"/>
    <w:rsid w:val="00E520B0"/>
    <w:rsid w:val="00E5220B"/>
    <w:rsid w:val="00E52CB9"/>
    <w:rsid w:val="00E54118"/>
    <w:rsid w:val="00E541E4"/>
    <w:rsid w:val="00E54822"/>
    <w:rsid w:val="00E54AC9"/>
    <w:rsid w:val="00E54D14"/>
    <w:rsid w:val="00E54DD0"/>
    <w:rsid w:val="00E54E15"/>
    <w:rsid w:val="00E54F30"/>
    <w:rsid w:val="00E55543"/>
    <w:rsid w:val="00E55AA3"/>
    <w:rsid w:val="00E56388"/>
    <w:rsid w:val="00E568B1"/>
    <w:rsid w:val="00E56931"/>
    <w:rsid w:val="00E56CCC"/>
    <w:rsid w:val="00E56F2C"/>
    <w:rsid w:val="00E56F55"/>
    <w:rsid w:val="00E57047"/>
    <w:rsid w:val="00E57318"/>
    <w:rsid w:val="00E574A8"/>
    <w:rsid w:val="00E57A30"/>
    <w:rsid w:val="00E57B99"/>
    <w:rsid w:val="00E57ED5"/>
    <w:rsid w:val="00E603B9"/>
    <w:rsid w:val="00E605AE"/>
    <w:rsid w:val="00E60876"/>
    <w:rsid w:val="00E61226"/>
    <w:rsid w:val="00E61BDD"/>
    <w:rsid w:val="00E61C27"/>
    <w:rsid w:val="00E61EDA"/>
    <w:rsid w:val="00E61F2B"/>
    <w:rsid w:val="00E628FB"/>
    <w:rsid w:val="00E62C86"/>
    <w:rsid w:val="00E62D82"/>
    <w:rsid w:val="00E631FB"/>
    <w:rsid w:val="00E632AC"/>
    <w:rsid w:val="00E63546"/>
    <w:rsid w:val="00E63983"/>
    <w:rsid w:val="00E639F1"/>
    <w:rsid w:val="00E63A22"/>
    <w:rsid w:val="00E63E56"/>
    <w:rsid w:val="00E63E95"/>
    <w:rsid w:val="00E63EEE"/>
    <w:rsid w:val="00E63F2D"/>
    <w:rsid w:val="00E6486E"/>
    <w:rsid w:val="00E648D0"/>
    <w:rsid w:val="00E64B6D"/>
    <w:rsid w:val="00E64D71"/>
    <w:rsid w:val="00E64F3C"/>
    <w:rsid w:val="00E64F59"/>
    <w:rsid w:val="00E656AA"/>
    <w:rsid w:val="00E656C9"/>
    <w:rsid w:val="00E657AB"/>
    <w:rsid w:val="00E65EAF"/>
    <w:rsid w:val="00E66082"/>
    <w:rsid w:val="00E660F2"/>
    <w:rsid w:val="00E66407"/>
    <w:rsid w:val="00E6675B"/>
    <w:rsid w:val="00E6680C"/>
    <w:rsid w:val="00E6731C"/>
    <w:rsid w:val="00E6751F"/>
    <w:rsid w:val="00E67746"/>
    <w:rsid w:val="00E6799B"/>
    <w:rsid w:val="00E679C4"/>
    <w:rsid w:val="00E67B92"/>
    <w:rsid w:val="00E67E34"/>
    <w:rsid w:val="00E67EF9"/>
    <w:rsid w:val="00E70104"/>
    <w:rsid w:val="00E70153"/>
    <w:rsid w:val="00E702F9"/>
    <w:rsid w:val="00E704C1"/>
    <w:rsid w:val="00E70570"/>
    <w:rsid w:val="00E70584"/>
    <w:rsid w:val="00E70744"/>
    <w:rsid w:val="00E70C95"/>
    <w:rsid w:val="00E70E9B"/>
    <w:rsid w:val="00E70FF3"/>
    <w:rsid w:val="00E713F0"/>
    <w:rsid w:val="00E715CA"/>
    <w:rsid w:val="00E7161F"/>
    <w:rsid w:val="00E71987"/>
    <w:rsid w:val="00E71FAD"/>
    <w:rsid w:val="00E7246D"/>
    <w:rsid w:val="00E724F5"/>
    <w:rsid w:val="00E72DC9"/>
    <w:rsid w:val="00E72EAA"/>
    <w:rsid w:val="00E73100"/>
    <w:rsid w:val="00E731BF"/>
    <w:rsid w:val="00E73334"/>
    <w:rsid w:val="00E734F2"/>
    <w:rsid w:val="00E73B64"/>
    <w:rsid w:val="00E73E6D"/>
    <w:rsid w:val="00E73FDF"/>
    <w:rsid w:val="00E740D6"/>
    <w:rsid w:val="00E742E1"/>
    <w:rsid w:val="00E745C6"/>
    <w:rsid w:val="00E747EB"/>
    <w:rsid w:val="00E74CBF"/>
    <w:rsid w:val="00E74E8C"/>
    <w:rsid w:val="00E75306"/>
    <w:rsid w:val="00E75EEF"/>
    <w:rsid w:val="00E760B1"/>
    <w:rsid w:val="00E76278"/>
    <w:rsid w:val="00E7638B"/>
    <w:rsid w:val="00E769C7"/>
    <w:rsid w:val="00E76DF0"/>
    <w:rsid w:val="00E76FEB"/>
    <w:rsid w:val="00E7798D"/>
    <w:rsid w:val="00E77DC1"/>
    <w:rsid w:val="00E807D8"/>
    <w:rsid w:val="00E80C18"/>
    <w:rsid w:val="00E80C84"/>
    <w:rsid w:val="00E81249"/>
    <w:rsid w:val="00E81275"/>
    <w:rsid w:val="00E813FC"/>
    <w:rsid w:val="00E8185F"/>
    <w:rsid w:val="00E81957"/>
    <w:rsid w:val="00E81B0F"/>
    <w:rsid w:val="00E81E48"/>
    <w:rsid w:val="00E8273A"/>
    <w:rsid w:val="00E8292A"/>
    <w:rsid w:val="00E82C12"/>
    <w:rsid w:val="00E82C78"/>
    <w:rsid w:val="00E82E5B"/>
    <w:rsid w:val="00E82F2A"/>
    <w:rsid w:val="00E82F49"/>
    <w:rsid w:val="00E832EF"/>
    <w:rsid w:val="00E83656"/>
    <w:rsid w:val="00E83CF1"/>
    <w:rsid w:val="00E844EF"/>
    <w:rsid w:val="00E84537"/>
    <w:rsid w:val="00E84630"/>
    <w:rsid w:val="00E84B22"/>
    <w:rsid w:val="00E84BB5"/>
    <w:rsid w:val="00E855C4"/>
    <w:rsid w:val="00E855FF"/>
    <w:rsid w:val="00E8589A"/>
    <w:rsid w:val="00E85EDB"/>
    <w:rsid w:val="00E8621C"/>
    <w:rsid w:val="00E8623B"/>
    <w:rsid w:val="00E8638B"/>
    <w:rsid w:val="00E863CC"/>
    <w:rsid w:val="00E8643B"/>
    <w:rsid w:val="00E8649D"/>
    <w:rsid w:val="00E8680A"/>
    <w:rsid w:val="00E86A89"/>
    <w:rsid w:val="00E86C6F"/>
    <w:rsid w:val="00E86D27"/>
    <w:rsid w:val="00E8713E"/>
    <w:rsid w:val="00E879B1"/>
    <w:rsid w:val="00E87B4C"/>
    <w:rsid w:val="00E87D1C"/>
    <w:rsid w:val="00E87E46"/>
    <w:rsid w:val="00E87FBD"/>
    <w:rsid w:val="00E9007A"/>
    <w:rsid w:val="00E90180"/>
    <w:rsid w:val="00E90608"/>
    <w:rsid w:val="00E907BC"/>
    <w:rsid w:val="00E90B28"/>
    <w:rsid w:val="00E90C7C"/>
    <w:rsid w:val="00E9109E"/>
    <w:rsid w:val="00E91404"/>
    <w:rsid w:val="00E91AD1"/>
    <w:rsid w:val="00E927C3"/>
    <w:rsid w:val="00E92944"/>
    <w:rsid w:val="00E92BA6"/>
    <w:rsid w:val="00E92D00"/>
    <w:rsid w:val="00E93071"/>
    <w:rsid w:val="00E930EB"/>
    <w:rsid w:val="00E9315E"/>
    <w:rsid w:val="00E933BA"/>
    <w:rsid w:val="00E933F8"/>
    <w:rsid w:val="00E93E3B"/>
    <w:rsid w:val="00E93EAD"/>
    <w:rsid w:val="00E9491C"/>
    <w:rsid w:val="00E94988"/>
    <w:rsid w:val="00E94B26"/>
    <w:rsid w:val="00E94BB0"/>
    <w:rsid w:val="00E94D8C"/>
    <w:rsid w:val="00E94DD3"/>
    <w:rsid w:val="00E951A7"/>
    <w:rsid w:val="00E95269"/>
    <w:rsid w:val="00E95CAD"/>
    <w:rsid w:val="00E95EE1"/>
    <w:rsid w:val="00E96025"/>
    <w:rsid w:val="00E96223"/>
    <w:rsid w:val="00E9672C"/>
    <w:rsid w:val="00E96B72"/>
    <w:rsid w:val="00E96C60"/>
    <w:rsid w:val="00E96FB3"/>
    <w:rsid w:val="00E97336"/>
    <w:rsid w:val="00E97571"/>
    <w:rsid w:val="00E97686"/>
    <w:rsid w:val="00E97793"/>
    <w:rsid w:val="00E977B0"/>
    <w:rsid w:val="00E977C9"/>
    <w:rsid w:val="00E978D2"/>
    <w:rsid w:val="00E97A98"/>
    <w:rsid w:val="00E97B8C"/>
    <w:rsid w:val="00E97D73"/>
    <w:rsid w:val="00EA00B3"/>
    <w:rsid w:val="00EA0DAD"/>
    <w:rsid w:val="00EA0DCB"/>
    <w:rsid w:val="00EA0E8C"/>
    <w:rsid w:val="00EA1EBF"/>
    <w:rsid w:val="00EA1FE3"/>
    <w:rsid w:val="00EA247C"/>
    <w:rsid w:val="00EA25F9"/>
    <w:rsid w:val="00EA3332"/>
    <w:rsid w:val="00EA354C"/>
    <w:rsid w:val="00EA36DC"/>
    <w:rsid w:val="00EA3CB6"/>
    <w:rsid w:val="00EA3D48"/>
    <w:rsid w:val="00EA40CF"/>
    <w:rsid w:val="00EA4D4F"/>
    <w:rsid w:val="00EA4F5E"/>
    <w:rsid w:val="00EA5709"/>
    <w:rsid w:val="00EA5BB4"/>
    <w:rsid w:val="00EA5E36"/>
    <w:rsid w:val="00EA6382"/>
    <w:rsid w:val="00EA63D1"/>
    <w:rsid w:val="00EA64C3"/>
    <w:rsid w:val="00EA69C4"/>
    <w:rsid w:val="00EA6B60"/>
    <w:rsid w:val="00EA70AC"/>
    <w:rsid w:val="00EA72A4"/>
    <w:rsid w:val="00EA776F"/>
    <w:rsid w:val="00EA799F"/>
    <w:rsid w:val="00EA7E0B"/>
    <w:rsid w:val="00EA7FE0"/>
    <w:rsid w:val="00EB002B"/>
    <w:rsid w:val="00EB0062"/>
    <w:rsid w:val="00EB0093"/>
    <w:rsid w:val="00EB0395"/>
    <w:rsid w:val="00EB0645"/>
    <w:rsid w:val="00EB0713"/>
    <w:rsid w:val="00EB0AB3"/>
    <w:rsid w:val="00EB0BA9"/>
    <w:rsid w:val="00EB0C0B"/>
    <w:rsid w:val="00EB0D5E"/>
    <w:rsid w:val="00EB11D1"/>
    <w:rsid w:val="00EB14D1"/>
    <w:rsid w:val="00EB1516"/>
    <w:rsid w:val="00EB15C7"/>
    <w:rsid w:val="00EB17DB"/>
    <w:rsid w:val="00EB1801"/>
    <w:rsid w:val="00EB1C3B"/>
    <w:rsid w:val="00EB1C9F"/>
    <w:rsid w:val="00EB1D43"/>
    <w:rsid w:val="00EB2247"/>
    <w:rsid w:val="00EB22BD"/>
    <w:rsid w:val="00EB2CF4"/>
    <w:rsid w:val="00EB2EA7"/>
    <w:rsid w:val="00EB306E"/>
    <w:rsid w:val="00EB3112"/>
    <w:rsid w:val="00EB3342"/>
    <w:rsid w:val="00EB34FD"/>
    <w:rsid w:val="00EB3888"/>
    <w:rsid w:val="00EB3978"/>
    <w:rsid w:val="00EB3A94"/>
    <w:rsid w:val="00EB3DFB"/>
    <w:rsid w:val="00EB3FE7"/>
    <w:rsid w:val="00EB43D5"/>
    <w:rsid w:val="00EB44BD"/>
    <w:rsid w:val="00EB4541"/>
    <w:rsid w:val="00EB4846"/>
    <w:rsid w:val="00EB49D9"/>
    <w:rsid w:val="00EB5162"/>
    <w:rsid w:val="00EB65E8"/>
    <w:rsid w:val="00EB6D26"/>
    <w:rsid w:val="00EB6DAA"/>
    <w:rsid w:val="00EB72D6"/>
    <w:rsid w:val="00EB7D52"/>
    <w:rsid w:val="00EB7DCA"/>
    <w:rsid w:val="00EC006C"/>
    <w:rsid w:val="00EC0122"/>
    <w:rsid w:val="00EC01C6"/>
    <w:rsid w:val="00EC0827"/>
    <w:rsid w:val="00EC0962"/>
    <w:rsid w:val="00EC0B2E"/>
    <w:rsid w:val="00EC0EED"/>
    <w:rsid w:val="00EC0FAD"/>
    <w:rsid w:val="00EC11E7"/>
    <w:rsid w:val="00EC1223"/>
    <w:rsid w:val="00EC1265"/>
    <w:rsid w:val="00EC134D"/>
    <w:rsid w:val="00EC1427"/>
    <w:rsid w:val="00EC15A6"/>
    <w:rsid w:val="00EC165E"/>
    <w:rsid w:val="00EC1AFD"/>
    <w:rsid w:val="00EC210E"/>
    <w:rsid w:val="00EC21E6"/>
    <w:rsid w:val="00EC279B"/>
    <w:rsid w:val="00EC2ABF"/>
    <w:rsid w:val="00EC2B36"/>
    <w:rsid w:val="00EC331C"/>
    <w:rsid w:val="00EC35DF"/>
    <w:rsid w:val="00EC37D7"/>
    <w:rsid w:val="00EC3A02"/>
    <w:rsid w:val="00EC3AEA"/>
    <w:rsid w:val="00EC4B92"/>
    <w:rsid w:val="00EC52AE"/>
    <w:rsid w:val="00EC52F6"/>
    <w:rsid w:val="00EC549C"/>
    <w:rsid w:val="00EC5ABE"/>
    <w:rsid w:val="00EC5D45"/>
    <w:rsid w:val="00EC6354"/>
    <w:rsid w:val="00EC6469"/>
    <w:rsid w:val="00EC68E5"/>
    <w:rsid w:val="00EC690E"/>
    <w:rsid w:val="00EC6D74"/>
    <w:rsid w:val="00EC720A"/>
    <w:rsid w:val="00EC778D"/>
    <w:rsid w:val="00EC7AA7"/>
    <w:rsid w:val="00EC7B6C"/>
    <w:rsid w:val="00EC7BEC"/>
    <w:rsid w:val="00EC7CF2"/>
    <w:rsid w:val="00EC7EC7"/>
    <w:rsid w:val="00EC7FA7"/>
    <w:rsid w:val="00ED002D"/>
    <w:rsid w:val="00ED0286"/>
    <w:rsid w:val="00ED0ABF"/>
    <w:rsid w:val="00ED0CDF"/>
    <w:rsid w:val="00ED1187"/>
    <w:rsid w:val="00ED11EA"/>
    <w:rsid w:val="00ED1C2E"/>
    <w:rsid w:val="00ED1C75"/>
    <w:rsid w:val="00ED229E"/>
    <w:rsid w:val="00ED2992"/>
    <w:rsid w:val="00ED2A4F"/>
    <w:rsid w:val="00ED2A80"/>
    <w:rsid w:val="00ED2AFA"/>
    <w:rsid w:val="00ED2C07"/>
    <w:rsid w:val="00ED33FB"/>
    <w:rsid w:val="00ED3412"/>
    <w:rsid w:val="00ED3621"/>
    <w:rsid w:val="00ED38F2"/>
    <w:rsid w:val="00ED390D"/>
    <w:rsid w:val="00ED3A8C"/>
    <w:rsid w:val="00ED3E87"/>
    <w:rsid w:val="00ED455A"/>
    <w:rsid w:val="00ED461B"/>
    <w:rsid w:val="00ED471F"/>
    <w:rsid w:val="00ED49E5"/>
    <w:rsid w:val="00ED5274"/>
    <w:rsid w:val="00ED54BE"/>
    <w:rsid w:val="00ED56DF"/>
    <w:rsid w:val="00ED5F83"/>
    <w:rsid w:val="00ED5FDD"/>
    <w:rsid w:val="00ED6802"/>
    <w:rsid w:val="00ED6A18"/>
    <w:rsid w:val="00ED6DCE"/>
    <w:rsid w:val="00ED746B"/>
    <w:rsid w:val="00ED7676"/>
    <w:rsid w:val="00ED7709"/>
    <w:rsid w:val="00ED782F"/>
    <w:rsid w:val="00EE00AB"/>
    <w:rsid w:val="00EE01B4"/>
    <w:rsid w:val="00EE037D"/>
    <w:rsid w:val="00EE03B5"/>
    <w:rsid w:val="00EE0506"/>
    <w:rsid w:val="00EE05A8"/>
    <w:rsid w:val="00EE06A8"/>
    <w:rsid w:val="00EE0936"/>
    <w:rsid w:val="00EE0E25"/>
    <w:rsid w:val="00EE1666"/>
    <w:rsid w:val="00EE1783"/>
    <w:rsid w:val="00EE1858"/>
    <w:rsid w:val="00EE1B20"/>
    <w:rsid w:val="00EE1D38"/>
    <w:rsid w:val="00EE1F23"/>
    <w:rsid w:val="00EE2076"/>
    <w:rsid w:val="00EE2289"/>
    <w:rsid w:val="00EE23B5"/>
    <w:rsid w:val="00EE23E3"/>
    <w:rsid w:val="00EE26F4"/>
    <w:rsid w:val="00EE26F5"/>
    <w:rsid w:val="00EE2964"/>
    <w:rsid w:val="00EE2A8F"/>
    <w:rsid w:val="00EE2B03"/>
    <w:rsid w:val="00EE335F"/>
    <w:rsid w:val="00EE343E"/>
    <w:rsid w:val="00EE3504"/>
    <w:rsid w:val="00EE464C"/>
    <w:rsid w:val="00EE47E4"/>
    <w:rsid w:val="00EE49A6"/>
    <w:rsid w:val="00EE5163"/>
    <w:rsid w:val="00EE51F1"/>
    <w:rsid w:val="00EE53B9"/>
    <w:rsid w:val="00EE55AB"/>
    <w:rsid w:val="00EE56A8"/>
    <w:rsid w:val="00EE5A8E"/>
    <w:rsid w:val="00EE623E"/>
    <w:rsid w:val="00EE64DA"/>
    <w:rsid w:val="00EE64E4"/>
    <w:rsid w:val="00EE6B65"/>
    <w:rsid w:val="00EE6F56"/>
    <w:rsid w:val="00EE78DF"/>
    <w:rsid w:val="00EE7BB1"/>
    <w:rsid w:val="00EE7DB4"/>
    <w:rsid w:val="00EE7E0B"/>
    <w:rsid w:val="00EF06E3"/>
    <w:rsid w:val="00EF0942"/>
    <w:rsid w:val="00EF09A6"/>
    <w:rsid w:val="00EF0F9A"/>
    <w:rsid w:val="00EF143D"/>
    <w:rsid w:val="00EF1456"/>
    <w:rsid w:val="00EF1464"/>
    <w:rsid w:val="00EF173D"/>
    <w:rsid w:val="00EF1B02"/>
    <w:rsid w:val="00EF1FB3"/>
    <w:rsid w:val="00EF3143"/>
    <w:rsid w:val="00EF3EAE"/>
    <w:rsid w:val="00EF40CE"/>
    <w:rsid w:val="00EF4112"/>
    <w:rsid w:val="00EF41B0"/>
    <w:rsid w:val="00EF4585"/>
    <w:rsid w:val="00EF45DB"/>
    <w:rsid w:val="00EF45FD"/>
    <w:rsid w:val="00EF4640"/>
    <w:rsid w:val="00EF4A2C"/>
    <w:rsid w:val="00EF4E2A"/>
    <w:rsid w:val="00EF4F65"/>
    <w:rsid w:val="00EF52BE"/>
    <w:rsid w:val="00EF5471"/>
    <w:rsid w:val="00EF56BA"/>
    <w:rsid w:val="00EF58D6"/>
    <w:rsid w:val="00EF5ABC"/>
    <w:rsid w:val="00EF5AFA"/>
    <w:rsid w:val="00EF5EF4"/>
    <w:rsid w:val="00EF6DE2"/>
    <w:rsid w:val="00EF78BB"/>
    <w:rsid w:val="00EF7C42"/>
    <w:rsid w:val="00EF7EDE"/>
    <w:rsid w:val="00F004AB"/>
    <w:rsid w:val="00F0076D"/>
    <w:rsid w:val="00F00CC6"/>
    <w:rsid w:val="00F00D7F"/>
    <w:rsid w:val="00F01137"/>
    <w:rsid w:val="00F01954"/>
    <w:rsid w:val="00F01A9C"/>
    <w:rsid w:val="00F01DE5"/>
    <w:rsid w:val="00F01E22"/>
    <w:rsid w:val="00F01FD9"/>
    <w:rsid w:val="00F0234C"/>
    <w:rsid w:val="00F02488"/>
    <w:rsid w:val="00F02499"/>
    <w:rsid w:val="00F024E1"/>
    <w:rsid w:val="00F02769"/>
    <w:rsid w:val="00F02927"/>
    <w:rsid w:val="00F02AC5"/>
    <w:rsid w:val="00F02F9B"/>
    <w:rsid w:val="00F0307A"/>
    <w:rsid w:val="00F0316A"/>
    <w:rsid w:val="00F03229"/>
    <w:rsid w:val="00F03280"/>
    <w:rsid w:val="00F03397"/>
    <w:rsid w:val="00F03470"/>
    <w:rsid w:val="00F03786"/>
    <w:rsid w:val="00F03906"/>
    <w:rsid w:val="00F0399E"/>
    <w:rsid w:val="00F040DA"/>
    <w:rsid w:val="00F04129"/>
    <w:rsid w:val="00F04268"/>
    <w:rsid w:val="00F04853"/>
    <w:rsid w:val="00F04FF1"/>
    <w:rsid w:val="00F050E3"/>
    <w:rsid w:val="00F0568C"/>
    <w:rsid w:val="00F05C16"/>
    <w:rsid w:val="00F0650D"/>
    <w:rsid w:val="00F06909"/>
    <w:rsid w:val="00F06AC2"/>
    <w:rsid w:val="00F06DA5"/>
    <w:rsid w:val="00F06DAA"/>
    <w:rsid w:val="00F0776F"/>
    <w:rsid w:val="00F078C9"/>
    <w:rsid w:val="00F079B4"/>
    <w:rsid w:val="00F07B9D"/>
    <w:rsid w:val="00F1003E"/>
    <w:rsid w:val="00F104C6"/>
    <w:rsid w:val="00F10708"/>
    <w:rsid w:val="00F108AE"/>
    <w:rsid w:val="00F109B3"/>
    <w:rsid w:val="00F109D9"/>
    <w:rsid w:val="00F1112A"/>
    <w:rsid w:val="00F11435"/>
    <w:rsid w:val="00F119A3"/>
    <w:rsid w:val="00F11F5E"/>
    <w:rsid w:val="00F12359"/>
    <w:rsid w:val="00F12406"/>
    <w:rsid w:val="00F132CB"/>
    <w:rsid w:val="00F143B4"/>
    <w:rsid w:val="00F145E9"/>
    <w:rsid w:val="00F14713"/>
    <w:rsid w:val="00F14957"/>
    <w:rsid w:val="00F14A12"/>
    <w:rsid w:val="00F14ABF"/>
    <w:rsid w:val="00F14C4D"/>
    <w:rsid w:val="00F14D95"/>
    <w:rsid w:val="00F14DE2"/>
    <w:rsid w:val="00F15164"/>
    <w:rsid w:val="00F15518"/>
    <w:rsid w:val="00F15BA6"/>
    <w:rsid w:val="00F16039"/>
    <w:rsid w:val="00F16345"/>
    <w:rsid w:val="00F1648C"/>
    <w:rsid w:val="00F165B6"/>
    <w:rsid w:val="00F16D83"/>
    <w:rsid w:val="00F16DF8"/>
    <w:rsid w:val="00F203B6"/>
    <w:rsid w:val="00F204F5"/>
    <w:rsid w:val="00F20554"/>
    <w:rsid w:val="00F20555"/>
    <w:rsid w:val="00F20762"/>
    <w:rsid w:val="00F209D3"/>
    <w:rsid w:val="00F20B34"/>
    <w:rsid w:val="00F20C1C"/>
    <w:rsid w:val="00F20D10"/>
    <w:rsid w:val="00F210AC"/>
    <w:rsid w:val="00F21AC0"/>
    <w:rsid w:val="00F21CA0"/>
    <w:rsid w:val="00F21FF2"/>
    <w:rsid w:val="00F2222C"/>
    <w:rsid w:val="00F223C1"/>
    <w:rsid w:val="00F2245A"/>
    <w:rsid w:val="00F22682"/>
    <w:rsid w:val="00F228B1"/>
    <w:rsid w:val="00F229B4"/>
    <w:rsid w:val="00F2368C"/>
    <w:rsid w:val="00F23A55"/>
    <w:rsid w:val="00F23C0C"/>
    <w:rsid w:val="00F24629"/>
    <w:rsid w:val="00F24830"/>
    <w:rsid w:val="00F24B4A"/>
    <w:rsid w:val="00F2520B"/>
    <w:rsid w:val="00F25233"/>
    <w:rsid w:val="00F2546D"/>
    <w:rsid w:val="00F25609"/>
    <w:rsid w:val="00F25A84"/>
    <w:rsid w:val="00F25A9E"/>
    <w:rsid w:val="00F25CFC"/>
    <w:rsid w:val="00F25D83"/>
    <w:rsid w:val="00F25E1E"/>
    <w:rsid w:val="00F263DD"/>
    <w:rsid w:val="00F26545"/>
    <w:rsid w:val="00F26600"/>
    <w:rsid w:val="00F269E6"/>
    <w:rsid w:val="00F26A2D"/>
    <w:rsid w:val="00F26F49"/>
    <w:rsid w:val="00F275D5"/>
    <w:rsid w:val="00F27ADF"/>
    <w:rsid w:val="00F27AF6"/>
    <w:rsid w:val="00F27D69"/>
    <w:rsid w:val="00F30631"/>
    <w:rsid w:val="00F30777"/>
    <w:rsid w:val="00F30D62"/>
    <w:rsid w:val="00F30EB3"/>
    <w:rsid w:val="00F31957"/>
    <w:rsid w:val="00F31D95"/>
    <w:rsid w:val="00F32489"/>
    <w:rsid w:val="00F3278E"/>
    <w:rsid w:val="00F327F0"/>
    <w:rsid w:val="00F33728"/>
    <w:rsid w:val="00F337AC"/>
    <w:rsid w:val="00F338D5"/>
    <w:rsid w:val="00F33C99"/>
    <w:rsid w:val="00F33D68"/>
    <w:rsid w:val="00F341CA"/>
    <w:rsid w:val="00F34CCA"/>
    <w:rsid w:val="00F34DB2"/>
    <w:rsid w:val="00F3551B"/>
    <w:rsid w:val="00F35A03"/>
    <w:rsid w:val="00F35A9D"/>
    <w:rsid w:val="00F361E1"/>
    <w:rsid w:val="00F36203"/>
    <w:rsid w:val="00F36C14"/>
    <w:rsid w:val="00F37025"/>
    <w:rsid w:val="00F37440"/>
    <w:rsid w:val="00F3767B"/>
    <w:rsid w:val="00F376CE"/>
    <w:rsid w:val="00F37B3B"/>
    <w:rsid w:val="00F37BA4"/>
    <w:rsid w:val="00F401E4"/>
    <w:rsid w:val="00F4023E"/>
    <w:rsid w:val="00F402E5"/>
    <w:rsid w:val="00F40BE6"/>
    <w:rsid w:val="00F40E1C"/>
    <w:rsid w:val="00F40F29"/>
    <w:rsid w:val="00F410AB"/>
    <w:rsid w:val="00F420B8"/>
    <w:rsid w:val="00F4215B"/>
    <w:rsid w:val="00F42239"/>
    <w:rsid w:val="00F4276F"/>
    <w:rsid w:val="00F42B32"/>
    <w:rsid w:val="00F42BC9"/>
    <w:rsid w:val="00F42F74"/>
    <w:rsid w:val="00F432B2"/>
    <w:rsid w:val="00F43525"/>
    <w:rsid w:val="00F4363E"/>
    <w:rsid w:val="00F43992"/>
    <w:rsid w:val="00F44697"/>
    <w:rsid w:val="00F4481F"/>
    <w:rsid w:val="00F448BA"/>
    <w:rsid w:val="00F44CEA"/>
    <w:rsid w:val="00F451EB"/>
    <w:rsid w:val="00F452C5"/>
    <w:rsid w:val="00F452D3"/>
    <w:rsid w:val="00F455F0"/>
    <w:rsid w:val="00F45C70"/>
    <w:rsid w:val="00F45DA2"/>
    <w:rsid w:val="00F45DEE"/>
    <w:rsid w:val="00F460ED"/>
    <w:rsid w:val="00F4648B"/>
    <w:rsid w:val="00F4680D"/>
    <w:rsid w:val="00F46921"/>
    <w:rsid w:val="00F46AC4"/>
    <w:rsid w:val="00F46AF7"/>
    <w:rsid w:val="00F46DD1"/>
    <w:rsid w:val="00F46DF2"/>
    <w:rsid w:val="00F47769"/>
    <w:rsid w:val="00F478FB"/>
    <w:rsid w:val="00F47C4B"/>
    <w:rsid w:val="00F47FA3"/>
    <w:rsid w:val="00F5006F"/>
    <w:rsid w:val="00F50238"/>
    <w:rsid w:val="00F503A7"/>
    <w:rsid w:val="00F50D10"/>
    <w:rsid w:val="00F50E89"/>
    <w:rsid w:val="00F512B2"/>
    <w:rsid w:val="00F514CE"/>
    <w:rsid w:val="00F516B4"/>
    <w:rsid w:val="00F5185D"/>
    <w:rsid w:val="00F5199A"/>
    <w:rsid w:val="00F519AE"/>
    <w:rsid w:val="00F51B20"/>
    <w:rsid w:val="00F51E00"/>
    <w:rsid w:val="00F52297"/>
    <w:rsid w:val="00F524DD"/>
    <w:rsid w:val="00F52B82"/>
    <w:rsid w:val="00F52E09"/>
    <w:rsid w:val="00F5309E"/>
    <w:rsid w:val="00F5331E"/>
    <w:rsid w:val="00F53323"/>
    <w:rsid w:val="00F53476"/>
    <w:rsid w:val="00F5364E"/>
    <w:rsid w:val="00F538DB"/>
    <w:rsid w:val="00F53BB1"/>
    <w:rsid w:val="00F53C4C"/>
    <w:rsid w:val="00F53DCA"/>
    <w:rsid w:val="00F53F5D"/>
    <w:rsid w:val="00F54098"/>
    <w:rsid w:val="00F540EB"/>
    <w:rsid w:val="00F54A06"/>
    <w:rsid w:val="00F550C3"/>
    <w:rsid w:val="00F55408"/>
    <w:rsid w:val="00F555EE"/>
    <w:rsid w:val="00F55620"/>
    <w:rsid w:val="00F556F9"/>
    <w:rsid w:val="00F558F5"/>
    <w:rsid w:val="00F55FB8"/>
    <w:rsid w:val="00F5631F"/>
    <w:rsid w:val="00F57254"/>
    <w:rsid w:val="00F573A6"/>
    <w:rsid w:val="00F577B0"/>
    <w:rsid w:val="00F578AB"/>
    <w:rsid w:val="00F578F9"/>
    <w:rsid w:val="00F57D80"/>
    <w:rsid w:val="00F6003D"/>
    <w:rsid w:val="00F600CE"/>
    <w:rsid w:val="00F60263"/>
    <w:rsid w:val="00F6036B"/>
    <w:rsid w:val="00F6047D"/>
    <w:rsid w:val="00F606E6"/>
    <w:rsid w:val="00F609BD"/>
    <w:rsid w:val="00F609ED"/>
    <w:rsid w:val="00F612EE"/>
    <w:rsid w:val="00F61839"/>
    <w:rsid w:val="00F61B8B"/>
    <w:rsid w:val="00F621C9"/>
    <w:rsid w:val="00F621D6"/>
    <w:rsid w:val="00F622A4"/>
    <w:rsid w:val="00F62C82"/>
    <w:rsid w:val="00F62E2D"/>
    <w:rsid w:val="00F62FAD"/>
    <w:rsid w:val="00F631B9"/>
    <w:rsid w:val="00F63617"/>
    <w:rsid w:val="00F63657"/>
    <w:rsid w:val="00F63830"/>
    <w:rsid w:val="00F63C4F"/>
    <w:rsid w:val="00F63DF7"/>
    <w:rsid w:val="00F64033"/>
    <w:rsid w:val="00F6409E"/>
    <w:rsid w:val="00F642D5"/>
    <w:rsid w:val="00F6430F"/>
    <w:rsid w:val="00F64A54"/>
    <w:rsid w:val="00F64CDE"/>
    <w:rsid w:val="00F6508E"/>
    <w:rsid w:val="00F6509E"/>
    <w:rsid w:val="00F6512A"/>
    <w:rsid w:val="00F6542C"/>
    <w:rsid w:val="00F65598"/>
    <w:rsid w:val="00F6579B"/>
    <w:rsid w:val="00F6607F"/>
    <w:rsid w:val="00F66265"/>
    <w:rsid w:val="00F666B5"/>
    <w:rsid w:val="00F666E9"/>
    <w:rsid w:val="00F66AF9"/>
    <w:rsid w:val="00F66EC3"/>
    <w:rsid w:val="00F70274"/>
    <w:rsid w:val="00F703CA"/>
    <w:rsid w:val="00F7077B"/>
    <w:rsid w:val="00F7098E"/>
    <w:rsid w:val="00F70E55"/>
    <w:rsid w:val="00F70FE8"/>
    <w:rsid w:val="00F7133C"/>
    <w:rsid w:val="00F7192E"/>
    <w:rsid w:val="00F71BFF"/>
    <w:rsid w:val="00F71FD2"/>
    <w:rsid w:val="00F721C6"/>
    <w:rsid w:val="00F73169"/>
    <w:rsid w:val="00F73440"/>
    <w:rsid w:val="00F73C55"/>
    <w:rsid w:val="00F73DDD"/>
    <w:rsid w:val="00F73F2A"/>
    <w:rsid w:val="00F73FE8"/>
    <w:rsid w:val="00F743E8"/>
    <w:rsid w:val="00F74531"/>
    <w:rsid w:val="00F7493C"/>
    <w:rsid w:val="00F74C01"/>
    <w:rsid w:val="00F74D73"/>
    <w:rsid w:val="00F74F7F"/>
    <w:rsid w:val="00F74FCF"/>
    <w:rsid w:val="00F74FD7"/>
    <w:rsid w:val="00F75738"/>
    <w:rsid w:val="00F75B48"/>
    <w:rsid w:val="00F76772"/>
    <w:rsid w:val="00F76B33"/>
    <w:rsid w:val="00F76C51"/>
    <w:rsid w:val="00F770B0"/>
    <w:rsid w:val="00F773BF"/>
    <w:rsid w:val="00F77654"/>
    <w:rsid w:val="00F776EA"/>
    <w:rsid w:val="00F77728"/>
    <w:rsid w:val="00F7778A"/>
    <w:rsid w:val="00F7783A"/>
    <w:rsid w:val="00F77C90"/>
    <w:rsid w:val="00F80192"/>
    <w:rsid w:val="00F80765"/>
    <w:rsid w:val="00F8093F"/>
    <w:rsid w:val="00F80F0F"/>
    <w:rsid w:val="00F81709"/>
    <w:rsid w:val="00F819CC"/>
    <w:rsid w:val="00F81BCD"/>
    <w:rsid w:val="00F81D79"/>
    <w:rsid w:val="00F81E0C"/>
    <w:rsid w:val="00F81F43"/>
    <w:rsid w:val="00F82120"/>
    <w:rsid w:val="00F8229C"/>
    <w:rsid w:val="00F827D5"/>
    <w:rsid w:val="00F82F87"/>
    <w:rsid w:val="00F831B1"/>
    <w:rsid w:val="00F839D5"/>
    <w:rsid w:val="00F83B8B"/>
    <w:rsid w:val="00F83F42"/>
    <w:rsid w:val="00F84126"/>
    <w:rsid w:val="00F849AC"/>
    <w:rsid w:val="00F84A59"/>
    <w:rsid w:val="00F84EB0"/>
    <w:rsid w:val="00F84EC2"/>
    <w:rsid w:val="00F85091"/>
    <w:rsid w:val="00F85870"/>
    <w:rsid w:val="00F85999"/>
    <w:rsid w:val="00F85F26"/>
    <w:rsid w:val="00F865DF"/>
    <w:rsid w:val="00F8666A"/>
    <w:rsid w:val="00F8672E"/>
    <w:rsid w:val="00F87868"/>
    <w:rsid w:val="00F87B4F"/>
    <w:rsid w:val="00F87C46"/>
    <w:rsid w:val="00F90078"/>
    <w:rsid w:val="00F90137"/>
    <w:rsid w:val="00F90143"/>
    <w:rsid w:val="00F9065F"/>
    <w:rsid w:val="00F90B77"/>
    <w:rsid w:val="00F90F0F"/>
    <w:rsid w:val="00F91267"/>
    <w:rsid w:val="00F91449"/>
    <w:rsid w:val="00F918AA"/>
    <w:rsid w:val="00F91AD8"/>
    <w:rsid w:val="00F91B86"/>
    <w:rsid w:val="00F91D4F"/>
    <w:rsid w:val="00F921AB"/>
    <w:rsid w:val="00F921E8"/>
    <w:rsid w:val="00F92256"/>
    <w:rsid w:val="00F92681"/>
    <w:rsid w:val="00F92AAF"/>
    <w:rsid w:val="00F92ABF"/>
    <w:rsid w:val="00F93418"/>
    <w:rsid w:val="00F93B76"/>
    <w:rsid w:val="00F93BD5"/>
    <w:rsid w:val="00F93D68"/>
    <w:rsid w:val="00F9474B"/>
    <w:rsid w:val="00F94EE1"/>
    <w:rsid w:val="00F95011"/>
    <w:rsid w:val="00F95184"/>
    <w:rsid w:val="00F95CE1"/>
    <w:rsid w:val="00F95FCD"/>
    <w:rsid w:val="00F96269"/>
    <w:rsid w:val="00F96458"/>
    <w:rsid w:val="00F9654B"/>
    <w:rsid w:val="00F967D6"/>
    <w:rsid w:val="00F96B33"/>
    <w:rsid w:val="00F96E77"/>
    <w:rsid w:val="00F96F9E"/>
    <w:rsid w:val="00F974F7"/>
    <w:rsid w:val="00FA0469"/>
    <w:rsid w:val="00FA0491"/>
    <w:rsid w:val="00FA0755"/>
    <w:rsid w:val="00FA0867"/>
    <w:rsid w:val="00FA0B5B"/>
    <w:rsid w:val="00FA0B63"/>
    <w:rsid w:val="00FA0F8A"/>
    <w:rsid w:val="00FA1287"/>
    <w:rsid w:val="00FA1701"/>
    <w:rsid w:val="00FA18DF"/>
    <w:rsid w:val="00FA1A34"/>
    <w:rsid w:val="00FA2188"/>
    <w:rsid w:val="00FA2554"/>
    <w:rsid w:val="00FA2605"/>
    <w:rsid w:val="00FA286E"/>
    <w:rsid w:val="00FA298E"/>
    <w:rsid w:val="00FA2F70"/>
    <w:rsid w:val="00FA318D"/>
    <w:rsid w:val="00FA32F8"/>
    <w:rsid w:val="00FA3F4E"/>
    <w:rsid w:val="00FA41A2"/>
    <w:rsid w:val="00FA46E0"/>
    <w:rsid w:val="00FA47B0"/>
    <w:rsid w:val="00FA4DA0"/>
    <w:rsid w:val="00FA5160"/>
    <w:rsid w:val="00FA518D"/>
    <w:rsid w:val="00FA5BC5"/>
    <w:rsid w:val="00FA6098"/>
    <w:rsid w:val="00FA6489"/>
    <w:rsid w:val="00FA6CD2"/>
    <w:rsid w:val="00FA6E2E"/>
    <w:rsid w:val="00FA73A2"/>
    <w:rsid w:val="00FA770C"/>
    <w:rsid w:val="00FB02A2"/>
    <w:rsid w:val="00FB04DF"/>
    <w:rsid w:val="00FB0FE7"/>
    <w:rsid w:val="00FB1186"/>
    <w:rsid w:val="00FB120D"/>
    <w:rsid w:val="00FB12CC"/>
    <w:rsid w:val="00FB1423"/>
    <w:rsid w:val="00FB190C"/>
    <w:rsid w:val="00FB1B0E"/>
    <w:rsid w:val="00FB1B47"/>
    <w:rsid w:val="00FB1DCF"/>
    <w:rsid w:val="00FB2090"/>
    <w:rsid w:val="00FB225B"/>
    <w:rsid w:val="00FB2375"/>
    <w:rsid w:val="00FB2436"/>
    <w:rsid w:val="00FB2989"/>
    <w:rsid w:val="00FB2AA7"/>
    <w:rsid w:val="00FB33AC"/>
    <w:rsid w:val="00FB33C2"/>
    <w:rsid w:val="00FB40E4"/>
    <w:rsid w:val="00FB5486"/>
    <w:rsid w:val="00FB5799"/>
    <w:rsid w:val="00FB5D24"/>
    <w:rsid w:val="00FB623D"/>
    <w:rsid w:val="00FB64C9"/>
    <w:rsid w:val="00FB699D"/>
    <w:rsid w:val="00FB6D27"/>
    <w:rsid w:val="00FB7253"/>
    <w:rsid w:val="00FB7342"/>
    <w:rsid w:val="00FB7457"/>
    <w:rsid w:val="00FB7458"/>
    <w:rsid w:val="00FB747E"/>
    <w:rsid w:val="00FB7730"/>
    <w:rsid w:val="00FB7CDD"/>
    <w:rsid w:val="00FC0116"/>
    <w:rsid w:val="00FC034C"/>
    <w:rsid w:val="00FC049B"/>
    <w:rsid w:val="00FC05F8"/>
    <w:rsid w:val="00FC0648"/>
    <w:rsid w:val="00FC0CAA"/>
    <w:rsid w:val="00FC1116"/>
    <w:rsid w:val="00FC139B"/>
    <w:rsid w:val="00FC14FF"/>
    <w:rsid w:val="00FC1581"/>
    <w:rsid w:val="00FC2140"/>
    <w:rsid w:val="00FC2635"/>
    <w:rsid w:val="00FC28E3"/>
    <w:rsid w:val="00FC2F36"/>
    <w:rsid w:val="00FC318F"/>
    <w:rsid w:val="00FC31B7"/>
    <w:rsid w:val="00FC3E48"/>
    <w:rsid w:val="00FC3F1F"/>
    <w:rsid w:val="00FC3FFF"/>
    <w:rsid w:val="00FC46B8"/>
    <w:rsid w:val="00FC4D8D"/>
    <w:rsid w:val="00FC52D8"/>
    <w:rsid w:val="00FC5400"/>
    <w:rsid w:val="00FC5B78"/>
    <w:rsid w:val="00FC5F1C"/>
    <w:rsid w:val="00FC5F67"/>
    <w:rsid w:val="00FC64EB"/>
    <w:rsid w:val="00FC6654"/>
    <w:rsid w:val="00FC6970"/>
    <w:rsid w:val="00FC6E69"/>
    <w:rsid w:val="00FC701E"/>
    <w:rsid w:val="00FC713D"/>
    <w:rsid w:val="00FC76D8"/>
    <w:rsid w:val="00FC7AF4"/>
    <w:rsid w:val="00FC7FE9"/>
    <w:rsid w:val="00FD014C"/>
    <w:rsid w:val="00FD0512"/>
    <w:rsid w:val="00FD078A"/>
    <w:rsid w:val="00FD0980"/>
    <w:rsid w:val="00FD0C25"/>
    <w:rsid w:val="00FD1A1B"/>
    <w:rsid w:val="00FD1A1D"/>
    <w:rsid w:val="00FD1A48"/>
    <w:rsid w:val="00FD1EFC"/>
    <w:rsid w:val="00FD2556"/>
    <w:rsid w:val="00FD277D"/>
    <w:rsid w:val="00FD2EBE"/>
    <w:rsid w:val="00FD31C6"/>
    <w:rsid w:val="00FD36AF"/>
    <w:rsid w:val="00FD37BB"/>
    <w:rsid w:val="00FD37ED"/>
    <w:rsid w:val="00FD3A53"/>
    <w:rsid w:val="00FD3BF6"/>
    <w:rsid w:val="00FD3C51"/>
    <w:rsid w:val="00FD406E"/>
    <w:rsid w:val="00FD47AD"/>
    <w:rsid w:val="00FD4D6F"/>
    <w:rsid w:val="00FD4DC6"/>
    <w:rsid w:val="00FD55E0"/>
    <w:rsid w:val="00FD5979"/>
    <w:rsid w:val="00FD5B31"/>
    <w:rsid w:val="00FD5CCF"/>
    <w:rsid w:val="00FD5EBE"/>
    <w:rsid w:val="00FD6175"/>
    <w:rsid w:val="00FD6873"/>
    <w:rsid w:val="00FD6A9A"/>
    <w:rsid w:val="00FD7801"/>
    <w:rsid w:val="00FD7B30"/>
    <w:rsid w:val="00FD7CFE"/>
    <w:rsid w:val="00FD7D8E"/>
    <w:rsid w:val="00FD7F10"/>
    <w:rsid w:val="00FE030E"/>
    <w:rsid w:val="00FE0A57"/>
    <w:rsid w:val="00FE0A76"/>
    <w:rsid w:val="00FE0B37"/>
    <w:rsid w:val="00FE0BD5"/>
    <w:rsid w:val="00FE125A"/>
    <w:rsid w:val="00FE135D"/>
    <w:rsid w:val="00FE15EF"/>
    <w:rsid w:val="00FE192A"/>
    <w:rsid w:val="00FE1E57"/>
    <w:rsid w:val="00FE1E5F"/>
    <w:rsid w:val="00FE1F5B"/>
    <w:rsid w:val="00FE207C"/>
    <w:rsid w:val="00FE23F2"/>
    <w:rsid w:val="00FE2628"/>
    <w:rsid w:val="00FE2E0A"/>
    <w:rsid w:val="00FE322A"/>
    <w:rsid w:val="00FE3324"/>
    <w:rsid w:val="00FE3614"/>
    <w:rsid w:val="00FE3722"/>
    <w:rsid w:val="00FE3D04"/>
    <w:rsid w:val="00FE46AB"/>
    <w:rsid w:val="00FE49A2"/>
    <w:rsid w:val="00FE4AB7"/>
    <w:rsid w:val="00FE4BAA"/>
    <w:rsid w:val="00FE4EC0"/>
    <w:rsid w:val="00FE4FD2"/>
    <w:rsid w:val="00FE5759"/>
    <w:rsid w:val="00FE5983"/>
    <w:rsid w:val="00FE5A43"/>
    <w:rsid w:val="00FE5CD7"/>
    <w:rsid w:val="00FE5FAC"/>
    <w:rsid w:val="00FE6AC7"/>
    <w:rsid w:val="00FE6DF8"/>
    <w:rsid w:val="00FE6FCE"/>
    <w:rsid w:val="00FE7224"/>
    <w:rsid w:val="00FE72E6"/>
    <w:rsid w:val="00FE763D"/>
    <w:rsid w:val="00FE7959"/>
    <w:rsid w:val="00FE7A2E"/>
    <w:rsid w:val="00FE7B09"/>
    <w:rsid w:val="00FE7E4D"/>
    <w:rsid w:val="00FF00B3"/>
    <w:rsid w:val="00FF00E5"/>
    <w:rsid w:val="00FF0146"/>
    <w:rsid w:val="00FF019A"/>
    <w:rsid w:val="00FF0DA3"/>
    <w:rsid w:val="00FF0F86"/>
    <w:rsid w:val="00FF0FF4"/>
    <w:rsid w:val="00FF1279"/>
    <w:rsid w:val="00FF12E2"/>
    <w:rsid w:val="00FF1326"/>
    <w:rsid w:val="00FF1742"/>
    <w:rsid w:val="00FF180F"/>
    <w:rsid w:val="00FF18BE"/>
    <w:rsid w:val="00FF19E1"/>
    <w:rsid w:val="00FF1BAB"/>
    <w:rsid w:val="00FF1D37"/>
    <w:rsid w:val="00FF1DA9"/>
    <w:rsid w:val="00FF2596"/>
    <w:rsid w:val="00FF25BF"/>
    <w:rsid w:val="00FF2643"/>
    <w:rsid w:val="00FF293F"/>
    <w:rsid w:val="00FF2A24"/>
    <w:rsid w:val="00FF2C44"/>
    <w:rsid w:val="00FF2E04"/>
    <w:rsid w:val="00FF2FCE"/>
    <w:rsid w:val="00FF30F7"/>
    <w:rsid w:val="00FF3BFF"/>
    <w:rsid w:val="00FF446D"/>
    <w:rsid w:val="00FF4B31"/>
    <w:rsid w:val="00FF5068"/>
    <w:rsid w:val="00FF57C4"/>
    <w:rsid w:val="00FF5908"/>
    <w:rsid w:val="00FF5947"/>
    <w:rsid w:val="00FF5E32"/>
    <w:rsid w:val="00FF649D"/>
    <w:rsid w:val="00FF64C1"/>
    <w:rsid w:val="00FF687F"/>
    <w:rsid w:val="00FF6A99"/>
    <w:rsid w:val="00FF6AA4"/>
    <w:rsid w:val="00FF6DF1"/>
    <w:rsid w:val="00FF7389"/>
    <w:rsid w:val="00FF753A"/>
    <w:rsid w:val="00FF7560"/>
    <w:rsid w:val="00FF78A8"/>
    <w:rsid w:val="00FF7F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6EC"/>
    <w:pPr>
      <w:jc w:val="left"/>
    </w:pPr>
    <w:rPr>
      <w:rFonts w:eastAsia="Times New Roman" w:cs="Times New Roman"/>
      <w:sz w:val="24"/>
      <w:szCs w:val="24"/>
      <w:lang w:eastAsia="ru-RU"/>
    </w:rPr>
  </w:style>
  <w:style w:type="paragraph" w:styleId="1">
    <w:name w:val="heading 1"/>
    <w:basedOn w:val="a"/>
    <w:next w:val="a"/>
    <w:link w:val="10"/>
    <w:qFormat/>
    <w:rsid w:val="00394F1B"/>
    <w:pPr>
      <w:keepNext/>
      <w:outlineLvl w:val="0"/>
    </w:pPr>
    <w:rPr>
      <w:szCs w:val="20"/>
    </w:rPr>
  </w:style>
  <w:style w:type="paragraph" w:styleId="2">
    <w:name w:val="heading 2"/>
    <w:basedOn w:val="a"/>
    <w:next w:val="a"/>
    <w:link w:val="20"/>
    <w:qFormat/>
    <w:rsid w:val="000108DC"/>
    <w:pPr>
      <w:keepNext/>
      <w:jc w:val="center"/>
      <w:outlineLvl w:val="1"/>
    </w:pPr>
    <w:rPr>
      <w:b/>
      <w:sz w:val="52"/>
      <w:szCs w:val="20"/>
    </w:rPr>
  </w:style>
  <w:style w:type="paragraph" w:styleId="3">
    <w:name w:val="heading 3"/>
    <w:basedOn w:val="a"/>
    <w:next w:val="a"/>
    <w:link w:val="30"/>
    <w:qFormat/>
    <w:rsid w:val="000108DC"/>
    <w:pPr>
      <w:keepNext/>
      <w:outlineLvl w:val="2"/>
    </w:pPr>
    <w:rPr>
      <w:sz w:val="40"/>
      <w:szCs w:val="20"/>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link w:val="40"/>
    <w:qFormat/>
    <w:rsid w:val="000108DC"/>
    <w:pPr>
      <w:keepNext/>
      <w:outlineLvl w:val="3"/>
    </w:pPr>
    <w:rPr>
      <w:b/>
      <w:sz w:val="36"/>
      <w:szCs w:val="20"/>
      <w:u w:val="single"/>
    </w:rPr>
  </w:style>
  <w:style w:type="paragraph" w:styleId="5">
    <w:name w:val="heading 5"/>
    <w:basedOn w:val="a"/>
    <w:next w:val="a"/>
    <w:link w:val="50"/>
    <w:qFormat/>
    <w:rsid w:val="000108DC"/>
    <w:pPr>
      <w:keepNext/>
      <w:outlineLvl w:val="4"/>
    </w:pPr>
    <w:rPr>
      <w:sz w:val="36"/>
      <w:szCs w:val="20"/>
    </w:rPr>
  </w:style>
  <w:style w:type="paragraph" w:styleId="6">
    <w:name w:val="heading 6"/>
    <w:basedOn w:val="a"/>
    <w:next w:val="a"/>
    <w:link w:val="60"/>
    <w:qFormat/>
    <w:rsid w:val="000108DC"/>
    <w:pPr>
      <w:keepNext/>
      <w:jc w:val="center"/>
      <w:outlineLvl w:val="5"/>
    </w:pPr>
    <w:rPr>
      <w:b/>
      <w:sz w:val="28"/>
      <w:szCs w:val="20"/>
    </w:rPr>
  </w:style>
  <w:style w:type="paragraph" w:styleId="7">
    <w:name w:val="heading 7"/>
    <w:basedOn w:val="a"/>
    <w:next w:val="a"/>
    <w:link w:val="70"/>
    <w:qFormat/>
    <w:rsid w:val="000108DC"/>
    <w:pPr>
      <w:keepNext/>
      <w:jc w:val="center"/>
      <w:outlineLvl w:val="6"/>
    </w:pPr>
    <w:rPr>
      <w:sz w:val="32"/>
      <w:szCs w:val="20"/>
    </w:rPr>
  </w:style>
  <w:style w:type="paragraph" w:styleId="8">
    <w:name w:val="heading 8"/>
    <w:basedOn w:val="a"/>
    <w:next w:val="a"/>
    <w:link w:val="80"/>
    <w:qFormat/>
    <w:rsid w:val="000108DC"/>
    <w:pPr>
      <w:keepNext/>
      <w:jc w:val="center"/>
      <w:outlineLvl w:val="7"/>
    </w:pPr>
    <w:rPr>
      <w:rFonts w:ascii="Arial" w:hAnsi="Arial"/>
      <w:b/>
      <w:szCs w:val="20"/>
    </w:rPr>
  </w:style>
  <w:style w:type="paragraph" w:styleId="9">
    <w:name w:val="heading 9"/>
    <w:basedOn w:val="a"/>
    <w:next w:val="a"/>
    <w:link w:val="90"/>
    <w:qFormat/>
    <w:rsid w:val="000108DC"/>
    <w:pPr>
      <w:keepNext/>
      <w:outlineLvl w:val="8"/>
    </w:pPr>
    <w:rPr>
      <w:b/>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BC36EC"/>
    <w:pPr>
      <w:spacing w:before="100" w:beforeAutospacing="1" w:after="100" w:afterAutospacing="1"/>
    </w:pPr>
  </w:style>
  <w:style w:type="paragraph" w:customStyle="1" w:styleId="ConsPlusTitle0">
    <w:name w:val="ConsPlusTitle"/>
    <w:uiPriority w:val="99"/>
    <w:rsid w:val="00BC36EC"/>
    <w:pPr>
      <w:widowControl w:val="0"/>
      <w:autoSpaceDE w:val="0"/>
      <w:autoSpaceDN w:val="0"/>
      <w:adjustRightInd w:val="0"/>
      <w:jc w:val="left"/>
    </w:pPr>
    <w:rPr>
      <w:rFonts w:eastAsia="Times New Roman" w:cs="Times New Roman"/>
      <w:b/>
      <w:bCs/>
      <w:sz w:val="24"/>
      <w:szCs w:val="24"/>
      <w:lang w:eastAsia="ru-RU"/>
    </w:rPr>
  </w:style>
  <w:style w:type="paragraph" w:styleId="a3">
    <w:name w:val="Subtitle"/>
    <w:basedOn w:val="a"/>
    <w:link w:val="a4"/>
    <w:qFormat/>
    <w:rsid w:val="00BC36EC"/>
    <w:pPr>
      <w:jc w:val="center"/>
    </w:pPr>
    <w:rPr>
      <w:b/>
      <w:bCs/>
      <w:sz w:val="28"/>
      <w:szCs w:val="28"/>
    </w:rPr>
  </w:style>
  <w:style w:type="character" w:customStyle="1" w:styleId="a4">
    <w:name w:val="Подзаголовок Знак"/>
    <w:basedOn w:val="a0"/>
    <w:link w:val="a3"/>
    <w:rsid w:val="00BC36EC"/>
    <w:rPr>
      <w:rFonts w:eastAsia="Times New Roman" w:cs="Times New Roman"/>
      <w:b/>
      <w:bCs/>
      <w:szCs w:val="28"/>
      <w:lang w:eastAsia="ru-RU"/>
    </w:rPr>
  </w:style>
  <w:style w:type="paragraph" w:styleId="a5">
    <w:name w:val="List Paragraph"/>
    <w:basedOn w:val="a"/>
    <w:uiPriority w:val="34"/>
    <w:qFormat/>
    <w:rsid w:val="00BC36EC"/>
    <w:pPr>
      <w:ind w:left="720"/>
      <w:contextualSpacing/>
    </w:pPr>
  </w:style>
  <w:style w:type="paragraph" w:styleId="a6">
    <w:name w:val="Balloon Text"/>
    <w:basedOn w:val="a"/>
    <w:link w:val="a7"/>
    <w:semiHidden/>
    <w:unhideWhenUsed/>
    <w:rsid w:val="00EB15C7"/>
    <w:rPr>
      <w:rFonts w:ascii="Tahoma" w:hAnsi="Tahoma" w:cs="Tahoma"/>
      <w:sz w:val="16"/>
      <w:szCs w:val="16"/>
    </w:rPr>
  </w:style>
  <w:style w:type="character" w:customStyle="1" w:styleId="a7">
    <w:name w:val="Текст выноски Знак"/>
    <w:basedOn w:val="a0"/>
    <w:link w:val="a6"/>
    <w:uiPriority w:val="99"/>
    <w:semiHidden/>
    <w:rsid w:val="00EB15C7"/>
    <w:rPr>
      <w:rFonts w:ascii="Tahoma" w:eastAsia="Times New Roman" w:hAnsi="Tahoma" w:cs="Tahoma"/>
      <w:sz w:val="16"/>
      <w:szCs w:val="16"/>
      <w:lang w:eastAsia="ru-RU"/>
    </w:rPr>
  </w:style>
  <w:style w:type="paragraph" w:customStyle="1" w:styleId="TableHeading">
    <w:name w:val="Table Heading"/>
    <w:basedOn w:val="a"/>
    <w:rsid w:val="00EB15C7"/>
    <w:pPr>
      <w:widowControl w:val="0"/>
      <w:suppressLineNumbers/>
      <w:suppressAutoHyphens/>
      <w:autoSpaceDE w:val="0"/>
      <w:autoSpaceDN w:val="0"/>
      <w:adjustRightInd w:val="0"/>
      <w:jc w:val="center"/>
      <w:textAlignment w:val="baseline"/>
    </w:pPr>
    <w:rPr>
      <w:rFonts w:cs="Tahoma"/>
      <w:b/>
      <w:bCs/>
      <w:kern w:val="3"/>
      <w:sz w:val="28"/>
      <w:szCs w:val="28"/>
    </w:rPr>
  </w:style>
  <w:style w:type="paragraph" w:styleId="a8">
    <w:name w:val="header"/>
    <w:basedOn w:val="a"/>
    <w:link w:val="a9"/>
    <w:uiPriority w:val="99"/>
    <w:unhideWhenUsed/>
    <w:rsid w:val="006B1A05"/>
    <w:pPr>
      <w:tabs>
        <w:tab w:val="center" w:pos="4677"/>
        <w:tab w:val="right" w:pos="9355"/>
      </w:tabs>
    </w:pPr>
  </w:style>
  <w:style w:type="character" w:customStyle="1" w:styleId="a9">
    <w:name w:val="Верхний колонтитул Знак"/>
    <w:basedOn w:val="a0"/>
    <w:link w:val="a8"/>
    <w:uiPriority w:val="99"/>
    <w:rsid w:val="006B1A05"/>
    <w:rPr>
      <w:rFonts w:eastAsia="Times New Roman" w:cs="Times New Roman"/>
      <w:sz w:val="24"/>
      <w:szCs w:val="24"/>
      <w:lang w:eastAsia="ru-RU"/>
    </w:rPr>
  </w:style>
  <w:style w:type="paragraph" w:styleId="aa">
    <w:name w:val="footer"/>
    <w:basedOn w:val="a"/>
    <w:link w:val="ab"/>
    <w:unhideWhenUsed/>
    <w:rsid w:val="006B1A05"/>
    <w:pPr>
      <w:tabs>
        <w:tab w:val="center" w:pos="4677"/>
        <w:tab w:val="right" w:pos="9355"/>
      </w:tabs>
    </w:pPr>
  </w:style>
  <w:style w:type="character" w:customStyle="1" w:styleId="ab">
    <w:name w:val="Нижний колонтитул Знак"/>
    <w:basedOn w:val="a0"/>
    <w:link w:val="aa"/>
    <w:uiPriority w:val="99"/>
    <w:semiHidden/>
    <w:rsid w:val="006B1A05"/>
    <w:rPr>
      <w:rFonts w:eastAsia="Times New Roman" w:cs="Times New Roman"/>
      <w:sz w:val="24"/>
      <w:szCs w:val="24"/>
      <w:lang w:eastAsia="ru-RU"/>
    </w:rPr>
  </w:style>
  <w:style w:type="paragraph" w:styleId="ac">
    <w:name w:val="Title"/>
    <w:basedOn w:val="a"/>
    <w:link w:val="ad"/>
    <w:qFormat/>
    <w:rsid w:val="00405734"/>
    <w:pPr>
      <w:jc w:val="center"/>
    </w:pPr>
    <w:rPr>
      <w:b/>
      <w:sz w:val="28"/>
      <w:szCs w:val="20"/>
    </w:rPr>
  </w:style>
  <w:style w:type="character" w:customStyle="1" w:styleId="ad">
    <w:name w:val="Название Знак"/>
    <w:basedOn w:val="a0"/>
    <w:link w:val="ac"/>
    <w:rsid w:val="00405734"/>
    <w:rPr>
      <w:rFonts w:eastAsia="Times New Roman" w:cs="Times New Roman"/>
      <w:b/>
      <w:szCs w:val="20"/>
      <w:lang w:eastAsia="ru-RU"/>
    </w:rPr>
  </w:style>
  <w:style w:type="paragraph" w:styleId="ae">
    <w:name w:val="No Spacing"/>
    <w:link w:val="af"/>
    <w:uiPriority w:val="99"/>
    <w:qFormat/>
    <w:rsid w:val="00F57254"/>
    <w:pPr>
      <w:jc w:val="left"/>
    </w:pPr>
    <w:rPr>
      <w:rFonts w:ascii="Calibri" w:eastAsia="Calibri" w:hAnsi="Calibri" w:cs="Times New Roman"/>
      <w:sz w:val="22"/>
    </w:rPr>
  </w:style>
  <w:style w:type="paragraph" w:customStyle="1" w:styleId="ConsTitle">
    <w:name w:val="ConsTitle"/>
    <w:rsid w:val="00E56F2C"/>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Normal">
    <w:name w:val="ConsPlusNormal"/>
    <w:rsid w:val="004C50DD"/>
    <w:pPr>
      <w:autoSpaceDE w:val="0"/>
      <w:autoSpaceDN w:val="0"/>
      <w:adjustRightInd w:val="0"/>
      <w:jc w:val="left"/>
    </w:pPr>
    <w:rPr>
      <w:rFonts w:ascii="Arial" w:eastAsia="Times New Roman" w:hAnsi="Arial" w:cs="Arial"/>
      <w:sz w:val="20"/>
      <w:szCs w:val="20"/>
      <w:lang w:eastAsia="ru-RU"/>
    </w:rPr>
  </w:style>
  <w:style w:type="character" w:customStyle="1" w:styleId="10">
    <w:name w:val="Заголовок 1 Знак"/>
    <w:basedOn w:val="a0"/>
    <w:link w:val="1"/>
    <w:rsid w:val="00394F1B"/>
    <w:rPr>
      <w:rFonts w:eastAsia="Times New Roman" w:cs="Times New Roman"/>
      <w:sz w:val="24"/>
      <w:szCs w:val="20"/>
      <w:lang w:eastAsia="ru-RU"/>
    </w:rPr>
  </w:style>
  <w:style w:type="character" w:styleId="af0">
    <w:name w:val="Hyperlink"/>
    <w:basedOn w:val="a0"/>
    <w:rsid w:val="00AD59AF"/>
    <w:rPr>
      <w:strike w:val="0"/>
      <w:dstrike w:val="0"/>
      <w:color w:val="6600CC"/>
      <w:u w:val="none"/>
      <w:effect w:val="none"/>
    </w:rPr>
  </w:style>
  <w:style w:type="paragraph" w:styleId="af1">
    <w:name w:val="Body Text Indent"/>
    <w:aliases w:val="Основной текст 1,Нумерованный список !!,Надин стиль,Body Text Indent"/>
    <w:basedOn w:val="a"/>
    <w:link w:val="af2"/>
    <w:rsid w:val="00AD59AF"/>
    <w:pPr>
      <w:ind w:firstLine="748"/>
      <w:jc w:val="both"/>
    </w:pPr>
    <w:rPr>
      <w:rFonts w:ascii="Arial" w:hAnsi="Arial"/>
      <w:sz w:val="28"/>
      <w:szCs w:val="28"/>
    </w:rPr>
  </w:style>
  <w:style w:type="character" w:customStyle="1" w:styleId="af2">
    <w:name w:val="Основной текст с отступом Знак"/>
    <w:aliases w:val="Основной текст 1 Знак,Нумерованный список !! Знак,Надин стиль Знак,Body Text Indent Знак"/>
    <w:basedOn w:val="a0"/>
    <w:link w:val="af1"/>
    <w:rsid w:val="00AD59AF"/>
    <w:rPr>
      <w:rFonts w:ascii="Arial" w:eastAsia="Times New Roman" w:hAnsi="Arial" w:cs="Times New Roman"/>
      <w:szCs w:val="28"/>
      <w:lang w:eastAsia="ru-RU"/>
    </w:rPr>
  </w:style>
  <w:style w:type="paragraph" w:customStyle="1" w:styleId="ConsPlusNonformat">
    <w:name w:val="ConsPlusNonformat"/>
    <w:uiPriority w:val="99"/>
    <w:rsid w:val="00AD59AF"/>
    <w:pPr>
      <w:widowControl w:val="0"/>
      <w:autoSpaceDE w:val="0"/>
      <w:autoSpaceDN w:val="0"/>
      <w:jc w:val="left"/>
    </w:pPr>
    <w:rPr>
      <w:rFonts w:ascii="Courier New" w:eastAsia="Times New Roman" w:hAnsi="Courier New" w:cs="Courier New"/>
      <w:sz w:val="20"/>
      <w:szCs w:val="20"/>
      <w:lang w:eastAsia="ru-RU"/>
    </w:rPr>
  </w:style>
  <w:style w:type="table" w:styleId="af3">
    <w:name w:val="Table Grid"/>
    <w:basedOn w:val="a1"/>
    <w:uiPriority w:val="59"/>
    <w:rsid w:val="00AD59AF"/>
    <w:pPr>
      <w:spacing w:after="200" w:line="276" w:lineRule="auto"/>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0D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rsid w:val="000D1DF8"/>
    <w:rPr>
      <w:rFonts w:ascii="Courier New" w:eastAsia="Times New Roman" w:hAnsi="Courier New" w:cs="Courier New"/>
      <w:sz w:val="20"/>
      <w:szCs w:val="20"/>
      <w:lang w:eastAsia="ru-RU"/>
    </w:rPr>
  </w:style>
  <w:style w:type="paragraph" w:customStyle="1" w:styleId="af4">
    <w:name w:val="Абзац_пост"/>
    <w:basedOn w:val="a"/>
    <w:rsid w:val="000D1DF8"/>
    <w:pPr>
      <w:spacing w:before="120"/>
      <w:ind w:firstLine="720"/>
      <w:jc w:val="both"/>
    </w:pPr>
    <w:rPr>
      <w:sz w:val="26"/>
    </w:rPr>
  </w:style>
  <w:style w:type="character" w:customStyle="1" w:styleId="af5">
    <w:name w:val="Гипертекстовая ссылка"/>
    <w:basedOn w:val="a0"/>
    <w:rsid w:val="000D1DF8"/>
    <w:rPr>
      <w:b/>
      <w:bCs/>
      <w:color w:val="106BBE"/>
    </w:rPr>
  </w:style>
  <w:style w:type="character" w:customStyle="1" w:styleId="20">
    <w:name w:val="Заголовок 2 Знак"/>
    <w:basedOn w:val="a0"/>
    <w:link w:val="2"/>
    <w:rsid w:val="000108DC"/>
    <w:rPr>
      <w:rFonts w:eastAsia="Times New Roman" w:cs="Times New Roman"/>
      <w:b/>
      <w:sz w:val="52"/>
      <w:szCs w:val="20"/>
      <w:lang w:eastAsia="ru-RU"/>
    </w:rPr>
  </w:style>
  <w:style w:type="character" w:customStyle="1" w:styleId="30">
    <w:name w:val="Заголовок 3 Знак"/>
    <w:basedOn w:val="a0"/>
    <w:link w:val="3"/>
    <w:rsid w:val="000108DC"/>
    <w:rPr>
      <w:rFonts w:eastAsia="Times New Roman" w:cs="Times New Roman"/>
      <w:sz w:val="40"/>
      <w:szCs w:val="20"/>
      <w:lang w:eastAsia="ru-RU"/>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link w:val="4"/>
    <w:rsid w:val="000108DC"/>
    <w:rPr>
      <w:rFonts w:eastAsia="Times New Roman" w:cs="Times New Roman"/>
      <w:b/>
      <w:sz w:val="36"/>
      <w:szCs w:val="20"/>
      <w:u w:val="single"/>
      <w:lang w:eastAsia="ru-RU"/>
    </w:rPr>
  </w:style>
  <w:style w:type="character" w:customStyle="1" w:styleId="50">
    <w:name w:val="Заголовок 5 Знак"/>
    <w:basedOn w:val="a0"/>
    <w:link w:val="5"/>
    <w:rsid w:val="000108DC"/>
    <w:rPr>
      <w:rFonts w:eastAsia="Times New Roman" w:cs="Times New Roman"/>
      <w:sz w:val="36"/>
      <w:szCs w:val="20"/>
      <w:lang w:eastAsia="ru-RU"/>
    </w:rPr>
  </w:style>
  <w:style w:type="character" w:customStyle="1" w:styleId="60">
    <w:name w:val="Заголовок 6 Знак"/>
    <w:basedOn w:val="a0"/>
    <w:link w:val="6"/>
    <w:rsid w:val="000108DC"/>
    <w:rPr>
      <w:rFonts w:eastAsia="Times New Roman" w:cs="Times New Roman"/>
      <w:b/>
      <w:szCs w:val="20"/>
      <w:lang w:eastAsia="ru-RU"/>
    </w:rPr>
  </w:style>
  <w:style w:type="character" w:customStyle="1" w:styleId="70">
    <w:name w:val="Заголовок 7 Знак"/>
    <w:basedOn w:val="a0"/>
    <w:link w:val="7"/>
    <w:rsid w:val="000108DC"/>
    <w:rPr>
      <w:rFonts w:eastAsia="Times New Roman" w:cs="Times New Roman"/>
      <w:sz w:val="32"/>
      <w:szCs w:val="20"/>
      <w:lang w:eastAsia="ru-RU"/>
    </w:rPr>
  </w:style>
  <w:style w:type="character" w:customStyle="1" w:styleId="80">
    <w:name w:val="Заголовок 8 Знак"/>
    <w:basedOn w:val="a0"/>
    <w:link w:val="8"/>
    <w:rsid w:val="000108DC"/>
    <w:rPr>
      <w:rFonts w:ascii="Arial" w:eastAsia="Times New Roman" w:hAnsi="Arial" w:cs="Times New Roman"/>
      <w:b/>
      <w:sz w:val="24"/>
      <w:szCs w:val="20"/>
      <w:lang w:eastAsia="ru-RU"/>
    </w:rPr>
  </w:style>
  <w:style w:type="character" w:customStyle="1" w:styleId="90">
    <w:name w:val="Заголовок 9 Знак"/>
    <w:basedOn w:val="a0"/>
    <w:link w:val="9"/>
    <w:rsid w:val="000108DC"/>
    <w:rPr>
      <w:rFonts w:eastAsia="Times New Roman" w:cs="Times New Roman"/>
      <w:b/>
      <w:szCs w:val="20"/>
      <w:u w:val="single"/>
      <w:lang w:eastAsia="ru-RU"/>
    </w:rPr>
  </w:style>
  <w:style w:type="paragraph" w:styleId="af6">
    <w:name w:val="Body Text"/>
    <w:basedOn w:val="a"/>
    <w:link w:val="af7"/>
    <w:rsid w:val="000108DC"/>
    <w:rPr>
      <w:b/>
      <w:sz w:val="40"/>
      <w:szCs w:val="20"/>
      <w:u w:val="single"/>
    </w:rPr>
  </w:style>
  <w:style w:type="character" w:customStyle="1" w:styleId="af7">
    <w:name w:val="Основной текст Знак"/>
    <w:basedOn w:val="a0"/>
    <w:link w:val="af6"/>
    <w:rsid w:val="000108DC"/>
    <w:rPr>
      <w:rFonts w:eastAsia="Times New Roman" w:cs="Times New Roman"/>
      <w:b/>
      <w:sz w:val="40"/>
      <w:szCs w:val="20"/>
      <w:u w:val="single"/>
      <w:lang w:eastAsia="ru-RU"/>
    </w:rPr>
  </w:style>
  <w:style w:type="paragraph" w:styleId="21">
    <w:name w:val="Body Text 2"/>
    <w:basedOn w:val="a"/>
    <w:link w:val="22"/>
    <w:rsid w:val="000108DC"/>
    <w:rPr>
      <w:b/>
      <w:sz w:val="36"/>
      <w:szCs w:val="20"/>
      <w:u w:val="single"/>
    </w:rPr>
  </w:style>
  <w:style w:type="character" w:customStyle="1" w:styleId="22">
    <w:name w:val="Основной текст 2 Знак"/>
    <w:basedOn w:val="a0"/>
    <w:link w:val="21"/>
    <w:rsid w:val="000108DC"/>
    <w:rPr>
      <w:rFonts w:eastAsia="Times New Roman" w:cs="Times New Roman"/>
      <w:b/>
      <w:sz w:val="36"/>
      <w:szCs w:val="20"/>
      <w:u w:val="single"/>
      <w:lang w:eastAsia="ru-RU"/>
    </w:rPr>
  </w:style>
  <w:style w:type="paragraph" w:styleId="31">
    <w:name w:val="Body Text 3"/>
    <w:basedOn w:val="a"/>
    <w:link w:val="32"/>
    <w:rsid w:val="000108DC"/>
    <w:rPr>
      <w:sz w:val="28"/>
      <w:szCs w:val="20"/>
    </w:rPr>
  </w:style>
  <w:style w:type="character" w:customStyle="1" w:styleId="32">
    <w:name w:val="Основной текст 3 Знак"/>
    <w:basedOn w:val="a0"/>
    <w:link w:val="31"/>
    <w:rsid w:val="000108DC"/>
    <w:rPr>
      <w:rFonts w:eastAsia="Times New Roman" w:cs="Times New Roman"/>
      <w:szCs w:val="20"/>
      <w:lang w:eastAsia="ru-RU"/>
    </w:rPr>
  </w:style>
  <w:style w:type="paragraph" w:styleId="23">
    <w:name w:val="Body Text Indent 2"/>
    <w:basedOn w:val="a"/>
    <w:link w:val="24"/>
    <w:rsid w:val="000108DC"/>
    <w:pPr>
      <w:ind w:left="720"/>
    </w:pPr>
    <w:rPr>
      <w:sz w:val="28"/>
      <w:szCs w:val="20"/>
    </w:rPr>
  </w:style>
  <w:style w:type="character" w:customStyle="1" w:styleId="24">
    <w:name w:val="Основной текст с отступом 2 Знак"/>
    <w:basedOn w:val="a0"/>
    <w:link w:val="23"/>
    <w:rsid w:val="000108DC"/>
    <w:rPr>
      <w:rFonts w:eastAsia="Times New Roman" w:cs="Times New Roman"/>
      <w:szCs w:val="20"/>
      <w:lang w:eastAsia="ru-RU"/>
    </w:rPr>
  </w:style>
  <w:style w:type="character" w:customStyle="1" w:styleId="41">
    <w:name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108DC"/>
    <w:rPr>
      <w:b/>
      <w:noProof w:val="0"/>
      <w:sz w:val="36"/>
      <w:u w:val="single"/>
      <w:lang w:val="ru-RU" w:eastAsia="ru-RU" w:bidi="ar-SA"/>
    </w:rPr>
  </w:style>
  <w:style w:type="paragraph" w:customStyle="1" w:styleId="ConsNormal">
    <w:name w:val="ConsNormal"/>
    <w:rsid w:val="000108D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8">
    <w:name w:val="footnote text"/>
    <w:aliases w:val="Текст сноски-FN,Footnote Text Char Знак Знак,Footnote Text Char Знак"/>
    <w:basedOn w:val="a"/>
    <w:link w:val="af9"/>
    <w:semiHidden/>
    <w:rsid w:val="000108DC"/>
    <w:rPr>
      <w:sz w:val="20"/>
      <w:szCs w:val="20"/>
    </w:rPr>
  </w:style>
  <w:style w:type="character" w:customStyle="1" w:styleId="af9">
    <w:name w:val="Текст сноски Знак"/>
    <w:aliases w:val="Текст сноски-FN Знак,Footnote Text Char Знак Знак Знак,Footnote Text Char Знак Знак1"/>
    <w:basedOn w:val="a0"/>
    <w:link w:val="af8"/>
    <w:semiHidden/>
    <w:rsid w:val="000108DC"/>
    <w:rPr>
      <w:rFonts w:eastAsia="Times New Roman" w:cs="Times New Roman"/>
      <w:sz w:val="20"/>
      <w:szCs w:val="20"/>
      <w:lang w:eastAsia="ru-RU"/>
    </w:rPr>
  </w:style>
  <w:style w:type="character" w:styleId="afa">
    <w:name w:val="footnote reference"/>
    <w:semiHidden/>
    <w:rsid w:val="000108DC"/>
    <w:rPr>
      <w:vertAlign w:val="superscript"/>
    </w:rPr>
  </w:style>
  <w:style w:type="paragraph" w:styleId="33">
    <w:name w:val="Body Text Indent 3"/>
    <w:basedOn w:val="a"/>
    <w:link w:val="34"/>
    <w:rsid w:val="000108DC"/>
    <w:pPr>
      <w:spacing w:after="120"/>
      <w:ind w:left="283"/>
    </w:pPr>
    <w:rPr>
      <w:sz w:val="16"/>
      <w:szCs w:val="16"/>
    </w:rPr>
  </w:style>
  <w:style w:type="character" w:customStyle="1" w:styleId="34">
    <w:name w:val="Основной текст с отступом 3 Знак"/>
    <w:basedOn w:val="a0"/>
    <w:link w:val="33"/>
    <w:rsid w:val="000108DC"/>
    <w:rPr>
      <w:rFonts w:eastAsia="Times New Roman" w:cs="Times New Roman"/>
      <w:sz w:val="16"/>
      <w:szCs w:val="16"/>
      <w:lang w:eastAsia="ru-RU"/>
    </w:rPr>
  </w:style>
  <w:style w:type="character" w:styleId="afb">
    <w:name w:val="page number"/>
    <w:basedOn w:val="a0"/>
    <w:rsid w:val="000108DC"/>
  </w:style>
  <w:style w:type="paragraph" w:styleId="afc">
    <w:name w:val="Normal (Web)"/>
    <w:basedOn w:val="a"/>
    <w:rsid w:val="000108DC"/>
    <w:pPr>
      <w:spacing w:before="100" w:beforeAutospacing="1" w:after="100" w:afterAutospacing="1"/>
    </w:pPr>
  </w:style>
  <w:style w:type="paragraph" w:customStyle="1" w:styleId="source2">
    <w:name w:val="source2"/>
    <w:basedOn w:val="a"/>
    <w:rsid w:val="000108DC"/>
    <w:rPr>
      <w:rFonts w:ascii="Arial Unicode MS" w:eastAsia="Arial Unicode MS" w:hAnsi="Arial Unicode MS" w:cs="@Arial Unicode MS"/>
      <w:color w:val="000000"/>
    </w:rPr>
  </w:style>
  <w:style w:type="paragraph" w:styleId="11">
    <w:name w:val="toc 1"/>
    <w:basedOn w:val="a"/>
    <w:next w:val="a"/>
    <w:autoRedefine/>
    <w:semiHidden/>
    <w:rsid w:val="000108DC"/>
    <w:pPr>
      <w:ind w:left="284" w:hanging="284"/>
    </w:pPr>
    <w:rPr>
      <w:szCs w:val="20"/>
    </w:rPr>
  </w:style>
  <w:style w:type="paragraph" w:customStyle="1" w:styleId="afd">
    <w:name w:val="раздилитель сноски"/>
    <w:basedOn w:val="a"/>
    <w:next w:val="af8"/>
    <w:rsid w:val="000108DC"/>
    <w:pPr>
      <w:spacing w:after="120"/>
      <w:jc w:val="both"/>
    </w:pPr>
    <w:rPr>
      <w:szCs w:val="20"/>
      <w:lang w:val="en-US"/>
    </w:rPr>
  </w:style>
  <w:style w:type="paragraph" w:customStyle="1" w:styleId="210">
    <w:name w:val="Основной текст 21"/>
    <w:basedOn w:val="a"/>
    <w:rsid w:val="000108DC"/>
    <w:pPr>
      <w:shd w:val="clear" w:color="auto" w:fill="FFFFFF"/>
      <w:overflowPunct w:val="0"/>
      <w:autoSpaceDE w:val="0"/>
      <w:autoSpaceDN w:val="0"/>
      <w:adjustRightInd w:val="0"/>
      <w:spacing w:before="1272" w:line="331" w:lineRule="exact"/>
      <w:ind w:left="34" w:firstLine="830"/>
      <w:jc w:val="both"/>
      <w:textAlignment w:val="baseline"/>
    </w:pPr>
    <w:rPr>
      <w:sz w:val="28"/>
      <w:szCs w:val="20"/>
    </w:rPr>
  </w:style>
  <w:style w:type="paragraph" w:customStyle="1" w:styleId="BodyText21">
    <w:name w:val="Body Text 21"/>
    <w:basedOn w:val="a"/>
    <w:rsid w:val="000108DC"/>
    <w:pPr>
      <w:ind w:firstLine="720"/>
      <w:jc w:val="both"/>
    </w:pPr>
    <w:rPr>
      <w:sz w:val="28"/>
      <w:szCs w:val="20"/>
    </w:rPr>
  </w:style>
  <w:style w:type="paragraph" w:customStyle="1" w:styleId="FR1">
    <w:name w:val="FR1"/>
    <w:rsid w:val="000108DC"/>
    <w:pPr>
      <w:widowControl w:val="0"/>
      <w:autoSpaceDE w:val="0"/>
      <w:autoSpaceDN w:val="0"/>
      <w:adjustRightInd w:val="0"/>
      <w:spacing w:before="120"/>
      <w:ind w:right="1600"/>
      <w:jc w:val="left"/>
    </w:pPr>
    <w:rPr>
      <w:rFonts w:ascii="Arial" w:eastAsia="Times New Roman" w:hAnsi="Arial" w:cs="Arial"/>
      <w:sz w:val="22"/>
      <w:lang w:eastAsia="ru-RU"/>
    </w:rPr>
  </w:style>
  <w:style w:type="character" w:styleId="afe">
    <w:name w:val="FollowedHyperlink"/>
    <w:rsid w:val="000108DC"/>
    <w:rPr>
      <w:color w:val="800080"/>
      <w:u w:val="single"/>
    </w:rPr>
  </w:style>
  <w:style w:type="paragraph" w:customStyle="1" w:styleId="xl50">
    <w:name w:val="xl50"/>
    <w:basedOn w:val="a"/>
    <w:rsid w:val="000108DC"/>
    <w:pPr>
      <w:spacing w:before="100" w:beforeAutospacing="1" w:after="100" w:afterAutospacing="1"/>
      <w:jc w:val="center"/>
      <w:textAlignment w:val="center"/>
    </w:pPr>
    <w:rPr>
      <w:rFonts w:eastAsia="Arial Unicode MS"/>
      <w:b/>
      <w:bCs/>
      <w:sz w:val="28"/>
      <w:szCs w:val="28"/>
    </w:rPr>
  </w:style>
  <w:style w:type="paragraph" w:customStyle="1" w:styleId="12">
    <w:name w:val="Обычный1"/>
    <w:rsid w:val="000108DC"/>
    <w:pPr>
      <w:jc w:val="left"/>
    </w:pPr>
    <w:rPr>
      <w:rFonts w:ascii="Courier New" w:eastAsia="Times New Roman" w:hAnsi="Courier New" w:cs="Times New Roman"/>
      <w:snapToGrid w:val="0"/>
      <w:sz w:val="20"/>
      <w:szCs w:val="20"/>
      <w:lang w:eastAsia="ru-RU"/>
    </w:rPr>
  </w:style>
  <w:style w:type="paragraph" w:customStyle="1" w:styleId="a00">
    <w:name w:val="a0"/>
    <w:basedOn w:val="a"/>
    <w:rsid w:val="000108DC"/>
    <w:pPr>
      <w:spacing w:after="120"/>
      <w:jc w:val="both"/>
    </w:pPr>
    <w:rPr>
      <w:rFonts w:eastAsia="Arial Unicode MS"/>
    </w:rPr>
  </w:style>
  <w:style w:type="paragraph" w:styleId="aff">
    <w:name w:val="Block Text"/>
    <w:basedOn w:val="a"/>
    <w:rsid w:val="000108DC"/>
    <w:pPr>
      <w:spacing w:line="360" w:lineRule="auto"/>
      <w:ind w:left="1080" w:right="-1" w:hanging="384"/>
    </w:pPr>
    <w:rPr>
      <w:sz w:val="28"/>
    </w:rPr>
  </w:style>
  <w:style w:type="paragraph" w:customStyle="1" w:styleId="xl22">
    <w:name w:val="xl22"/>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rPr>
  </w:style>
  <w:style w:type="paragraph" w:customStyle="1" w:styleId="xl23">
    <w:name w:val="xl23"/>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24">
    <w:name w:val="xl24"/>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5">
    <w:name w:val="xl25"/>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7">
    <w:name w:val="xl27"/>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28">
    <w:name w:val="xl28"/>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rPr>
  </w:style>
  <w:style w:type="paragraph" w:customStyle="1" w:styleId="xl29">
    <w:name w:val="xl29"/>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i/>
      <w:iCs/>
    </w:rPr>
  </w:style>
  <w:style w:type="paragraph" w:customStyle="1" w:styleId="xl30">
    <w:name w:val="xl30"/>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i/>
      <w:iCs/>
    </w:rPr>
  </w:style>
  <w:style w:type="paragraph" w:customStyle="1" w:styleId="xl31">
    <w:name w:val="xl31"/>
    <w:basedOn w:val="a"/>
    <w:rsid w:val="000108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eastAsia="Arial Unicode MS"/>
    </w:rPr>
  </w:style>
  <w:style w:type="paragraph" w:customStyle="1" w:styleId="xl32">
    <w:name w:val="xl32"/>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3">
    <w:name w:val="xl33"/>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rPr>
  </w:style>
  <w:style w:type="paragraph" w:customStyle="1" w:styleId="xl34">
    <w:name w:val="xl34"/>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5">
    <w:name w:val="xl35"/>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i/>
      <w:iCs/>
    </w:rPr>
  </w:style>
  <w:style w:type="paragraph" w:customStyle="1" w:styleId="xl36">
    <w:name w:val="xl36"/>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7">
    <w:name w:val="xl37"/>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rPr>
  </w:style>
  <w:style w:type="paragraph" w:customStyle="1" w:styleId="xl38">
    <w:name w:val="xl38"/>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9">
    <w:name w:val="xl39"/>
    <w:basedOn w:val="a"/>
    <w:rsid w:val="000108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rPr>
  </w:style>
  <w:style w:type="paragraph" w:styleId="aff0">
    <w:name w:val="Plain Text"/>
    <w:basedOn w:val="a"/>
    <w:link w:val="aff1"/>
    <w:rsid w:val="000108DC"/>
    <w:rPr>
      <w:rFonts w:ascii="Courier New" w:hAnsi="Courier New"/>
      <w:sz w:val="20"/>
      <w:szCs w:val="20"/>
    </w:rPr>
  </w:style>
  <w:style w:type="character" w:customStyle="1" w:styleId="aff1">
    <w:name w:val="Текст Знак"/>
    <w:basedOn w:val="a0"/>
    <w:link w:val="aff0"/>
    <w:rsid w:val="000108DC"/>
    <w:rPr>
      <w:rFonts w:ascii="Courier New" w:eastAsia="Times New Roman" w:hAnsi="Courier New" w:cs="Times New Roman"/>
      <w:sz w:val="20"/>
      <w:szCs w:val="20"/>
      <w:lang w:eastAsia="ru-RU"/>
    </w:rPr>
  </w:style>
  <w:style w:type="character" w:customStyle="1" w:styleId="aff2">
    <w:name w:val="основ_текст"/>
    <w:basedOn w:val="a0"/>
    <w:rsid w:val="000108DC"/>
  </w:style>
  <w:style w:type="paragraph" w:customStyle="1" w:styleId="aff3">
    <w:name w:val="Стиль"/>
    <w:rsid w:val="000108DC"/>
    <w:pPr>
      <w:widowControl w:val="0"/>
      <w:autoSpaceDE w:val="0"/>
      <w:autoSpaceDN w:val="0"/>
      <w:adjustRightInd w:val="0"/>
      <w:jc w:val="left"/>
    </w:pPr>
    <w:rPr>
      <w:rFonts w:eastAsia="Times New Roman" w:cs="Times New Roman"/>
      <w:sz w:val="24"/>
      <w:szCs w:val="24"/>
      <w:lang w:eastAsia="ru-RU"/>
    </w:rPr>
  </w:style>
  <w:style w:type="paragraph" w:customStyle="1" w:styleId="13">
    <w:name w:val="Стиль1"/>
    <w:basedOn w:val="a"/>
    <w:link w:val="14"/>
    <w:rsid w:val="000108DC"/>
    <w:pPr>
      <w:ind w:left="720" w:hanging="360"/>
      <w:jc w:val="both"/>
    </w:pPr>
    <w:rPr>
      <w:rFonts w:ascii="Arial" w:hAnsi="Arial"/>
      <w:sz w:val="20"/>
      <w:szCs w:val="20"/>
      <w:lang w:eastAsia="en-US"/>
    </w:rPr>
  </w:style>
  <w:style w:type="character" w:customStyle="1" w:styleId="14">
    <w:name w:val="Стиль1 Знак"/>
    <w:link w:val="13"/>
    <w:locked/>
    <w:rsid w:val="000108DC"/>
    <w:rPr>
      <w:rFonts w:ascii="Arial" w:eastAsia="Times New Roman" w:hAnsi="Arial" w:cs="Times New Roman"/>
      <w:sz w:val="20"/>
      <w:szCs w:val="20"/>
    </w:rPr>
  </w:style>
  <w:style w:type="character" w:customStyle="1" w:styleId="af">
    <w:name w:val="Без интервала Знак"/>
    <w:link w:val="ae"/>
    <w:uiPriority w:val="99"/>
    <w:locked/>
    <w:rsid w:val="000108DC"/>
    <w:rPr>
      <w:rFonts w:ascii="Calibri" w:eastAsia="Calibri" w:hAnsi="Calibri" w:cs="Times New Roman"/>
      <w:sz w:val="22"/>
    </w:rPr>
  </w:style>
  <w:style w:type="character" w:customStyle="1" w:styleId="aff4">
    <w:name w:val="Основной текст_"/>
    <w:link w:val="71"/>
    <w:rsid w:val="000108DC"/>
    <w:rPr>
      <w:sz w:val="27"/>
      <w:szCs w:val="27"/>
      <w:shd w:val="clear" w:color="auto" w:fill="FFFFFF"/>
    </w:rPr>
  </w:style>
  <w:style w:type="character" w:customStyle="1" w:styleId="aff5">
    <w:name w:val="Основной текст + Полужирный"/>
    <w:rsid w:val="000108D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71">
    <w:name w:val="Основной текст7"/>
    <w:basedOn w:val="a"/>
    <w:link w:val="aff4"/>
    <w:rsid w:val="000108DC"/>
    <w:pPr>
      <w:widowControl w:val="0"/>
      <w:shd w:val="clear" w:color="auto" w:fill="FFFFFF"/>
      <w:spacing w:line="322" w:lineRule="exact"/>
      <w:ind w:hanging="360"/>
    </w:pPr>
    <w:rPr>
      <w:rFonts w:eastAsiaTheme="minorHAnsi" w:cstheme="minorBidi"/>
      <w:sz w:val="27"/>
      <w:szCs w:val="27"/>
      <w:lang w:eastAsia="en-US"/>
    </w:rPr>
  </w:style>
  <w:style w:type="character" w:customStyle="1" w:styleId="25">
    <w:name w:val="Заголовок №2_"/>
    <w:link w:val="26"/>
    <w:rsid w:val="000108DC"/>
    <w:rPr>
      <w:b/>
      <w:bCs/>
      <w:sz w:val="27"/>
      <w:szCs w:val="27"/>
      <w:shd w:val="clear" w:color="auto" w:fill="FFFFFF"/>
    </w:rPr>
  </w:style>
  <w:style w:type="paragraph" w:customStyle="1" w:styleId="26">
    <w:name w:val="Заголовок №2"/>
    <w:basedOn w:val="a"/>
    <w:link w:val="25"/>
    <w:rsid w:val="000108DC"/>
    <w:pPr>
      <w:widowControl w:val="0"/>
      <w:shd w:val="clear" w:color="auto" w:fill="FFFFFF"/>
      <w:spacing w:line="322" w:lineRule="exact"/>
      <w:ind w:hanging="1180"/>
      <w:outlineLvl w:val="1"/>
    </w:pPr>
    <w:rPr>
      <w:rFonts w:eastAsiaTheme="minorHAnsi" w:cstheme="minorBidi"/>
      <w:b/>
      <w:bCs/>
      <w:sz w:val="27"/>
      <w:szCs w:val="27"/>
      <w:lang w:eastAsia="en-US"/>
    </w:rPr>
  </w:style>
  <w:style w:type="paragraph" w:customStyle="1" w:styleId="ConsNonformat">
    <w:name w:val="ConsNonformat"/>
    <w:rsid w:val="00BC6C43"/>
    <w:pPr>
      <w:widowControl w:val="0"/>
      <w:snapToGrid w:val="0"/>
      <w:ind w:right="19772"/>
      <w:jc w:val="left"/>
    </w:pPr>
    <w:rPr>
      <w:rFonts w:ascii="Courier New" w:eastAsia="Times New Roman" w:hAnsi="Courier New" w:cs="Times New Roman"/>
      <w:sz w:val="20"/>
      <w:szCs w:val="20"/>
      <w:lang w:eastAsia="ru-RU"/>
    </w:rPr>
  </w:style>
  <w:style w:type="character" w:customStyle="1" w:styleId="apple-converted-space">
    <w:name w:val="apple-converted-space"/>
    <w:basedOn w:val="a0"/>
    <w:rsid w:val="00E0572C"/>
  </w:style>
  <w:style w:type="paragraph" w:customStyle="1" w:styleId="ConsPlusDocList">
    <w:name w:val="ConsPlusDocList"/>
    <w:next w:val="a"/>
    <w:rsid w:val="00B87700"/>
    <w:pPr>
      <w:widowControl w:val="0"/>
      <w:suppressAutoHyphens/>
      <w:autoSpaceDE w:val="0"/>
      <w:jc w:val="left"/>
    </w:pPr>
    <w:rPr>
      <w:rFonts w:ascii="Arial" w:eastAsia="Arial" w:hAnsi="Arial" w:cs="Arial"/>
      <w:kern w:val="1"/>
      <w:sz w:val="20"/>
      <w:szCs w:val="20"/>
      <w:lang w:eastAsia="hi-IN" w:bidi="hi-IN"/>
    </w:rPr>
  </w:style>
  <w:style w:type="paragraph" w:customStyle="1" w:styleId="ConsPlusDocList0">
    <w:name w:val="ConsPlusDocList"/>
    <w:next w:val="a"/>
    <w:rsid w:val="00DC5C0F"/>
    <w:pPr>
      <w:widowControl w:val="0"/>
      <w:suppressAutoHyphens/>
      <w:autoSpaceDE w:val="0"/>
      <w:jc w:val="left"/>
    </w:pPr>
    <w:rPr>
      <w:rFonts w:ascii="Arial" w:eastAsia="Arial" w:hAnsi="Arial" w:cs="Arial"/>
      <w:kern w:val="1"/>
      <w:sz w:val="20"/>
      <w:szCs w:val="20"/>
      <w:lang w:eastAsia="hi-IN" w:bidi="hi-IN"/>
    </w:rPr>
  </w:style>
  <w:style w:type="paragraph" w:customStyle="1" w:styleId="ConsPlusDocList1">
    <w:name w:val="ConsPlusDocList"/>
    <w:next w:val="a"/>
    <w:rsid w:val="00470B5A"/>
    <w:pPr>
      <w:widowControl w:val="0"/>
      <w:suppressAutoHyphens/>
      <w:autoSpaceDE w:val="0"/>
      <w:jc w:val="left"/>
    </w:pPr>
    <w:rPr>
      <w:rFonts w:ascii="Arial" w:eastAsia="Arial" w:hAnsi="Arial" w:cs="Arial"/>
      <w:kern w:val="1"/>
      <w:sz w:val="20"/>
      <w:szCs w:val="20"/>
      <w:lang w:eastAsia="hi-IN" w:bidi="hi-IN"/>
    </w:rPr>
  </w:style>
  <w:style w:type="paragraph" w:customStyle="1" w:styleId="western">
    <w:name w:val="western"/>
    <w:basedOn w:val="a"/>
    <w:rsid w:val="006F1CB1"/>
    <w:pPr>
      <w:spacing w:before="100" w:beforeAutospacing="1" w:after="100" w:afterAutospacing="1"/>
    </w:pPr>
    <w:rPr>
      <w:rFonts w:ascii="Arial" w:hAnsi="Arial" w:cs="Arial"/>
      <w:sz w:val="22"/>
      <w:szCs w:val="22"/>
    </w:rPr>
  </w:style>
  <w:style w:type="paragraph" w:customStyle="1" w:styleId="Default">
    <w:name w:val="Default"/>
    <w:rsid w:val="003D19DF"/>
    <w:pPr>
      <w:autoSpaceDE w:val="0"/>
      <w:autoSpaceDN w:val="0"/>
      <w:adjustRightInd w:val="0"/>
      <w:jc w:val="left"/>
    </w:pPr>
    <w:rPr>
      <w:rFonts w:eastAsia="Times New Roman" w:cs="Times New Roman"/>
      <w:color w:val="000000"/>
      <w:sz w:val="24"/>
      <w:szCs w:val="24"/>
      <w:lang w:eastAsia="ru-RU"/>
    </w:rPr>
  </w:style>
  <w:style w:type="paragraph" w:customStyle="1" w:styleId="p12">
    <w:name w:val="p12"/>
    <w:basedOn w:val="a"/>
    <w:rsid w:val="005A2E8F"/>
    <w:pPr>
      <w:spacing w:before="100" w:beforeAutospacing="1" w:after="100" w:afterAutospacing="1"/>
    </w:pPr>
  </w:style>
  <w:style w:type="character" w:styleId="aff6">
    <w:name w:val="Strong"/>
    <w:basedOn w:val="a0"/>
    <w:uiPriority w:val="99"/>
    <w:qFormat/>
    <w:rsid w:val="00177CBE"/>
    <w:rPr>
      <w:rFonts w:cs="Times New Roman"/>
      <w:b/>
      <w:bCs/>
    </w:rPr>
  </w:style>
  <w:style w:type="character" w:customStyle="1" w:styleId="c6">
    <w:name w:val="c6"/>
    <w:uiPriority w:val="99"/>
    <w:rsid w:val="00177CBE"/>
  </w:style>
  <w:style w:type="paragraph" w:customStyle="1" w:styleId="15">
    <w:name w:val="Без интервала1"/>
    <w:rsid w:val="00177CBE"/>
    <w:pPr>
      <w:jc w:val="left"/>
    </w:pPr>
    <w:rPr>
      <w:rFonts w:ascii="Calibri" w:eastAsia="Calibri" w:hAnsi="Calibri" w:cs="Times New Roman"/>
      <w:sz w:val="2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6.xml"/><Relationship Id="rId21" Type="http://schemas.openxmlformats.org/officeDocument/2006/relationships/image" Target="media/image2.jpeg"/><Relationship Id="rId34" Type="http://schemas.openxmlformats.org/officeDocument/2006/relationships/image" Target="media/image6.jpeg"/><Relationship Id="rId42" Type="http://schemas.openxmlformats.org/officeDocument/2006/relationships/chart" Target="charts/chart28.xml"/><Relationship Id="rId47" Type="http://schemas.openxmlformats.org/officeDocument/2006/relationships/chart" Target="charts/chart30.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41" Type="http://schemas.openxmlformats.org/officeDocument/2006/relationships/chart" Target="charts/chart27.xml"/><Relationship Id="rId54" Type="http://schemas.openxmlformats.org/officeDocument/2006/relationships/chart" Target="charts/chart3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1.xml"/><Relationship Id="rId37" Type="http://schemas.openxmlformats.org/officeDocument/2006/relationships/chart" Target="charts/chart24.xml"/><Relationship Id="rId40" Type="http://schemas.openxmlformats.org/officeDocument/2006/relationships/image" Target="media/image7.jpeg"/><Relationship Id="rId45" Type="http://schemas.openxmlformats.org/officeDocument/2006/relationships/image" Target="media/image9.jpeg"/><Relationship Id="rId53" Type="http://schemas.openxmlformats.org/officeDocument/2006/relationships/chart" Target="charts/chart35.xml"/><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3.xml"/><Relationship Id="rId49" Type="http://schemas.openxmlformats.org/officeDocument/2006/relationships/chart" Target="charts/chart31.xml"/><Relationship Id="rId57" Type="http://schemas.openxmlformats.org/officeDocument/2006/relationships/image" Target="media/image13.png"/><Relationship Id="rId61"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4.jpeg"/><Relationship Id="rId44" Type="http://schemas.openxmlformats.org/officeDocument/2006/relationships/image" Target="media/image8.jpeg"/><Relationship Id="rId52" Type="http://schemas.openxmlformats.org/officeDocument/2006/relationships/chart" Target="charts/chart34.xm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3.jpeg"/><Relationship Id="rId35" Type="http://schemas.openxmlformats.org/officeDocument/2006/relationships/chart" Target="charts/chart22.xml"/><Relationship Id="rId43" Type="http://schemas.openxmlformats.org/officeDocument/2006/relationships/chart" Target="charts/chart29.xml"/><Relationship Id="rId48" Type="http://schemas.openxmlformats.org/officeDocument/2006/relationships/image" Target="media/image11.jpeg"/><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image" Target="media/image5.jpeg"/><Relationship Id="rId38" Type="http://schemas.openxmlformats.org/officeDocument/2006/relationships/chart" Target="charts/chart25.xml"/><Relationship Id="rId46" Type="http://schemas.openxmlformats.org/officeDocument/2006/relationships/image" Target="media/image10.jpeg"/><Relationship Id="rId59"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title>
      <c:layout>
        <c:manualLayout>
          <c:xMode val="edge"/>
          <c:yMode val="edge"/>
          <c:x val="0.23586433381402852"/>
          <c:y val="2.0942577299788743E-2"/>
        </c:manualLayout>
      </c:layout>
      <c:spPr>
        <a:noFill/>
        <a:ln w="25392">
          <a:noFill/>
        </a:ln>
      </c:spPr>
      <c:txPr>
        <a:bodyPr/>
        <a:lstStyle/>
        <a:p>
          <a:pPr>
            <a:defRPr sz="1200"/>
          </a:pPr>
          <a:endParaRPr lang="ru-RU"/>
        </a:p>
      </c:txPr>
    </c:title>
    <c:plotArea>
      <c:layout>
        <c:manualLayout>
          <c:layoutTarget val="inner"/>
          <c:xMode val="edge"/>
          <c:yMode val="edge"/>
          <c:x val="1.6322089227421434E-2"/>
          <c:y val="0.20748299319728325"/>
          <c:w val="0.95429815016322084"/>
          <c:h val="0.59863945578231259"/>
        </c:manualLayout>
      </c:layout>
      <c:lineChart>
        <c:grouping val="stacked"/>
        <c:ser>
          <c:idx val="0"/>
          <c:order val="0"/>
          <c:tx>
            <c:strRef>
              <c:f>Лист1!$B$1</c:f>
              <c:strCache>
                <c:ptCount val="1"/>
                <c:pt idx="0">
                  <c:v>Численность населения района на начало года, чел.</c:v>
                </c:pt>
              </c:strCache>
            </c:strRef>
          </c:tx>
          <c:dLbls>
            <c:dLbl>
              <c:idx val="0"/>
              <c:layout>
                <c:manualLayout>
                  <c:x val="-3.7348011238987032E-2"/>
                  <c:y val="-6.797340844031291E-2"/>
                </c:manualLayout>
              </c:layout>
              <c:dLblPos val="r"/>
              <c:showVal val="1"/>
            </c:dLbl>
            <c:dLbl>
              <c:idx val="1"/>
              <c:layout>
                <c:manualLayout>
                  <c:x val="-4.9299374835464031E-2"/>
                  <c:y val="0.13071809315445232"/>
                </c:manualLayout>
              </c:layout>
              <c:dLblPos val="r"/>
              <c:showVal val="1"/>
            </c:dLbl>
            <c:dLbl>
              <c:idx val="2"/>
              <c:layout>
                <c:manualLayout>
                  <c:x val="-3.4360173545355442E-2"/>
                  <c:y val="-7.8558366872018573E-2"/>
                </c:manualLayout>
              </c:layout>
              <c:dLblPos val="r"/>
              <c:showVal val="1"/>
            </c:dLbl>
            <c:dLbl>
              <c:idx val="3"/>
              <c:layout>
                <c:manualLayout>
                  <c:x val="-4.6311533936345718E-2"/>
                  <c:y val="8.8888303345026801E-2"/>
                </c:manualLayout>
              </c:layout>
              <c:dLblPos val="r"/>
              <c:showVal val="1"/>
            </c:dLbl>
            <c:dLbl>
              <c:idx val="4"/>
              <c:layout>
                <c:manualLayout>
                  <c:x val="-4.1829772587665265E-2"/>
                  <c:y val="-9.4117027071203244E-2"/>
                </c:manualLayout>
              </c:layout>
              <c:dLblPos val="r"/>
              <c:showVal val="1"/>
            </c:dLbl>
            <c:dLbl>
              <c:idx val="5"/>
              <c:layout>
                <c:manualLayout>
                  <c:x val="-3.5854090789428292E-2"/>
                  <c:y val="9.9345750797380547E-2"/>
                </c:manualLayout>
              </c:layout>
              <c:dLblPos val="r"/>
              <c:showVal val="1"/>
            </c:dLbl>
            <c:dLbl>
              <c:idx val="6"/>
              <c:layout>
                <c:manualLayout>
                  <c:x val="-4.7805454385903424E-2"/>
                  <c:y val="-0.10980319824973618"/>
                </c:manualLayout>
              </c:layout>
              <c:dLblPos val="r"/>
              <c:showVal val="1"/>
            </c:dLbl>
            <c:dLbl>
              <c:idx val="7"/>
              <c:layout>
                <c:manualLayout>
                  <c:x val="-2.5396647642511209E-2"/>
                  <c:y val="8.3659579618848748E-2"/>
                </c:manualLayout>
              </c:layout>
              <c:dLblPos val="r"/>
              <c:showVal val="1"/>
            </c:dLbl>
            <c:spPr>
              <a:noFill/>
              <a:ln w="25392">
                <a:noFill/>
              </a:ln>
            </c:spPr>
            <c:txPr>
              <a:bodyPr/>
              <a:lstStyle/>
              <a:p>
                <a:pPr>
                  <a:defRPr sz="1382" b="1">
                    <a:solidFill>
                      <a:schemeClr val="accent6">
                        <a:lumMod val="75000"/>
                      </a:schemeClr>
                    </a:solidFill>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18355</c:v>
                </c:pt>
                <c:pt idx="1">
                  <c:v>17771</c:v>
                </c:pt>
                <c:pt idx="2">
                  <c:v>17293</c:v>
                </c:pt>
                <c:pt idx="3">
                  <c:v>16909</c:v>
                </c:pt>
                <c:pt idx="4">
                  <c:v>16616</c:v>
                </c:pt>
              </c:numCache>
            </c:numRef>
          </c:val>
        </c:ser>
        <c:marker val="1"/>
        <c:axId val="111268992"/>
        <c:axId val="111270528"/>
      </c:lineChart>
      <c:catAx>
        <c:axId val="111268992"/>
        <c:scaling>
          <c:orientation val="minMax"/>
        </c:scaling>
        <c:axPos val="b"/>
        <c:numFmt formatCode="General" sourceLinked="1"/>
        <c:majorTickMark val="none"/>
        <c:tickLblPos val="nextTo"/>
        <c:txPr>
          <a:bodyPr/>
          <a:lstStyle/>
          <a:p>
            <a:pPr>
              <a:defRPr sz="1086" b="1"/>
            </a:pPr>
            <a:endParaRPr lang="ru-RU"/>
          </a:p>
        </c:txPr>
        <c:crossAx val="111270528"/>
        <c:crosses val="autoZero"/>
        <c:auto val="1"/>
        <c:lblAlgn val="ctr"/>
        <c:lblOffset val="100"/>
      </c:catAx>
      <c:valAx>
        <c:axId val="111270528"/>
        <c:scaling>
          <c:orientation val="minMax"/>
        </c:scaling>
        <c:axPos val="l"/>
        <c:numFmt formatCode="General" sourceLinked="1"/>
        <c:majorTickMark val="none"/>
        <c:tickLblPos val="none"/>
        <c:crossAx val="111268992"/>
        <c:crosses val="autoZero"/>
        <c:crossBetween val="between"/>
      </c:valAx>
      <c:spPr>
        <a:solidFill>
          <a:schemeClr val="accent5">
            <a:lumMod val="40000"/>
            <a:lumOff val="60000"/>
          </a:schemeClr>
        </a:solidFill>
      </c:spPr>
    </c:plotArea>
    <c:plotVisOnly val="1"/>
    <c:dispBlanksAs val="zero"/>
  </c:chart>
  <c:spPr>
    <a:ln>
      <a:noFill/>
    </a:ln>
  </c:spPr>
  <c:txPr>
    <a:bodyPr/>
    <a:lstStyle/>
    <a:p>
      <a:pPr>
        <a:defRPr sz="1784"/>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19"/>
              <a:t>Отраслевая структура субъектов МСП  в 2015 году, %</a:t>
            </a:r>
          </a:p>
        </c:rich>
      </c:tx>
      <c:layout>
        <c:manualLayout>
          <c:xMode val="edge"/>
          <c:yMode val="edge"/>
          <c:x val="0.17647054773890969"/>
          <c:y val="2.0491944435799485E-2"/>
        </c:manualLayout>
      </c:layout>
      <c:spPr>
        <a:noFill/>
        <a:ln w="24922">
          <a:noFill/>
        </a:ln>
      </c:spPr>
    </c:title>
    <c:plotArea>
      <c:layout>
        <c:manualLayout>
          <c:layoutTarget val="inner"/>
          <c:xMode val="edge"/>
          <c:yMode val="edge"/>
          <c:x val="7.6333926001185423E-2"/>
          <c:y val="0.13726269315673445"/>
          <c:w val="0.38367741935484617"/>
          <c:h val="0.78768211920529796"/>
        </c:manualLayout>
      </c:layout>
      <c:pieChart>
        <c:varyColors val="1"/>
        <c:ser>
          <c:idx val="0"/>
          <c:order val="0"/>
          <c:tx>
            <c:strRef>
              <c:f>Лист1!$B$1</c:f>
              <c:strCache>
                <c:ptCount val="1"/>
                <c:pt idx="0">
                  <c:v>Отраслевая структура в 2015 году, %</c:v>
                </c:pt>
              </c:strCache>
            </c:strRef>
          </c:tx>
          <c:dLbls>
            <c:dLbl>
              <c:idx val="0"/>
              <c:layout>
                <c:manualLayout>
                  <c:x val="-1.7995935991871978E-3"/>
                  <c:y val="6.8623872347082441E-4"/>
                </c:manualLayout>
              </c:layout>
              <c:dLblPos val="bestFit"/>
              <c:showPercent val="1"/>
            </c:dLbl>
            <c:dLbl>
              <c:idx val="1"/>
              <c:layout>
                <c:manualLayout>
                  <c:x val="-1.5620099906866481E-2"/>
                  <c:y val="7.8232605030332369E-3"/>
                </c:manualLayout>
              </c:layout>
              <c:dLblPos val="bestFit"/>
              <c:showPercent val="1"/>
            </c:dLbl>
            <c:dLbl>
              <c:idx val="2"/>
              <c:layout>
                <c:manualLayout>
                  <c:x val="9.4836169672340605E-3"/>
                  <c:y val="4.2563835149745981E-2"/>
                </c:manualLayout>
              </c:layout>
              <c:dLblPos val="bestFit"/>
              <c:showPercent val="1"/>
            </c:dLbl>
            <c:dLbl>
              <c:idx val="3"/>
              <c:layout>
                <c:manualLayout>
                  <c:x val="-4.1050207433748424E-2"/>
                  <c:y val="-8.0238480123759365E-2"/>
                </c:manualLayout>
              </c:layout>
              <c:dLblPos val="bestFit"/>
              <c:showPercent val="1"/>
            </c:dLbl>
            <c:dLbl>
              <c:idx val="4"/>
              <c:layout>
                <c:manualLayout>
                  <c:x val="1.3713741427482861E-2"/>
                  <c:y val="2.1111053171333716E-2"/>
                </c:manualLayout>
              </c:layout>
              <c:dLblPos val="bestFit"/>
              <c:showPercent val="1"/>
            </c:dLbl>
            <c:dLbl>
              <c:idx val="5"/>
              <c:layout>
                <c:manualLayout>
                  <c:x val="-9.3832020997375708E-3"/>
                  <c:y val="4.835584293685144E-2"/>
                </c:manualLayout>
              </c:layout>
              <c:dLblPos val="bestFit"/>
              <c:showPercent val="1"/>
            </c:dLbl>
            <c:dLbl>
              <c:idx val="6"/>
              <c:layout>
                <c:manualLayout>
                  <c:x val="-3.0287020574041413E-2"/>
                  <c:y val="4.4590568563035581E-2"/>
                </c:manualLayout>
              </c:layout>
              <c:dLblPos val="bestFit"/>
              <c:showPercent val="1"/>
            </c:dLbl>
            <c:spPr>
              <a:noFill/>
              <a:ln w="24922">
                <a:noFill/>
              </a:ln>
            </c:spPr>
            <c:txPr>
              <a:bodyPr/>
              <a:lstStyle/>
              <a:p>
                <a:pPr>
                  <a:defRPr sz="1219" b="1"/>
                </a:pPr>
                <a:endParaRPr lang="ru-RU"/>
              </a:p>
            </c:txPr>
            <c:showPercent val="1"/>
            <c:showLeaderLines val="1"/>
          </c:dLbls>
          <c:cat>
            <c:strRef>
              <c:f>Лист1!$A$2:$A$8</c:f>
              <c:strCache>
                <c:ptCount val="7"/>
                <c:pt idx="0">
                  <c:v>обрабатывающие производства</c:v>
                </c:pt>
                <c:pt idx="1">
                  <c:v>сельское хозяйство, охота и лесное хозяйство</c:v>
                </c:pt>
                <c:pt idx="2">
                  <c:v>строительство</c:v>
                </c:pt>
                <c:pt idx="3">
                  <c:v>оптовая и розничная торговля, ремонт авто и предметов личного пользования</c:v>
                </c:pt>
                <c:pt idx="4">
                  <c:v>транспорт и связь</c:v>
                </c:pt>
                <c:pt idx="5">
                  <c:v>предоставление прочих коммунальных, социальных и персональных услуг</c:v>
                </c:pt>
                <c:pt idx="6">
                  <c:v>прочие виды деятельности</c:v>
                </c:pt>
              </c:strCache>
            </c:strRef>
          </c:cat>
          <c:val>
            <c:numRef>
              <c:f>Лист1!$B$2:$B$8</c:f>
              <c:numCache>
                <c:formatCode>General</c:formatCode>
                <c:ptCount val="7"/>
                <c:pt idx="0">
                  <c:v>117</c:v>
                </c:pt>
                <c:pt idx="1">
                  <c:v>42</c:v>
                </c:pt>
                <c:pt idx="2">
                  <c:v>4</c:v>
                </c:pt>
                <c:pt idx="3">
                  <c:v>136</c:v>
                </c:pt>
                <c:pt idx="4">
                  <c:v>31</c:v>
                </c:pt>
                <c:pt idx="5">
                  <c:v>24</c:v>
                </c:pt>
                <c:pt idx="6">
                  <c:v>47</c:v>
                </c:pt>
              </c:numCache>
            </c:numRef>
          </c:val>
        </c:ser>
        <c:firstSliceAng val="0"/>
      </c:pieChart>
      <c:spPr>
        <a:noFill/>
        <a:ln w="25396">
          <a:noFill/>
        </a:ln>
      </c:spPr>
    </c:plotArea>
    <c:legend>
      <c:legendPos val="r"/>
      <c:layout>
        <c:manualLayout>
          <c:xMode val="edge"/>
          <c:yMode val="edge"/>
          <c:x val="0.5"/>
          <c:y val="9.8360669343210527E-2"/>
          <c:w val="0.48202607460952851"/>
          <c:h val="0.9016393306567948"/>
        </c:manualLayout>
      </c:layout>
      <c:txPr>
        <a:bodyPr/>
        <a:lstStyle/>
        <a:p>
          <a:pPr>
            <a:defRPr sz="784"/>
          </a:pPr>
          <a:endParaRPr lang="ru-RU"/>
        </a:p>
      </c:txPr>
    </c:legend>
    <c:plotVisOnly val="1"/>
    <c:dispBlanksAs val="zero"/>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91"/>
            </a:pPr>
            <a:r>
              <a:rPr lang="ru-RU" sz="991" dirty="0">
                <a:solidFill>
                  <a:srgbClr val="000000"/>
                </a:solidFill>
              </a:rPr>
              <a:t>Производство пиломатериалов, тыс. куб. м.</a:t>
            </a:r>
          </a:p>
        </c:rich>
      </c:tx>
      <c:layout>
        <c:manualLayout>
          <c:xMode val="edge"/>
          <c:yMode val="edge"/>
          <c:x val="0.27752289705046029"/>
          <c:y val="1.6529087710190085E-2"/>
        </c:manualLayout>
      </c:layout>
      <c:spPr>
        <a:noFill/>
        <a:ln w="12984">
          <a:noFill/>
        </a:ln>
      </c:spPr>
    </c:title>
    <c:plotArea>
      <c:layout>
        <c:manualLayout>
          <c:layoutTarget val="inner"/>
          <c:xMode val="edge"/>
          <c:yMode val="edge"/>
          <c:x val="3.2110091743119275E-2"/>
          <c:y val="0.28925619834710742"/>
          <c:w val="0.91743119266055062"/>
          <c:h val="0.46280991735537497"/>
        </c:manualLayout>
      </c:layout>
      <c:barChart>
        <c:barDir val="col"/>
        <c:grouping val="clustered"/>
        <c:ser>
          <c:idx val="0"/>
          <c:order val="0"/>
          <c:tx>
            <c:strRef>
              <c:f>Лист1!$B$1</c:f>
              <c:strCache>
                <c:ptCount val="1"/>
                <c:pt idx="0">
                  <c:v>Производство пиломатериалов, тыс. куб. м.</c:v>
                </c:pt>
              </c:strCache>
            </c:strRef>
          </c:tx>
          <c:spPr>
            <a:solidFill>
              <a:srgbClr val="C00000"/>
            </a:solidFill>
            <a:ln w="13476">
              <a:solidFill>
                <a:schemeClr val="accent6">
                  <a:lumMod val="75000"/>
                </a:schemeClr>
              </a:solidFill>
            </a:ln>
          </c:spPr>
          <c:dLbls>
            <c:dLbl>
              <c:idx val="3"/>
              <c:layout>
                <c:manualLayout>
                  <c:x val="-6.3897763578274784E-3"/>
                  <c:y val="3.1500208844587202E-17"/>
                </c:manualLayout>
              </c:layout>
              <c:tx>
                <c:rich>
                  <a:bodyPr/>
                  <a:lstStyle/>
                  <a:p>
                    <a:r>
                      <a:rPr lang="en-US" sz="991" b="1">
                        <a:solidFill>
                          <a:srgbClr val="C00000"/>
                        </a:solidFill>
                      </a:rPr>
                      <a:t>60</a:t>
                    </a:r>
                    <a:r>
                      <a:rPr lang="ru-RU" sz="991" b="1">
                        <a:solidFill>
                          <a:srgbClr val="C00000"/>
                        </a:solidFill>
                      </a:rPr>
                      <a:t>,0</a:t>
                    </a:r>
                    <a:endParaRPr lang="en-US" sz="1200" b="1">
                      <a:solidFill>
                        <a:srgbClr val="C00000"/>
                      </a:solidFill>
                    </a:endParaRPr>
                  </a:p>
                </c:rich>
              </c:tx>
              <c:dLblPos val="outEnd"/>
            </c:dLbl>
            <c:dLbl>
              <c:idx val="4"/>
              <c:tx>
                <c:rich>
                  <a:bodyPr/>
                  <a:lstStyle/>
                  <a:p>
                    <a:r>
                      <a:rPr lang="en-US" sz="991" b="1">
                        <a:solidFill>
                          <a:srgbClr val="C00000"/>
                        </a:solidFill>
                      </a:rPr>
                      <a:t>57</a:t>
                    </a:r>
                    <a:r>
                      <a:rPr lang="ru-RU" sz="991" b="1">
                        <a:solidFill>
                          <a:srgbClr val="C00000"/>
                        </a:solidFill>
                      </a:rPr>
                      <a:t>,0</a:t>
                    </a:r>
                    <a:endParaRPr lang="en-US" sz="1200" b="1">
                      <a:solidFill>
                        <a:srgbClr val="C00000"/>
                      </a:solidFill>
                    </a:endParaRPr>
                  </a:p>
                </c:rich>
              </c:tx>
            </c:dLbl>
            <c:spPr>
              <a:noFill/>
              <a:ln w="12984">
                <a:noFill/>
              </a:ln>
            </c:spPr>
            <c:txPr>
              <a:bodyPr/>
              <a:lstStyle/>
              <a:p>
                <a:pPr>
                  <a:defRPr sz="991" b="1">
                    <a:solidFill>
                      <a:srgbClr val="C00000"/>
                    </a:solidFill>
                  </a:defRPr>
                </a:pPr>
                <a:endParaRPr lang="ru-RU"/>
              </a:p>
            </c:txPr>
            <c:showVal val="1"/>
          </c:dLbls>
          <c:cat>
            <c:strRef>
              <c:f>Лист1!$A$2:$A$6</c:f>
              <c:strCache>
                <c:ptCount val="5"/>
                <c:pt idx="0">
                  <c:v>2011</c:v>
                </c:pt>
                <c:pt idx="1">
                  <c:v>2012</c:v>
                </c:pt>
                <c:pt idx="2">
                  <c:v>2013</c:v>
                </c:pt>
                <c:pt idx="3">
                  <c:v>2014</c:v>
                </c:pt>
                <c:pt idx="4">
                  <c:v>2015 оценка</c:v>
                </c:pt>
              </c:strCache>
            </c:strRef>
          </c:cat>
          <c:val>
            <c:numRef>
              <c:f>Лист1!$B$2:$B$6</c:f>
              <c:numCache>
                <c:formatCode>General</c:formatCode>
                <c:ptCount val="5"/>
                <c:pt idx="0">
                  <c:v>81.7</c:v>
                </c:pt>
                <c:pt idx="1">
                  <c:v>60.8</c:v>
                </c:pt>
                <c:pt idx="2">
                  <c:v>59.4</c:v>
                </c:pt>
                <c:pt idx="3">
                  <c:v>60</c:v>
                </c:pt>
                <c:pt idx="4">
                  <c:v>57</c:v>
                </c:pt>
              </c:numCache>
            </c:numRef>
          </c:val>
        </c:ser>
        <c:axId val="66979328"/>
        <c:axId val="66980864"/>
      </c:barChart>
      <c:catAx>
        <c:axId val="66979328"/>
        <c:scaling>
          <c:orientation val="minMax"/>
        </c:scaling>
        <c:axPos val="b"/>
        <c:numFmt formatCode="General" sourceLinked="1"/>
        <c:tickLblPos val="nextTo"/>
        <c:txPr>
          <a:bodyPr/>
          <a:lstStyle/>
          <a:p>
            <a:pPr>
              <a:defRPr sz="867" b="1"/>
            </a:pPr>
            <a:endParaRPr lang="ru-RU"/>
          </a:p>
        </c:txPr>
        <c:crossAx val="66980864"/>
        <c:crosses val="autoZero"/>
        <c:auto val="1"/>
        <c:lblAlgn val="ctr"/>
        <c:lblOffset val="100"/>
      </c:catAx>
      <c:valAx>
        <c:axId val="66980864"/>
        <c:scaling>
          <c:orientation val="minMax"/>
        </c:scaling>
        <c:delete val="1"/>
        <c:axPos val="l"/>
        <c:numFmt formatCode="General" sourceLinked="1"/>
        <c:tickLblPos val="none"/>
        <c:crossAx val="66979328"/>
        <c:crosses val="autoZero"/>
        <c:crossBetween val="between"/>
      </c:valAx>
    </c:plotArea>
    <c:plotVisOnly val="1"/>
    <c:dispBlanksAs val="zero"/>
  </c:chart>
  <c:spPr>
    <a:noFill/>
    <a:ln>
      <a:noFill/>
    </a:ln>
  </c:spPr>
  <c:txPr>
    <a:bodyPr/>
    <a:lstStyle/>
    <a:p>
      <a:pPr>
        <a:defRPr sz="588"/>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a:pPr>
            <a:r>
              <a:rPr lang="ru-RU" sz="1196"/>
              <a:t>Поголовье КРС, голов</a:t>
            </a:r>
          </a:p>
        </c:rich>
      </c:tx>
      <c:layout>
        <c:manualLayout>
          <c:xMode val="edge"/>
          <c:yMode val="edge"/>
          <c:x val="0.38558570300616052"/>
          <c:y val="1.8750683936795333E-2"/>
        </c:manualLayout>
      </c:layout>
      <c:spPr>
        <a:noFill/>
        <a:ln w="17079">
          <a:noFill/>
        </a:ln>
      </c:spPr>
    </c:title>
    <c:plotArea>
      <c:layout>
        <c:manualLayout>
          <c:layoutTarget val="inner"/>
          <c:xMode val="edge"/>
          <c:yMode val="edge"/>
          <c:x val="2.8686889548642468E-2"/>
          <c:y val="0.19030894308943094"/>
          <c:w val="0.9515072501183256"/>
          <c:h val="0.62221932014595738"/>
        </c:manualLayout>
      </c:layout>
      <c:barChart>
        <c:barDir val="col"/>
        <c:grouping val="clustered"/>
        <c:ser>
          <c:idx val="0"/>
          <c:order val="0"/>
          <c:tx>
            <c:strRef>
              <c:f>Sheet1!$A$2</c:f>
              <c:strCache>
                <c:ptCount val="1"/>
                <c:pt idx="0">
                  <c:v>Восток</c:v>
                </c:pt>
              </c:strCache>
            </c:strRef>
          </c:tx>
          <c:dLbls>
            <c:dLbl>
              <c:idx val="0"/>
              <c:layout>
                <c:manualLayout>
                  <c:x val="-2.3704659868336027E-3"/>
                  <c:y val="-1.2946162217527781E-2"/>
                </c:manualLayout>
              </c:layout>
              <c:dLblPos val="outEnd"/>
              <c:showVal val="1"/>
            </c:dLbl>
            <c:dLbl>
              <c:idx val="1"/>
              <c:layout>
                <c:manualLayout>
                  <c:x val="-6.3338066348264024E-3"/>
                  <c:y val="9.1149094168107032E-3"/>
                </c:manualLayout>
              </c:layout>
              <c:dLblPos val="outEnd"/>
              <c:showVal val="1"/>
            </c:dLbl>
            <c:dLbl>
              <c:idx val="2"/>
              <c:layout>
                <c:manualLayout>
                  <c:x val="-3.7399423432726646E-3"/>
                  <c:y val="-1.6623775686575959E-3"/>
                </c:manualLayout>
              </c:layout>
              <c:dLblPos val="outEnd"/>
              <c:showVal val="1"/>
            </c:dLbl>
            <c:dLbl>
              <c:idx val="3"/>
              <c:layout>
                <c:manualLayout>
                  <c:x val="-2.4782066176154212E-3"/>
                  <c:y val="5.8306126368350324E-3"/>
                </c:manualLayout>
              </c:layout>
              <c:dLblPos val="outEnd"/>
              <c:showVal val="1"/>
            </c:dLbl>
            <c:dLbl>
              <c:idx val="4"/>
              <c:layout>
                <c:manualLayout>
                  <c:x val="-1.2452132008089153E-3"/>
                  <c:y val="3.6120606875360201E-3"/>
                </c:manualLayout>
              </c:layout>
              <c:dLblPos val="outEnd"/>
              <c:showVal val="1"/>
            </c:dLbl>
            <c:dLbl>
              <c:idx val="5"/>
              <c:layout>
                <c:manualLayout>
                  <c:x val="-2.0372617357256612E-3"/>
                  <c:y val="-5.5545739709365596E-3"/>
                </c:manualLayout>
              </c:layout>
              <c:dLblPos val="outEnd"/>
              <c:showVal val="1"/>
            </c:dLbl>
            <c:dLbl>
              <c:idx val="6"/>
              <c:layout>
                <c:manualLayout>
                  <c:x val="-1.6291897938987257E-3"/>
                  <c:y val="-5.0537097496959234E-3"/>
                </c:manualLayout>
              </c:layout>
              <c:dLblPos val="outEnd"/>
              <c:showVal val="1"/>
            </c:dLbl>
            <c:dLbl>
              <c:idx val="7"/>
              <c:layout>
                <c:manualLayout>
                  <c:x val="-4.9583064412030932E-3"/>
                  <c:y val="-9.7192241213750682E-3"/>
                </c:manualLayout>
              </c:layout>
              <c:dLblPos val="outEnd"/>
              <c:showVal val="1"/>
            </c:dLbl>
            <c:spPr>
              <a:noFill/>
              <a:ln w="17079">
                <a:noFill/>
              </a:ln>
            </c:spPr>
            <c:txPr>
              <a:bodyPr/>
              <a:lstStyle/>
              <a:p>
                <a:pPr>
                  <a:defRPr sz="1196" b="1"/>
                </a:pPr>
                <a:endParaRPr lang="ru-RU"/>
              </a:p>
            </c:txPr>
            <c:showVal val="1"/>
          </c:dLbls>
          <c:cat>
            <c:strRef>
              <c:f>Sheet1!$B$1:$I$1</c:f>
              <c:strCache>
                <c:ptCount val="8"/>
                <c:pt idx="0">
                  <c:v>2011</c:v>
                </c:pt>
                <c:pt idx="1">
                  <c:v>2012</c:v>
                </c:pt>
                <c:pt idx="2">
                  <c:v>2013</c:v>
                </c:pt>
                <c:pt idx="3">
                  <c:v>2014</c:v>
                </c:pt>
                <c:pt idx="4">
                  <c:v>2015 оценка</c:v>
                </c:pt>
                <c:pt idx="5">
                  <c:v>2016 прогноз</c:v>
                </c:pt>
                <c:pt idx="6">
                  <c:v>2017 прогноз</c:v>
                </c:pt>
                <c:pt idx="7">
                  <c:v>2018 прогноз</c:v>
                </c:pt>
              </c:strCache>
            </c:strRef>
          </c:cat>
          <c:val>
            <c:numRef>
              <c:f>Sheet1!$B$2:$I$2</c:f>
              <c:numCache>
                <c:formatCode>General</c:formatCode>
                <c:ptCount val="8"/>
                <c:pt idx="0">
                  <c:v>4541</c:v>
                </c:pt>
                <c:pt idx="1">
                  <c:v>4345</c:v>
                </c:pt>
                <c:pt idx="2">
                  <c:v>4121</c:v>
                </c:pt>
                <c:pt idx="3">
                  <c:v>3707</c:v>
                </c:pt>
                <c:pt idx="4">
                  <c:v>3722</c:v>
                </c:pt>
                <c:pt idx="5">
                  <c:v>3750</c:v>
                </c:pt>
                <c:pt idx="6">
                  <c:v>3800</c:v>
                </c:pt>
                <c:pt idx="7">
                  <c:v>3850</c:v>
                </c:pt>
              </c:numCache>
            </c:numRef>
          </c:val>
        </c:ser>
        <c:axId val="67030016"/>
        <c:axId val="67117824"/>
      </c:barChart>
      <c:catAx>
        <c:axId val="67030016"/>
        <c:scaling>
          <c:orientation val="minMax"/>
        </c:scaling>
        <c:axPos val="b"/>
        <c:numFmt formatCode="General" sourceLinked="1"/>
        <c:tickLblPos val="low"/>
        <c:txPr>
          <a:bodyPr rot="0" vert="horz"/>
          <a:lstStyle/>
          <a:p>
            <a:pPr>
              <a:defRPr sz="897"/>
            </a:pPr>
            <a:endParaRPr lang="ru-RU"/>
          </a:p>
        </c:txPr>
        <c:crossAx val="67117824"/>
        <c:crosses val="autoZero"/>
        <c:auto val="1"/>
        <c:lblAlgn val="ctr"/>
        <c:lblOffset val="100"/>
      </c:catAx>
      <c:valAx>
        <c:axId val="67117824"/>
        <c:scaling>
          <c:orientation val="minMax"/>
        </c:scaling>
        <c:delete val="1"/>
        <c:axPos val="l"/>
        <c:numFmt formatCode="General" sourceLinked="1"/>
        <c:tickLblPos val="none"/>
        <c:crossAx val="67030016"/>
        <c:crosses val="autoZero"/>
        <c:crossBetween val="between"/>
      </c:valAx>
    </c:plotArea>
    <c:plotVisOnly val="1"/>
    <c:dispBlanksAs val="gap"/>
  </c:chart>
  <c:spPr>
    <a:noFill/>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1" b="1" i="0" u="none" strike="noStrike" baseline="0">
                <a:solidFill>
                  <a:srgbClr val="000000"/>
                </a:solidFill>
                <a:latin typeface="Calibri"/>
                <a:ea typeface="Calibri"/>
                <a:cs typeface="Calibri"/>
              </a:defRPr>
            </a:pPr>
            <a:r>
              <a:rPr lang="ru-RU" sz="1101"/>
              <a:t>Средний надой молока от 1 коровы, кг.</a:t>
            </a:r>
          </a:p>
        </c:rich>
      </c:tx>
      <c:layout>
        <c:manualLayout>
          <c:xMode val="edge"/>
          <c:yMode val="edge"/>
          <c:x val="0.29768269210251402"/>
          <c:y val="2.2099444273376442E-2"/>
        </c:manualLayout>
      </c:layout>
      <c:spPr>
        <a:noFill/>
        <a:ln w="16190">
          <a:noFill/>
        </a:ln>
      </c:spPr>
    </c:title>
    <c:plotArea>
      <c:layout>
        <c:manualLayout>
          <c:layoutTarget val="inner"/>
          <c:xMode val="edge"/>
          <c:yMode val="edge"/>
          <c:x val="2.8925420467019951E-2"/>
          <c:y val="0.17688768046520456"/>
          <c:w val="0.97107457953298004"/>
          <c:h val="0.58857254229359945"/>
        </c:manualLayout>
      </c:layout>
      <c:lineChart>
        <c:grouping val="standard"/>
        <c:ser>
          <c:idx val="0"/>
          <c:order val="0"/>
          <c:tx>
            <c:strRef>
              <c:f>Sheet1!$A$2</c:f>
              <c:strCache>
                <c:ptCount val="1"/>
                <c:pt idx="0">
                  <c:v>Восток</c:v>
                </c:pt>
              </c:strCache>
            </c:strRef>
          </c:tx>
          <c:spPr>
            <a:ln w="5681">
              <a:solidFill>
                <a:srgbClr val="000000"/>
              </a:solidFill>
              <a:prstDash val="solid"/>
            </a:ln>
          </c:spPr>
          <c:marker>
            <c:symbol val="diamond"/>
            <c:size val="2"/>
            <c:spPr>
              <a:solidFill>
                <a:schemeClr val="tx2">
                  <a:lumMod val="75000"/>
                </a:schemeClr>
              </a:solidFill>
            </c:spPr>
          </c:marker>
          <c:dLbls>
            <c:dLbl>
              <c:idx val="0"/>
              <c:layout>
                <c:manualLayout>
                  <c:x val="-4.7520746653656264E-2"/>
                  <c:y val="-9.9858190803074148E-2"/>
                </c:manualLayout>
              </c:layout>
              <c:dLblPos val="r"/>
              <c:showVal val="1"/>
            </c:dLbl>
            <c:dLbl>
              <c:idx val="1"/>
              <c:layout>
                <c:manualLayout>
                  <c:x val="-4.1293814176842372E-2"/>
                  <c:y val="9.3768086681473767E-2"/>
                </c:manualLayout>
              </c:layout>
              <c:dLblPos val="r"/>
              <c:showVal val="1"/>
            </c:dLbl>
            <c:dLbl>
              <c:idx val="2"/>
              <c:layout>
                <c:manualLayout>
                  <c:x val="-4.8457316329434723E-2"/>
                  <c:y val="-0.10557959101266187"/>
                </c:manualLayout>
              </c:layout>
              <c:dLblPos val="r"/>
              <c:showVal val="1"/>
            </c:dLbl>
            <c:dLbl>
              <c:idx val="3"/>
              <c:layout>
                <c:manualLayout>
                  <c:x val="-2.9218335659849812E-2"/>
                  <c:y val="0.11632055608433561"/>
                </c:manualLayout>
              </c:layout>
              <c:dLblPos val="r"/>
              <c:showVal val="1"/>
            </c:dLbl>
            <c:dLbl>
              <c:idx val="4"/>
              <c:layout>
                <c:manualLayout>
                  <c:x val="-4.4803556181983194E-2"/>
                  <c:y val="-0.11204705181083134"/>
                </c:manualLayout>
              </c:layout>
              <c:tx>
                <c:rich>
                  <a:bodyPr/>
                  <a:lstStyle/>
                  <a:p>
                    <a:r>
                      <a:rPr lang="ru-RU">
                        <a:solidFill>
                          <a:srgbClr val="FF0000"/>
                        </a:solidFill>
                      </a:rPr>
                      <a:t>4300</a:t>
                    </a:r>
                    <a:endParaRPr lang="en-US">
                      <a:solidFill>
                        <a:srgbClr val="FF0000"/>
                      </a:solidFill>
                    </a:endParaRPr>
                  </a:p>
                </c:rich>
              </c:tx>
              <c:dLblPos val="r"/>
              <c:showVal val="1"/>
            </c:dLbl>
            <c:dLbl>
              <c:idx val="5"/>
              <c:layout>
                <c:manualLayout>
                  <c:x val="-2.7102154399374776E-2"/>
                  <c:y val="9.7637314566448544E-2"/>
                </c:manualLayout>
              </c:layout>
              <c:dLblPos val="r"/>
              <c:showVal val="1"/>
            </c:dLbl>
            <c:dLbl>
              <c:idx val="6"/>
              <c:layout>
                <c:manualLayout>
                  <c:x val="-5.5298449139640833E-2"/>
                  <c:y val="-0.10485708517204446"/>
                </c:manualLayout>
              </c:layout>
              <c:dLblPos val="r"/>
              <c:showVal val="1"/>
            </c:dLbl>
            <c:dLbl>
              <c:idx val="7"/>
              <c:layout>
                <c:manualLayout>
                  <c:x val="-2.5243832472748615E-2"/>
                  <c:y val="0.10871910241989002"/>
                </c:manualLayout>
              </c:layout>
              <c:dLblPos val="r"/>
              <c:showVal val="1"/>
            </c:dLbl>
            <c:spPr>
              <a:noFill/>
              <a:ln w="16190">
                <a:noFill/>
              </a:ln>
            </c:spPr>
            <c:txPr>
              <a:bodyPr/>
              <a:lstStyle/>
              <a:p>
                <a:pPr>
                  <a:defRPr sz="1101" b="1" i="0" u="none" strike="noStrike" baseline="0">
                    <a:solidFill>
                      <a:srgbClr val="FF0000"/>
                    </a:solidFill>
                    <a:latin typeface="Calibri"/>
                    <a:ea typeface="Calibri"/>
                    <a:cs typeface="Calibri"/>
                  </a:defRPr>
                </a:pPr>
                <a:endParaRPr lang="ru-RU"/>
              </a:p>
            </c:txPr>
            <c:showVal val="1"/>
          </c:dLbls>
          <c:cat>
            <c:strRef>
              <c:f>Sheet1!$B$1:$I$1</c:f>
              <c:strCache>
                <c:ptCount val="8"/>
                <c:pt idx="0">
                  <c:v>2011</c:v>
                </c:pt>
                <c:pt idx="1">
                  <c:v>2012</c:v>
                </c:pt>
                <c:pt idx="2">
                  <c:v>2013</c:v>
                </c:pt>
                <c:pt idx="3">
                  <c:v>2014</c:v>
                </c:pt>
                <c:pt idx="4">
                  <c:v>2015 оценка</c:v>
                </c:pt>
                <c:pt idx="5">
                  <c:v>2016 прогноз</c:v>
                </c:pt>
                <c:pt idx="6">
                  <c:v>2017 прогноз</c:v>
                </c:pt>
                <c:pt idx="7">
                  <c:v>2018 прогноз</c:v>
                </c:pt>
              </c:strCache>
            </c:strRef>
          </c:cat>
          <c:val>
            <c:numRef>
              <c:f>Sheet1!$B$2:$I$2</c:f>
              <c:numCache>
                <c:formatCode>General</c:formatCode>
                <c:ptCount val="8"/>
                <c:pt idx="0">
                  <c:v>3568</c:v>
                </c:pt>
                <c:pt idx="1">
                  <c:v>3780</c:v>
                </c:pt>
                <c:pt idx="2">
                  <c:v>3810</c:v>
                </c:pt>
                <c:pt idx="3">
                  <c:v>4222</c:v>
                </c:pt>
                <c:pt idx="4">
                  <c:v>4300</c:v>
                </c:pt>
                <c:pt idx="5">
                  <c:v>4500</c:v>
                </c:pt>
                <c:pt idx="6">
                  <c:v>4700</c:v>
                </c:pt>
                <c:pt idx="7">
                  <c:v>5000</c:v>
                </c:pt>
              </c:numCache>
            </c:numRef>
          </c:val>
        </c:ser>
        <c:marker val="1"/>
        <c:axId val="67146112"/>
        <c:axId val="67147648"/>
      </c:lineChart>
      <c:catAx>
        <c:axId val="67146112"/>
        <c:scaling>
          <c:orientation val="minMax"/>
        </c:scaling>
        <c:axPos val="b"/>
        <c:numFmt formatCode="General" sourceLinked="1"/>
        <c:tickLblPos val="low"/>
        <c:spPr>
          <a:ln w="1420">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ru-RU"/>
          </a:p>
        </c:txPr>
        <c:crossAx val="67147648"/>
        <c:crosses val="autoZero"/>
        <c:auto val="1"/>
        <c:lblAlgn val="ctr"/>
        <c:lblOffset val="100"/>
        <c:tickLblSkip val="1"/>
        <c:tickMarkSkip val="1"/>
      </c:catAx>
      <c:valAx>
        <c:axId val="67147648"/>
        <c:scaling>
          <c:orientation val="minMax"/>
        </c:scaling>
        <c:delete val="1"/>
        <c:axPos val="l"/>
        <c:numFmt formatCode="General" sourceLinked="1"/>
        <c:tickLblPos val="none"/>
        <c:crossAx val="67146112"/>
        <c:crosses val="autoZero"/>
        <c:crossBetween val="between"/>
      </c:valAx>
      <c:spPr>
        <a:solidFill>
          <a:srgbClr val="CCFFCC"/>
        </a:solidFill>
        <a:ln w="5693">
          <a:noFill/>
          <a:prstDash val="solid"/>
        </a:ln>
      </c:spPr>
    </c:plotArea>
    <c:plotVisOnly val="1"/>
    <c:dispBlanksAs val="gap"/>
  </c:chart>
  <c:spPr>
    <a:noFill/>
    <a:ln>
      <a:noFill/>
    </a:ln>
  </c:spPr>
  <c:txPr>
    <a:bodyPr/>
    <a:lstStyle/>
    <a:p>
      <a:pPr>
        <a:defRPr sz="358" b="1" i="0" u="none" strike="noStrike" baseline="0">
          <a:solidFill>
            <a:srgbClr val="000000"/>
          </a:solidFill>
          <a:latin typeface="Calibri"/>
          <a:ea typeface="Calibri"/>
          <a:cs typeface="Calibri"/>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90" b="1" i="0" u="none" strike="noStrike" baseline="0">
                <a:solidFill>
                  <a:srgbClr val="000000"/>
                </a:solidFill>
                <a:latin typeface="Calibri"/>
                <a:ea typeface="Calibri"/>
                <a:cs typeface="Calibri"/>
              </a:defRPr>
            </a:pPr>
            <a:r>
              <a:rPr lang="ru-RU" sz="1014"/>
              <a:t>Валовое производство молока, кг.</a:t>
            </a:r>
          </a:p>
        </c:rich>
      </c:tx>
      <c:layout>
        <c:manualLayout>
          <c:xMode val="edge"/>
          <c:yMode val="edge"/>
          <c:x val="0.32252244785191597"/>
          <c:y val="1.7963899763926278E-2"/>
        </c:manualLayout>
      </c:layout>
      <c:spPr>
        <a:noFill/>
        <a:ln w="15836">
          <a:noFill/>
        </a:ln>
      </c:spPr>
    </c:title>
    <c:plotArea>
      <c:layout>
        <c:manualLayout>
          <c:layoutTarget val="inner"/>
          <c:xMode val="edge"/>
          <c:yMode val="edge"/>
          <c:x val="2.9293565058038217E-2"/>
          <c:y val="0.14579517366154474"/>
          <c:w val="0.95007779818713523"/>
          <c:h val="0.70932878504192731"/>
        </c:manualLayout>
      </c:layout>
      <c:lineChart>
        <c:grouping val="stacked"/>
        <c:ser>
          <c:idx val="0"/>
          <c:order val="0"/>
          <c:tx>
            <c:strRef>
              <c:f>Sheet1!$A$2</c:f>
              <c:strCache>
                <c:ptCount val="1"/>
                <c:pt idx="0">
                  <c:v>валовое производство молока, кг.</c:v>
                </c:pt>
              </c:strCache>
            </c:strRef>
          </c:tx>
          <c:spPr>
            <a:ln w="5423">
              <a:solidFill>
                <a:srgbClr val="000000"/>
              </a:solidFill>
              <a:prstDash val="solid"/>
            </a:ln>
          </c:spPr>
          <c:dLbls>
            <c:dLbl>
              <c:idx val="0"/>
              <c:layout>
                <c:manualLayout>
                  <c:x val="-4.6255806259511673E-2"/>
                  <c:y val="0.11731009351986203"/>
                </c:manualLayout>
              </c:layout>
              <c:dLblPos val="r"/>
              <c:showVal val="1"/>
            </c:dLbl>
            <c:dLbl>
              <c:idx val="1"/>
              <c:layout>
                <c:manualLayout>
                  <c:x val="-4.3224773373916496E-2"/>
                  <c:y val="9.4652294676757648E-2"/>
                </c:manualLayout>
              </c:layout>
              <c:dLblPos val="r"/>
              <c:showVal val="1"/>
            </c:dLbl>
            <c:dLbl>
              <c:idx val="2"/>
              <c:layout>
                <c:manualLayout>
                  <c:x val="-4.0550166523302227E-2"/>
                  <c:y val="0.10965675407079097"/>
                </c:manualLayout>
              </c:layout>
              <c:dLblPos val="r"/>
              <c:showVal val="1"/>
            </c:dLbl>
            <c:dLbl>
              <c:idx val="3"/>
              <c:layout>
                <c:manualLayout>
                  <c:x val="-4.1023225038046923E-2"/>
                  <c:y val="0.10905894044797802"/>
                </c:manualLayout>
              </c:layout>
              <c:dLblPos val="r"/>
              <c:showVal val="1"/>
            </c:dLbl>
            <c:dLbl>
              <c:idx val="4"/>
              <c:layout>
                <c:manualLayout>
                  <c:x val="-4.4122190608527012E-2"/>
                  <c:y val="9.4215528884132246E-2"/>
                </c:manualLayout>
              </c:layout>
              <c:dLblPos val="r"/>
              <c:showVal val="1"/>
            </c:dLbl>
            <c:dLbl>
              <c:idx val="5"/>
              <c:layout>
                <c:manualLayout>
                  <c:x val="-3.2769668497320242E-2"/>
                  <c:y val="0.10548887699717147"/>
                </c:manualLayout>
              </c:layout>
              <c:dLblPos val="r"/>
              <c:showVal val="1"/>
            </c:dLbl>
            <c:dLbl>
              <c:idx val="6"/>
              <c:layout>
                <c:manualLayout>
                  <c:x val="-2.7854694633759041E-2"/>
                  <c:y val="0.10174961139566291"/>
                </c:manualLayout>
              </c:layout>
              <c:dLblPos val="r"/>
              <c:showVal val="1"/>
            </c:dLbl>
            <c:dLbl>
              <c:idx val="7"/>
              <c:layout>
                <c:manualLayout>
                  <c:x val="-3.1076115485565169E-2"/>
                  <c:y val="8.1194607955558926E-2"/>
                </c:manualLayout>
              </c:layout>
              <c:dLblPos val="r"/>
              <c:showVal val="1"/>
            </c:dLbl>
            <c:spPr>
              <a:noFill/>
              <a:ln w="15836">
                <a:noFill/>
              </a:ln>
            </c:spPr>
            <c:txPr>
              <a:bodyPr/>
              <a:lstStyle/>
              <a:p>
                <a:pPr>
                  <a:defRPr sz="1014" b="1" i="0" u="none" strike="noStrike" baseline="0">
                    <a:solidFill>
                      <a:srgbClr val="000000"/>
                    </a:solidFill>
                    <a:latin typeface="Calibri"/>
                    <a:ea typeface="Calibri"/>
                    <a:cs typeface="Calibri"/>
                  </a:defRPr>
                </a:pPr>
                <a:endParaRPr lang="ru-RU"/>
              </a:p>
            </c:txPr>
            <c:showVal val="1"/>
          </c:dLbls>
          <c:cat>
            <c:strRef>
              <c:f>Sheet1!$B$1:$I$1</c:f>
              <c:strCache>
                <c:ptCount val="8"/>
                <c:pt idx="0">
                  <c:v>2011</c:v>
                </c:pt>
                <c:pt idx="1">
                  <c:v>2012</c:v>
                </c:pt>
                <c:pt idx="2">
                  <c:v>2013</c:v>
                </c:pt>
                <c:pt idx="3">
                  <c:v>2014</c:v>
                </c:pt>
                <c:pt idx="4">
                  <c:v>2015</c:v>
                </c:pt>
                <c:pt idx="5">
                  <c:v>2016 прогноз</c:v>
                </c:pt>
                <c:pt idx="6">
                  <c:v>2017 прогноз</c:v>
                </c:pt>
                <c:pt idx="7">
                  <c:v>2018 прогноз</c:v>
                </c:pt>
              </c:strCache>
            </c:strRef>
          </c:cat>
          <c:val>
            <c:numRef>
              <c:f>Sheet1!$B$2:$I$2</c:f>
              <c:numCache>
                <c:formatCode>General</c:formatCode>
                <c:ptCount val="8"/>
                <c:pt idx="0">
                  <c:v>7229</c:v>
                </c:pt>
                <c:pt idx="1">
                  <c:v>7481</c:v>
                </c:pt>
                <c:pt idx="2">
                  <c:v>7480</c:v>
                </c:pt>
                <c:pt idx="3">
                  <c:v>7819</c:v>
                </c:pt>
                <c:pt idx="4">
                  <c:v>7974</c:v>
                </c:pt>
                <c:pt idx="5">
                  <c:v>8325</c:v>
                </c:pt>
                <c:pt idx="6">
                  <c:v>8600</c:v>
                </c:pt>
                <c:pt idx="7">
                  <c:v>9150</c:v>
                </c:pt>
              </c:numCache>
            </c:numRef>
          </c:val>
        </c:ser>
        <c:marker val="1"/>
        <c:axId val="67503616"/>
        <c:axId val="67505152"/>
      </c:lineChart>
      <c:catAx>
        <c:axId val="67503616"/>
        <c:scaling>
          <c:orientation val="minMax"/>
        </c:scaling>
        <c:axPos val="b"/>
        <c:numFmt formatCode="General" sourceLinked="1"/>
        <c:tickLblPos val="low"/>
        <c:spPr>
          <a:ln w="1356">
            <a:solidFill>
              <a:srgbClr val="000000"/>
            </a:solidFill>
            <a:prstDash val="solid"/>
          </a:ln>
        </c:spPr>
        <c:txPr>
          <a:bodyPr rot="0" vert="horz"/>
          <a:lstStyle/>
          <a:p>
            <a:pPr>
              <a:defRPr sz="830" b="1" i="0" u="none" strike="noStrike" baseline="0">
                <a:solidFill>
                  <a:srgbClr val="000000"/>
                </a:solidFill>
                <a:latin typeface="Calibri"/>
                <a:ea typeface="Calibri"/>
                <a:cs typeface="Calibri"/>
              </a:defRPr>
            </a:pPr>
            <a:endParaRPr lang="ru-RU"/>
          </a:p>
        </c:txPr>
        <c:crossAx val="67505152"/>
        <c:crosses val="autoZero"/>
        <c:auto val="1"/>
        <c:lblAlgn val="ctr"/>
        <c:lblOffset val="100"/>
        <c:tickLblSkip val="1"/>
        <c:tickMarkSkip val="1"/>
      </c:catAx>
      <c:valAx>
        <c:axId val="67505152"/>
        <c:scaling>
          <c:orientation val="minMax"/>
        </c:scaling>
        <c:delete val="1"/>
        <c:axPos val="l"/>
        <c:numFmt formatCode="General" sourceLinked="1"/>
        <c:tickLblPos val="none"/>
        <c:crossAx val="67503616"/>
        <c:crosses val="autoZero"/>
        <c:crossBetween val="between"/>
      </c:valAx>
      <c:spPr>
        <a:solidFill>
          <a:srgbClr val="F79646">
            <a:lumMod val="40000"/>
            <a:lumOff val="60000"/>
          </a:srgbClr>
        </a:solidFill>
        <a:ln w="5458">
          <a:noFill/>
          <a:prstDash val="solid"/>
        </a:ln>
      </c:spPr>
    </c:plotArea>
    <c:plotVisOnly val="1"/>
    <c:dispBlanksAs val="zero"/>
  </c:chart>
  <c:spPr>
    <a:noFill/>
    <a:ln>
      <a:noFill/>
    </a:ln>
  </c:spPr>
  <c:txPr>
    <a:bodyPr/>
    <a:lstStyle/>
    <a:p>
      <a:pPr>
        <a:defRPr sz="341" b="1" i="0" u="none" strike="noStrike" baseline="0">
          <a:solidFill>
            <a:srgbClr val="000000"/>
          </a:solidFill>
          <a:latin typeface="Calibri"/>
          <a:ea typeface="Calibri"/>
          <a:cs typeface="Calibri"/>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Основные показатели отрасли растениеводства</a:t>
            </a:r>
          </a:p>
        </c:rich>
      </c:tx>
      <c:layout>
        <c:manualLayout>
          <c:xMode val="edge"/>
          <c:yMode val="edge"/>
          <c:x val="0.27127056792319582"/>
          <c:y val="3.1835451261661596E-2"/>
        </c:manualLayout>
      </c:layout>
    </c:title>
    <c:plotArea>
      <c:layout>
        <c:manualLayout>
          <c:layoutTarget val="inner"/>
          <c:xMode val="edge"/>
          <c:yMode val="edge"/>
          <c:x val="2.3965141612200435E-2"/>
          <c:y val="0.20599068984301491"/>
          <c:w val="0.93545743056627761"/>
          <c:h val="0.54570197593225356"/>
        </c:manualLayout>
      </c:layout>
      <c:lineChart>
        <c:grouping val="standard"/>
        <c:ser>
          <c:idx val="0"/>
          <c:order val="0"/>
          <c:tx>
            <c:strRef>
              <c:f>Лист1!$B$1</c:f>
              <c:strCache>
                <c:ptCount val="1"/>
                <c:pt idx="0">
                  <c:v>обемы заготовки кормов, к.ед.</c:v>
                </c:pt>
              </c:strCache>
            </c:strRef>
          </c:tx>
          <c:dLbls>
            <c:dLbl>
              <c:idx val="0"/>
              <c:layout>
                <c:manualLayout>
                  <c:x val="-4.5734718739196524E-2"/>
                  <c:y val="-7.2927418556008414E-2"/>
                </c:manualLayout>
              </c:layout>
              <c:spPr/>
              <c:txPr>
                <a:bodyPr/>
                <a:lstStyle/>
                <a:p>
                  <a:pPr>
                    <a:defRPr/>
                  </a:pPr>
                  <a:endParaRPr lang="ru-RU"/>
                </a:p>
              </c:txPr>
              <c:dLblPos val="r"/>
              <c:showVal val="1"/>
            </c:dLbl>
            <c:dLbl>
              <c:idx val="1"/>
              <c:layout>
                <c:manualLayout>
                  <c:x val="-3.484549999176878E-2"/>
                  <c:y val="-7.2927418556008414E-2"/>
                </c:manualLayout>
              </c:layout>
              <c:spPr/>
              <c:txPr>
                <a:bodyPr/>
                <a:lstStyle/>
                <a:p>
                  <a:pPr>
                    <a:defRPr/>
                  </a:pPr>
                  <a:endParaRPr lang="ru-RU"/>
                </a:p>
              </c:txPr>
              <c:dLblPos val="r"/>
              <c:showVal val="1"/>
            </c:dLbl>
            <c:dLbl>
              <c:idx val="2"/>
              <c:layout>
                <c:manualLayout>
                  <c:x val="-3.9201187490739892E-2"/>
                  <c:y val="-7.2927418556008414E-2"/>
                </c:manualLayout>
              </c:layout>
              <c:spPr/>
              <c:txPr>
                <a:bodyPr/>
                <a:lstStyle/>
                <a:p>
                  <a:pPr>
                    <a:defRPr/>
                  </a:pPr>
                  <a:endParaRPr lang="ru-RU"/>
                </a:p>
              </c:txPr>
              <c:dLblPos val="r"/>
              <c:showVal val="1"/>
            </c:dLbl>
            <c:dLbl>
              <c:idx val="3"/>
              <c:layout>
                <c:manualLayout>
                  <c:x val="-4.3556874989710982E-2"/>
                  <c:y val="-5.9253527576756823E-2"/>
                </c:manualLayout>
              </c:layout>
              <c:spPr/>
              <c:txPr>
                <a:bodyPr/>
                <a:lstStyle/>
                <a:p>
                  <a:pPr>
                    <a:defRPr/>
                  </a:pPr>
                  <a:endParaRPr lang="ru-RU"/>
                </a:p>
              </c:txPr>
              <c:dLblPos val="r"/>
              <c:showVal val="1"/>
            </c:dLbl>
            <c:showVal val="1"/>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6651</c:v>
                </c:pt>
                <c:pt idx="1">
                  <c:v>6022</c:v>
                </c:pt>
                <c:pt idx="2">
                  <c:v>6000</c:v>
                </c:pt>
                <c:pt idx="3">
                  <c:v>6648</c:v>
                </c:pt>
              </c:numCache>
            </c:numRef>
          </c:val>
        </c:ser>
        <c:ser>
          <c:idx val="1"/>
          <c:order val="1"/>
          <c:tx>
            <c:strRef>
              <c:f>Лист1!$C$1</c:f>
              <c:strCache>
                <c:ptCount val="1"/>
                <c:pt idx="0">
                  <c:v>площади посева, га</c:v>
                </c:pt>
              </c:strCache>
            </c:strRef>
          </c:tx>
          <c:dLbls>
            <c:dLbl>
              <c:idx val="0"/>
              <c:layout>
                <c:manualLayout>
                  <c:x val="-5.2268956416383919E-2"/>
                  <c:y val="-7.7523733262155808E-2"/>
                </c:manualLayout>
              </c:layout>
              <c:spPr/>
              <c:txPr>
                <a:bodyPr/>
                <a:lstStyle/>
                <a:p>
                  <a:pPr>
                    <a:defRPr/>
                  </a:pPr>
                  <a:endParaRPr lang="ru-RU"/>
                </a:p>
              </c:txPr>
              <c:dLblPos val="r"/>
              <c:showVal val="1"/>
            </c:dLbl>
            <c:dLbl>
              <c:idx val="1"/>
              <c:layout>
                <c:manualLayout>
                  <c:x val="-5.4446722418437024E-2"/>
                  <c:y val="-7.7485297388673893E-2"/>
                </c:manualLayout>
              </c:layout>
              <c:spPr/>
              <c:txPr>
                <a:bodyPr/>
                <a:lstStyle/>
                <a:p>
                  <a:pPr>
                    <a:defRPr/>
                  </a:pPr>
                  <a:endParaRPr lang="ru-RU"/>
                </a:p>
              </c:txPr>
              <c:dLblPos val="r"/>
              <c:showVal val="1"/>
            </c:dLbl>
            <c:dLbl>
              <c:idx val="2"/>
              <c:layout>
                <c:manualLayout>
                  <c:x val="-5.2268613434102024E-2"/>
                  <c:y val="-8.2081587259219699E-2"/>
                </c:manualLayout>
              </c:layout>
              <c:spPr/>
              <c:txPr>
                <a:bodyPr/>
                <a:lstStyle/>
                <a:p>
                  <a:pPr>
                    <a:defRPr/>
                  </a:pPr>
                  <a:endParaRPr lang="ru-RU"/>
                </a:p>
              </c:txPr>
              <c:dLblPos val="r"/>
              <c:showVal val="1"/>
            </c:dLbl>
            <c:dLbl>
              <c:idx val="3"/>
              <c:layout>
                <c:manualLayout>
                  <c:x val="-6.0980191915737156E-2"/>
                  <c:y val="-9.5526313448107247E-2"/>
                </c:manualLayout>
              </c:layout>
              <c:spPr/>
              <c:txPr>
                <a:bodyPr/>
                <a:lstStyle/>
                <a:p>
                  <a:pPr>
                    <a:defRPr/>
                  </a:pPr>
                  <a:endParaRPr lang="ru-RU"/>
                </a:p>
              </c:txPr>
              <c:dLblPos val="r"/>
              <c:showVal val="1"/>
            </c:dLbl>
            <c:showVal val="1"/>
          </c:dLbls>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pt idx="0">
                  <c:v>16514</c:v>
                </c:pt>
                <c:pt idx="1">
                  <c:v>15096</c:v>
                </c:pt>
                <c:pt idx="2">
                  <c:v>14446</c:v>
                </c:pt>
                <c:pt idx="3">
                  <c:v>14447</c:v>
                </c:pt>
              </c:numCache>
            </c:numRef>
          </c:val>
        </c:ser>
        <c:ser>
          <c:idx val="2"/>
          <c:order val="2"/>
          <c:tx>
            <c:strRef>
              <c:f>Лист1!$D$1</c:f>
              <c:strCache>
                <c:ptCount val="1"/>
                <c:pt idx="0">
                  <c:v>производство зерна, тонн</c:v>
                </c:pt>
              </c:strCache>
            </c:strRef>
          </c:tx>
          <c:dLbls>
            <c:dLbl>
              <c:idx val="0"/>
              <c:layout>
                <c:manualLayout>
                  <c:x val="-4.1379031240225433E-2"/>
                  <c:y val="7.2927059661232044E-2"/>
                </c:manualLayout>
              </c:layout>
              <c:spPr/>
              <c:txPr>
                <a:bodyPr/>
                <a:lstStyle/>
                <a:p>
                  <a:pPr>
                    <a:defRPr/>
                  </a:pPr>
                  <a:endParaRPr lang="ru-RU"/>
                </a:p>
              </c:txPr>
              <c:dLblPos val="r"/>
              <c:showVal val="1"/>
            </c:dLbl>
            <c:dLbl>
              <c:idx val="1"/>
              <c:layout>
                <c:manualLayout>
                  <c:x val="-4.1379031240225433E-2"/>
                  <c:y val="5.4695563917007077E-2"/>
                </c:manualLayout>
              </c:layout>
              <c:spPr/>
              <c:txPr>
                <a:bodyPr/>
                <a:lstStyle/>
                <a:p>
                  <a:pPr>
                    <a:defRPr/>
                  </a:pPr>
                  <a:endParaRPr lang="ru-RU"/>
                </a:p>
              </c:txPr>
              <c:dLblPos val="r"/>
              <c:showVal val="1"/>
            </c:dLbl>
            <c:dLbl>
              <c:idx val="2"/>
              <c:layout>
                <c:manualLayout>
                  <c:x val="-4.5734718739196503E-2"/>
                  <c:y val="5.4695205022229944E-2"/>
                </c:manualLayout>
              </c:layout>
              <c:spPr/>
              <c:txPr>
                <a:bodyPr/>
                <a:lstStyle/>
                <a:p>
                  <a:pPr>
                    <a:defRPr/>
                  </a:pPr>
                  <a:endParaRPr lang="ru-RU"/>
                </a:p>
              </c:txPr>
              <c:dLblPos val="r"/>
              <c:showVal val="1"/>
            </c:dLbl>
            <c:dLbl>
              <c:idx val="3"/>
              <c:layout>
                <c:manualLayout>
                  <c:x val="-4.1379031240225433E-2"/>
                  <c:y val="6.8369454896257884E-2"/>
                </c:manualLayout>
              </c:layout>
              <c:spPr/>
              <c:txPr>
                <a:bodyPr/>
                <a:lstStyle/>
                <a:p>
                  <a:pPr>
                    <a:defRPr/>
                  </a:pPr>
                  <a:endParaRPr lang="ru-RU"/>
                </a:p>
              </c:txPr>
              <c:dLblPos val="r"/>
              <c:showVal val="1"/>
            </c:dLbl>
            <c:showVal val="1"/>
          </c:dLbls>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pt idx="0">
                  <c:v>5948</c:v>
                </c:pt>
                <c:pt idx="1">
                  <c:v>4429</c:v>
                </c:pt>
                <c:pt idx="2">
                  <c:v>5314</c:v>
                </c:pt>
                <c:pt idx="3">
                  <c:v>6229</c:v>
                </c:pt>
              </c:numCache>
            </c:numRef>
          </c:val>
        </c:ser>
        <c:dLbls>
          <c:showVal val="1"/>
        </c:dLbls>
        <c:marker val="1"/>
        <c:axId val="67168128"/>
        <c:axId val="67169664"/>
      </c:lineChart>
      <c:catAx>
        <c:axId val="67168128"/>
        <c:scaling>
          <c:orientation val="minMax"/>
        </c:scaling>
        <c:axPos val="b"/>
        <c:numFmt formatCode="General" sourceLinked="1"/>
        <c:majorTickMark val="none"/>
        <c:tickLblPos val="nextTo"/>
        <c:crossAx val="67169664"/>
        <c:crosses val="autoZero"/>
        <c:auto val="1"/>
        <c:lblAlgn val="ctr"/>
        <c:lblOffset val="100"/>
      </c:catAx>
      <c:valAx>
        <c:axId val="67169664"/>
        <c:scaling>
          <c:orientation val="minMax"/>
        </c:scaling>
        <c:delete val="1"/>
        <c:axPos val="l"/>
        <c:numFmt formatCode="General" sourceLinked="1"/>
        <c:tickLblPos val="none"/>
        <c:crossAx val="67168128"/>
        <c:crosses val="autoZero"/>
        <c:crossBetween val="between"/>
      </c:valAx>
    </c:plotArea>
    <c:legend>
      <c:legendPos val="r"/>
      <c:layout>
        <c:manualLayout>
          <c:xMode val="edge"/>
          <c:yMode val="edge"/>
          <c:x val="5.2980179803106132E-2"/>
          <c:y val="0.89699592006444762"/>
          <c:w val="0.89238409152344333"/>
          <c:h val="0.10300407993555306"/>
        </c:manualLayout>
      </c:layout>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61">
                <a:latin typeface="Times New Roman" pitchFamily="18" charset="0"/>
                <a:cs typeface="Times New Roman" pitchFamily="18" charset="0"/>
              </a:defRPr>
            </a:pPr>
            <a:r>
              <a:rPr lang="ru-RU"/>
              <a:t>Структура посевных площадей в 2015 г., %</a:t>
            </a:r>
          </a:p>
        </c:rich>
      </c:tx>
      <c:layout>
        <c:manualLayout>
          <c:xMode val="edge"/>
          <c:yMode val="edge"/>
          <c:x val="0.21691169038652944"/>
          <c:y val="1.9230983223871213E-2"/>
        </c:manualLayout>
      </c:layout>
      <c:spPr>
        <a:noFill/>
        <a:ln w="24843">
          <a:noFill/>
        </a:ln>
      </c:spPr>
    </c:title>
    <c:plotArea>
      <c:layout>
        <c:manualLayout>
          <c:layoutTarget val="inner"/>
          <c:xMode val="edge"/>
          <c:yMode val="edge"/>
          <c:x val="8.3698257597318498E-2"/>
          <c:y val="0.23605674841305627"/>
          <c:w val="0.40229579736268151"/>
          <c:h val="0.58837975649520002"/>
        </c:manualLayout>
      </c:layout>
      <c:pieChart>
        <c:varyColors val="1"/>
        <c:ser>
          <c:idx val="0"/>
          <c:order val="0"/>
          <c:tx>
            <c:strRef>
              <c:f>Лист1!$B$1</c:f>
              <c:strCache>
                <c:ptCount val="1"/>
                <c:pt idx="0">
                  <c:v>Структура посевных площадей, %</c:v>
                </c:pt>
              </c:strCache>
            </c:strRef>
          </c:tx>
          <c:dLbls>
            <c:showPercent val="1"/>
            <c:showLeaderLines val="1"/>
          </c:dLbls>
          <c:cat>
            <c:strRef>
              <c:f>Лист1!$A$2:$A$5</c:f>
              <c:strCache>
                <c:ptCount val="4"/>
                <c:pt idx="0">
                  <c:v>зерновые</c:v>
                </c:pt>
                <c:pt idx="1">
                  <c:v>лен</c:v>
                </c:pt>
                <c:pt idx="2">
                  <c:v>многолетние травы</c:v>
                </c:pt>
                <c:pt idx="3">
                  <c:v>однолетние</c:v>
                </c:pt>
              </c:strCache>
            </c:strRef>
          </c:cat>
          <c:val>
            <c:numRef>
              <c:f>Лист1!$B$2:$B$5</c:f>
              <c:numCache>
                <c:formatCode>General</c:formatCode>
                <c:ptCount val="4"/>
                <c:pt idx="0">
                  <c:v>34.6</c:v>
                </c:pt>
                <c:pt idx="1">
                  <c:v>1.8</c:v>
                </c:pt>
                <c:pt idx="2">
                  <c:v>62</c:v>
                </c:pt>
                <c:pt idx="3">
                  <c:v>1.6</c:v>
                </c:pt>
              </c:numCache>
            </c:numRef>
          </c:val>
        </c:ser>
        <c:ser>
          <c:idx val="1"/>
          <c:order val="1"/>
          <c:tx>
            <c:strRef>
              <c:f>Лист1!$C$1</c:f>
              <c:strCache>
                <c:ptCount val="1"/>
                <c:pt idx="0">
                  <c:v>Столбец1</c:v>
                </c:pt>
              </c:strCache>
            </c:strRef>
          </c:tx>
          <c:dLbls>
            <c:spPr>
              <a:noFill/>
              <a:ln w="24843">
                <a:noFill/>
              </a:ln>
            </c:spPr>
            <c:showPercent val="1"/>
            <c:showLeaderLines val="1"/>
          </c:dLbls>
          <c:cat>
            <c:strRef>
              <c:f>Лист1!$A$2:$A$5</c:f>
              <c:strCache>
                <c:ptCount val="4"/>
                <c:pt idx="0">
                  <c:v>зерновые</c:v>
                </c:pt>
                <c:pt idx="1">
                  <c:v>лен</c:v>
                </c:pt>
                <c:pt idx="2">
                  <c:v>многолетние травы</c:v>
                </c:pt>
                <c:pt idx="3">
                  <c:v>однолетние</c:v>
                </c:pt>
              </c:strCache>
            </c:strRef>
          </c:cat>
          <c:val>
            <c:numRef>
              <c:f>Лист1!$C$2:$C$5</c:f>
              <c:numCache>
                <c:formatCode>General</c:formatCode>
                <c:ptCount val="4"/>
              </c:numCache>
            </c:numRef>
          </c:val>
        </c:ser>
        <c:dLbls>
          <c:showPercent val="1"/>
        </c:dLbls>
        <c:firstSliceAng val="0"/>
      </c:pieChart>
      <c:spPr>
        <a:noFill/>
        <a:ln w="25401">
          <a:noFill/>
        </a:ln>
      </c:spPr>
    </c:plotArea>
    <c:legend>
      <c:legendPos val="r"/>
      <c:layout>
        <c:manualLayout>
          <c:xMode val="edge"/>
          <c:yMode val="edge"/>
          <c:x val="0.52874749351983774"/>
          <c:y val="0.32968346698598527"/>
          <c:w val="0.44117637469229332"/>
          <c:h val="0.44711540089746882"/>
        </c:manualLayout>
      </c:layout>
      <c:txPr>
        <a:bodyPr/>
        <a:lstStyle/>
        <a:p>
          <a:pPr>
            <a:defRPr sz="967">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8">
                <a:latin typeface="Times New Roman" pitchFamily="18" charset="0"/>
                <a:cs typeface="Times New Roman" pitchFamily="18" charset="0"/>
              </a:defRPr>
            </a:pPr>
            <a:r>
              <a:rPr lang="ru-RU" sz="1178">
                <a:latin typeface="Times New Roman" pitchFamily="18" charset="0"/>
                <a:cs typeface="Times New Roman" pitchFamily="18" charset="0"/>
              </a:rPr>
              <a:t>Объемы производства льноволокна, тонн</a:t>
            </a:r>
          </a:p>
        </c:rich>
      </c:tx>
      <c:layout>
        <c:manualLayout>
          <c:xMode val="edge"/>
          <c:yMode val="edge"/>
          <c:x val="0.24223606941218787"/>
          <c:y val="2.0618599145695023E-2"/>
        </c:manualLayout>
      </c:layout>
      <c:spPr>
        <a:noFill/>
        <a:ln w="24931">
          <a:noFill/>
        </a:ln>
      </c:spPr>
    </c:title>
    <c:plotArea>
      <c:layout>
        <c:manualLayout>
          <c:layoutTarget val="inner"/>
          <c:xMode val="edge"/>
          <c:yMode val="edge"/>
          <c:x val="7.4431786334847524E-2"/>
          <c:y val="0.19884105196063129"/>
          <c:w val="0.88511749347258484"/>
          <c:h val="0.64961341972473763"/>
        </c:manualLayout>
      </c:layout>
      <c:lineChart>
        <c:grouping val="standard"/>
        <c:ser>
          <c:idx val="0"/>
          <c:order val="0"/>
          <c:tx>
            <c:strRef>
              <c:f>Лист1!$B$1</c:f>
              <c:strCache>
                <c:ptCount val="1"/>
                <c:pt idx="0">
                  <c:v>Ряд 1</c:v>
                </c:pt>
              </c:strCache>
            </c:strRef>
          </c:tx>
          <c:dLbls>
            <c:dLbl>
              <c:idx val="0"/>
              <c:layout>
                <c:manualLayout>
                  <c:x val="-0.12197129049465379"/>
                  <c:y val="-8.4374596618045694E-2"/>
                </c:manualLayout>
              </c:layout>
              <c:dLblPos val="r"/>
              <c:showVal val="1"/>
            </c:dLbl>
            <c:dLbl>
              <c:idx val="1"/>
              <c:layout>
                <c:manualLayout>
                  <c:x val="-6.5348757593369569E-2"/>
                  <c:y val="9.3908179510348216E-2"/>
                </c:manualLayout>
              </c:layout>
              <c:dLblPos val="r"/>
              <c:showVal val="1"/>
            </c:dLbl>
            <c:dLbl>
              <c:idx val="2"/>
              <c:layout>
                <c:manualLayout>
                  <c:x val="-4.3981752028215956E-2"/>
                  <c:y val="9.3481777892517479E-2"/>
                </c:manualLayout>
              </c:layout>
              <c:dLblPos val="r"/>
              <c:showVal val="1"/>
            </c:dLbl>
            <c:dLbl>
              <c:idx val="3"/>
              <c:layout>
                <c:manualLayout>
                  <c:x val="-5.3799988853769423E-2"/>
                  <c:y val="-8.8342584226152029E-2"/>
                </c:manualLayout>
              </c:layout>
              <c:dLblPos val="r"/>
              <c:showVal val="1"/>
            </c:dLbl>
            <c:spPr>
              <a:noFill/>
              <a:ln w="24931">
                <a:noFill/>
              </a:ln>
            </c:spPr>
            <c:txPr>
              <a:bodyPr/>
              <a:lstStyle/>
              <a:p>
                <a:pPr>
                  <a:defRPr sz="1178" b="1">
                    <a:solidFill>
                      <a:srgbClr val="0070C0"/>
                    </a:solidFill>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141</c:v>
                </c:pt>
                <c:pt idx="1">
                  <c:v>86</c:v>
                </c:pt>
                <c:pt idx="2">
                  <c:v>217</c:v>
                </c:pt>
                <c:pt idx="3">
                  <c:v>254</c:v>
                </c:pt>
              </c:numCache>
            </c:numRef>
          </c:val>
        </c:ser>
        <c:ser>
          <c:idx val="1"/>
          <c:order val="1"/>
          <c:tx>
            <c:strRef>
              <c:f>Лист1!$C$1</c:f>
              <c:strCache>
                <c:ptCount val="1"/>
                <c:pt idx="0">
                  <c:v>Столбец1</c:v>
                </c:pt>
              </c:strCache>
            </c:strRef>
          </c:tx>
          <c:dLbls>
            <c:spPr>
              <a:noFill/>
              <a:ln w="24931">
                <a:noFill/>
              </a:ln>
            </c:spPr>
            <c:showVal val="1"/>
          </c:dLbls>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numCache>
            </c:numRef>
          </c:val>
        </c:ser>
        <c:ser>
          <c:idx val="2"/>
          <c:order val="2"/>
          <c:tx>
            <c:strRef>
              <c:f>Лист1!$D$1</c:f>
              <c:strCache>
                <c:ptCount val="1"/>
                <c:pt idx="0">
                  <c:v>Столбец2</c:v>
                </c:pt>
              </c:strCache>
            </c:strRef>
          </c:tx>
          <c:dLbls>
            <c:spPr>
              <a:noFill/>
              <a:ln w="24931">
                <a:noFill/>
              </a:ln>
            </c:spPr>
            <c:showVal val="1"/>
          </c:dLbls>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numCache>
            </c:numRef>
          </c:val>
        </c:ser>
        <c:dLbls>
          <c:showVal val="1"/>
        </c:dLbls>
        <c:marker val="1"/>
        <c:axId val="73487872"/>
        <c:axId val="73489408"/>
      </c:lineChart>
      <c:catAx>
        <c:axId val="73487872"/>
        <c:scaling>
          <c:orientation val="minMax"/>
        </c:scaling>
        <c:axPos val="b"/>
        <c:numFmt formatCode="General" sourceLinked="1"/>
        <c:majorTickMark val="none"/>
        <c:tickLblPos val="nextTo"/>
        <c:txPr>
          <a:bodyPr/>
          <a:lstStyle/>
          <a:p>
            <a:pPr>
              <a:defRPr b="1"/>
            </a:pPr>
            <a:endParaRPr lang="ru-RU"/>
          </a:p>
        </c:txPr>
        <c:crossAx val="73489408"/>
        <c:crosses val="autoZero"/>
        <c:auto val="1"/>
        <c:lblAlgn val="ctr"/>
        <c:lblOffset val="100"/>
      </c:catAx>
      <c:valAx>
        <c:axId val="73489408"/>
        <c:scaling>
          <c:orientation val="minMax"/>
        </c:scaling>
        <c:delete val="1"/>
        <c:axPos val="l"/>
        <c:numFmt formatCode="General" sourceLinked="1"/>
        <c:tickLblPos val="none"/>
        <c:crossAx val="73487872"/>
        <c:crosses val="autoZero"/>
        <c:crossBetween val="between"/>
      </c:valAx>
    </c:plotArea>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Численность</a:t>
            </a:r>
            <a:r>
              <a:rPr lang="ru-RU" sz="1200" baseline="0">
                <a:latin typeface="Times New Roman" pitchFamily="18" charset="0"/>
                <a:cs typeface="Times New Roman" pitchFamily="18" charset="0"/>
              </a:rPr>
              <a:t> работающих, чел.</a:t>
            </a:r>
            <a:endParaRPr lang="ru-RU" sz="1200">
              <a:latin typeface="Times New Roman" pitchFamily="18" charset="0"/>
              <a:cs typeface="Times New Roman" pitchFamily="18" charset="0"/>
            </a:endParaRPr>
          </a:p>
        </c:rich>
      </c:tx>
      <c:layout>
        <c:manualLayout>
          <c:xMode val="edge"/>
          <c:yMode val="edge"/>
          <c:x val="0.1250000869096661"/>
          <c:y val="2.010030436336304E-2"/>
        </c:manualLayout>
      </c:layout>
      <c:spPr>
        <a:noFill/>
        <a:ln w="25396">
          <a:noFill/>
        </a:ln>
      </c:spPr>
    </c:title>
    <c:plotArea>
      <c:layout/>
      <c:barChart>
        <c:barDir val="col"/>
        <c:grouping val="clustered"/>
        <c:ser>
          <c:idx val="2"/>
          <c:order val="0"/>
          <c:tx>
            <c:strRef>
              <c:f>Лист1!$D$1</c:f>
              <c:strCache>
                <c:ptCount val="1"/>
                <c:pt idx="0">
                  <c:v>Ряд 3</c:v>
                </c:pt>
              </c:strCache>
            </c:strRef>
          </c:tx>
          <c:spPr>
            <a:solidFill>
              <a:schemeClr val="accent1">
                <a:lumMod val="75000"/>
              </a:schemeClr>
            </a:solidFill>
          </c:spPr>
          <c:dLbls>
            <c:spPr>
              <a:noFill/>
              <a:ln w="25396">
                <a:noFill/>
              </a:ln>
            </c:spPr>
            <c:txPr>
              <a:bodyPr/>
              <a:lstStyle/>
              <a:p>
                <a:pPr>
                  <a:defRPr sz="1100" b="1">
                    <a:solidFill>
                      <a:srgbClr val="0070C0"/>
                    </a:solidFill>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pt idx="0">
                  <c:v>593</c:v>
                </c:pt>
                <c:pt idx="1">
                  <c:v>543</c:v>
                </c:pt>
                <c:pt idx="2">
                  <c:v>515</c:v>
                </c:pt>
                <c:pt idx="3">
                  <c:v>518</c:v>
                </c:pt>
              </c:numCache>
            </c:numRef>
          </c:val>
        </c:ser>
        <c:dLbls>
          <c:showVal val="1"/>
        </c:dLbls>
        <c:overlap val="-25"/>
        <c:axId val="73620096"/>
        <c:axId val="73621888"/>
      </c:barChart>
      <c:catAx>
        <c:axId val="73620096"/>
        <c:scaling>
          <c:orientation val="minMax"/>
        </c:scaling>
        <c:axPos val="b"/>
        <c:numFmt formatCode="General" sourceLinked="1"/>
        <c:majorTickMark val="none"/>
        <c:tickLblPos val="nextTo"/>
        <c:txPr>
          <a:bodyPr/>
          <a:lstStyle/>
          <a:p>
            <a:pPr>
              <a:defRPr b="1"/>
            </a:pPr>
            <a:endParaRPr lang="ru-RU"/>
          </a:p>
        </c:txPr>
        <c:crossAx val="73621888"/>
        <c:crosses val="autoZero"/>
        <c:auto val="1"/>
        <c:lblAlgn val="ctr"/>
        <c:lblOffset val="100"/>
      </c:catAx>
      <c:valAx>
        <c:axId val="73621888"/>
        <c:scaling>
          <c:orientation val="minMax"/>
        </c:scaling>
        <c:delete val="1"/>
        <c:axPos val="l"/>
        <c:numFmt formatCode="General" sourceLinked="1"/>
        <c:tickLblPos val="none"/>
        <c:crossAx val="73620096"/>
        <c:crosses val="autoZero"/>
        <c:crossBetween val="between"/>
      </c:valAx>
      <c:spPr>
        <a:noFill/>
        <a:ln w="25398">
          <a:noFill/>
        </a:ln>
      </c:spPr>
    </c:plotArea>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Среднемесячная заработная плата, руб.</a:t>
            </a:r>
          </a:p>
        </c:rich>
      </c:tx>
      <c:layout>
        <c:manualLayout>
          <c:xMode val="edge"/>
          <c:yMode val="edge"/>
          <c:x val="0.13993163225730912"/>
          <c:y val="2.010030436336304E-2"/>
        </c:manualLayout>
      </c:layout>
      <c:spPr>
        <a:noFill/>
        <a:ln w="25396">
          <a:noFill/>
        </a:ln>
      </c:spPr>
    </c:title>
    <c:plotArea>
      <c:layout/>
      <c:barChart>
        <c:barDir val="col"/>
        <c:grouping val="clustered"/>
        <c:ser>
          <c:idx val="2"/>
          <c:order val="0"/>
          <c:tx>
            <c:strRef>
              <c:f>Лист1!$D$1</c:f>
              <c:strCache>
                <c:ptCount val="1"/>
                <c:pt idx="0">
                  <c:v>Ряд 3</c:v>
                </c:pt>
              </c:strCache>
            </c:strRef>
          </c:tx>
          <c:spPr>
            <a:solidFill>
              <a:srgbClr val="C00000"/>
            </a:solidFill>
          </c:spPr>
          <c:dLbls>
            <c:spPr>
              <a:noFill/>
              <a:ln w="25396">
                <a:noFill/>
              </a:ln>
            </c:spPr>
            <c:txPr>
              <a:bodyPr/>
              <a:lstStyle/>
              <a:p>
                <a:pPr>
                  <a:defRPr b="1">
                    <a:solidFill>
                      <a:srgbClr val="C00000"/>
                    </a:solidFill>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pt idx="0">
                  <c:v>8891</c:v>
                </c:pt>
                <c:pt idx="1">
                  <c:v>9929</c:v>
                </c:pt>
                <c:pt idx="2">
                  <c:v>11104</c:v>
                </c:pt>
                <c:pt idx="3">
                  <c:v>11833</c:v>
                </c:pt>
              </c:numCache>
            </c:numRef>
          </c:val>
        </c:ser>
        <c:dLbls>
          <c:showVal val="1"/>
        </c:dLbls>
        <c:overlap val="-25"/>
        <c:axId val="67686400"/>
        <c:axId val="67687936"/>
      </c:barChart>
      <c:catAx>
        <c:axId val="67686400"/>
        <c:scaling>
          <c:orientation val="minMax"/>
        </c:scaling>
        <c:axPos val="b"/>
        <c:numFmt formatCode="General" sourceLinked="1"/>
        <c:majorTickMark val="none"/>
        <c:tickLblPos val="nextTo"/>
        <c:txPr>
          <a:bodyPr/>
          <a:lstStyle/>
          <a:p>
            <a:pPr>
              <a:defRPr b="1"/>
            </a:pPr>
            <a:endParaRPr lang="ru-RU"/>
          </a:p>
        </c:txPr>
        <c:crossAx val="67687936"/>
        <c:crosses val="autoZero"/>
        <c:auto val="1"/>
        <c:lblAlgn val="ctr"/>
        <c:lblOffset val="100"/>
      </c:catAx>
      <c:valAx>
        <c:axId val="67687936"/>
        <c:scaling>
          <c:orientation val="minMax"/>
        </c:scaling>
        <c:delete val="1"/>
        <c:axPos val="l"/>
        <c:numFmt formatCode="General" sourceLinked="1"/>
        <c:tickLblPos val="none"/>
        <c:crossAx val="67686400"/>
        <c:crosses val="autoZero"/>
        <c:crossBetween val="between"/>
      </c:valAx>
      <c:spPr>
        <a:noFill/>
        <a:ln w="25398">
          <a:noFill/>
        </a:ln>
      </c:spPr>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200"/>
            </a:pPr>
            <a:r>
              <a:rPr lang="ru-RU" sz="1200"/>
              <a:t>Демографические процессы в 2011-2015 гг., чел.</a:t>
            </a:r>
          </a:p>
        </c:rich>
      </c:tx>
      <c:layout>
        <c:manualLayout>
          <c:xMode val="edge"/>
          <c:yMode val="edge"/>
          <c:x val="0.24390250230253344"/>
          <c:y val="1.9230605883002561E-2"/>
        </c:manualLayout>
      </c:layout>
      <c:spPr>
        <a:noFill/>
        <a:ln w="25147">
          <a:noFill/>
        </a:ln>
      </c:spPr>
    </c:title>
    <c:plotArea>
      <c:layout>
        <c:manualLayout>
          <c:layoutTarget val="inner"/>
          <c:xMode val="edge"/>
          <c:yMode val="edge"/>
          <c:x val="2.3516835916622132E-2"/>
          <c:y val="0.13312668623717835"/>
          <c:w val="0.95296632816674798"/>
          <c:h val="0.70541471664962863"/>
        </c:manualLayout>
      </c:layout>
      <c:barChart>
        <c:barDir val="col"/>
        <c:grouping val="clustered"/>
        <c:ser>
          <c:idx val="0"/>
          <c:order val="0"/>
          <c:tx>
            <c:strRef>
              <c:f>Лист1!$B$1</c:f>
              <c:strCache>
                <c:ptCount val="1"/>
                <c:pt idx="0">
                  <c:v>количество родившихся</c:v>
                </c:pt>
              </c:strCache>
            </c:strRef>
          </c:tx>
          <c:dLbls>
            <c:dLbl>
              <c:idx val="1"/>
              <c:layout>
                <c:manualLayout>
                  <c:x val="-8.5515766969535226E-3"/>
                  <c:y val="0"/>
                </c:manualLayout>
              </c:layout>
              <c:dLblPos val="outEnd"/>
              <c:showVal val="1"/>
            </c:dLbl>
            <c:dLbl>
              <c:idx val="2"/>
              <c:layout>
                <c:manualLayout>
                  <c:x val="-4.27578834847675E-3"/>
                  <c:y val="7.9407507448362134E-3"/>
                </c:manualLayout>
              </c:layout>
              <c:dLblPos val="outEnd"/>
              <c:showVal val="1"/>
            </c:dLbl>
            <c:dLbl>
              <c:idx val="3"/>
              <c:layout>
                <c:manualLayout>
                  <c:x val="-6.4136825227152014E-3"/>
                  <c:y val="3.9703753724180842E-3"/>
                </c:manualLayout>
              </c:layout>
              <c:dLblPos val="outEnd"/>
              <c:showVal val="1"/>
            </c:dLbl>
            <c:dLbl>
              <c:idx val="4"/>
              <c:layout>
                <c:manualLayout>
                  <c:x val="-6.4136825227152014E-3"/>
                  <c:y val="1.1911126117254301E-2"/>
                </c:manualLayout>
              </c:layout>
              <c:dLblPos val="outEnd"/>
              <c:showVal val="1"/>
            </c:dLbl>
            <c:spPr>
              <a:noFill/>
              <a:ln w="25147">
                <a:noFill/>
              </a:ln>
            </c:spPr>
            <c:txPr>
              <a:bodyPr/>
              <a:lstStyle/>
              <a:p>
                <a:pPr>
                  <a:defRPr sz="1186" b="1" i="0">
                    <a:solidFill>
                      <a:schemeClr val="tx2">
                        <a:lumMod val="75000"/>
                      </a:schemeClr>
                    </a:solidFill>
                  </a:defRPr>
                </a:pPr>
                <a:endParaRPr lang="ru-RU"/>
              </a:p>
            </c:txPr>
            <c:showVal val="1"/>
          </c:dLbls>
          <c:cat>
            <c:strRef>
              <c:f>Лист1!$A$2:$A$6</c:f>
              <c:strCache>
                <c:ptCount val="5"/>
                <c:pt idx="0">
                  <c:v>2011 г.</c:v>
                </c:pt>
                <c:pt idx="1">
                  <c:v>2012 г.</c:v>
                </c:pt>
                <c:pt idx="2">
                  <c:v>2013 г.</c:v>
                </c:pt>
                <c:pt idx="3">
                  <c:v>2014 г.</c:v>
                </c:pt>
                <c:pt idx="4">
                  <c:v>10 мес. 2015 г.</c:v>
                </c:pt>
              </c:strCache>
            </c:strRef>
          </c:cat>
          <c:val>
            <c:numRef>
              <c:f>Лист1!$B$2:$B$6</c:f>
              <c:numCache>
                <c:formatCode>General</c:formatCode>
                <c:ptCount val="5"/>
                <c:pt idx="0">
                  <c:v>269</c:v>
                </c:pt>
                <c:pt idx="1">
                  <c:v>277</c:v>
                </c:pt>
                <c:pt idx="2">
                  <c:v>270</c:v>
                </c:pt>
                <c:pt idx="3">
                  <c:v>233</c:v>
                </c:pt>
                <c:pt idx="4">
                  <c:v>176</c:v>
                </c:pt>
              </c:numCache>
            </c:numRef>
          </c:val>
        </c:ser>
        <c:ser>
          <c:idx val="1"/>
          <c:order val="1"/>
          <c:tx>
            <c:strRef>
              <c:f>Лист1!$C$1</c:f>
              <c:strCache>
                <c:ptCount val="1"/>
                <c:pt idx="0">
                  <c:v>количество умерших</c:v>
                </c:pt>
              </c:strCache>
            </c:strRef>
          </c:tx>
          <c:dLbls>
            <c:spPr>
              <a:noFill/>
              <a:ln w="25147">
                <a:noFill/>
              </a:ln>
            </c:spPr>
            <c:txPr>
              <a:bodyPr/>
              <a:lstStyle/>
              <a:p>
                <a:pPr>
                  <a:defRPr sz="1186" b="1">
                    <a:solidFill>
                      <a:srgbClr val="C00000"/>
                    </a:solidFill>
                  </a:defRPr>
                </a:pPr>
                <a:endParaRPr lang="ru-RU"/>
              </a:p>
            </c:txPr>
            <c:showVal val="1"/>
          </c:dLbls>
          <c:cat>
            <c:strRef>
              <c:f>Лист1!$A$2:$A$6</c:f>
              <c:strCache>
                <c:ptCount val="5"/>
                <c:pt idx="0">
                  <c:v>2011 г.</c:v>
                </c:pt>
                <c:pt idx="1">
                  <c:v>2012 г.</c:v>
                </c:pt>
                <c:pt idx="2">
                  <c:v>2013 г.</c:v>
                </c:pt>
                <c:pt idx="3">
                  <c:v>2014 г.</c:v>
                </c:pt>
                <c:pt idx="4">
                  <c:v>10 мес. 2015 г.</c:v>
                </c:pt>
              </c:strCache>
            </c:strRef>
          </c:cat>
          <c:val>
            <c:numRef>
              <c:f>Лист1!$C$2:$C$6</c:f>
              <c:numCache>
                <c:formatCode>General</c:formatCode>
                <c:ptCount val="5"/>
                <c:pt idx="0">
                  <c:v>379</c:v>
                </c:pt>
                <c:pt idx="1">
                  <c:v>373</c:v>
                </c:pt>
                <c:pt idx="2">
                  <c:v>333</c:v>
                </c:pt>
                <c:pt idx="3">
                  <c:v>295</c:v>
                </c:pt>
                <c:pt idx="4">
                  <c:v>267</c:v>
                </c:pt>
              </c:numCache>
            </c:numRef>
          </c:val>
        </c:ser>
        <c:ser>
          <c:idx val="2"/>
          <c:order val="2"/>
          <c:tx>
            <c:strRef>
              <c:f>Лист1!$D$1</c:f>
              <c:strCache>
                <c:ptCount val="1"/>
                <c:pt idx="0">
                  <c:v>естественная убыль (прирост)</c:v>
                </c:pt>
              </c:strCache>
            </c:strRef>
          </c:tx>
          <c:spPr>
            <a:solidFill>
              <a:srgbClr val="00B050"/>
            </a:solidFill>
          </c:spPr>
          <c:dLbls>
            <c:dLbl>
              <c:idx val="0"/>
              <c:layout>
                <c:manualLayout>
                  <c:x val="8.5515766969535226E-3"/>
                  <c:y val="0.17469651638639574"/>
                </c:manualLayout>
              </c:layout>
              <c:dLblPos val="outEnd"/>
              <c:showVal val="1"/>
            </c:dLbl>
            <c:dLbl>
              <c:idx val="1"/>
              <c:layout>
                <c:manualLayout>
                  <c:x val="6.4136825227152014E-3"/>
                  <c:y val="0.16675576564155917"/>
                </c:manualLayout>
              </c:layout>
              <c:dLblPos val="outEnd"/>
              <c:showVal val="1"/>
            </c:dLbl>
            <c:dLbl>
              <c:idx val="2"/>
              <c:layout>
                <c:manualLayout>
                  <c:x val="2.1378941742383802E-3"/>
                  <c:y val="0.14293351340705104"/>
                </c:manualLayout>
              </c:layout>
              <c:dLblPos val="outEnd"/>
              <c:showVal val="1"/>
            </c:dLbl>
            <c:dLbl>
              <c:idx val="3"/>
              <c:layout>
                <c:manualLayout>
                  <c:x val="0"/>
                  <c:y val="0.13896313803463486"/>
                </c:manualLayout>
              </c:layout>
              <c:dLblPos val="outEnd"/>
              <c:showVal val="1"/>
            </c:dLbl>
            <c:dLbl>
              <c:idx val="4"/>
              <c:layout>
                <c:manualLayout>
                  <c:x val="0"/>
                  <c:y val="0.15087426415188709"/>
                </c:manualLayout>
              </c:layout>
              <c:dLblPos val="outEnd"/>
              <c:showVal val="1"/>
            </c:dLbl>
            <c:spPr>
              <a:noFill/>
              <a:ln w="25147">
                <a:noFill/>
              </a:ln>
            </c:spPr>
            <c:txPr>
              <a:bodyPr/>
              <a:lstStyle/>
              <a:p>
                <a:pPr>
                  <a:defRPr sz="1186" b="1">
                    <a:solidFill>
                      <a:srgbClr val="00B050"/>
                    </a:solidFill>
                  </a:defRPr>
                </a:pPr>
                <a:endParaRPr lang="ru-RU"/>
              </a:p>
            </c:txPr>
            <c:showVal val="1"/>
          </c:dLbls>
          <c:cat>
            <c:strRef>
              <c:f>Лист1!$A$2:$A$6</c:f>
              <c:strCache>
                <c:ptCount val="5"/>
                <c:pt idx="0">
                  <c:v>2011 г.</c:v>
                </c:pt>
                <c:pt idx="1">
                  <c:v>2012 г.</c:v>
                </c:pt>
                <c:pt idx="2">
                  <c:v>2013 г.</c:v>
                </c:pt>
                <c:pt idx="3">
                  <c:v>2014 г.</c:v>
                </c:pt>
                <c:pt idx="4">
                  <c:v>10 мес. 2015 г.</c:v>
                </c:pt>
              </c:strCache>
            </c:strRef>
          </c:cat>
          <c:val>
            <c:numRef>
              <c:f>Лист1!$D$2:$D$6</c:f>
              <c:numCache>
                <c:formatCode>General</c:formatCode>
                <c:ptCount val="5"/>
                <c:pt idx="0">
                  <c:v>-110</c:v>
                </c:pt>
                <c:pt idx="1">
                  <c:v>-96</c:v>
                </c:pt>
                <c:pt idx="2">
                  <c:v>-63</c:v>
                </c:pt>
                <c:pt idx="3">
                  <c:v>-62</c:v>
                </c:pt>
                <c:pt idx="4">
                  <c:v>-91</c:v>
                </c:pt>
              </c:numCache>
            </c:numRef>
          </c:val>
        </c:ser>
        <c:ser>
          <c:idx val="3"/>
          <c:order val="3"/>
          <c:tx>
            <c:strRef>
              <c:f>Лист1!$E$1</c:f>
              <c:strCache>
                <c:ptCount val="1"/>
                <c:pt idx="0">
                  <c:v>миграционная убыль (прирост)</c:v>
                </c:pt>
              </c:strCache>
            </c:strRef>
          </c:tx>
          <c:dLbls>
            <c:spPr>
              <a:noFill/>
              <a:ln w="25147">
                <a:noFill/>
              </a:ln>
            </c:spPr>
            <c:txPr>
              <a:bodyPr/>
              <a:lstStyle/>
              <a:p>
                <a:pPr>
                  <a:defRPr sz="1186" b="1">
                    <a:solidFill>
                      <a:srgbClr val="7030A0"/>
                    </a:solidFill>
                  </a:defRPr>
                </a:pPr>
                <a:endParaRPr lang="ru-RU"/>
              </a:p>
            </c:txPr>
            <c:showVal val="1"/>
          </c:dLbls>
          <c:cat>
            <c:strRef>
              <c:f>Лист1!$A$2:$A$6</c:f>
              <c:strCache>
                <c:ptCount val="5"/>
                <c:pt idx="0">
                  <c:v>2011 г.</c:v>
                </c:pt>
                <c:pt idx="1">
                  <c:v>2012 г.</c:v>
                </c:pt>
                <c:pt idx="2">
                  <c:v>2013 г.</c:v>
                </c:pt>
                <c:pt idx="3">
                  <c:v>2014 г.</c:v>
                </c:pt>
                <c:pt idx="4">
                  <c:v>10 мес. 2015 г.</c:v>
                </c:pt>
              </c:strCache>
            </c:strRef>
          </c:cat>
          <c:val>
            <c:numRef>
              <c:f>Лист1!$E$2:$E$6</c:f>
              <c:numCache>
                <c:formatCode>General</c:formatCode>
                <c:ptCount val="5"/>
                <c:pt idx="0">
                  <c:v>-474</c:v>
                </c:pt>
                <c:pt idx="1">
                  <c:v>-382</c:v>
                </c:pt>
                <c:pt idx="2">
                  <c:v>-321</c:v>
                </c:pt>
                <c:pt idx="3">
                  <c:v>-231</c:v>
                </c:pt>
                <c:pt idx="4">
                  <c:v>15</c:v>
                </c:pt>
              </c:numCache>
            </c:numRef>
          </c:val>
        </c:ser>
        <c:gapWidth val="75"/>
        <c:overlap val="-25"/>
        <c:axId val="112533504"/>
        <c:axId val="112535040"/>
      </c:barChart>
      <c:catAx>
        <c:axId val="112533504"/>
        <c:scaling>
          <c:orientation val="minMax"/>
        </c:scaling>
        <c:axPos val="b"/>
        <c:numFmt formatCode="General" sourceLinked="1"/>
        <c:majorTickMark val="none"/>
        <c:tickLblPos val="nextTo"/>
        <c:txPr>
          <a:bodyPr/>
          <a:lstStyle/>
          <a:p>
            <a:pPr>
              <a:defRPr sz="1186" b="1">
                <a:solidFill>
                  <a:sysClr val="windowText" lastClr="000000"/>
                </a:solidFill>
              </a:defRPr>
            </a:pPr>
            <a:endParaRPr lang="ru-RU"/>
          </a:p>
        </c:txPr>
        <c:crossAx val="112535040"/>
        <c:crosses val="autoZero"/>
        <c:auto val="1"/>
        <c:lblAlgn val="ctr"/>
        <c:lblOffset val="100"/>
      </c:catAx>
      <c:valAx>
        <c:axId val="112535040"/>
        <c:scaling>
          <c:orientation val="minMax"/>
        </c:scaling>
        <c:delete val="1"/>
        <c:axPos val="l"/>
        <c:numFmt formatCode="General" sourceLinked="1"/>
        <c:tickLblPos val="none"/>
        <c:crossAx val="112533504"/>
        <c:crosses val="autoZero"/>
        <c:crossBetween val="between"/>
      </c:valAx>
      <c:spPr>
        <a:solidFill>
          <a:schemeClr val="tx2">
            <a:lumMod val="20000"/>
            <a:lumOff val="80000"/>
          </a:schemeClr>
        </a:solidFill>
      </c:spPr>
    </c:plotArea>
    <c:legend>
      <c:legendPos val="r"/>
      <c:layout>
        <c:manualLayout>
          <c:xMode val="edge"/>
          <c:yMode val="edge"/>
          <c:x val="0.18699183195181451"/>
          <c:y val="0.84615379388256051"/>
          <c:w val="0.62276416436413362"/>
          <c:h val="0.15384620611744149"/>
        </c:manualLayout>
      </c:layout>
    </c:legend>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00B0F0"/>
        </a:solidFill>
      </c:spPr>
    </c:floor>
    <c:sideWall>
      <c:spPr>
        <a:noFill/>
        <a:ln w="25400">
          <a:noFill/>
        </a:ln>
      </c:spPr>
    </c:sideWall>
    <c:backWall>
      <c:spPr>
        <a:noFill/>
        <a:ln w="25400">
          <a:noFill/>
        </a:ln>
      </c:spPr>
    </c:backWall>
    <c:plotArea>
      <c:layout>
        <c:manualLayout>
          <c:layoutTarget val="inner"/>
          <c:xMode val="edge"/>
          <c:yMode val="edge"/>
          <c:x val="1.5823864713540353E-4"/>
          <c:y val="2.8176690679622492E-3"/>
          <c:w val="0.98112879299805333"/>
          <c:h val="0.6259902831295161"/>
        </c:manualLayout>
      </c:layout>
      <c:bar3DChart>
        <c:barDir val="col"/>
        <c:grouping val="stacked"/>
        <c:ser>
          <c:idx val="0"/>
          <c:order val="0"/>
          <c:tx>
            <c:strRef>
              <c:f>Лист1!$B$1</c:f>
              <c:strCache>
                <c:ptCount val="1"/>
                <c:pt idx="0">
                  <c:v>Оборот розничной торговли, млн. руб.</c:v>
                </c:pt>
              </c:strCache>
            </c:strRef>
          </c:tx>
          <c:spPr>
            <a:solidFill>
              <a:schemeClr val="accent2">
                <a:lumMod val="60000"/>
                <a:lumOff val="40000"/>
              </a:schemeClr>
            </a:solidFill>
          </c:spPr>
          <c:dLbls>
            <c:dLbl>
              <c:idx val="0"/>
              <c:layout>
                <c:manualLayout>
                  <c:x val="1.2271398913029098E-2"/>
                  <c:y val="-0.27922227777992148"/>
                </c:manualLayout>
              </c:layout>
              <c:tx>
                <c:rich>
                  <a:bodyPr/>
                  <a:lstStyle/>
                  <a:p>
                    <a:r>
                      <a:rPr lang="en-US" sz="883" dirty="0" smtClean="0"/>
                      <a:t>1602</a:t>
                    </a:r>
                    <a:r>
                      <a:rPr lang="ru-RU" sz="883" dirty="0" smtClean="0"/>
                      <a:t>,0</a:t>
                    </a:r>
                    <a:endParaRPr lang="en-US" sz="1100" dirty="0"/>
                  </a:p>
                </c:rich>
              </c:tx>
            </c:dLbl>
            <c:dLbl>
              <c:idx val="1"/>
              <c:layout>
                <c:manualLayout>
                  <c:x val="2.110708071603409E-2"/>
                  <c:y val="-0.34435963589657681"/>
                </c:manualLayout>
              </c:layout>
              <c:showVal val="1"/>
            </c:dLbl>
            <c:dLbl>
              <c:idx val="2"/>
              <c:layout>
                <c:manualLayout>
                  <c:x val="1.7082527605397871E-2"/>
                  <c:y val="-0.35152510191545844"/>
                </c:manualLayout>
              </c:layout>
              <c:tx>
                <c:rich>
                  <a:bodyPr/>
                  <a:lstStyle/>
                  <a:p>
                    <a:r>
                      <a:rPr lang="en-US" sz="883" dirty="0" smtClean="0"/>
                      <a:t>1720</a:t>
                    </a:r>
                    <a:r>
                      <a:rPr lang="ru-RU" sz="883" dirty="0" smtClean="0"/>
                      <a:t>,0</a:t>
                    </a:r>
                    <a:endParaRPr lang="en-US" sz="1100" dirty="0"/>
                  </a:p>
                </c:rich>
              </c:tx>
            </c:dLbl>
            <c:dLbl>
              <c:idx val="3"/>
              <c:layout>
                <c:manualLayout>
                  <c:x val="2.839701217123141E-2"/>
                  <c:y val="-0.35350644999162717"/>
                </c:manualLayout>
              </c:layout>
              <c:tx>
                <c:rich>
                  <a:bodyPr/>
                  <a:lstStyle/>
                  <a:p>
                    <a:r>
                      <a:rPr lang="en-US" sz="883" dirty="0" smtClean="0"/>
                      <a:t>1870</a:t>
                    </a:r>
                    <a:r>
                      <a:rPr lang="ru-RU" sz="883" dirty="0" smtClean="0"/>
                      <a:t>,0</a:t>
                    </a:r>
                    <a:endParaRPr lang="en-US" sz="1100" dirty="0"/>
                  </a:p>
                </c:rich>
              </c:tx>
            </c:dLbl>
            <c:dLbl>
              <c:idx val="4"/>
              <c:layout>
                <c:manualLayout>
                  <c:x val="3.7859986602798254E-2"/>
                  <c:y val="-0.35254771876919633"/>
                </c:manualLayout>
              </c:layout>
              <c:tx>
                <c:rich>
                  <a:bodyPr/>
                  <a:lstStyle/>
                  <a:p>
                    <a:r>
                      <a:rPr lang="ru-RU" sz="883" dirty="0" smtClean="0"/>
                      <a:t>1466,5</a:t>
                    </a:r>
                  </a:p>
                  <a:p>
                    <a:endParaRPr lang="en-US" sz="1100" dirty="0"/>
                  </a:p>
                </c:rich>
              </c:tx>
            </c:dLbl>
            <c:dLbl>
              <c:idx val="5"/>
              <c:layout>
                <c:manualLayout>
                  <c:x val="2.0424762548190742E-2"/>
                  <c:y val="-0.34096136564693047"/>
                </c:manualLayout>
              </c:layout>
              <c:tx>
                <c:rich>
                  <a:bodyPr/>
                  <a:lstStyle/>
                  <a:p>
                    <a:r>
                      <a:rPr lang="en-US" sz="883" dirty="0" smtClean="0"/>
                      <a:t>2200</a:t>
                    </a:r>
                    <a:r>
                      <a:rPr lang="ru-RU" sz="883" dirty="0" smtClean="0"/>
                      <a:t>,0</a:t>
                    </a:r>
                    <a:endParaRPr lang="en-US" sz="1100" dirty="0"/>
                  </a:p>
                </c:rich>
              </c:tx>
            </c:dLbl>
            <c:spPr>
              <a:noFill/>
              <a:ln w="12919">
                <a:noFill/>
              </a:ln>
            </c:spPr>
            <c:txPr>
              <a:bodyPr/>
              <a:lstStyle/>
              <a:p>
                <a:pPr>
                  <a:defRPr sz="883" b="1"/>
                </a:pPr>
                <a:endParaRPr lang="ru-RU"/>
              </a:p>
            </c:txPr>
            <c:showVal val="1"/>
          </c:dLbls>
          <c:cat>
            <c:strRef>
              <c:f>Лист1!$A$2:$A$6</c:f>
              <c:strCache>
                <c:ptCount val="5"/>
                <c:pt idx="0">
                  <c:v>2011</c:v>
                </c:pt>
                <c:pt idx="1">
                  <c:v>2012</c:v>
                </c:pt>
                <c:pt idx="2">
                  <c:v>2013</c:v>
                </c:pt>
                <c:pt idx="3">
                  <c:v>2014</c:v>
                </c:pt>
                <c:pt idx="4">
                  <c:v>10 мес. 2015</c:v>
                </c:pt>
              </c:strCache>
            </c:strRef>
          </c:cat>
          <c:val>
            <c:numRef>
              <c:f>Лист1!$B$2:$B$6</c:f>
              <c:numCache>
                <c:formatCode>General</c:formatCode>
                <c:ptCount val="5"/>
                <c:pt idx="0">
                  <c:v>1168.8</c:v>
                </c:pt>
                <c:pt idx="1">
                  <c:v>1374.1</c:v>
                </c:pt>
                <c:pt idx="2">
                  <c:v>1455.8</c:v>
                </c:pt>
                <c:pt idx="3">
                  <c:v>1601.9</c:v>
                </c:pt>
                <c:pt idx="4">
                  <c:v>1466.5</c:v>
                </c:pt>
              </c:numCache>
            </c:numRef>
          </c:val>
        </c:ser>
        <c:gapWidth val="55"/>
        <c:gapDepth val="55"/>
        <c:shape val="cylinder"/>
        <c:axId val="67446272"/>
        <c:axId val="67447808"/>
        <c:axId val="0"/>
      </c:bar3DChart>
      <c:catAx>
        <c:axId val="67446272"/>
        <c:scaling>
          <c:orientation val="minMax"/>
        </c:scaling>
        <c:axPos val="b"/>
        <c:numFmt formatCode="General" sourceLinked="1"/>
        <c:majorTickMark val="none"/>
        <c:tickLblPos val="nextTo"/>
        <c:txPr>
          <a:bodyPr/>
          <a:lstStyle/>
          <a:p>
            <a:pPr>
              <a:defRPr sz="803"/>
            </a:pPr>
            <a:endParaRPr lang="ru-RU"/>
          </a:p>
        </c:txPr>
        <c:crossAx val="67447808"/>
        <c:crosses val="autoZero"/>
        <c:auto val="1"/>
        <c:lblAlgn val="ctr"/>
        <c:lblOffset val="100"/>
      </c:catAx>
      <c:valAx>
        <c:axId val="67447808"/>
        <c:scaling>
          <c:orientation val="minMax"/>
        </c:scaling>
        <c:axPos val="l"/>
        <c:numFmt formatCode="General" sourceLinked="1"/>
        <c:majorTickMark val="none"/>
        <c:tickLblPos val="none"/>
        <c:crossAx val="67446272"/>
        <c:crosses val="autoZero"/>
        <c:crossBetween val="between"/>
      </c:valAx>
      <c:spPr>
        <a:noFill/>
        <a:ln w="20391">
          <a:noFill/>
        </a:ln>
      </c:spPr>
    </c:plotArea>
    <c:legend>
      <c:legendPos val="r"/>
      <c:layout>
        <c:manualLayout>
          <c:xMode val="edge"/>
          <c:yMode val="edge"/>
          <c:x val="2.9296801314469836E-2"/>
          <c:y val="0.84895813157045263"/>
          <c:w val="0.93750003200820031"/>
          <c:h val="0.15104186842954759"/>
        </c:manualLayout>
      </c:layout>
      <c:spPr>
        <a:ln>
          <a:noFill/>
        </a:ln>
      </c:spPr>
      <c:txPr>
        <a:bodyPr/>
        <a:lstStyle/>
        <a:p>
          <a:pPr>
            <a:defRPr sz="803" b="1"/>
          </a:pPr>
          <a:endParaRPr lang="ru-RU"/>
        </a:p>
      </c:txPr>
    </c:legend>
    <c:plotVisOnly val="1"/>
    <c:dispBlanksAs val="gap"/>
  </c:chart>
  <c:spPr>
    <a:noFill/>
    <a:ln>
      <a:noFill/>
    </a:ln>
  </c:spPr>
  <c:txPr>
    <a:bodyPr/>
    <a:lstStyle/>
    <a:p>
      <a:pPr>
        <a:defRPr sz="502"/>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39"/>
            </a:pPr>
            <a:r>
              <a:rPr lang="ru-RU" sz="939"/>
              <a:t>Инвестиции в основной капитал, млн. руб.</a:t>
            </a:r>
          </a:p>
        </c:rich>
      </c:tx>
      <c:layout>
        <c:manualLayout>
          <c:xMode val="edge"/>
          <c:yMode val="edge"/>
          <c:x val="0.30794766181029748"/>
          <c:y val="9.4025011579435523E-4"/>
        </c:manualLayout>
      </c:layout>
      <c:spPr>
        <a:noFill/>
        <a:ln w="13652">
          <a:noFill/>
        </a:ln>
      </c:spPr>
    </c:title>
    <c:plotArea>
      <c:layout>
        <c:manualLayout>
          <c:layoutTarget val="inner"/>
          <c:xMode val="edge"/>
          <c:yMode val="edge"/>
          <c:x val="4.8554004686567569E-4"/>
          <c:y val="0.17246641963872222"/>
          <c:w val="0.95757575757575764"/>
          <c:h val="0.63332791921189913"/>
        </c:manualLayout>
      </c:layout>
      <c:lineChart>
        <c:grouping val="stacked"/>
        <c:ser>
          <c:idx val="0"/>
          <c:order val="0"/>
          <c:tx>
            <c:strRef>
              <c:f>Лист1!$B$1</c:f>
              <c:strCache>
                <c:ptCount val="1"/>
                <c:pt idx="0">
                  <c:v>инвестиции в основной капитал, млн. руб.</c:v>
                </c:pt>
              </c:strCache>
            </c:strRef>
          </c:tx>
          <c:dLbls>
            <c:dLbl>
              <c:idx val="0"/>
              <c:layout>
                <c:manualLayout>
                  <c:x val="-5.2525252525252357E-2"/>
                  <c:y val="-9.5665171898355758E-2"/>
                </c:manualLayout>
              </c:layout>
              <c:dLblPos val="r"/>
              <c:showVal val="1"/>
            </c:dLbl>
            <c:dLbl>
              <c:idx val="1"/>
              <c:layout>
                <c:manualLayout>
                  <c:x val="-4.4444444444444432E-2"/>
                  <c:y val="-8.9686098654708502E-2"/>
                </c:manualLayout>
              </c:layout>
              <c:dLblPos val="r"/>
              <c:showVal val="1"/>
            </c:dLbl>
            <c:dLbl>
              <c:idx val="2"/>
              <c:layout>
                <c:manualLayout>
                  <c:x val="-4.0404040404040414E-2"/>
                  <c:y val="-0.10164424514200322"/>
                </c:manualLayout>
              </c:layout>
              <c:dLblPos val="r"/>
              <c:showVal val="1"/>
            </c:dLbl>
            <c:dLbl>
              <c:idx val="3"/>
              <c:layout>
                <c:manualLayout>
                  <c:x val="-5.2525252525252357E-2"/>
                  <c:y val="-9.5665171898355786E-2"/>
                </c:manualLayout>
              </c:layout>
              <c:dLblPos val="r"/>
              <c:showVal val="1"/>
            </c:dLbl>
            <c:dLbl>
              <c:idx val="4"/>
              <c:layout>
                <c:manualLayout>
                  <c:x val="-4.4444444444444502E-2"/>
                  <c:y val="-8.3707025411063035E-2"/>
                </c:manualLayout>
              </c:layout>
              <c:dLblPos val="r"/>
              <c:showVal val="1"/>
            </c:dLbl>
            <c:spPr>
              <a:noFill/>
              <a:ln w="13652">
                <a:noFill/>
              </a:ln>
            </c:spPr>
            <c:txPr>
              <a:bodyPr/>
              <a:lstStyle/>
              <a:p>
                <a:pPr>
                  <a:defRPr sz="939" b="1">
                    <a:solidFill>
                      <a:sysClr val="windowText" lastClr="000000"/>
                    </a:solidFill>
                  </a:defRPr>
                </a:pPr>
                <a:endParaRPr lang="ru-RU"/>
              </a:p>
            </c:txPr>
            <c:showVal val="1"/>
          </c:dLbls>
          <c:cat>
            <c:strRef>
              <c:f>Лист1!$A$2:$A$6</c:f>
              <c:strCache>
                <c:ptCount val="5"/>
                <c:pt idx="0">
                  <c:v>2011</c:v>
                </c:pt>
                <c:pt idx="1">
                  <c:v>2012</c:v>
                </c:pt>
                <c:pt idx="2">
                  <c:v>2013</c:v>
                </c:pt>
                <c:pt idx="3">
                  <c:v>2014</c:v>
                </c:pt>
                <c:pt idx="4">
                  <c:v>9 мес. 2015</c:v>
                </c:pt>
              </c:strCache>
            </c:strRef>
          </c:cat>
          <c:val>
            <c:numRef>
              <c:f>Лист1!$B$2:$B$6</c:f>
              <c:numCache>
                <c:formatCode>General</c:formatCode>
                <c:ptCount val="5"/>
                <c:pt idx="0">
                  <c:v>26.1</c:v>
                </c:pt>
                <c:pt idx="1">
                  <c:v>67.099999999999994</c:v>
                </c:pt>
                <c:pt idx="2">
                  <c:v>53.8</c:v>
                </c:pt>
                <c:pt idx="3">
                  <c:v>66.2</c:v>
                </c:pt>
                <c:pt idx="4">
                  <c:v>92.5</c:v>
                </c:pt>
              </c:numCache>
            </c:numRef>
          </c:val>
        </c:ser>
        <c:dLbls>
          <c:showVal val="1"/>
        </c:dLbls>
        <c:marker val="1"/>
        <c:axId val="73607808"/>
        <c:axId val="73691520"/>
      </c:lineChart>
      <c:catAx>
        <c:axId val="73607808"/>
        <c:scaling>
          <c:orientation val="minMax"/>
        </c:scaling>
        <c:axPos val="b"/>
        <c:numFmt formatCode="General" sourceLinked="1"/>
        <c:majorTickMark val="none"/>
        <c:tickLblPos val="nextTo"/>
        <c:txPr>
          <a:bodyPr/>
          <a:lstStyle/>
          <a:p>
            <a:pPr>
              <a:defRPr sz="854" b="1"/>
            </a:pPr>
            <a:endParaRPr lang="ru-RU"/>
          </a:p>
        </c:txPr>
        <c:crossAx val="73691520"/>
        <c:crosses val="autoZero"/>
        <c:auto val="1"/>
        <c:lblAlgn val="ctr"/>
        <c:lblOffset val="100"/>
      </c:catAx>
      <c:valAx>
        <c:axId val="73691520"/>
        <c:scaling>
          <c:orientation val="minMax"/>
        </c:scaling>
        <c:delete val="1"/>
        <c:axPos val="l"/>
        <c:numFmt formatCode="General" sourceLinked="1"/>
        <c:tickLblPos val="none"/>
        <c:crossAx val="73607808"/>
        <c:crosses val="autoZero"/>
        <c:crossBetween val="between"/>
      </c:valAx>
      <c:spPr>
        <a:solidFill>
          <a:schemeClr val="accent5">
            <a:lumMod val="40000"/>
            <a:lumOff val="60000"/>
          </a:schemeClr>
        </a:solidFill>
        <a:ln w="8735">
          <a:noFill/>
        </a:ln>
      </c:spPr>
    </c:plotArea>
    <c:plotVisOnly val="1"/>
    <c:dispBlanksAs val="zero"/>
  </c:chart>
  <c:spPr>
    <a:noFill/>
    <a:ln>
      <a:noFill/>
    </a:ln>
  </c:spPr>
  <c:txPr>
    <a:bodyPr/>
    <a:lstStyle/>
    <a:p>
      <a:pPr>
        <a:defRPr sz="418"/>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3617820719270016E-2"/>
          <c:y val="0.17612013100132534"/>
          <c:w val="0.95276435856146002"/>
          <c:h val="0.56096836579637532"/>
        </c:manualLayout>
      </c:layout>
      <c:lineChart>
        <c:grouping val="standard"/>
        <c:ser>
          <c:idx val="0"/>
          <c:order val="0"/>
          <c:tx>
            <c:strRef>
              <c:f>Лист1!$B$1</c:f>
              <c:strCache>
                <c:ptCount val="1"/>
                <c:pt idx="0">
                  <c:v>успеваемость</c:v>
                </c:pt>
              </c:strCache>
            </c:strRef>
          </c:tx>
          <c:dLbls>
            <c:dLbl>
              <c:idx val="0"/>
              <c:layout>
                <c:manualLayout>
                  <c:x val="-4.7235641438539991E-2"/>
                  <c:y val="-8.8495575221240172E-2"/>
                </c:manualLayout>
              </c:layout>
              <c:dLblPos val="r"/>
              <c:showVal val="1"/>
            </c:dLbl>
            <c:dLbl>
              <c:idx val="1"/>
              <c:layout>
                <c:manualLayout>
                  <c:x val="-4.9382716049383477E-2"/>
                  <c:y val="-0.10029498525073779"/>
                </c:manualLayout>
              </c:layout>
              <c:dLblPos val="r"/>
              <c:showVal val="1"/>
            </c:dLbl>
            <c:dLbl>
              <c:idx val="2"/>
              <c:layout>
                <c:manualLayout>
                  <c:x val="-5.3676865271067555E-2"/>
                  <c:y val="-9.4395744779691204E-2"/>
                </c:manualLayout>
              </c:layout>
              <c:dLblPos val="r"/>
              <c:showVal val="1"/>
            </c:dLbl>
            <c:dLbl>
              <c:idx val="3"/>
              <c:layout>
                <c:manualLayout>
                  <c:x val="-5.1529790660225387E-2"/>
                  <c:y val="-9.4395280235988172E-2"/>
                </c:manualLayout>
              </c:layout>
              <c:dLblPos val="r"/>
              <c:showVal val="1"/>
            </c:dLbl>
            <c:dLbl>
              <c:idx val="4"/>
              <c:layout>
                <c:manualLayout>
                  <c:x val="-4.0794417606012358E-2"/>
                  <c:y val="-8.2595870206491021E-2"/>
                </c:manualLayout>
              </c:layout>
              <c:dLblPos val="r"/>
              <c:showVal val="1"/>
            </c:dLbl>
            <c:numFmt formatCode="#,##0.0" sourceLinked="0"/>
            <c:spPr>
              <a:noFill/>
              <a:ln w="25168">
                <a:noFill/>
              </a:ln>
            </c:spPr>
            <c:txPr>
              <a:bodyPr/>
              <a:lstStyle/>
              <a:p>
                <a:pPr>
                  <a:defRPr sz="1189" b="1">
                    <a:solidFill>
                      <a:schemeClr val="tx2">
                        <a:lumMod val="50000"/>
                      </a:schemeClr>
                    </a:solidFill>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99.4</c:v>
                </c:pt>
                <c:pt idx="1">
                  <c:v>98.6</c:v>
                </c:pt>
                <c:pt idx="2">
                  <c:v>99</c:v>
                </c:pt>
                <c:pt idx="3">
                  <c:v>98.6</c:v>
                </c:pt>
                <c:pt idx="4">
                  <c:v>99.6</c:v>
                </c:pt>
              </c:numCache>
            </c:numRef>
          </c:val>
        </c:ser>
        <c:ser>
          <c:idx val="1"/>
          <c:order val="1"/>
          <c:tx>
            <c:strRef>
              <c:f>Лист1!$C$1</c:f>
              <c:strCache>
                <c:ptCount val="1"/>
                <c:pt idx="0">
                  <c:v>качество</c:v>
                </c:pt>
              </c:strCache>
            </c:strRef>
          </c:tx>
          <c:dLbls>
            <c:dLbl>
              <c:idx val="0"/>
              <c:layout>
                <c:manualLayout>
                  <c:x val="-4.7235641438539991E-2"/>
                  <c:y val="-8.84955752212402E-2"/>
                </c:manualLayout>
              </c:layout>
              <c:dLblPos val="r"/>
              <c:showVal val="1"/>
            </c:dLbl>
            <c:dLbl>
              <c:idx val="1"/>
              <c:layout>
                <c:manualLayout>
                  <c:x val="-3.8647342995169462E-2"/>
                  <c:y val="-0.10029498525073779"/>
                </c:manualLayout>
              </c:layout>
              <c:dLblPos val="r"/>
              <c:showVal val="1"/>
            </c:dLbl>
            <c:dLbl>
              <c:idx val="2"/>
              <c:layout>
                <c:manualLayout>
                  <c:x val="-4.5088566827697324E-2"/>
                  <c:y val="-8.84955752212402E-2"/>
                </c:manualLayout>
              </c:layout>
              <c:dLblPos val="r"/>
              <c:showVal val="1"/>
            </c:dLbl>
            <c:dLbl>
              <c:idx val="3"/>
              <c:layout>
                <c:manualLayout>
                  <c:x val="-4.2941492216854477E-2"/>
                  <c:y val="-8.84955752212402E-2"/>
                </c:manualLayout>
              </c:layout>
              <c:dLblPos val="r"/>
              <c:showVal val="1"/>
            </c:dLbl>
            <c:dLbl>
              <c:idx val="4"/>
              <c:layout>
                <c:manualLayout>
                  <c:x val="-3.2206119162640899E-2"/>
                  <c:y val="-8.8495575221240255E-2"/>
                </c:manualLayout>
              </c:layout>
              <c:dLblPos val="r"/>
              <c:showVal val="1"/>
            </c:dLbl>
            <c:numFmt formatCode="#,##0.0" sourceLinked="0"/>
            <c:spPr>
              <a:noFill/>
              <a:ln w="25168">
                <a:noFill/>
              </a:ln>
            </c:spPr>
            <c:txPr>
              <a:bodyPr/>
              <a:lstStyle/>
              <a:p>
                <a:pPr>
                  <a:defRPr sz="1189" b="1">
                    <a:solidFill>
                      <a:srgbClr val="C00000"/>
                    </a:solidFill>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47</c:v>
                </c:pt>
                <c:pt idx="1">
                  <c:v>47.7</c:v>
                </c:pt>
                <c:pt idx="2">
                  <c:v>50.3</c:v>
                </c:pt>
                <c:pt idx="3">
                  <c:v>45</c:v>
                </c:pt>
                <c:pt idx="4">
                  <c:v>47.6</c:v>
                </c:pt>
              </c:numCache>
            </c:numRef>
          </c:val>
        </c:ser>
        <c:dLbls>
          <c:showVal val="1"/>
        </c:dLbls>
        <c:marker val="1"/>
        <c:axId val="74269824"/>
        <c:axId val="74271360"/>
      </c:lineChart>
      <c:catAx>
        <c:axId val="74269824"/>
        <c:scaling>
          <c:orientation val="minMax"/>
        </c:scaling>
        <c:axPos val="b"/>
        <c:numFmt formatCode="General" sourceLinked="1"/>
        <c:majorTickMark val="none"/>
        <c:tickLblPos val="nextTo"/>
        <c:txPr>
          <a:bodyPr/>
          <a:lstStyle/>
          <a:p>
            <a:pPr>
              <a:defRPr b="1"/>
            </a:pPr>
            <a:endParaRPr lang="ru-RU"/>
          </a:p>
        </c:txPr>
        <c:crossAx val="74271360"/>
        <c:crosses val="autoZero"/>
        <c:auto val="1"/>
        <c:lblAlgn val="ctr"/>
        <c:lblOffset val="100"/>
      </c:catAx>
      <c:valAx>
        <c:axId val="74271360"/>
        <c:scaling>
          <c:orientation val="minMax"/>
        </c:scaling>
        <c:delete val="1"/>
        <c:axPos val="l"/>
        <c:numFmt formatCode="General" sourceLinked="1"/>
        <c:tickLblPos val="none"/>
        <c:crossAx val="74269824"/>
        <c:crosses val="autoZero"/>
        <c:crossBetween val="between"/>
      </c:valAx>
      <c:spPr>
        <a:solidFill>
          <a:schemeClr val="accent6">
            <a:lumMod val="20000"/>
            <a:lumOff val="80000"/>
          </a:schemeClr>
        </a:solidFill>
      </c:spPr>
    </c:plotArea>
    <c:legend>
      <c:legendPos val="r"/>
      <c:layout>
        <c:manualLayout>
          <c:xMode val="edge"/>
          <c:yMode val="edge"/>
          <c:x val="0.28711264610745507"/>
          <c:y val="0.86274521240401825"/>
          <c:w val="0.42251221052360338"/>
          <c:h val="0.13725478759599527"/>
        </c:manualLayout>
      </c:layout>
      <c:txPr>
        <a:bodyPr/>
        <a:lstStyle/>
        <a:p>
          <a:pPr>
            <a:defRPr sz="1189"/>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title>
      <c:tx>
        <c:rich>
          <a:bodyPr/>
          <a:lstStyle/>
          <a:p>
            <a:pPr>
              <a:defRPr sz="1400"/>
            </a:pPr>
            <a:r>
              <a:rPr lang="ru-RU" sz="1400"/>
              <a:t>Качество обучения, район, %</a:t>
            </a:r>
          </a:p>
        </c:rich>
      </c:tx>
      <c:layout>
        <c:manualLayout>
          <c:xMode val="edge"/>
          <c:yMode val="edge"/>
          <c:x val="0.15724253011420125"/>
          <c:y val="4.9983666204814524E-3"/>
        </c:manualLayout>
      </c:layout>
    </c:title>
    <c:plotArea>
      <c:layout>
        <c:manualLayout>
          <c:layoutTarget val="inner"/>
          <c:xMode val="edge"/>
          <c:yMode val="edge"/>
          <c:x val="3.3112582781456956E-2"/>
          <c:y val="0.26180257510730043"/>
          <c:w val="0.93377483443709475"/>
          <c:h val="0.45064377682403434"/>
        </c:manualLayout>
      </c:layout>
      <c:barChart>
        <c:barDir val="col"/>
        <c:grouping val="clustered"/>
        <c:ser>
          <c:idx val="0"/>
          <c:order val="0"/>
          <c:tx>
            <c:strRef>
              <c:f>Sheet1!$A$2</c:f>
              <c:strCache>
                <c:ptCount val="1"/>
                <c:pt idx="0">
                  <c:v>2012</c:v>
                </c:pt>
              </c:strCache>
            </c:strRef>
          </c:tx>
          <c:spPr>
            <a:solidFill>
              <a:srgbClr val="C00000"/>
            </a:solidFill>
          </c:spPr>
          <c:dLbls>
            <c:dLbl>
              <c:idx val="0"/>
              <c:spPr/>
              <c:txPr>
                <a:bodyPr/>
                <a:lstStyle/>
                <a:p>
                  <a:pPr>
                    <a:defRPr/>
                  </a:pPr>
                  <a:endParaRPr lang="ru-RU"/>
                </a:p>
              </c:txPr>
              <c:showVal val="1"/>
            </c:dLbl>
            <c:dLbl>
              <c:idx val="1"/>
              <c:spPr/>
              <c:txPr>
                <a:bodyPr/>
                <a:lstStyle/>
                <a:p>
                  <a:pPr>
                    <a:defRPr/>
                  </a:pPr>
                  <a:endParaRPr lang="ru-RU"/>
                </a:p>
              </c:txPr>
              <c:showVal val="1"/>
            </c:dLbl>
            <c:delete val="1"/>
          </c:dLbls>
          <c:cat>
            <c:strRef>
              <c:f>Sheet1!$B$1:$C$1</c:f>
              <c:strCache>
                <c:ptCount val="2"/>
                <c:pt idx="0">
                  <c:v>русский язык</c:v>
                </c:pt>
                <c:pt idx="1">
                  <c:v>математика</c:v>
                </c:pt>
              </c:strCache>
            </c:strRef>
          </c:cat>
          <c:val>
            <c:numRef>
              <c:f>Sheet1!$B$2:$C$2</c:f>
              <c:numCache>
                <c:formatCode>General</c:formatCode>
                <c:ptCount val="2"/>
                <c:pt idx="0">
                  <c:v>75.3</c:v>
                </c:pt>
                <c:pt idx="1">
                  <c:v>34</c:v>
                </c:pt>
              </c:numCache>
            </c:numRef>
          </c:val>
        </c:ser>
        <c:ser>
          <c:idx val="1"/>
          <c:order val="1"/>
          <c:tx>
            <c:strRef>
              <c:f>Sheet1!$A$3</c:f>
              <c:strCache>
                <c:ptCount val="1"/>
                <c:pt idx="0">
                  <c:v>2013</c:v>
                </c:pt>
              </c:strCache>
            </c:strRef>
          </c:tx>
          <c:dLbls>
            <c:txPr>
              <a:bodyPr/>
              <a:lstStyle/>
              <a:p>
                <a:pPr>
                  <a:defRPr b="1">
                    <a:solidFill>
                      <a:srgbClr val="0070C0"/>
                    </a:solidFill>
                  </a:defRPr>
                </a:pPr>
                <a:endParaRPr lang="ru-RU"/>
              </a:p>
            </c:txPr>
            <c:showVal val="1"/>
          </c:dLbls>
          <c:cat>
            <c:strRef>
              <c:f>Sheet1!$B$1:$C$1</c:f>
              <c:strCache>
                <c:ptCount val="2"/>
                <c:pt idx="0">
                  <c:v>русский язык</c:v>
                </c:pt>
                <c:pt idx="1">
                  <c:v>математика</c:v>
                </c:pt>
              </c:strCache>
            </c:strRef>
          </c:cat>
          <c:val>
            <c:numRef>
              <c:f>Sheet1!$B$3:$C$3</c:f>
              <c:numCache>
                <c:formatCode>General</c:formatCode>
                <c:ptCount val="2"/>
                <c:pt idx="0">
                  <c:v>75</c:v>
                </c:pt>
                <c:pt idx="1">
                  <c:v>60.9</c:v>
                </c:pt>
              </c:numCache>
            </c:numRef>
          </c:val>
        </c:ser>
        <c:ser>
          <c:idx val="2"/>
          <c:order val="2"/>
          <c:tx>
            <c:strRef>
              <c:f>Sheet1!$A$4</c:f>
              <c:strCache>
                <c:ptCount val="1"/>
                <c:pt idx="0">
                  <c:v>2014</c:v>
                </c:pt>
              </c:strCache>
            </c:strRef>
          </c:tx>
          <c:spPr>
            <a:solidFill>
              <a:schemeClr val="accent1"/>
            </a:solidFill>
          </c:spPr>
          <c:dPt>
            <c:idx val="0"/>
            <c:spPr>
              <a:solidFill>
                <a:srgbClr val="FFC000"/>
              </a:solidFill>
            </c:spPr>
          </c:dPt>
          <c:dPt>
            <c:idx val="1"/>
            <c:spPr>
              <a:solidFill>
                <a:srgbClr val="FFC000"/>
              </a:solidFill>
            </c:spPr>
          </c:dPt>
          <c:cat>
            <c:strRef>
              <c:f>Sheet1!$B$1:$C$1</c:f>
              <c:strCache>
                <c:ptCount val="2"/>
                <c:pt idx="0">
                  <c:v>русский язык</c:v>
                </c:pt>
                <c:pt idx="1">
                  <c:v>математика</c:v>
                </c:pt>
              </c:strCache>
            </c:strRef>
          </c:cat>
          <c:val>
            <c:numRef>
              <c:f>Sheet1!$B$4:$C$4</c:f>
              <c:numCache>
                <c:formatCode>General</c:formatCode>
                <c:ptCount val="2"/>
                <c:pt idx="0">
                  <c:v>75.099999999999994</c:v>
                </c:pt>
                <c:pt idx="1">
                  <c:v>60.6</c:v>
                </c:pt>
              </c:numCache>
            </c:numRef>
          </c:val>
        </c:ser>
        <c:ser>
          <c:idx val="3"/>
          <c:order val="3"/>
          <c:tx>
            <c:strRef>
              <c:f>Sheet1!$A$5</c:f>
              <c:strCache>
                <c:ptCount val="1"/>
                <c:pt idx="0">
                  <c:v>2015</c:v>
                </c:pt>
              </c:strCache>
            </c:strRef>
          </c:tx>
          <c:dLbls>
            <c:txPr>
              <a:bodyPr/>
              <a:lstStyle/>
              <a:p>
                <a:pPr>
                  <a:defRPr b="1">
                    <a:solidFill>
                      <a:schemeClr val="tx2">
                        <a:lumMod val="60000"/>
                        <a:lumOff val="40000"/>
                      </a:schemeClr>
                    </a:solidFill>
                  </a:defRPr>
                </a:pPr>
                <a:endParaRPr lang="ru-RU"/>
              </a:p>
            </c:txPr>
            <c:showVal val="1"/>
          </c:dLbls>
          <c:cat>
            <c:strRef>
              <c:f>Sheet1!$B$1:$C$1</c:f>
              <c:strCache>
                <c:ptCount val="2"/>
                <c:pt idx="0">
                  <c:v>русский язык</c:v>
                </c:pt>
                <c:pt idx="1">
                  <c:v>математика</c:v>
                </c:pt>
              </c:strCache>
            </c:strRef>
          </c:cat>
          <c:val>
            <c:numRef>
              <c:f>Sheet1!$B$5:$C$5</c:f>
              <c:numCache>
                <c:formatCode>General</c:formatCode>
                <c:ptCount val="2"/>
                <c:pt idx="0">
                  <c:v>66</c:v>
                </c:pt>
                <c:pt idx="1">
                  <c:v>43</c:v>
                </c:pt>
              </c:numCache>
            </c:numRef>
          </c:val>
        </c:ser>
        <c:dLbls>
          <c:showVal val="1"/>
        </c:dLbls>
        <c:axId val="67280256"/>
        <c:axId val="67286144"/>
      </c:barChart>
      <c:catAx>
        <c:axId val="67280256"/>
        <c:scaling>
          <c:orientation val="minMax"/>
        </c:scaling>
        <c:axPos val="b"/>
        <c:numFmt formatCode="General" sourceLinked="1"/>
        <c:tickLblPos val="nextTo"/>
        <c:txPr>
          <a:bodyPr rot="0" vert="horz"/>
          <a:lstStyle/>
          <a:p>
            <a:pPr>
              <a:defRPr/>
            </a:pPr>
            <a:endParaRPr lang="ru-RU"/>
          </a:p>
        </c:txPr>
        <c:crossAx val="67286144"/>
        <c:crosses val="autoZero"/>
        <c:auto val="1"/>
        <c:lblAlgn val="ctr"/>
        <c:lblOffset val="100"/>
        <c:tickLblSkip val="1"/>
        <c:tickMarkSkip val="1"/>
      </c:catAx>
      <c:valAx>
        <c:axId val="67286144"/>
        <c:scaling>
          <c:orientation val="minMax"/>
        </c:scaling>
        <c:delete val="1"/>
        <c:axPos val="l"/>
        <c:numFmt formatCode="General" sourceLinked="1"/>
        <c:tickLblPos val="none"/>
        <c:crossAx val="67280256"/>
        <c:crosses val="autoZero"/>
        <c:crossBetween val="between"/>
      </c:valAx>
    </c:plotArea>
    <c:legend>
      <c:legendPos val="b"/>
      <c:layout>
        <c:manualLayout>
          <c:xMode val="edge"/>
          <c:yMode val="edge"/>
          <c:x val="0.19205298013245151"/>
          <c:y val="0.8884120171673815"/>
          <c:w val="0.612582781456947"/>
          <c:h val="9.8712446351932923E-2"/>
        </c:manualLayout>
      </c:layout>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pPr>
            <a:r>
              <a:rPr lang="ru-RU" sz="1400"/>
              <a:t>Успеваемость, район, %</a:t>
            </a:r>
          </a:p>
        </c:rich>
      </c:tx>
      <c:layout>
        <c:manualLayout>
          <c:xMode val="edge"/>
          <c:yMode val="edge"/>
          <c:x val="0.15980544389993426"/>
          <c:y val="2.1929748143184231E-2"/>
        </c:manualLayout>
      </c:layout>
    </c:title>
    <c:plotArea>
      <c:layout>
        <c:manualLayout>
          <c:layoutTarget val="inner"/>
          <c:xMode val="edge"/>
          <c:yMode val="edge"/>
          <c:x val="5.0359712230215833E-2"/>
          <c:y val="0.25877192982456182"/>
          <c:w val="0.93525179856115104"/>
          <c:h val="0.46491228070175677"/>
        </c:manualLayout>
      </c:layout>
      <c:barChart>
        <c:barDir val="col"/>
        <c:grouping val="clustered"/>
        <c:ser>
          <c:idx val="0"/>
          <c:order val="0"/>
          <c:tx>
            <c:strRef>
              <c:f>Sheet1!$A$2</c:f>
              <c:strCache>
                <c:ptCount val="1"/>
                <c:pt idx="0">
                  <c:v>2012</c:v>
                </c:pt>
              </c:strCache>
            </c:strRef>
          </c:tx>
          <c:dLbls>
            <c:txPr>
              <a:bodyPr/>
              <a:lstStyle/>
              <a:p>
                <a:pPr>
                  <a:defRPr b="1">
                    <a:solidFill>
                      <a:srgbClr val="0070C0"/>
                    </a:solidFill>
                  </a:defRPr>
                </a:pPr>
                <a:endParaRPr lang="ru-RU"/>
              </a:p>
            </c:txPr>
            <c:showVal val="1"/>
          </c:dLbls>
          <c:cat>
            <c:strRef>
              <c:f>Sheet1!$B$1:$C$1</c:f>
              <c:strCache>
                <c:ptCount val="2"/>
                <c:pt idx="0">
                  <c:v>русский язык</c:v>
                </c:pt>
                <c:pt idx="1">
                  <c:v>математика</c:v>
                </c:pt>
              </c:strCache>
            </c:strRef>
          </c:cat>
          <c:val>
            <c:numRef>
              <c:f>Sheet1!$B$2:$C$2</c:f>
              <c:numCache>
                <c:formatCode>General</c:formatCode>
                <c:ptCount val="2"/>
                <c:pt idx="0">
                  <c:v>96.4</c:v>
                </c:pt>
                <c:pt idx="1">
                  <c:v>85.5</c:v>
                </c:pt>
              </c:numCache>
            </c:numRef>
          </c:val>
        </c:ser>
        <c:ser>
          <c:idx val="1"/>
          <c:order val="1"/>
          <c:tx>
            <c:strRef>
              <c:f>Sheet1!$A$3</c:f>
              <c:strCache>
                <c:ptCount val="1"/>
                <c:pt idx="0">
                  <c:v>2013</c:v>
                </c:pt>
              </c:strCache>
            </c:strRef>
          </c:tx>
          <c:dLbls>
            <c:txPr>
              <a:bodyPr/>
              <a:lstStyle/>
              <a:p>
                <a:pPr>
                  <a:defRPr b="1">
                    <a:solidFill>
                      <a:srgbClr val="C00000"/>
                    </a:solidFill>
                  </a:defRPr>
                </a:pPr>
                <a:endParaRPr lang="ru-RU"/>
              </a:p>
            </c:txPr>
            <c:showVal val="1"/>
          </c:dLbls>
          <c:cat>
            <c:strRef>
              <c:f>Sheet1!$B$1:$C$1</c:f>
              <c:strCache>
                <c:ptCount val="2"/>
                <c:pt idx="0">
                  <c:v>русский язык</c:v>
                </c:pt>
                <c:pt idx="1">
                  <c:v>математика</c:v>
                </c:pt>
              </c:strCache>
            </c:strRef>
          </c:cat>
          <c:val>
            <c:numRef>
              <c:f>Sheet1!$B$3:$C$3</c:f>
              <c:numCache>
                <c:formatCode>General</c:formatCode>
                <c:ptCount val="2"/>
                <c:pt idx="0">
                  <c:v>97.9</c:v>
                </c:pt>
                <c:pt idx="1">
                  <c:v>94.7</c:v>
                </c:pt>
              </c:numCache>
            </c:numRef>
          </c:val>
        </c:ser>
        <c:ser>
          <c:idx val="2"/>
          <c:order val="2"/>
          <c:tx>
            <c:strRef>
              <c:f>Sheet1!$A$4</c:f>
              <c:strCache>
                <c:ptCount val="1"/>
                <c:pt idx="0">
                  <c:v>2014</c:v>
                </c:pt>
              </c:strCache>
            </c:strRef>
          </c:tx>
          <c:dLbls>
            <c:txPr>
              <a:bodyPr/>
              <a:lstStyle/>
              <a:p>
                <a:pPr>
                  <a:defRPr b="1">
                    <a:solidFill>
                      <a:srgbClr val="00B050"/>
                    </a:solidFill>
                  </a:defRPr>
                </a:pPr>
                <a:endParaRPr lang="ru-RU"/>
              </a:p>
            </c:txPr>
            <c:showVal val="1"/>
          </c:dLbls>
          <c:cat>
            <c:strRef>
              <c:f>Sheet1!$B$1:$C$1</c:f>
              <c:strCache>
                <c:ptCount val="2"/>
                <c:pt idx="0">
                  <c:v>русский язык</c:v>
                </c:pt>
                <c:pt idx="1">
                  <c:v>математика</c:v>
                </c:pt>
              </c:strCache>
            </c:strRef>
          </c:cat>
          <c:val>
            <c:numRef>
              <c:f>Sheet1!$B$4:$C$4</c:f>
              <c:numCache>
                <c:formatCode>General</c:formatCode>
                <c:ptCount val="2"/>
                <c:pt idx="0">
                  <c:v>99</c:v>
                </c:pt>
                <c:pt idx="1">
                  <c:v>99.1</c:v>
                </c:pt>
              </c:numCache>
            </c:numRef>
          </c:val>
        </c:ser>
        <c:ser>
          <c:idx val="3"/>
          <c:order val="3"/>
          <c:tx>
            <c:strRef>
              <c:f>Sheet1!$A$5</c:f>
              <c:strCache>
                <c:ptCount val="1"/>
                <c:pt idx="0">
                  <c:v>2015</c:v>
                </c:pt>
              </c:strCache>
            </c:strRef>
          </c:tx>
          <c:dLbls>
            <c:txPr>
              <a:bodyPr/>
              <a:lstStyle/>
              <a:p>
                <a:pPr>
                  <a:defRPr b="1">
                    <a:solidFill>
                      <a:srgbClr val="7030A0"/>
                    </a:solidFill>
                  </a:defRPr>
                </a:pPr>
                <a:endParaRPr lang="ru-RU"/>
              </a:p>
            </c:txPr>
            <c:showVal val="1"/>
          </c:dLbls>
          <c:cat>
            <c:strRef>
              <c:f>Sheet1!$B$1:$C$1</c:f>
              <c:strCache>
                <c:ptCount val="2"/>
                <c:pt idx="0">
                  <c:v>русский язык</c:v>
                </c:pt>
                <c:pt idx="1">
                  <c:v>математика</c:v>
                </c:pt>
              </c:strCache>
            </c:strRef>
          </c:cat>
          <c:val>
            <c:numRef>
              <c:f>Sheet1!$B$5:$C$5</c:f>
              <c:numCache>
                <c:formatCode>General</c:formatCode>
                <c:ptCount val="2"/>
                <c:pt idx="0">
                  <c:v>100</c:v>
                </c:pt>
                <c:pt idx="1">
                  <c:v>100</c:v>
                </c:pt>
              </c:numCache>
            </c:numRef>
          </c:val>
        </c:ser>
        <c:axId val="74646272"/>
        <c:axId val="74647808"/>
      </c:barChart>
      <c:catAx>
        <c:axId val="74646272"/>
        <c:scaling>
          <c:orientation val="minMax"/>
        </c:scaling>
        <c:axPos val="b"/>
        <c:numFmt formatCode="General" sourceLinked="1"/>
        <c:tickLblPos val="nextTo"/>
        <c:txPr>
          <a:bodyPr rot="0" vert="horz"/>
          <a:lstStyle/>
          <a:p>
            <a:pPr>
              <a:defRPr/>
            </a:pPr>
            <a:endParaRPr lang="ru-RU"/>
          </a:p>
        </c:txPr>
        <c:crossAx val="74647808"/>
        <c:crosses val="autoZero"/>
        <c:auto val="1"/>
        <c:lblAlgn val="ctr"/>
        <c:lblOffset val="100"/>
        <c:tickLblSkip val="1"/>
        <c:tickMarkSkip val="1"/>
      </c:catAx>
      <c:valAx>
        <c:axId val="74647808"/>
        <c:scaling>
          <c:orientation val="minMax"/>
        </c:scaling>
        <c:delete val="1"/>
        <c:axPos val="l"/>
        <c:numFmt formatCode="General" sourceLinked="1"/>
        <c:tickLblPos val="none"/>
        <c:crossAx val="74646272"/>
        <c:crosses val="autoZero"/>
        <c:crossBetween val="between"/>
      </c:valAx>
    </c:plotArea>
    <c:legend>
      <c:legendPos val="b"/>
      <c:layout>
        <c:manualLayout>
          <c:xMode val="edge"/>
          <c:yMode val="edge"/>
          <c:x val="0.21582732228401522"/>
          <c:y val="0.89035081253141668"/>
          <c:w val="0.57913661142007955"/>
          <c:h val="9.6491427933210097E-2"/>
        </c:manualLayout>
      </c:layout>
    </c:legend>
    <c:plotVisOnly val="1"/>
    <c:dispBlanksAs val="gap"/>
  </c:chart>
  <c:spPr>
    <a:noFill/>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pPr>
            <a:r>
              <a:rPr lang="ru-RU" sz="1400"/>
              <a:t>Средний балл ЕГЭ по русскому языку</a:t>
            </a:r>
          </a:p>
        </c:rich>
      </c:tx>
      <c:layout>
        <c:manualLayout>
          <c:xMode val="edge"/>
          <c:yMode val="edge"/>
          <c:x val="0.23572737834000271"/>
          <c:y val="2.1459317585302302E-2"/>
        </c:manualLayout>
      </c:layout>
    </c:title>
    <c:plotArea>
      <c:layout>
        <c:manualLayout>
          <c:layoutTarget val="inner"/>
          <c:xMode val="edge"/>
          <c:yMode val="edge"/>
          <c:x val="2.2717297434595159E-2"/>
          <c:y val="0.12851422983891719"/>
          <c:w val="0.9631675874769795"/>
          <c:h val="0.54584982759509104"/>
        </c:manualLayout>
      </c:layout>
      <c:lineChart>
        <c:grouping val="standard"/>
        <c:ser>
          <c:idx val="0"/>
          <c:order val="0"/>
          <c:tx>
            <c:strRef>
              <c:f>Sheet1!$A$2</c:f>
              <c:strCache>
                <c:ptCount val="1"/>
                <c:pt idx="0">
                  <c:v>Кичменгско-Городецкий район</c:v>
                </c:pt>
              </c:strCache>
            </c:strRef>
          </c:tx>
          <c:dLbls>
            <c:dLbl>
              <c:idx val="0"/>
              <c:layout>
                <c:manualLayout>
                  <c:x val="-4.3010752688172046E-2"/>
                  <c:y val="-7.8431372549019607E-2"/>
                </c:manualLayout>
              </c:layout>
              <c:dLblPos val="r"/>
              <c:showVal val="1"/>
            </c:dLbl>
            <c:dLbl>
              <c:idx val="1"/>
              <c:layout>
                <c:manualLayout>
                  <c:x val="-3.870967741935525E-2"/>
                  <c:y val="-6.7973856209150321E-2"/>
                </c:manualLayout>
              </c:layout>
              <c:dLblPos val="r"/>
              <c:showVal val="1"/>
            </c:dLbl>
            <c:dLbl>
              <c:idx val="2"/>
              <c:layout>
                <c:manualLayout>
                  <c:x val="-4.0860215053763513E-2"/>
                  <c:y val="-6.2745098039215713E-2"/>
                </c:manualLayout>
              </c:layout>
              <c:dLblPos val="r"/>
              <c:showVal val="1"/>
            </c:dLbl>
            <c:dLbl>
              <c:idx val="3"/>
              <c:layout>
                <c:manualLayout>
                  <c:x val="-3.8709677419355187E-2"/>
                  <c:y val="7.8431372549019607E-2"/>
                </c:manualLayout>
              </c:layout>
              <c:dLblPos val="r"/>
              <c:showVal val="1"/>
            </c:dLbl>
            <c:txPr>
              <a:bodyPr/>
              <a:lstStyle/>
              <a:p>
                <a:pPr>
                  <a:defRPr sz="1200" b="1">
                    <a:solidFill>
                      <a:srgbClr val="0070C0"/>
                    </a:solidFill>
                  </a:defRPr>
                </a:pPr>
                <a:endParaRPr lang="ru-RU"/>
              </a:p>
            </c:txPr>
            <c:showVal val="1"/>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64.7</c:v>
                </c:pt>
                <c:pt idx="1">
                  <c:v>66.900000000000006</c:v>
                </c:pt>
                <c:pt idx="2">
                  <c:v>68.5</c:v>
                </c:pt>
                <c:pt idx="3">
                  <c:v>66.900000000000006</c:v>
                </c:pt>
                <c:pt idx="4">
                  <c:v>71.599999999999994</c:v>
                </c:pt>
              </c:numCache>
            </c:numRef>
          </c:val>
        </c:ser>
        <c:ser>
          <c:idx val="1"/>
          <c:order val="1"/>
          <c:tx>
            <c:strRef>
              <c:f>Sheet1!$A$3</c:f>
              <c:strCache>
                <c:ptCount val="1"/>
                <c:pt idx="0">
                  <c:v>Вологодская область</c:v>
                </c:pt>
              </c:strCache>
            </c:strRef>
          </c:tx>
          <c:dLbls>
            <c:dLbl>
              <c:idx val="0"/>
              <c:layout>
                <c:manualLayout>
                  <c:x val="-3.870967741935525E-2"/>
                  <c:y val="7.3202614379084971E-2"/>
                </c:manualLayout>
              </c:layout>
              <c:dLblPos val="r"/>
              <c:showVal val="1"/>
            </c:dLbl>
            <c:dLbl>
              <c:idx val="1"/>
              <c:layout>
                <c:manualLayout>
                  <c:x val="-4.5161290322580733E-2"/>
                  <c:y val="9.4117647058823528E-2"/>
                </c:manualLayout>
              </c:layout>
              <c:dLblPos val="r"/>
              <c:showVal val="1"/>
            </c:dLbl>
            <c:dLbl>
              <c:idx val="2"/>
              <c:layout>
                <c:manualLayout>
                  <c:x val="-3.6559139784946251E-2"/>
                  <c:y val="8.8888888888889767E-2"/>
                </c:manualLayout>
              </c:layout>
              <c:dLblPos val="r"/>
              <c:showVal val="1"/>
            </c:dLbl>
            <c:dLbl>
              <c:idx val="3"/>
              <c:layout>
                <c:manualLayout>
                  <c:x val="-4.7311827956989884E-2"/>
                  <c:y val="-8.3660130718954243E-2"/>
                </c:manualLayout>
              </c:layout>
              <c:dLblPos val="r"/>
              <c:showVal val="1"/>
            </c:dLbl>
            <c:dLbl>
              <c:idx val="4"/>
              <c:layout>
                <c:manualLayout>
                  <c:x val="-4.7311827956989946E-2"/>
                  <c:y val="8.8888888888889767E-2"/>
                </c:manualLayout>
              </c:layout>
              <c:dLblPos val="r"/>
              <c:showVal val="1"/>
            </c:dLbl>
            <c:txPr>
              <a:bodyPr/>
              <a:lstStyle/>
              <a:p>
                <a:pPr>
                  <a:defRPr sz="1200" b="1">
                    <a:solidFill>
                      <a:srgbClr val="C00000"/>
                    </a:solidFill>
                  </a:defRPr>
                </a:pPr>
                <a:endParaRPr lang="ru-RU"/>
              </a:p>
            </c:txPr>
            <c:showVal val="1"/>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62.7</c:v>
                </c:pt>
                <c:pt idx="1">
                  <c:v>65.8</c:v>
                </c:pt>
                <c:pt idx="2">
                  <c:v>66.7</c:v>
                </c:pt>
                <c:pt idx="3">
                  <c:v>67.099999999999994</c:v>
                </c:pt>
                <c:pt idx="4">
                  <c:v>65.8</c:v>
                </c:pt>
              </c:numCache>
            </c:numRef>
          </c:val>
        </c:ser>
        <c:dLbls>
          <c:showVal val="1"/>
        </c:dLbls>
        <c:marker val="1"/>
        <c:axId val="74689920"/>
        <c:axId val="74699904"/>
      </c:lineChart>
      <c:catAx>
        <c:axId val="74689920"/>
        <c:scaling>
          <c:orientation val="minMax"/>
        </c:scaling>
        <c:axPos val="b"/>
        <c:numFmt formatCode="General" sourceLinked="1"/>
        <c:tickLblPos val="nextTo"/>
        <c:txPr>
          <a:bodyPr rot="0" vert="horz"/>
          <a:lstStyle/>
          <a:p>
            <a:pPr>
              <a:defRPr/>
            </a:pPr>
            <a:endParaRPr lang="ru-RU"/>
          </a:p>
        </c:txPr>
        <c:crossAx val="74699904"/>
        <c:crosses val="autoZero"/>
        <c:auto val="1"/>
        <c:lblAlgn val="ctr"/>
        <c:lblOffset val="100"/>
        <c:tickLblSkip val="1"/>
        <c:tickMarkSkip val="1"/>
      </c:catAx>
      <c:valAx>
        <c:axId val="74699904"/>
        <c:scaling>
          <c:orientation val="minMax"/>
        </c:scaling>
        <c:delete val="1"/>
        <c:axPos val="l"/>
        <c:numFmt formatCode="General" sourceLinked="1"/>
        <c:tickLblPos val="none"/>
        <c:crossAx val="74689920"/>
        <c:crosses val="autoZero"/>
        <c:crossBetween val="between"/>
      </c:valAx>
    </c:plotArea>
    <c:legend>
      <c:legendPos val="b"/>
      <c:layout>
        <c:manualLayout>
          <c:xMode val="edge"/>
          <c:yMode val="edge"/>
          <c:x val="7.9189707843897228E-2"/>
          <c:y val="0.87982816433660083"/>
          <c:w val="0.8397790112301603"/>
          <c:h val="0.10729615940864609"/>
        </c:manualLayout>
      </c:layout>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pPr>
            <a:r>
              <a:rPr lang="ru-RU" sz="1400"/>
              <a:t>Средний балл ЕГЭ по математике</a:t>
            </a:r>
          </a:p>
        </c:rich>
      </c:tx>
      <c:layout>
        <c:manualLayout>
          <c:xMode val="edge"/>
          <c:yMode val="edge"/>
          <c:x val="0.26335177333602638"/>
          <c:y val="2.1459227467811499E-2"/>
        </c:manualLayout>
      </c:layout>
    </c:title>
    <c:plotArea>
      <c:layout>
        <c:manualLayout>
          <c:layoutTarget val="inner"/>
          <c:xMode val="edge"/>
          <c:yMode val="edge"/>
          <c:x val="1.8416206261510141E-2"/>
          <c:y val="0.20171673819742847"/>
          <c:w val="0.9631675874769795"/>
          <c:h val="0.49356223175966202"/>
        </c:manualLayout>
      </c:layout>
      <c:lineChart>
        <c:grouping val="standard"/>
        <c:ser>
          <c:idx val="0"/>
          <c:order val="0"/>
          <c:tx>
            <c:strRef>
              <c:f>Sheet1!$A$2</c:f>
              <c:strCache>
                <c:ptCount val="1"/>
                <c:pt idx="0">
                  <c:v>Кичменгско-Городецкий район</c:v>
                </c:pt>
              </c:strCache>
            </c:strRef>
          </c:tx>
          <c:dLbls>
            <c:dLbl>
              <c:idx val="0"/>
              <c:layout>
                <c:manualLayout>
                  <c:x val="-9.4032549728752746E-2"/>
                  <c:y val="-3.292181069958848E-2"/>
                </c:manualLayout>
              </c:layout>
              <c:dLblPos val="r"/>
              <c:showVal val="1"/>
            </c:dLbl>
            <c:dLbl>
              <c:idx val="1"/>
              <c:layout>
                <c:manualLayout>
                  <c:x val="-4.3399638336347801E-2"/>
                  <c:y val="-0.10973936899862832"/>
                </c:manualLayout>
              </c:layout>
              <c:dLblPos val="r"/>
              <c:showVal val="1"/>
            </c:dLbl>
            <c:dLbl>
              <c:idx val="2"/>
              <c:layout>
                <c:manualLayout>
                  <c:x val="-5.0632911392405132E-2"/>
                  <c:y val="-9.3278463648834228E-2"/>
                </c:manualLayout>
              </c:layout>
              <c:dLblPos val="r"/>
              <c:showVal val="1"/>
            </c:dLbl>
            <c:dLbl>
              <c:idx val="3"/>
              <c:layout>
                <c:manualLayout>
                  <c:x val="-5.3044002411090856E-2"/>
                  <c:y val="0.10425240054869712"/>
                </c:manualLayout>
              </c:layout>
              <c:dLblPos val="r"/>
              <c:showVal val="1"/>
            </c:dLbl>
            <c:dLbl>
              <c:idx val="4"/>
              <c:layout>
                <c:manualLayout>
                  <c:x val="-4.3399638336347801E-2"/>
                  <c:y val="-8.2304526748971207E-2"/>
                </c:manualLayout>
              </c:layout>
              <c:dLblPos val="r"/>
              <c:showVal val="1"/>
            </c:dLbl>
            <c:txPr>
              <a:bodyPr/>
              <a:lstStyle/>
              <a:p>
                <a:pPr>
                  <a:defRPr sz="1200" b="1">
                    <a:solidFill>
                      <a:srgbClr val="0070C0"/>
                    </a:solidFill>
                  </a:defRPr>
                </a:pPr>
                <a:endParaRPr lang="ru-RU"/>
              </a:p>
            </c:txPr>
            <c:showVal val="1"/>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47.9</c:v>
                </c:pt>
                <c:pt idx="1">
                  <c:v>45.7</c:v>
                </c:pt>
                <c:pt idx="2">
                  <c:v>47.4</c:v>
                </c:pt>
                <c:pt idx="3">
                  <c:v>46.6</c:v>
                </c:pt>
                <c:pt idx="4">
                  <c:v>48</c:v>
                </c:pt>
              </c:numCache>
            </c:numRef>
          </c:val>
        </c:ser>
        <c:ser>
          <c:idx val="1"/>
          <c:order val="1"/>
          <c:tx>
            <c:strRef>
              <c:f>Sheet1!$A$3</c:f>
              <c:strCache>
                <c:ptCount val="1"/>
                <c:pt idx="0">
                  <c:v>Вологодская область</c:v>
                </c:pt>
              </c:strCache>
            </c:strRef>
          </c:tx>
          <c:dLbls>
            <c:dLbl>
              <c:idx val="0"/>
              <c:layout>
                <c:manualLayout>
                  <c:x val="-7.715491259795057E-2"/>
                  <c:y val="9.8765432098766842E-2"/>
                </c:manualLayout>
              </c:layout>
              <c:dLblPos val="r"/>
              <c:showVal val="1"/>
            </c:dLbl>
            <c:dLbl>
              <c:idx val="1"/>
              <c:layout>
                <c:manualLayout>
                  <c:x val="-5.0632911392405132E-2"/>
                  <c:y val="8.2304526748971207E-2"/>
                </c:manualLayout>
              </c:layout>
              <c:dLblPos val="r"/>
              <c:showVal val="1"/>
            </c:dLbl>
            <c:dLbl>
              <c:idx val="2"/>
              <c:layout>
                <c:manualLayout>
                  <c:x val="-3.6166365280289346E-2"/>
                  <c:y val="0.11522633744856065"/>
                </c:manualLayout>
              </c:layout>
              <c:dLblPos val="r"/>
              <c:showVal val="1"/>
            </c:dLbl>
            <c:dLbl>
              <c:idx val="3"/>
              <c:layout>
                <c:manualLayout>
                  <c:x val="-5.0632911392404972E-2"/>
                  <c:y val="-8.7791495198903821E-2"/>
                </c:manualLayout>
              </c:layout>
              <c:dLblPos val="r"/>
              <c:showVal val="1"/>
            </c:dLbl>
            <c:txPr>
              <a:bodyPr/>
              <a:lstStyle/>
              <a:p>
                <a:pPr>
                  <a:defRPr sz="1200">
                    <a:solidFill>
                      <a:srgbClr val="C00000"/>
                    </a:solidFill>
                  </a:defRPr>
                </a:pPr>
                <a:endParaRPr lang="ru-RU"/>
              </a:p>
            </c:txPr>
            <c:showVal val="1"/>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46</c:v>
                </c:pt>
                <c:pt idx="1">
                  <c:v>44.9</c:v>
                </c:pt>
                <c:pt idx="2">
                  <c:v>46.6</c:v>
                </c:pt>
                <c:pt idx="3">
                  <c:v>47.9</c:v>
                </c:pt>
                <c:pt idx="4">
                  <c:v>46</c:v>
                </c:pt>
              </c:numCache>
            </c:numRef>
          </c:val>
        </c:ser>
        <c:dLbls>
          <c:showVal val="1"/>
        </c:dLbls>
        <c:marker val="1"/>
        <c:axId val="74340608"/>
        <c:axId val="75034624"/>
      </c:lineChart>
      <c:catAx>
        <c:axId val="74340608"/>
        <c:scaling>
          <c:orientation val="minMax"/>
        </c:scaling>
        <c:axPos val="b"/>
        <c:numFmt formatCode="General" sourceLinked="1"/>
        <c:tickLblPos val="nextTo"/>
        <c:txPr>
          <a:bodyPr rot="0" vert="horz"/>
          <a:lstStyle/>
          <a:p>
            <a:pPr>
              <a:defRPr/>
            </a:pPr>
            <a:endParaRPr lang="ru-RU"/>
          </a:p>
        </c:txPr>
        <c:crossAx val="75034624"/>
        <c:crosses val="autoZero"/>
        <c:auto val="1"/>
        <c:lblAlgn val="ctr"/>
        <c:lblOffset val="100"/>
        <c:tickLblSkip val="1"/>
        <c:tickMarkSkip val="1"/>
      </c:catAx>
      <c:valAx>
        <c:axId val="75034624"/>
        <c:scaling>
          <c:orientation val="minMax"/>
        </c:scaling>
        <c:delete val="1"/>
        <c:axPos val="l"/>
        <c:numFmt formatCode="General" sourceLinked="1"/>
        <c:tickLblPos val="none"/>
        <c:crossAx val="74340608"/>
        <c:crosses val="autoZero"/>
        <c:crossBetween val="between"/>
      </c:valAx>
    </c:plotArea>
    <c:legend>
      <c:legendPos val="b"/>
      <c:layout>
        <c:manualLayout>
          <c:xMode val="edge"/>
          <c:yMode val="edge"/>
          <c:x val="7.9189716670031704E-2"/>
          <c:y val="0.87982832618025764"/>
          <c:w val="0.83977907889719394"/>
          <c:h val="0.10729613733905653"/>
        </c:manualLayout>
      </c:layout>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Рейтинг показателей экономической эффективности учреждений культурно-досугового типа района, место   </a:t>
            </a:r>
          </a:p>
        </c:rich>
      </c:tx>
    </c:title>
    <c:plotArea>
      <c:layout>
        <c:manualLayout>
          <c:layoutTarget val="inner"/>
          <c:xMode val="edge"/>
          <c:yMode val="edge"/>
          <c:x val="0"/>
          <c:y val="0.39260478803786419"/>
          <c:w val="0.99967914901725818"/>
          <c:h val="0.45469339059890229"/>
        </c:manualLayout>
      </c:layout>
      <c:barChart>
        <c:barDir val="col"/>
        <c:grouping val="clustered"/>
        <c:ser>
          <c:idx val="0"/>
          <c:order val="0"/>
          <c:tx>
            <c:strRef>
              <c:f>Лист1!$B$1</c:f>
              <c:strCache>
                <c:ptCount val="1"/>
                <c:pt idx="0">
                  <c:v>рейтинг показателей экономической эффективности</c:v>
                </c:pt>
              </c:strCache>
            </c:strRef>
          </c:tx>
          <c:dLbls>
            <c:txPr>
              <a:bodyPr/>
              <a:lstStyle/>
              <a:p>
                <a:pPr>
                  <a:defRPr sz="1200" b="1"/>
                </a:pPr>
                <a:endParaRPr lang="ru-RU"/>
              </a:p>
            </c:txPr>
            <c:showVal val="1"/>
          </c:dLbls>
          <c:cat>
            <c:strRef>
              <c:f>Лист1!$A$2:$A$5</c:f>
              <c:strCache>
                <c:ptCount val="4"/>
                <c:pt idx="0">
                  <c:v>2012</c:v>
                </c:pt>
                <c:pt idx="1">
                  <c:v>2013</c:v>
                </c:pt>
                <c:pt idx="2">
                  <c:v>2014</c:v>
                </c:pt>
                <c:pt idx="3">
                  <c:v>2015 оценка</c:v>
                </c:pt>
              </c:strCache>
            </c:strRef>
          </c:cat>
          <c:val>
            <c:numRef>
              <c:f>Лист1!$B$2:$B$5</c:f>
              <c:numCache>
                <c:formatCode>General</c:formatCode>
                <c:ptCount val="4"/>
                <c:pt idx="0">
                  <c:v>22</c:v>
                </c:pt>
                <c:pt idx="1">
                  <c:v>16</c:v>
                </c:pt>
                <c:pt idx="2">
                  <c:v>19</c:v>
                </c:pt>
                <c:pt idx="3">
                  <c:v>16</c:v>
                </c:pt>
              </c:numCache>
            </c:numRef>
          </c:val>
        </c:ser>
        <c:ser>
          <c:idx val="1"/>
          <c:order val="1"/>
          <c:tx>
            <c:strRef>
              <c:f>Лист1!$C$1</c:f>
              <c:strCache>
                <c:ptCount val="1"/>
                <c:pt idx="0">
                  <c:v>Столбец1</c:v>
                </c:pt>
              </c:strCache>
            </c:strRef>
          </c:tx>
          <c:cat>
            <c:strRef>
              <c:f>Лист1!$A$2:$A$5</c:f>
              <c:strCache>
                <c:ptCount val="4"/>
                <c:pt idx="0">
                  <c:v>2012</c:v>
                </c:pt>
                <c:pt idx="1">
                  <c:v>2013</c:v>
                </c:pt>
                <c:pt idx="2">
                  <c:v>2014</c:v>
                </c:pt>
                <c:pt idx="3">
                  <c:v>2015 оценка</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2012</c:v>
                </c:pt>
                <c:pt idx="1">
                  <c:v>2013</c:v>
                </c:pt>
                <c:pt idx="2">
                  <c:v>2014</c:v>
                </c:pt>
                <c:pt idx="3">
                  <c:v>2015 оценка</c:v>
                </c:pt>
              </c:strCache>
            </c:strRef>
          </c:cat>
          <c:val>
            <c:numRef>
              <c:f>Лист1!$D$2:$D$5</c:f>
              <c:numCache>
                <c:formatCode>General</c:formatCode>
                <c:ptCount val="4"/>
              </c:numCache>
            </c:numRef>
          </c:val>
        </c:ser>
        <c:dLbls>
          <c:showVal val="1"/>
        </c:dLbls>
        <c:gapWidth val="41"/>
        <c:overlap val="69"/>
        <c:axId val="73545984"/>
        <c:axId val="73555968"/>
      </c:barChart>
      <c:catAx>
        <c:axId val="73545984"/>
        <c:scaling>
          <c:orientation val="minMax"/>
        </c:scaling>
        <c:axPos val="b"/>
        <c:numFmt formatCode="General" sourceLinked="1"/>
        <c:majorTickMark val="none"/>
        <c:tickLblPos val="nextTo"/>
        <c:crossAx val="73555968"/>
        <c:crosses val="autoZero"/>
        <c:auto val="1"/>
        <c:lblAlgn val="ctr"/>
        <c:lblOffset val="100"/>
      </c:catAx>
      <c:valAx>
        <c:axId val="73555968"/>
        <c:scaling>
          <c:orientation val="minMax"/>
        </c:scaling>
        <c:delete val="1"/>
        <c:axPos val="l"/>
        <c:numFmt formatCode="General" sourceLinked="1"/>
        <c:tickLblPos val="none"/>
        <c:crossAx val="73545984"/>
        <c:crosses val="autoZero"/>
        <c:crossBetween val="between"/>
      </c:valAx>
    </c:plotArea>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Динамика рейтинга показателей результативности учреждений культурно-досугового</a:t>
            </a:r>
            <a:r>
              <a:rPr lang="ru-RU" sz="1200" baseline="0"/>
              <a:t> типа</a:t>
            </a:r>
            <a:endParaRPr lang="ru-RU" sz="1200"/>
          </a:p>
        </c:rich>
      </c:tx>
    </c:title>
    <c:plotArea>
      <c:layout>
        <c:manualLayout>
          <c:layoutTarget val="inner"/>
          <c:xMode val="edge"/>
          <c:yMode val="edge"/>
          <c:x val="2.3391812865497082E-2"/>
          <c:y val="0.24527363184079723"/>
          <c:w val="0.95321637426900552"/>
          <c:h val="0.32531084733811627"/>
        </c:manualLayout>
      </c:layout>
      <c:barChart>
        <c:barDir val="col"/>
        <c:grouping val="clustered"/>
        <c:ser>
          <c:idx val="0"/>
          <c:order val="0"/>
          <c:tx>
            <c:strRef>
              <c:f>Лист1!$B$1</c:f>
              <c:strCache>
                <c:ptCount val="1"/>
                <c:pt idx="0">
                  <c:v>Посещение мероприятий на платной основе </c:v>
                </c:pt>
              </c:strCache>
            </c:strRef>
          </c:tx>
          <c:dLbls>
            <c:showVal val="1"/>
          </c:dLbls>
          <c:cat>
            <c:strRef>
              <c:f>Лист1!$A$2:$A$5</c:f>
              <c:strCache>
                <c:ptCount val="4"/>
                <c:pt idx="0">
                  <c:v>2012</c:v>
                </c:pt>
                <c:pt idx="1">
                  <c:v>2013</c:v>
                </c:pt>
                <c:pt idx="2">
                  <c:v>2014</c:v>
                </c:pt>
                <c:pt idx="3">
                  <c:v>2015 оценка</c:v>
                </c:pt>
              </c:strCache>
            </c:strRef>
          </c:cat>
          <c:val>
            <c:numRef>
              <c:f>Лист1!$B$2:$B$5</c:f>
              <c:numCache>
                <c:formatCode>General</c:formatCode>
                <c:ptCount val="4"/>
                <c:pt idx="0">
                  <c:v>1</c:v>
                </c:pt>
                <c:pt idx="1">
                  <c:v>1</c:v>
                </c:pt>
                <c:pt idx="2">
                  <c:v>1</c:v>
                </c:pt>
                <c:pt idx="3">
                  <c:v>1</c:v>
                </c:pt>
              </c:numCache>
            </c:numRef>
          </c:val>
        </c:ser>
        <c:ser>
          <c:idx val="1"/>
          <c:order val="1"/>
          <c:tx>
            <c:strRef>
              <c:f>Лист1!$C$1</c:f>
              <c:strCache>
                <c:ptCount val="1"/>
                <c:pt idx="0">
                  <c:v>Охват населения клубными формированиями</c:v>
                </c:pt>
              </c:strCache>
            </c:strRef>
          </c:tx>
          <c:dLbls>
            <c:showVal val="1"/>
          </c:dLbls>
          <c:cat>
            <c:strRef>
              <c:f>Лист1!$A$2:$A$5</c:f>
              <c:strCache>
                <c:ptCount val="4"/>
                <c:pt idx="0">
                  <c:v>2012</c:v>
                </c:pt>
                <c:pt idx="1">
                  <c:v>2013</c:v>
                </c:pt>
                <c:pt idx="2">
                  <c:v>2014</c:v>
                </c:pt>
                <c:pt idx="3">
                  <c:v>2015 оценка</c:v>
                </c:pt>
              </c:strCache>
            </c:strRef>
          </c:cat>
          <c:val>
            <c:numRef>
              <c:f>Лист1!$C$2:$C$5</c:f>
              <c:numCache>
                <c:formatCode>General</c:formatCode>
                <c:ptCount val="4"/>
                <c:pt idx="0">
                  <c:v>15</c:v>
                </c:pt>
                <c:pt idx="1">
                  <c:v>16</c:v>
                </c:pt>
                <c:pt idx="2">
                  <c:v>14</c:v>
                </c:pt>
                <c:pt idx="3">
                  <c:v>14</c:v>
                </c:pt>
              </c:numCache>
            </c:numRef>
          </c:val>
        </c:ser>
        <c:ser>
          <c:idx val="2"/>
          <c:order val="2"/>
          <c:tx>
            <c:strRef>
              <c:f>Лист1!$D$1</c:f>
              <c:strCache>
                <c:ptCount val="1"/>
                <c:pt idx="0">
                  <c:v>Число культурно-досуговых формирований на 1000 населения</c:v>
                </c:pt>
              </c:strCache>
            </c:strRef>
          </c:tx>
          <c:dLbls>
            <c:showVal val="1"/>
          </c:dLbls>
          <c:cat>
            <c:strRef>
              <c:f>Лист1!$A$2:$A$5</c:f>
              <c:strCache>
                <c:ptCount val="4"/>
                <c:pt idx="0">
                  <c:v>2012</c:v>
                </c:pt>
                <c:pt idx="1">
                  <c:v>2013</c:v>
                </c:pt>
                <c:pt idx="2">
                  <c:v>2014</c:v>
                </c:pt>
                <c:pt idx="3">
                  <c:v>2015 оценка</c:v>
                </c:pt>
              </c:strCache>
            </c:strRef>
          </c:cat>
          <c:val>
            <c:numRef>
              <c:f>Лист1!$D$2:$D$5</c:f>
              <c:numCache>
                <c:formatCode>General</c:formatCode>
                <c:ptCount val="4"/>
                <c:pt idx="0">
                  <c:v>13</c:v>
                </c:pt>
                <c:pt idx="1">
                  <c:v>16</c:v>
                </c:pt>
                <c:pt idx="2">
                  <c:v>13</c:v>
                </c:pt>
                <c:pt idx="3">
                  <c:v>13</c:v>
                </c:pt>
              </c:numCache>
            </c:numRef>
          </c:val>
        </c:ser>
        <c:ser>
          <c:idx val="3"/>
          <c:order val="3"/>
          <c:tx>
            <c:strRef>
              <c:f>Лист1!$E$1</c:f>
              <c:strCache>
                <c:ptCount val="1"/>
                <c:pt idx="0">
                  <c:v>Доля народных коллективов</c:v>
                </c:pt>
              </c:strCache>
            </c:strRef>
          </c:tx>
          <c:dLbls>
            <c:showVal val="1"/>
          </c:dLbls>
          <c:cat>
            <c:strRef>
              <c:f>Лист1!$A$2:$A$5</c:f>
              <c:strCache>
                <c:ptCount val="4"/>
                <c:pt idx="0">
                  <c:v>2012</c:v>
                </c:pt>
                <c:pt idx="1">
                  <c:v>2013</c:v>
                </c:pt>
                <c:pt idx="2">
                  <c:v>2014</c:v>
                </c:pt>
                <c:pt idx="3">
                  <c:v>2015 оценка</c:v>
                </c:pt>
              </c:strCache>
            </c:strRef>
          </c:cat>
          <c:val>
            <c:numRef>
              <c:f>Лист1!$E$2:$E$5</c:f>
              <c:numCache>
                <c:formatCode>General</c:formatCode>
                <c:ptCount val="4"/>
                <c:pt idx="0">
                  <c:v>18</c:v>
                </c:pt>
                <c:pt idx="1">
                  <c:v>16</c:v>
                </c:pt>
                <c:pt idx="2">
                  <c:v>16</c:v>
                </c:pt>
                <c:pt idx="3">
                  <c:v>16</c:v>
                </c:pt>
              </c:numCache>
            </c:numRef>
          </c:val>
        </c:ser>
        <c:gapWidth val="75"/>
        <c:axId val="75081600"/>
        <c:axId val="75083136"/>
      </c:barChart>
      <c:catAx>
        <c:axId val="75081600"/>
        <c:scaling>
          <c:orientation val="minMax"/>
        </c:scaling>
        <c:axPos val="b"/>
        <c:numFmt formatCode="General" sourceLinked="1"/>
        <c:majorTickMark val="none"/>
        <c:tickLblPos val="nextTo"/>
        <c:crossAx val="75083136"/>
        <c:crosses val="autoZero"/>
        <c:auto val="1"/>
        <c:lblAlgn val="ctr"/>
        <c:lblOffset val="100"/>
      </c:catAx>
      <c:valAx>
        <c:axId val="75083136"/>
        <c:scaling>
          <c:orientation val="minMax"/>
        </c:scaling>
        <c:axPos val="l"/>
        <c:numFmt formatCode="General" sourceLinked="1"/>
        <c:majorTickMark val="none"/>
        <c:tickLblPos val="none"/>
        <c:spPr>
          <a:ln w="9524">
            <a:noFill/>
          </a:ln>
        </c:spPr>
        <c:crossAx val="75081600"/>
        <c:crosses val="autoZero"/>
        <c:crossBetween val="between"/>
      </c:valAx>
    </c:plotArea>
    <c:legend>
      <c:legendPos val="b"/>
      <c:layout>
        <c:manualLayout>
          <c:xMode val="edge"/>
          <c:yMode val="edge"/>
          <c:x val="0.16688063910973847"/>
          <c:y val="0.6951124132739227"/>
          <c:w val="0.64536930452575125"/>
          <c:h val="0.2810779466520173"/>
        </c:manualLayout>
      </c:layout>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Доля детей, привлекаемых к участию в творческих мероприятиях, в общей численности детей, % </a:t>
            </a:r>
          </a:p>
        </c:rich>
      </c:tx>
    </c:title>
    <c:plotArea>
      <c:layout/>
      <c:barChart>
        <c:barDir val="col"/>
        <c:grouping val="clustered"/>
        <c:ser>
          <c:idx val="0"/>
          <c:order val="0"/>
          <c:tx>
            <c:strRef>
              <c:f>Лист1!$B$1</c:f>
              <c:strCache>
                <c:ptCount val="1"/>
                <c:pt idx="0">
                  <c:v>Значения показателей областной "дорожной карты"</c:v>
                </c:pt>
              </c:strCache>
            </c:strRef>
          </c:tx>
          <c:dLbls>
            <c:numFmt formatCode="#,##0.0" sourceLinked="0"/>
            <c:txPr>
              <a:bodyPr/>
              <a:lstStyle/>
              <a:p>
                <a:pPr>
                  <a:defRPr b="1">
                    <a:solidFill>
                      <a:srgbClr val="0070C0"/>
                    </a:solidFill>
                  </a:defRPr>
                </a:pPr>
                <a:endParaRPr lang="ru-RU"/>
              </a:p>
            </c:txPr>
            <c:showVal val="1"/>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8</c:v>
                </c:pt>
                <c:pt idx="1">
                  <c:v>8</c:v>
                </c:pt>
                <c:pt idx="2">
                  <c:v>8.1</c:v>
                </c:pt>
                <c:pt idx="3">
                  <c:v>8.2000000000000011</c:v>
                </c:pt>
                <c:pt idx="4">
                  <c:v>8.2000000000000011</c:v>
                </c:pt>
                <c:pt idx="5">
                  <c:v>8.2000000000000011</c:v>
                </c:pt>
              </c:numCache>
            </c:numRef>
          </c:val>
        </c:ser>
        <c:ser>
          <c:idx val="1"/>
          <c:order val="1"/>
          <c:tx>
            <c:strRef>
              <c:f>Лист1!$C$1</c:f>
              <c:strCache>
                <c:ptCount val="1"/>
                <c:pt idx="0">
                  <c:v>Значения показателей районной "дорожной карты"</c:v>
                </c:pt>
              </c:strCache>
            </c:strRef>
          </c:tx>
          <c:dLbls>
            <c:numFmt formatCode="#,##0.0" sourceLinked="0"/>
            <c:txPr>
              <a:bodyPr/>
              <a:lstStyle/>
              <a:p>
                <a:pPr>
                  <a:defRPr b="1">
                    <a:solidFill>
                      <a:srgbClr val="FF0000"/>
                    </a:solidFill>
                  </a:defRPr>
                </a:pPr>
                <a:endParaRPr lang="ru-RU"/>
              </a:p>
            </c:txPr>
            <c:showVal val="1"/>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7.6</c:v>
                </c:pt>
                <c:pt idx="1">
                  <c:v>9.3000000000000007</c:v>
                </c:pt>
                <c:pt idx="2">
                  <c:v>9.3000000000000007</c:v>
                </c:pt>
                <c:pt idx="3">
                  <c:v>8.5</c:v>
                </c:pt>
                <c:pt idx="4">
                  <c:v>8.3000000000000007</c:v>
                </c:pt>
                <c:pt idx="5" formatCode="dd/mmm">
                  <c:v>8.2000000000000011</c:v>
                </c:pt>
              </c:numCache>
            </c:numRef>
          </c:val>
        </c:ser>
        <c:ser>
          <c:idx val="2"/>
          <c:order val="2"/>
          <c:tx>
            <c:strRef>
              <c:f>Лист1!$D$1</c:f>
              <c:strCache>
                <c:ptCount val="1"/>
                <c:pt idx="0">
                  <c:v>Столбец1</c:v>
                </c:pt>
              </c:strCache>
            </c:strRef>
          </c:tx>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numCache>
            </c:numRef>
          </c:val>
        </c:ser>
        <c:axId val="75160192"/>
        <c:axId val="80171392"/>
      </c:barChart>
      <c:catAx>
        <c:axId val="75160192"/>
        <c:scaling>
          <c:orientation val="minMax"/>
        </c:scaling>
        <c:axPos val="b"/>
        <c:numFmt formatCode="General" sourceLinked="1"/>
        <c:majorTickMark val="none"/>
        <c:tickLblPos val="nextTo"/>
        <c:crossAx val="80171392"/>
        <c:crosses val="autoZero"/>
        <c:auto val="1"/>
        <c:lblAlgn val="ctr"/>
        <c:lblOffset val="100"/>
      </c:catAx>
      <c:valAx>
        <c:axId val="80171392"/>
        <c:scaling>
          <c:orientation val="minMax"/>
        </c:scaling>
        <c:delete val="1"/>
        <c:axPos val="l"/>
        <c:numFmt formatCode="General" sourceLinked="1"/>
        <c:tickLblPos val="none"/>
        <c:crossAx val="75160192"/>
        <c:crosses val="autoZero"/>
        <c:crossBetween val="between"/>
      </c:valAx>
    </c:plotArea>
    <c:legend>
      <c:legendPos val="b"/>
      <c:legendEntry>
        <c:idx val="2"/>
        <c:delete val="1"/>
      </c:legendEntry>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0"/>
            </a:pPr>
            <a:r>
              <a:rPr lang="ru-RU" sz="1090"/>
              <a:t>Структура занятости населения района по отраслям</a:t>
            </a:r>
          </a:p>
        </c:rich>
      </c:tx>
      <c:layout>
        <c:manualLayout>
          <c:xMode val="edge"/>
          <c:yMode val="edge"/>
          <c:x val="0.22727264955072798"/>
          <c:y val="2.0833236553395675E-2"/>
        </c:manualLayout>
      </c:layout>
      <c:spPr>
        <a:noFill/>
        <a:ln w="25156">
          <a:noFill/>
        </a:ln>
      </c:spPr>
    </c:title>
    <c:plotArea>
      <c:layout>
        <c:manualLayout>
          <c:layoutTarget val="inner"/>
          <c:xMode val="edge"/>
          <c:yMode val="edge"/>
          <c:x val="9.1082004172555339E-2"/>
          <c:y val="0.17669562078379172"/>
          <c:w val="0.46792274963492164"/>
          <c:h val="0.70486683867860422"/>
        </c:manualLayout>
      </c:layout>
      <c:pieChart>
        <c:varyColors val="1"/>
        <c:ser>
          <c:idx val="0"/>
          <c:order val="0"/>
          <c:tx>
            <c:strRef>
              <c:f>Sheet1!$A$2</c:f>
              <c:strCache>
                <c:ptCount val="1"/>
                <c:pt idx="0">
                  <c:v>Восток</c:v>
                </c:pt>
              </c:strCache>
            </c:strRef>
          </c:tx>
          <c:dPt>
            <c:idx val="3"/>
            <c:spPr>
              <a:solidFill>
                <a:srgbClr val="00B050"/>
              </a:solidFill>
            </c:spPr>
          </c:dPt>
          <c:dPt>
            <c:idx val="5"/>
            <c:spPr>
              <a:solidFill>
                <a:schemeClr val="accent2">
                  <a:lumMod val="50000"/>
                </a:schemeClr>
              </a:solidFill>
            </c:spPr>
          </c:dPt>
          <c:dPt>
            <c:idx val="7"/>
            <c:spPr>
              <a:solidFill>
                <a:srgbClr val="000000"/>
              </a:solidFill>
            </c:spPr>
          </c:dPt>
          <c:dPt>
            <c:idx val="8"/>
            <c:spPr>
              <a:solidFill>
                <a:srgbClr val="C00000"/>
              </a:solidFill>
            </c:spPr>
          </c:dPt>
          <c:dPt>
            <c:idx val="10"/>
            <c:spPr>
              <a:solidFill>
                <a:srgbClr val="FF6699"/>
              </a:solidFill>
              <a:ln>
                <a:solidFill>
                  <a:srgbClr val="FF6699"/>
                </a:solidFill>
              </a:ln>
            </c:spPr>
          </c:dPt>
          <c:dPt>
            <c:idx val="11"/>
            <c:spPr>
              <a:solidFill>
                <a:srgbClr val="7030A0"/>
              </a:solidFill>
            </c:spPr>
          </c:dPt>
          <c:dPt>
            <c:idx val="12"/>
            <c:spPr>
              <a:solidFill>
                <a:srgbClr val="00CCFF"/>
              </a:solidFill>
            </c:spPr>
          </c:dPt>
          <c:dPt>
            <c:idx val="13"/>
            <c:spPr>
              <a:solidFill>
                <a:srgbClr val="663300"/>
              </a:solidFill>
            </c:spPr>
          </c:dPt>
          <c:dLbls>
            <c:numFmt formatCode="0.00%" sourceLinked="0"/>
            <c:spPr>
              <a:noFill/>
              <a:ln w="25156">
                <a:noFill/>
              </a:ln>
            </c:spPr>
            <c:txPr>
              <a:bodyPr/>
              <a:lstStyle/>
              <a:p>
                <a:pPr>
                  <a:defRPr sz="1387" b="1"/>
                </a:pPr>
                <a:endParaRPr lang="ru-RU"/>
              </a:p>
            </c:txPr>
            <c:showPercent val="1"/>
            <c:showLeaderLines val="1"/>
          </c:dLbls>
          <c:cat>
            <c:strRef>
              <c:f>Sheet1!$B$1:$O$1</c:f>
              <c:strCache>
                <c:ptCount val="14"/>
                <c:pt idx="0">
                  <c:v>сельское хозяйство</c:v>
                </c:pt>
                <c:pt idx="1">
                  <c:v>лесное хозяйство</c:v>
                </c:pt>
                <c:pt idx="2">
                  <c:v>производство пищевых продуктов</c:v>
                </c:pt>
                <c:pt idx="3">
                  <c:v>издательская деятельность</c:v>
                </c:pt>
                <c:pt idx="4">
                  <c:v>деревообработка</c:v>
                </c:pt>
                <c:pt idx="5">
                  <c:v>строительство</c:v>
                </c:pt>
                <c:pt idx="6">
                  <c:v>торговля</c:v>
                </c:pt>
                <c:pt idx="7">
                  <c:v>гостиницы и рестораны</c:v>
                </c:pt>
                <c:pt idx="8">
                  <c:v>образование</c:v>
                </c:pt>
                <c:pt idx="9">
                  <c:v>здравоохранение</c:v>
                </c:pt>
                <c:pt idx="10">
                  <c:v>производство и распределение электоро энергии, газа и воды</c:v>
                </c:pt>
                <c:pt idx="11">
                  <c:v>транспорт и связь</c:v>
                </c:pt>
                <c:pt idx="12">
                  <c:v>предоставление прочих комунальных, соц. и персон. услуг</c:v>
                </c:pt>
                <c:pt idx="13">
                  <c:v>прочие</c:v>
                </c:pt>
              </c:strCache>
            </c:strRef>
          </c:cat>
          <c:val>
            <c:numRef>
              <c:f>Sheet1!$B$2:$O$2</c:f>
              <c:numCache>
                <c:formatCode>General</c:formatCode>
                <c:ptCount val="14"/>
                <c:pt idx="0">
                  <c:v>20.399999999999999</c:v>
                </c:pt>
                <c:pt idx="1">
                  <c:v>27.4</c:v>
                </c:pt>
                <c:pt idx="2">
                  <c:v>90</c:v>
                </c:pt>
                <c:pt idx="3">
                  <c:v>717</c:v>
                </c:pt>
                <c:pt idx="4">
                  <c:v>12300</c:v>
                </c:pt>
                <c:pt idx="5">
                  <c:v>1633</c:v>
                </c:pt>
                <c:pt idx="6">
                  <c:v>23087</c:v>
                </c:pt>
                <c:pt idx="7">
                  <c:v>1317</c:v>
                </c:pt>
                <c:pt idx="8">
                  <c:v>18915</c:v>
                </c:pt>
                <c:pt idx="9">
                  <c:v>10880</c:v>
                </c:pt>
                <c:pt idx="10">
                  <c:v>3228</c:v>
                </c:pt>
                <c:pt idx="11">
                  <c:v>3710</c:v>
                </c:pt>
                <c:pt idx="12">
                  <c:v>2740</c:v>
                </c:pt>
                <c:pt idx="13">
                  <c:v>31465</c:v>
                </c:pt>
              </c:numCache>
            </c:numRef>
          </c:val>
        </c:ser>
        <c:dLbls>
          <c:showPercent val="1"/>
        </c:dLbls>
        <c:firstSliceAng val="50"/>
      </c:pieChart>
      <c:spPr>
        <a:noFill/>
        <a:ln w="25396">
          <a:noFill/>
        </a:ln>
      </c:spPr>
    </c:plotArea>
    <c:legend>
      <c:legendPos val="r"/>
      <c:layout>
        <c:manualLayout>
          <c:xMode val="edge"/>
          <c:yMode val="edge"/>
          <c:x val="0.59794540340438462"/>
          <c:y val="9.4505531941251247E-2"/>
          <c:w val="0.38923405746920037"/>
          <c:h val="0.87271471597023853"/>
        </c:manualLayout>
      </c:layout>
      <c:txPr>
        <a:bodyPr/>
        <a:lstStyle/>
        <a:p>
          <a:pPr>
            <a:defRPr sz="800"/>
          </a:pPr>
          <a:endParaRPr lang="ru-RU"/>
        </a:p>
      </c:txPr>
    </c:legend>
    <c:plotVisOnly val="1"/>
    <c:dispBlanksAs val="zero"/>
  </c:chart>
  <c:spPr>
    <a:noFill/>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80"/>
            </a:pPr>
            <a:r>
              <a:rPr lang="ru-RU" sz="1080"/>
              <a:t>Доля населения, систематически занимающегося физической культурой и спортом, %</a:t>
            </a:r>
          </a:p>
        </c:rich>
      </c:tx>
      <c:layout>
        <c:manualLayout>
          <c:xMode val="edge"/>
          <c:yMode val="edge"/>
          <c:x val="0.12343757970692552"/>
          <c:y val="1.9608016287683681E-2"/>
        </c:manualLayout>
      </c:layout>
      <c:spPr>
        <a:noFill/>
        <a:ln w="24944">
          <a:noFill/>
        </a:ln>
      </c:spPr>
    </c:title>
    <c:plotArea>
      <c:layout>
        <c:manualLayout>
          <c:layoutTarget val="inner"/>
          <c:xMode val="edge"/>
          <c:yMode val="edge"/>
          <c:x val="2.2633744855967398E-2"/>
          <c:y val="0.27601190476190485"/>
          <c:w val="0.94780969508441648"/>
          <c:h val="0.47707817772778816"/>
        </c:manualLayout>
      </c:layout>
      <c:barChart>
        <c:barDir val="col"/>
        <c:grouping val="clustered"/>
        <c:ser>
          <c:idx val="0"/>
          <c:order val="0"/>
          <c:tx>
            <c:strRef>
              <c:f>Лист1!$B$1</c:f>
              <c:strCache>
                <c:ptCount val="1"/>
                <c:pt idx="0">
                  <c:v>Вологодская область</c:v>
                </c:pt>
              </c:strCache>
            </c:strRef>
          </c:tx>
          <c:dLbls>
            <c:spPr>
              <a:noFill/>
              <a:ln w="24944">
                <a:noFill/>
              </a:ln>
            </c:spPr>
            <c:txPr>
              <a:bodyPr/>
              <a:lstStyle/>
              <a:p>
                <a:pPr>
                  <a:defRPr sz="1080" b="1">
                    <a:solidFill>
                      <a:srgbClr val="0070C0"/>
                    </a:solidFill>
                  </a:defRPr>
                </a:pPr>
                <a:endParaRPr lang="ru-RU"/>
              </a:p>
            </c:txPr>
            <c:showVal val="1"/>
          </c:dLbls>
          <c:cat>
            <c:strRef>
              <c:f>Лист1!$A$2:$A$5</c:f>
              <c:strCache>
                <c:ptCount val="4"/>
                <c:pt idx="0">
                  <c:v>2012 год</c:v>
                </c:pt>
                <c:pt idx="1">
                  <c:v>2013 год</c:v>
                </c:pt>
                <c:pt idx="2">
                  <c:v>2014 год</c:v>
                </c:pt>
                <c:pt idx="3">
                  <c:v>2015 год</c:v>
                </c:pt>
              </c:strCache>
            </c:strRef>
          </c:cat>
          <c:val>
            <c:numRef>
              <c:f>Лист1!$B$2:$B$5</c:f>
              <c:numCache>
                <c:formatCode>General</c:formatCode>
                <c:ptCount val="4"/>
                <c:pt idx="0">
                  <c:v>17.8</c:v>
                </c:pt>
                <c:pt idx="1">
                  <c:v>20.5</c:v>
                </c:pt>
                <c:pt idx="2">
                  <c:v>21.9</c:v>
                </c:pt>
                <c:pt idx="3">
                  <c:v>22.4</c:v>
                </c:pt>
              </c:numCache>
            </c:numRef>
          </c:val>
        </c:ser>
        <c:ser>
          <c:idx val="1"/>
          <c:order val="1"/>
          <c:tx>
            <c:strRef>
              <c:f>Лист1!$C$1</c:f>
              <c:strCache>
                <c:ptCount val="1"/>
                <c:pt idx="0">
                  <c:v>Кичменгско -Городецкий район</c:v>
                </c:pt>
              </c:strCache>
            </c:strRef>
          </c:tx>
          <c:dLbls>
            <c:spPr>
              <a:noFill/>
              <a:ln w="24944">
                <a:noFill/>
              </a:ln>
            </c:spPr>
            <c:txPr>
              <a:bodyPr/>
              <a:lstStyle/>
              <a:p>
                <a:pPr>
                  <a:defRPr sz="1080" b="1">
                    <a:solidFill>
                      <a:srgbClr val="C00000"/>
                    </a:solidFill>
                  </a:defRPr>
                </a:pPr>
                <a:endParaRPr lang="ru-RU"/>
              </a:p>
            </c:txPr>
            <c:showVal val="1"/>
          </c:dLbls>
          <c:cat>
            <c:strRef>
              <c:f>Лист1!$A$2:$A$5</c:f>
              <c:strCache>
                <c:ptCount val="4"/>
                <c:pt idx="0">
                  <c:v>2012 год</c:v>
                </c:pt>
                <c:pt idx="1">
                  <c:v>2013 год</c:v>
                </c:pt>
                <c:pt idx="2">
                  <c:v>2014 год</c:v>
                </c:pt>
                <c:pt idx="3">
                  <c:v>2015 год</c:v>
                </c:pt>
              </c:strCache>
            </c:strRef>
          </c:cat>
          <c:val>
            <c:numRef>
              <c:f>Лист1!$C$2:$C$5</c:f>
              <c:numCache>
                <c:formatCode>General</c:formatCode>
                <c:ptCount val="4"/>
                <c:pt idx="0">
                  <c:v>20.5</c:v>
                </c:pt>
                <c:pt idx="1">
                  <c:v>21.6</c:v>
                </c:pt>
                <c:pt idx="2">
                  <c:v>21.7</c:v>
                </c:pt>
                <c:pt idx="3">
                  <c:v>21.8</c:v>
                </c:pt>
              </c:numCache>
            </c:numRef>
          </c:val>
        </c:ser>
        <c:ser>
          <c:idx val="2"/>
          <c:order val="2"/>
          <c:tx>
            <c:strRef>
              <c:f>Лист1!$D$1</c:f>
              <c:strCache>
                <c:ptCount val="1"/>
                <c:pt idx="0">
                  <c:v>Столбец1</c:v>
                </c:pt>
              </c:strCache>
            </c:strRef>
          </c:tx>
          <c:cat>
            <c:strRef>
              <c:f>Лист1!$A$2:$A$5</c:f>
              <c:strCache>
                <c:ptCount val="4"/>
                <c:pt idx="0">
                  <c:v>2012 год</c:v>
                </c:pt>
                <c:pt idx="1">
                  <c:v>2013 год</c:v>
                </c:pt>
                <c:pt idx="2">
                  <c:v>2014 год</c:v>
                </c:pt>
                <c:pt idx="3">
                  <c:v>2015 год</c:v>
                </c:pt>
              </c:strCache>
            </c:strRef>
          </c:cat>
          <c:val>
            <c:numRef>
              <c:f>Лист1!$D$2:$D$5</c:f>
              <c:numCache>
                <c:formatCode>General</c:formatCode>
                <c:ptCount val="4"/>
              </c:numCache>
            </c:numRef>
          </c:val>
        </c:ser>
        <c:axId val="80235136"/>
        <c:axId val="80253312"/>
      </c:barChart>
      <c:catAx>
        <c:axId val="80235136"/>
        <c:scaling>
          <c:orientation val="minMax"/>
        </c:scaling>
        <c:axPos val="b"/>
        <c:numFmt formatCode="General" sourceLinked="1"/>
        <c:majorTickMark val="none"/>
        <c:tickLblPos val="nextTo"/>
        <c:crossAx val="80253312"/>
        <c:crosses val="autoZero"/>
        <c:auto val="1"/>
        <c:lblAlgn val="ctr"/>
        <c:lblOffset val="100"/>
      </c:catAx>
      <c:valAx>
        <c:axId val="80253312"/>
        <c:scaling>
          <c:orientation val="minMax"/>
        </c:scaling>
        <c:delete val="1"/>
        <c:axPos val="l"/>
        <c:numFmt formatCode="General" sourceLinked="1"/>
        <c:tickLblPos val="none"/>
        <c:crossAx val="80235136"/>
        <c:crosses val="autoZero"/>
        <c:crossBetween val="between"/>
      </c:valAx>
    </c:plotArea>
    <c:legend>
      <c:legendPos val="r"/>
      <c:legendEntry>
        <c:idx val="2"/>
        <c:delete val="1"/>
      </c:legendEntry>
      <c:layout>
        <c:manualLayout>
          <c:xMode val="edge"/>
          <c:yMode val="edge"/>
          <c:x val="0.19062506685096964"/>
          <c:y val="0.87745087938774013"/>
          <c:w val="0.61406248200166158"/>
          <c:h val="0.12254912061226"/>
        </c:manualLayout>
      </c:layout>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79" b="1" i="0" u="none" strike="noStrike" baseline="0">
                <a:solidFill>
                  <a:srgbClr val="000000"/>
                </a:solidFill>
                <a:latin typeface="Calibri"/>
                <a:ea typeface="Calibri"/>
                <a:cs typeface="Calibri"/>
              </a:defRPr>
            </a:pPr>
            <a:r>
              <a:rPr lang="ru-RU" sz="879"/>
              <a:t>Средняя</a:t>
            </a:r>
            <a:r>
              <a:rPr lang="ru-RU" sz="879" baseline="0"/>
              <a:t> заработная плата по отрасли, рублей</a:t>
            </a:r>
          </a:p>
        </c:rich>
      </c:tx>
      <c:layout>
        <c:manualLayout>
          <c:xMode val="edge"/>
          <c:yMode val="edge"/>
          <c:x val="0.3155962624671918"/>
          <c:y val="2.0134149897929492E-2"/>
        </c:manualLayout>
      </c:layout>
      <c:spPr>
        <a:noFill/>
        <a:ln w="14598">
          <a:noFill/>
        </a:ln>
      </c:spPr>
    </c:title>
    <c:plotArea>
      <c:layout>
        <c:manualLayout>
          <c:layoutTarget val="inner"/>
          <c:xMode val="edge"/>
          <c:yMode val="edge"/>
          <c:x val="2.1759120945894626E-2"/>
          <c:y val="0.2140129852189529"/>
          <c:w val="0.95251740638529514"/>
          <c:h val="0.56953336096145069"/>
        </c:manualLayout>
      </c:layout>
      <c:lineChart>
        <c:grouping val="standard"/>
        <c:ser>
          <c:idx val="0"/>
          <c:order val="0"/>
          <c:tx>
            <c:strRef>
              <c:f>Sheet1!$A$2</c:f>
              <c:strCache>
                <c:ptCount val="1"/>
                <c:pt idx="0">
                  <c:v>Всего социальных работников</c:v>
                </c:pt>
              </c:strCache>
            </c:strRef>
          </c:tx>
          <c:spPr>
            <a:ln w="4873">
              <a:solidFill>
                <a:srgbClr val="000000"/>
              </a:solidFill>
              <a:prstDash val="solid"/>
            </a:ln>
          </c:spPr>
          <c:dLbls>
            <c:dLbl>
              <c:idx val="0"/>
              <c:layout>
                <c:manualLayout>
                  <c:x val="-6.1070123469292845E-2"/>
                  <c:y val="-9.3407655726202798E-2"/>
                </c:manualLayout>
              </c:layout>
              <c:dLblPos val="r"/>
              <c:showVal val="1"/>
            </c:dLbl>
            <c:dLbl>
              <c:idx val="1"/>
              <c:layout>
                <c:manualLayout>
                  <c:x val="-4.5585571899975516E-2"/>
                  <c:y val="-8.4240014552636397E-2"/>
                </c:manualLayout>
              </c:layout>
              <c:dLblPos val="r"/>
              <c:showVal val="1"/>
            </c:dLbl>
            <c:dLbl>
              <c:idx val="2"/>
              <c:layout>
                <c:manualLayout>
                  <c:x val="-6.6804229857119993E-2"/>
                  <c:y val="-8.4990514799511446E-2"/>
                </c:manualLayout>
              </c:layout>
              <c:dLblPos val="r"/>
              <c:showVal val="1"/>
            </c:dLbl>
            <c:dLbl>
              <c:idx val="3"/>
              <c:layout>
                <c:manualLayout>
                  <c:x val="-3.5799680988429602E-2"/>
                  <c:y val="0.11419401782698069"/>
                </c:manualLayout>
              </c:layout>
              <c:dLblPos val="r"/>
              <c:showVal val="1"/>
            </c:dLbl>
            <c:dLbl>
              <c:idx val="4"/>
              <c:layout>
                <c:manualLayout>
                  <c:x val="-2.9026677131596488E-3"/>
                  <c:y val="-0.10053792780852887"/>
                </c:manualLayout>
              </c:layout>
              <c:dLblPos val="r"/>
              <c:showVal val="1"/>
            </c:dLbl>
            <c:dLbl>
              <c:idx val="5"/>
              <c:layout>
                <c:manualLayout>
                  <c:x val="-1.9141301737596941E-2"/>
                  <c:y val="1.6145721662334259E-2"/>
                </c:manualLayout>
              </c:layout>
              <c:dLblPos val="r"/>
              <c:showVal val="1"/>
            </c:dLbl>
            <c:dLbl>
              <c:idx val="6"/>
              <c:layout>
                <c:manualLayout>
                  <c:xMode val="edge"/>
                  <c:yMode val="edge"/>
                  <c:x val="0.8322475570032577"/>
                  <c:y val="0.14227642276422794"/>
                </c:manualLayout>
              </c:layout>
              <c:dLblPos val="r"/>
              <c:showVal val="1"/>
            </c:dLbl>
            <c:spPr>
              <a:noFill/>
              <a:ln w="14598">
                <a:noFill/>
              </a:ln>
            </c:spPr>
            <c:txPr>
              <a:bodyPr/>
              <a:lstStyle/>
              <a:p>
                <a:pPr>
                  <a:defRPr sz="1055" b="1" i="0" u="none" strike="noStrike" baseline="0">
                    <a:solidFill>
                      <a:srgbClr val="000000"/>
                    </a:solidFill>
                    <a:latin typeface="Calibri"/>
                    <a:ea typeface="Calibri"/>
                    <a:cs typeface="Calibri"/>
                  </a:defRPr>
                </a:pPr>
                <a:endParaRPr lang="ru-RU"/>
              </a:p>
            </c:txPr>
            <c:showVal val="1"/>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7763</c:v>
                </c:pt>
                <c:pt idx="1">
                  <c:v>8860</c:v>
                </c:pt>
                <c:pt idx="2">
                  <c:v>10068</c:v>
                </c:pt>
                <c:pt idx="3">
                  <c:v>13835</c:v>
                </c:pt>
                <c:pt idx="4">
                  <c:v>16325</c:v>
                </c:pt>
              </c:numCache>
            </c:numRef>
          </c:val>
        </c:ser>
        <c:marker val="1"/>
        <c:axId val="84509824"/>
        <c:axId val="84511360"/>
      </c:lineChart>
      <c:catAx>
        <c:axId val="84509824"/>
        <c:scaling>
          <c:orientation val="minMax"/>
        </c:scaling>
        <c:axPos val="b"/>
        <c:numFmt formatCode="General" sourceLinked="1"/>
        <c:tickLblPos val="low"/>
        <c:spPr>
          <a:ln w="1218">
            <a:solidFill>
              <a:srgbClr val="000000"/>
            </a:solidFill>
            <a:prstDash val="solid"/>
          </a:ln>
        </c:spPr>
        <c:txPr>
          <a:bodyPr rot="0" vert="horz"/>
          <a:lstStyle/>
          <a:p>
            <a:pPr>
              <a:defRPr sz="308" b="1" i="0" u="none" strike="noStrike" baseline="0">
                <a:solidFill>
                  <a:srgbClr val="000000"/>
                </a:solidFill>
                <a:latin typeface="Calibri"/>
                <a:ea typeface="Calibri"/>
                <a:cs typeface="Calibri"/>
              </a:defRPr>
            </a:pPr>
            <a:endParaRPr lang="ru-RU"/>
          </a:p>
        </c:txPr>
        <c:crossAx val="84511360"/>
        <c:crosses val="autoZero"/>
        <c:auto val="1"/>
        <c:lblAlgn val="ctr"/>
        <c:lblOffset val="100"/>
        <c:tickLblSkip val="1"/>
        <c:tickMarkSkip val="1"/>
      </c:catAx>
      <c:valAx>
        <c:axId val="84511360"/>
        <c:scaling>
          <c:orientation val="minMax"/>
        </c:scaling>
        <c:delete val="1"/>
        <c:axPos val="l"/>
        <c:numFmt formatCode="General" sourceLinked="1"/>
        <c:tickLblPos val="none"/>
        <c:crossAx val="84509824"/>
        <c:crosses val="autoZero"/>
        <c:crossBetween val="between"/>
      </c:valAx>
      <c:spPr>
        <a:solidFill>
          <a:schemeClr val="accent4">
            <a:lumMod val="40000"/>
            <a:lumOff val="60000"/>
          </a:schemeClr>
        </a:solidFill>
        <a:ln w="9738">
          <a:noFill/>
        </a:ln>
      </c:spPr>
    </c:plotArea>
    <c:plotVisOnly val="1"/>
    <c:dispBlanksAs val="gap"/>
  </c:chart>
  <c:spPr>
    <a:noFill/>
    <a:ln>
      <a:noFill/>
    </a:ln>
  </c:spPr>
  <c:txPr>
    <a:bodyPr/>
    <a:lstStyle/>
    <a:p>
      <a:pPr>
        <a:defRPr sz="413" b="1" i="0" u="none" strike="noStrike" baseline="0">
          <a:solidFill>
            <a:srgbClr val="000000"/>
          </a:solidFill>
          <a:latin typeface="Calibri"/>
          <a:ea typeface="Calibri"/>
          <a:cs typeface="Calibri"/>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85" b="1" i="0" u="none" strike="noStrike" baseline="0">
                <a:solidFill>
                  <a:srgbClr val="000000"/>
                </a:solidFill>
                <a:latin typeface="Calibri"/>
                <a:ea typeface="Calibri"/>
                <a:cs typeface="Calibri"/>
              </a:defRPr>
            </a:pPr>
            <a:r>
              <a:rPr lang="ru-RU" sz="885"/>
              <a:t>Средняя</a:t>
            </a:r>
            <a:r>
              <a:rPr lang="ru-RU" sz="885" baseline="0"/>
              <a:t> заработная плата социальных работников</a:t>
            </a:r>
            <a:endParaRPr lang="ru-RU" sz="1100"/>
          </a:p>
        </c:rich>
      </c:tx>
      <c:layout>
        <c:manualLayout>
          <c:xMode val="edge"/>
          <c:yMode val="edge"/>
          <c:x val="0.29622265966754407"/>
          <c:y val="1.8292746519267881E-2"/>
        </c:manualLayout>
      </c:layout>
      <c:spPr>
        <a:noFill/>
        <a:ln w="12157">
          <a:noFill/>
        </a:ln>
      </c:spPr>
    </c:title>
    <c:plotArea>
      <c:layout>
        <c:manualLayout>
          <c:layoutTarget val="inner"/>
          <c:xMode val="edge"/>
          <c:yMode val="edge"/>
          <c:x val="4.6606639860776913E-2"/>
          <c:y val="0.18548568525708556"/>
          <c:w val="0.93322475570032559"/>
          <c:h val="0.61126163577379411"/>
        </c:manualLayout>
      </c:layout>
      <c:lineChart>
        <c:grouping val="stacked"/>
        <c:ser>
          <c:idx val="0"/>
          <c:order val="0"/>
          <c:tx>
            <c:strRef>
              <c:f>Sheet1!$A$2</c:f>
              <c:strCache>
                <c:ptCount val="1"/>
                <c:pt idx="0">
                  <c:v>Социальные работники</c:v>
                </c:pt>
              </c:strCache>
            </c:strRef>
          </c:tx>
          <c:spPr>
            <a:ln w="7395">
              <a:solidFill>
                <a:srgbClr val="000000"/>
              </a:solidFill>
              <a:prstDash val="solid"/>
            </a:ln>
          </c:spPr>
          <c:dLbls>
            <c:dLbl>
              <c:idx val="0"/>
              <c:layout>
                <c:manualLayout>
                  <c:x val="-4.7928342290546995E-2"/>
                  <c:y val="-9.1719850808122672E-2"/>
                </c:manualLayout>
              </c:layout>
              <c:dLblPos val="r"/>
              <c:showVal val="1"/>
            </c:dLbl>
            <c:dLbl>
              <c:idx val="1"/>
              <c:layout>
                <c:manualLayout>
                  <c:x val="-3.309036370453694E-2"/>
                  <c:y val="9.8293837672204856E-2"/>
                </c:manualLayout>
              </c:layout>
              <c:dLblPos val="r"/>
              <c:showVal val="1"/>
            </c:dLbl>
            <c:dLbl>
              <c:idx val="2"/>
              <c:layout>
                <c:manualLayout>
                  <c:x val="-4.6629171353580787E-2"/>
                  <c:y val="-8.7686144495095944E-2"/>
                </c:manualLayout>
              </c:layout>
              <c:dLblPos val="r"/>
              <c:showVal val="1"/>
            </c:dLbl>
            <c:dLbl>
              <c:idx val="3"/>
              <c:layout>
                <c:manualLayout>
                  <c:x val="-3.9769028871390999E-2"/>
                  <c:y val="0.10992176217207322"/>
                </c:manualLayout>
              </c:layout>
              <c:dLblPos val="r"/>
              <c:showVal val="1"/>
            </c:dLbl>
            <c:dLbl>
              <c:idx val="4"/>
              <c:layout>
                <c:manualLayout>
                  <c:x val="-5.2940549098029387E-2"/>
                  <c:y val="-7.4484923834282735E-2"/>
                </c:manualLayout>
              </c:layout>
              <c:tx>
                <c:rich>
                  <a:bodyPr/>
                  <a:lstStyle/>
                  <a:p>
                    <a:r>
                      <a:rPr lang="en-US"/>
                      <a:t>153</a:t>
                    </a:r>
                    <a:r>
                      <a:rPr lang="ru-RU"/>
                      <a:t>17</a:t>
                    </a:r>
                    <a:endParaRPr lang="en-US"/>
                  </a:p>
                </c:rich>
              </c:tx>
              <c:dLblPos val="r"/>
              <c:showVal val="1"/>
            </c:dLbl>
            <c:dLbl>
              <c:idx val="5"/>
              <c:layout>
                <c:manualLayout>
                  <c:x val="-3.9896512935883012E-2"/>
                  <c:y val="0.10007861457509198"/>
                </c:manualLayout>
              </c:layout>
              <c:dLblPos val="r"/>
              <c:showVal val="1"/>
            </c:dLbl>
            <c:dLbl>
              <c:idx val="6"/>
              <c:layout>
                <c:manualLayout>
                  <c:xMode val="edge"/>
                  <c:yMode val="edge"/>
                  <c:x val="0.8322475570032577"/>
                  <c:y val="4.8780487804879098E-2"/>
                </c:manualLayout>
              </c:layout>
              <c:dLblPos val="r"/>
              <c:showVal val="1"/>
            </c:dLbl>
            <c:spPr>
              <a:noFill/>
              <a:ln w="12157">
                <a:noFill/>
              </a:ln>
            </c:spPr>
            <c:txPr>
              <a:bodyPr/>
              <a:lstStyle/>
              <a:p>
                <a:pPr>
                  <a:defRPr sz="805" b="1" i="0" u="none" strike="noStrike" baseline="0">
                    <a:solidFill>
                      <a:srgbClr val="000000"/>
                    </a:solidFill>
                    <a:latin typeface="Calibri"/>
                    <a:ea typeface="Calibri"/>
                    <a:cs typeface="Calibri"/>
                  </a:defRPr>
                </a:pPr>
                <a:endParaRPr lang="ru-RU"/>
              </a:p>
            </c:txPr>
            <c:showVal val="1"/>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7033</c:v>
                </c:pt>
                <c:pt idx="1">
                  <c:v>7850</c:v>
                </c:pt>
                <c:pt idx="2">
                  <c:v>10084</c:v>
                </c:pt>
                <c:pt idx="3">
                  <c:v>12368</c:v>
                </c:pt>
                <c:pt idx="4">
                  <c:v>15300</c:v>
                </c:pt>
              </c:numCache>
            </c:numRef>
          </c:val>
        </c:ser>
        <c:marker val="1"/>
        <c:axId val="80149120"/>
        <c:axId val="84545920"/>
      </c:lineChart>
      <c:catAx>
        <c:axId val="80149120"/>
        <c:scaling>
          <c:orientation val="minMax"/>
        </c:scaling>
        <c:axPos val="b"/>
        <c:numFmt formatCode="General" sourceLinked="1"/>
        <c:tickLblPos val="low"/>
        <c:spPr>
          <a:ln w="923">
            <a:solidFill>
              <a:srgbClr val="000000"/>
            </a:solidFill>
            <a:prstDash val="solid"/>
          </a:ln>
        </c:spPr>
        <c:txPr>
          <a:bodyPr rot="0" vert="horz"/>
          <a:lstStyle/>
          <a:p>
            <a:pPr>
              <a:defRPr sz="805" b="1" i="0" u="none" strike="noStrike" baseline="0">
                <a:solidFill>
                  <a:srgbClr val="000000"/>
                </a:solidFill>
                <a:latin typeface="Calibri"/>
                <a:ea typeface="Calibri"/>
                <a:cs typeface="Calibri"/>
              </a:defRPr>
            </a:pPr>
            <a:endParaRPr lang="ru-RU"/>
          </a:p>
        </c:txPr>
        <c:crossAx val="84545920"/>
        <c:crosses val="autoZero"/>
        <c:auto val="1"/>
        <c:lblAlgn val="ctr"/>
        <c:lblOffset val="100"/>
        <c:tickLblSkip val="1"/>
        <c:tickMarkSkip val="1"/>
      </c:catAx>
      <c:valAx>
        <c:axId val="84545920"/>
        <c:scaling>
          <c:orientation val="minMax"/>
        </c:scaling>
        <c:delete val="1"/>
        <c:axPos val="l"/>
        <c:numFmt formatCode="General" sourceLinked="1"/>
        <c:tickLblPos val="none"/>
        <c:crossAx val="80149120"/>
        <c:crosses val="autoZero"/>
        <c:crossBetween val="between"/>
      </c:valAx>
      <c:spPr>
        <a:solidFill>
          <a:srgbClr val="CCFFFF"/>
        </a:solidFill>
        <a:ln w="3697">
          <a:noFill/>
          <a:prstDash val="solid"/>
        </a:ln>
      </c:spPr>
    </c:plotArea>
    <c:plotVisOnly val="1"/>
    <c:dispBlanksAs val="zero"/>
  </c:chart>
  <c:spPr>
    <a:noFill/>
    <a:ln>
      <a:noFill/>
    </a:ln>
  </c:spPr>
  <c:txPr>
    <a:bodyPr/>
    <a:lstStyle/>
    <a:p>
      <a:pPr>
        <a:defRPr sz="314" b="1" i="0" u="none" strike="noStrike" baseline="0">
          <a:solidFill>
            <a:srgbClr val="000000"/>
          </a:solidFill>
          <a:latin typeface="Calibri"/>
          <a:ea typeface="Calibri"/>
          <a:cs typeface="Calibri"/>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0358890701468187E-2"/>
          <c:y val="5.9633027522936387E-2"/>
          <c:w val="0.9233278955954326"/>
          <c:h val="0.77522935779816993"/>
        </c:manualLayout>
      </c:layout>
      <c:bar3DChart>
        <c:barDir val="col"/>
        <c:grouping val="clustered"/>
        <c:ser>
          <c:idx val="0"/>
          <c:order val="0"/>
          <c:tx>
            <c:strRef>
              <c:f>Sheet1!$A$2</c:f>
              <c:strCache>
                <c:ptCount val="1"/>
                <c:pt idx="0">
                  <c:v>Восток</c:v>
                </c:pt>
              </c:strCache>
            </c:strRef>
          </c:tx>
          <c:spPr>
            <a:solidFill>
              <a:srgbClr val="9999FF"/>
            </a:solidFill>
            <a:ln w="12659">
              <a:solidFill>
                <a:srgbClr val="000000"/>
              </a:solidFill>
              <a:prstDash val="solid"/>
            </a:ln>
          </c:spPr>
          <c:dLbls>
            <c:dLbl>
              <c:idx val="0"/>
              <c:layout>
                <c:manualLayout>
                  <c:x val="1.4645294351012361E-2"/>
                  <c:y val="-5.1958436788686967E-2"/>
                </c:manualLayout>
              </c:layout>
              <c:showVal val="1"/>
            </c:dLbl>
            <c:dLbl>
              <c:idx val="1"/>
              <c:layout>
                <c:manualLayout>
                  <c:x val="1.1241564833791205E-2"/>
                  <c:y val="-5.1679999276561757E-2"/>
                </c:manualLayout>
              </c:layout>
              <c:showVal val="1"/>
            </c:dLbl>
            <c:dLbl>
              <c:idx val="2"/>
              <c:layout>
                <c:manualLayout>
                  <c:x val="1.1100478057189899E-2"/>
                  <c:y val="-7.4542638221662433E-2"/>
                </c:manualLayout>
              </c:layout>
              <c:showVal val="1"/>
            </c:dLbl>
            <c:dLbl>
              <c:idx val="3"/>
              <c:layout>
                <c:manualLayout>
                  <c:x val="1.0959391280588249E-2"/>
                  <c:y val="-6.1338045356004664E-2"/>
                </c:manualLayout>
              </c:layout>
              <c:showVal val="1"/>
            </c:dLbl>
            <c:dLbl>
              <c:idx val="4"/>
              <c:layout>
                <c:manualLayout>
                  <c:x val="4.2930190227470823E-3"/>
                  <c:y val="-6.7595826392058786E-2"/>
                </c:manualLayout>
              </c:layout>
              <c:showVal val="1"/>
            </c:dLbl>
            <c:dLbl>
              <c:idx val="5"/>
              <c:layout>
                <c:manualLayout>
                  <c:x val="4.1517631851527509E-3"/>
                  <c:y val="-6.9750185617647481E-2"/>
                </c:manualLayout>
              </c:layout>
              <c:showVal val="1"/>
            </c:dLbl>
            <c:dLbl>
              <c:idx val="6"/>
              <c:layout>
                <c:manualLayout>
                  <c:x val="7.48033667931307E-4"/>
                  <c:y val="-5.7659342800490475E-2"/>
                </c:manualLayout>
              </c:layout>
              <c:showVal val="1"/>
            </c:dLbl>
            <c:dLbl>
              <c:idx val="7"/>
              <c:layout>
                <c:manualLayout>
                  <c:xMode val="edge"/>
                  <c:yMode val="edge"/>
                  <c:x val="0.42577487765090088"/>
                  <c:y val="0"/>
                </c:manualLayout>
              </c:layout>
              <c:showVal val="1"/>
            </c:dLbl>
            <c:spPr>
              <a:noFill/>
              <a:ln w="25318">
                <a:noFill/>
              </a:ln>
            </c:spPr>
            <c:txPr>
              <a:bodyPr/>
              <a:lstStyle/>
              <a:p>
                <a:pPr>
                  <a:defRPr sz="947" b="1" i="0" u="none" strike="noStrike" baseline="0">
                    <a:solidFill>
                      <a:srgbClr val="000000"/>
                    </a:solidFill>
                    <a:latin typeface="Arial Cyr"/>
                    <a:ea typeface="Arial Cyr"/>
                    <a:cs typeface="Arial Cyr"/>
                  </a:defRPr>
                </a:pPr>
                <a:endParaRPr lang="ru-RU"/>
              </a:p>
            </c:txPr>
            <c:showVal val="1"/>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184</c:v>
                </c:pt>
                <c:pt idx="1">
                  <c:v>182</c:v>
                </c:pt>
                <c:pt idx="2">
                  <c:v>165</c:v>
                </c:pt>
                <c:pt idx="3">
                  <c:v>169</c:v>
                </c:pt>
                <c:pt idx="4">
                  <c:v>181</c:v>
                </c:pt>
                <c:pt idx="5">
                  <c:v>180</c:v>
                </c:pt>
                <c:pt idx="6">
                  <c:v>192</c:v>
                </c:pt>
              </c:numCache>
            </c:numRef>
          </c:val>
        </c:ser>
        <c:dLbls>
          <c:showVal val="1"/>
        </c:dLbls>
        <c:gapDepth val="0"/>
        <c:shape val="box"/>
        <c:axId val="84570496"/>
        <c:axId val="84572032"/>
        <c:axId val="0"/>
      </c:bar3DChart>
      <c:catAx>
        <c:axId val="84570496"/>
        <c:scaling>
          <c:orientation val="minMax"/>
        </c:scaling>
        <c:axPos val="b"/>
        <c:numFmt formatCode="General" sourceLinked="1"/>
        <c:tickLblPos val="low"/>
        <c:spPr>
          <a:ln w="3165">
            <a:solidFill>
              <a:srgbClr val="000000"/>
            </a:solidFill>
            <a:prstDash val="solid"/>
          </a:ln>
        </c:spPr>
        <c:txPr>
          <a:bodyPr rot="0" vert="horz"/>
          <a:lstStyle/>
          <a:p>
            <a:pPr>
              <a:defRPr sz="947" b="1" i="0" u="none" strike="noStrike" baseline="0">
                <a:solidFill>
                  <a:srgbClr val="000000"/>
                </a:solidFill>
                <a:latin typeface="Arial Cyr"/>
                <a:ea typeface="Arial Cyr"/>
                <a:cs typeface="Arial Cyr"/>
              </a:defRPr>
            </a:pPr>
            <a:endParaRPr lang="ru-RU"/>
          </a:p>
        </c:txPr>
        <c:crossAx val="84572032"/>
        <c:crosses val="autoZero"/>
        <c:auto val="1"/>
        <c:lblAlgn val="ctr"/>
        <c:lblOffset val="100"/>
        <c:tickLblSkip val="1"/>
        <c:tickMarkSkip val="1"/>
      </c:catAx>
      <c:valAx>
        <c:axId val="84572032"/>
        <c:scaling>
          <c:orientation val="minMax"/>
        </c:scaling>
        <c:axPos val="l"/>
        <c:numFmt formatCode="General" sourceLinked="1"/>
        <c:tickLblPos val="nextTo"/>
        <c:spPr>
          <a:ln w="3165">
            <a:solidFill>
              <a:srgbClr val="000000"/>
            </a:solidFill>
            <a:prstDash val="solid"/>
          </a:ln>
        </c:spPr>
        <c:txPr>
          <a:bodyPr rot="0" vert="horz"/>
          <a:lstStyle/>
          <a:p>
            <a:pPr>
              <a:defRPr sz="947" b="1" i="0" u="none" strike="noStrike" baseline="0">
                <a:solidFill>
                  <a:srgbClr val="000000"/>
                </a:solidFill>
                <a:latin typeface="Arial Cyr"/>
                <a:ea typeface="Arial Cyr"/>
                <a:cs typeface="Arial Cyr"/>
              </a:defRPr>
            </a:pPr>
            <a:endParaRPr lang="ru-RU"/>
          </a:p>
        </c:txPr>
        <c:crossAx val="84570496"/>
        <c:crosses val="autoZero"/>
        <c:crossBetween val="between"/>
      </c:valAx>
      <c:spPr>
        <a:noFill/>
        <a:ln w="25318">
          <a:noFill/>
        </a:ln>
      </c:spPr>
    </c:plotArea>
    <c:plotVisOnly val="1"/>
    <c:dispBlanksAs val="gap"/>
  </c:chart>
  <c:spPr>
    <a:noFill/>
    <a:ln>
      <a:noFill/>
    </a:ln>
  </c:spPr>
  <c:txPr>
    <a:bodyPr/>
    <a:lstStyle/>
    <a:p>
      <a:pPr>
        <a:defRPr sz="947" b="1" i="0" u="none" strike="noStrike" baseline="0">
          <a:solidFill>
            <a:srgbClr val="000000"/>
          </a:solidFill>
          <a:latin typeface="Arial Cyr"/>
          <a:ea typeface="Arial Cyr"/>
          <a:cs typeface="Arial Cy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Структура жилого фонда, %</c:v>
                </c:pt>
              </c:strCache>
            </c:strRef>
          </c:tx>
          <c:dLbls>
            <c:spPr>
              <a:noFill/>
              <a:ln w="24849">
                <a:noFill/>
              </a:ln>
            </c:spPr>
            <c:showCatName val="1"/>
            <c:showPercent val="1"/>
          </c:dLbls>
          <c:cat>
            <c:strRef>
              <c:f>Лист1!$A$2:$A$3</c:f>
              <c:strCache>
                <c:ptCount val="2"/>
                <c:pt idx="0">
                  <c:v>Индивидуальные жилые дома</c:v>
                </c:pt>
                <c:pt idx="1">
                  <c:v>Многоквартирные дома</c:v>
                </c:pt>
              </c:strCache>
            </c:strRef>
          </c:cat>
          <c:val>
            <c:numRef>
              <c:f>Лист1!$B$2:$B$3</c:f>
              <c:numCache>
                <c:formatCode>General</c:formatCode>
                <c:ptCount val="2"/>
                <c:pt idx="0">
                  <c:v>7573</c:v>
                </c:pt>
                <c:pt idx="1">
                  <c:v>1087</c:v>
                </c:pt>
              </c:numCache>
            </c:numRef>
          </c:val>
        </c:ser>
        <c:dLbls>
          <c:showCatName val="1"/>
          <c:showPercent val="1"/>
        </c:dLbls>
        <c:firstSliceAng val="0"/>
      </c:pieChart>
      <c:spPr>
        <a:noFill/>
        <a:ln w="25398">
          <a:noFill/>
        </a:ln>
      </c:spPr>
    </c:plotArea>
    <c:plotVisOnly val="1"/>
    <c:dispBlanksAs val="zero"/>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89"/>
              <a:t>Количество выданных</a:t>
            </a:r>
            <a:r>
              <a:rPr lang="ru-RU" sz="1189" baseline="0"/>
              <a:t> разрешений на строительство, ед.</a:t>
            </a:r>
            <a:endParaRPr lang="ru-RU" sz="1200"/>
          </a:p>
        </c:rich>
      </c:tx>
      <c:layout>
        <c:manualLayout>
          <c:xMode val="edge"/>
          <c:yMode val="edge"/>
          <c:x val="0.17803336740128742"/>
          <c:y val="4.7922668203059975E-3"/>
        </c:manualLayout>
      </c:layout>
      <c:spPr>
        <a:noFill/>
        <a:ln w="25397">
          <a:noFill/>
        </a:ln>
      </c:spPr>
    </c:title>
    <c:plotArea>
      <c:layout>
        <c:manualLayout>
          <c:layoutTarget val="inner"/>
          <c:xMode val="edge"/>
          <c:yMode val="edge"/>
          <c:x val="2.3770934629930005E-2"/>
          <c:y val="0.21504697426840341"/>
          <c:w val="0.95086001607984372"/>
          <c:h val="0.50781367282360734"/>
        </c:manualLayout>
      </c:layout>
      <c:barChart>
        <c:barDir val="col"/>
        <c:grouping val="clustered"/>
        <c:ser>
          <c:idx val="0"/>
          <c:order val="0"/>
          <c:tx>
            <c:strRef>
              <c:f>Лист1!$B$1</c:f>
              <c:strCache>
                <c:ptCount val="1"/>
                <c:pt idx="0">
                  <c:v>разрешения на строительство</c:v>
                </c:pt>
              </c:strCache>
            </c:strRef>
          </c:tx>
          <c:dLbls>
            <c:spPr>
              <a:noFill/>
              <a:ln w="25397">
                <a:noFill/>
              </a:ln>
            </c:spPr>
            <c:txPr>
              <a:bodyPr/>
              <a:lstStyle/>
              <a:p>
                <a:pPr>
                  <a:defRPr sz="1189" b="1">
                    <a:solidFill>
                      <a:srgbClr val="0070C0"/>
                    </a:solidFill>
                  </a:defRPr>
                </a:pPr>
                <a:endParaRPr lang="ru-RU"/>
              </a:p>
            </c:txPr>
            <c:showVal val="1"/>
          </c:dLbls>
          <c:cat>
            <c:strRef>
              <c:f>Лист1!$A$2:$A$6</c:f>
              <c:strCache>
                <c:ptCount val="5"/>
                <c:pt idx="0">
                  <c:v>2011</c:v>
                </c:pt>
                <c:pt idx="1">
                  <c:v>2012</c:v>
                </c:pt>
                <c:pt idx="2">
                  <c:v>2013</c:v>
                </c:pt>
                <c:pt idx="3">
                  <c:v>2014</c:v>
                </c:pt>
                <c:pt idx="4">
                  <c:v>11 мес. 2015</c:v>
                </c:pt>
              </c:strCache>
            </c:strRef>
          </c:cat>
          <c:val>
            <c:numRef>
              <c:f>Лист1!$B$2:$B$6</c:f>
              <c:numCache>
                <c:formatCode>General</c:formatCode>
                <c:ptCount val="5"/>
                <c:pt idx="0">
                  <c:v>74</c:v>
                </c:pt>
                <c:pt idx="1">
                  <c:v>95</c:v>
                </c:pt>
                <c:pt idx="2">
                  <c:v>86</c:v>
                </c:pt>
                <c:pt idx="3">
                  <c:v>40</c:v>
                </c:pt>
                <c:pt idx="4">
                  <c:v>39</c:v>
                </c:pt>
              </c:numCache>
            </c:numRef>
          </c:val>
        </c:ser>
        <c:ser>
          <c:idx val="1"/>
          <c:order val="1"/>
          <c:tx>
            <c:strRef>
              <c:f>Лист1!$C$1</c:f>
              <c:strCache>
                <c:ptCount val="1"/>
                <c:pt idx="0">
                  <c:v>в т.ч. на строительство жилых домов</c:v>
                </c:pt>
              </c:strCache>
            </c:strRef>
          </c:tx>
          <c:dLbls>
            <c:spPr>
              <a:noFill/>
              <a:ln w="25397">
                <a:noFill/>
              </a:ln>
            </c:spPr>
            <c:txPr>
              <a:bodyPr/>
              <a:lstStyle/>
              <a:p>
                <a:pPr>
                  <a:defRPr sz="1189" b="1">
                    <a:solidFill>
                      <a:srgbClr val="C00000"/>
                    </a:solidFill>
                  </a:defRPr>
                </a:pPr>
                <a:endParaRPr lang="ru-RU"/>
              </a:p>
            </c:txPr>
            <c:showVal val="1"/>
          </c:dLbls>
          <c:cat>
            <c:strRef>
              <c:f>Лист1!$A$2:$A$6</c:f>
              <c:strCache>
                <c:ptCount val="5"/>
                <c:pt idx="0">
                  <c:v>2011</c:v>
                </c:pt>
                <c:pt idx="1">
                  <c:v>2012</c:v>
                </c:pt>
                <c:pt idx="2">
                  <c:v>2013</c:v>
                </c:pt>
                <c:pt idx="3">
                  <c:v>2014</c:v>
                </c:pt>
                <c:pt idx="4">
                  <c:v>11 мес. 2015</c:v>
                </c:pt>
              </c:strCache>
            </c:strRef>
          </c:cat>
          <c:val>
            <c:numRef>
              <c:f>Лист1!$C$2:$C$6</c:f>
              <c:numCache>
                <c:formatCode>General</c:formatCode>
                <c:ptCount val="5"/>
                <c:pt idx="0">
                  <c:v>47</c:v>
                </c:pt>
                <c:pt idx="1">
                  <c:v>67</c:v>
                </c:pt>
                <c:pt idx="2">
                  <c:v>70</c:v>
                </c:pt>
                <c:pt idx="3">
                  <c:v>32</c:v>
                </c:pt>
                <c:pt idx="4">
                  <c:v>39</c:v>
                </c:pt>
              </c:numCache>
            </c:numRef>
          </c:val>
        </c:ser>
        <c:gapWidth val="75"/>
        <c:overlap val="-25"/>
        <c:axId val="84750336"/>
        <c:axId val="84751872"/>
      </c:barChart>
      <c:catAx>
        <c:axId val="84750336"/>
        <c:scaling>
          <c:orientation val="minMax"/>
        </c:scaling>
        <c:axPos val="b"/>
        <c:numFmt formatCode="General" sourceLinked="1"/>
        <c:majorTickMark val="none"/>
        <c:tickLblPos val="nextTo"/>
        <c:crossAx val="84751872"/>
        <c:crosses val="autoZero"/>
        <c:auto val="1"/>
        <c:lblAlgn val="ctr"/>
        <c:lblOffset val="100"/>
      </c:catAx>
      <c:valAx>
        <c:axId val="84751872"/>
        <c:scaling>
          <c:orientation val="minMax"/>
        </c:scaling>
        <c:delete val="1"/>
        <c:axPos val="l"/>
        <c:numFmt formatCode="General" sourceLinked="1"/>
        <c:tickLblPos val="none"/>
        <c:crossAx val="84750336"/>
        <c:crosses val="autoZero"/>
        <c:crossBetween val="between"/>
      </c:valAx>
    </c:plotArea>
    <c:legend>
      <c:legendPos val="r"/>
      <c:layout>
        <c:manualLayout>
          <c:xMode val="edge"/>
          <c:yMode val="edge"/>
          <c:x val="9.6880056385044225E-2"/>
          <c:y val="0.87499974267923086"/>
          <c:w val="0.80623971426965368"/>
          <c:h val="0.12500025732077535"/>
        </c:manualLayout>
      </c:layout>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layout>
        <c:manualLayout>
          <c:xMode val="edge"/>
          <c:yMode val="edge"/>
          <c:x val="0.26892109500805345"/>
          <c:y val="1.9531433109606689E-2"/>
        </c:manualLayout>
      </c:layout>
      <c:spPr>
        <a:noFill/>
        <a:ln w="25392">
          <a:noFill/>
        </a:ln>
      </c:spPr>
      <c:txPr>
        <a:bodyPr/>
        <a:lstStyle/>
        <a:p>
          <a:pPr>
            <a:defRPr sz="1200"/>
          </a:pPr>
          <a:endParaRPr lang="ru-RU"/>
        </a:p>
      </c:txPr>
    </c:title>
    <c:plotArea>
      <c:layout>
        <c:manualLayout>
          <c:layoutTarget val="inner"/>
          <c:xMode val="edge"/>
          <c:yMode val="edge"/>
          <c:x val="0.12548035621284079"/>
          <c:y val="0.17752913181572419"/>
          <c:w val="0.41378525130331201"/>
          <c:h val="0.76540212629063387"/>
        </c:manualLayout>
      </c:layout>
      <c:pieChart>
        <c:varyColors val="1"/>
        <c:ser>
          <c:idx val="0"/>
          <c:order val="0"/>
          <c:tx>
            <c:strRef>
              <c:f>Лист1!$B$1</c:f>
              <c:strCache>
                <c:ptCount val="1"/>
                <c:pt idx="0">
                  <c:v>Структура дорог района, %</c:v>
                </c:pt>
              </c:strCache>
            </c:strRef>
          </c:tx>
          <c:dLbls>
            <c:dLbl>
              <c:idx val="0"/>
              <c:layout>
                <c:manualLayout>
                  <c:x val="1.643169405726028E-2"/>
                  <c:y val="-1.8947702711538429E-2"/>
                </c:manualLayout>
              </c:layout>
              <c:dLblPos val="bestFit"/>
              <c:showPercent val="1"/>
            </c:dLbl>
            <c:dLbl>
              <c:idx val="1"/>
              <c:layout>
                <c:manualLayout>
                  <c:x val="0.10363169738489503"/>
                  <c:y val="-4.7449584816133567E-4"/>
                </c:manualLayout>
              </c:layout>
              <c:dLblPos val="bestFit"/>
              <c:showPercent val="1"/>
            </c:dLbl>
            <c:dLbl>
              <c:idx val="2"/>
              <c:layout>
                <c:manualLayout>
                  <c:x val="8.9635665589346512E-3"/>
                  <c:y val="-5.7162178571094957E-2"/>
                </c:manualLayout>
              </c:layout>
              <c:dLblPos val="bestFit"/>
              <c:showPercent val="1"/>
            </c:dLbl>
            <c:spPr>
              <a:noFill/>
              <a:ln w="25392">
                <a:noFill/>
              </a:ln>
            </c:spPr>
            <c:txPr>
              <a:bodyPr/>
              <a:lstStyle/>
              <a:p>
                <a:pPr>
                  <a:defRPr sz="1200"/>
                </a:pPr>
                <a:endParaRPr lang="ru-RU"/>
              </a:p>
            </c:txPr>
            <c:showPercent val="1"/>
            <c:showLeaderLines val="1"/>
          </c:dLbls>
          <c:cat>
            <c:strRef>
              <c:f>Лист1!$A$2:$A$4</c:f>
              <c:strCache>
                <c:ptCount val="3"/>
                <c:pt idx="0">
                  <c:v>общего пользования регионального значения</c:v>
                </c:pt>
                <c:pt idx="1">
                  <c:v>общего пользования местного значения вне границ населенных пунктов</c:v>
                </c:pt>
                <c:pt idx="2">
                  <c:v>общего пользования местного значения в границах населенных пунктов</c:v>
                </c:pt>
              </c:strCache>
            </c:strRef>
          </c:cat>
          <c:val>
            <c:numRef>
              <c:f>Лист1!$B$2:$B$4</c:f>
              <c:numCache>
                <c:formatCode>General</c:formatCode>
                <c:ptCount val="3"/>
                <c:pt idx="0">
                  <c:v>439.9</c:v>
                </c:pt>
                <c:pt idx="1">
                  <c:v>218.45000000000007</c:v>
                </c:pt>
                <c:pt idx="2">
                  <c:v>426.6</c:v>
                </c:pt>
              </c:numCache>
            </c:numRef>
          </c:val>
        </c:ser>
        <c:firstSliceAng val="0"/>
      </c:pieChart>
      <c:spPr>
        <a:noFill/>
        <a:ln w="25396">
          <a:noFill/>
        </a:ln>
      </c:spPr>
    </c:plotArea>
    <c:legend>
      <c:legendPos val="r"/>
      <c:layout>
        <c:manualLayout>
          <c:xMode val="edge"/>
          <c:yMode val="edge"/>
          <c:x val="0.59149268177225478"/>
          <c:y val="0.13000939458213701"/>
          <c:w val="0.35587761674718332"/>
          <c:h val="0.83203106991699849"/>
        </c:manualLayout>
      </c:layout>
    </c:legend>
    <c:plotVisOnly val="1"/>
    <c:dispBlanksAs val="zero"/>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000">
                <a:latin typeface="Times New Roman" pitchFamily="18" charset="0"/>
                <a:cs typeface="Times New Roman" pitchFamily="18" charset="0"/>
              </a:rPr>
              <a:t>доля протяженности дорог общего пользования местного значения, не отвечающая нормативным требованиям, % </a:t>
            </a:r>
          </a:p>
        </c:rich>
      </c:tx>
    </c:title>
    <c:plotArea>
      <c:layout>
        <c:manualLayout>
          <c:layoutTarget val="inner"/>
          <c:xMode val="edge"/>
          <c:yMode val="edge"/>
          <c:x val="0.19235984924961239"/>
          <c:y val="0.40848244846587295"/>
          <c:w val="0.68010532997100848"/>
          <c:h val="0.37551953064690441"/>
        </c:manualLayout>
      </c:layout>
      <c:barChart>
        <c:barDir val="col"/>
        <c:grouping val="clustered"/>
        <c:ser>
          <c:idx val="0"/>
          <c:order val="0"/>
          <c:tx>
            <c:strRef>
              <c:f>Лист1!$B$1</c:f>
              <c:strCache>
                <c:ptCount val="1"/>
                <c:pt idx="0">
                  <c:v>доля протяженности дорог общего пользования местного значения, не отвечающая нормативным требованиям, % </c:v>
                </c:pt>
              </c:strCache>
            </c:strRef>
          </c:tx>
          <c:dLbls>
            <c:showVal val="1"/>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88.3</c:v>
                </c:pt>
                <c:pt idx="1">
                  <c:v>85.2</c:v>
                </c:pt>
                <c:pt idx="2">
                  <c:v>83.3</c:v>
                </c:pt>
                <c:pt idx="3">
                  <c:v>80.599999999999994</c:v>
                </c:pt>
              </c:numCache>
            </c:numRef>
          </c:val>
        </c:ser>
        <c:axId val="84843136"/>
        <c:axId val="84877696"/>
      </c:barChart>
      <c:catAx>
        <c:axId val="84843136"/>
        <c:scaling>
          <c:orientation val="minMax"/>
        </c:scaling>
        <c:axPos val="b"/>
        <c:numFmt formatCode="General" sourceLinked="1"/>
        <c:tickLblPos val="nextTo"/>
        <c:crossAx val="84877696"/>
        <c:crosses val="autoZero"/>
        <c:auto val="1"/>
        <c:lblAlgn val="ctr"/>
        <c:lblOffset val="100"/>
      </c:catAx>
      <c:valAx>
        <c:axId val="84877696"/>
        <c:scaling>
          <c:orientation val="minMax"/>
        </c:scaling>
        <c:axPos val="l"/>
        <c:majorGridlines/>
        <c:numFmt formatCode="General" sourceLinked="1"/>
        <c:tickLblPos val="nextTo"/>
        <c:crossAx val="84843136"/>
        <c:crosses val="autoZero"/>
        <c:crossBetween val="between"/>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6"/>
            </a:pPr>
            <a:r>
              <a:rPr lang="ru-RU" sz="1176"/>
              <a:t>Количество официально зарегистрированных безработных, чел.</a:t>
            </a:r>
          </a:p>
        </c:rich>
      </c:tx>
      <c:layout>
        <c:manualLayout>
          <c:xMode val="edge"/>
          <c:yMode val="edge"/>
          <c:x val="0.12980766471715152"/>
          <c:y val="1.7964356665361603E-2"/>
        </c:manualLayout>
      </c:layout>
      <c:spPr>
        <a:noFill/>
        <a:ln w="25392">
          <a:noFill/>
        </a:ln>
      </c:spPr>
    </c:title>
    <c:plotArea>
      <c:layout>
        <c:manualLayout>
          <c:layoutTarget val="inner"/>
          <c:xMode val="edge"/>
          <c:yMode val="edge"/>
          <c:x val="2.7339642481598869E-2"/>
          <c:y val="0.20942268108602882"/>
          <c:w val="0.95373291272344962"/>
          <c:h val="0.55595822306444065"/>
        </c:manualLayout>
      </c:layout>
      <c:lineChart>
        <c:grouping val="standard"/>
        <c:ser>
          <c:idx val="0"/>
          <c:order val="0"/>
          <c:tx>
            <c:strRef>
              <c:f>Лист1!$B$1</c:f>
              <c:strCache>
                <c:ptCount val="1"/>
                <c:pt idx="0">
                  <c:v>Количество официально зарегистрированных безработных</c:v>
                </c:pt>
              </c:strCache>
            </c:strRef>
          </c:tx>
          <c:dLbls>
            <c:dLbl>
              <c:idx val="0"/>
              <c:layout>
                <c:manualLayout>
                  <c:x val="-4.8370136698212426E-2"/>
                  <c:y val="9.4052558782851278E-2"/>
                </c:manualLayout>
              </c:layout>
              <c:dLblPos val="r"/>
              <c:showVal val="1"/>
            </c:dLbl>
            <c:dLbl>
              <c:idx val="1"/>
              <c:layout>
                <c:manualLayout>
                  <c:x val="-4.2060988433228946E-2"/>
                  <c:y val="7.7455048409405258E-2"/>
                </c:manualLayout>
              </c:layout>
              <c:dLblPos val="r"/>
              <c:showVal val="1"/>
            </c:dLbl>
            <c:dLbl>
              <c:idx val="2"/>
              <c:layout>
                <c:manualLayout>
                  <c:x val="-3.1545741324921252E-2"/>
                  <c:y val="-8.8520055325037067E-2"/>
                </c:manualLayout>
              </c:layout>
              <c:dLblPos val="r"/>
              <c:showVal val="1"/>
            </c:dLbl>
            <c:dLbl>
              <c:idx val="3"/>
              <c:layout>
                <c:manualLayout>
                  <c:x val="-3.5751840168244092E-2"/>
                  <c:y val="-6.6390041493775934E-2"/>
                </c:manualLayout>
              </c:layout>
              <c:dLblPos val="r"/>
              <c:showVal val="1"/>
            </c:dLbl>
            <c:dLbl>
              <c:idx val="4"/>
              <c:tx>
                <c:rich>
                  <a:bodyPr/>
                  <a:lstStyle/>
                  <a:p>
                    <a:r>
                      <a:rPr lang="ru-RU"/>
                      <a:t>191</a:t>
                    </a:r>
                    <a:endParaRPr lang="en-US"/>
                  </a:p>
                </c:rich>
              </c:tx>
              <c:showVal val="1"/>
            </c:dLbl>
            <c:spPr>
              <a:noFill/>
              <a:ln w="25392">
                <a:noFill/>
              </a:ln>
            </c:spPr>
            <c:txPr>
              <a:bodyPr/>
              <a:lstStyle/>
              <a:p>
                <a:pPr>
                  <a:defRPr sz="1176" b="1">
                    <a:solidFill>
                      <a:srgbClr val="0070C0"/>
                    </a:solidFill>
                  </a:defRPr>
                </a:pPr>
                <a:endParaRPr lang="ru-RU"/>
              </a:p>
            </c:txPr>
            <c:showVal val="1"/>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228</c:v>
                </c:pt>
                <c:pt idx="1">
                  <c:v>237</c:v>
                </c:pt>
                <c:pt idx="2">
                  <c:v>163</c:v>
                </c:pt>
                <c:pt idx="3">
                  <c:v>175</c:v>
                </c:pt>
                <c:pt idx="4">
                  <c:v>191</c:v>
                </c:pt>
              </c:numCache>
            </c:numRef>
          </c:val>
        </c:ser>
        <c:marker val="1"/>
        <c:axId val="65208704"/>
        <c:axId val="65210240"/>
      </c:lineChart>
      <c:catAx>
        <c:axId val="65208704"/>
        <c:scaling>
          <c:orientation val="minMax"/>
        </c:scaling>
        <c:axPos val="b"/>
        <c:numFmt formatCode="General" sourceLinked="1"/>
        <c:tickLblPos val="nextTo"/>
        <c:txPr>
          <a:bodyPr/>
          <a:lstStyle/>
          <a:p>
            <a:pPr>
              <a:defRPr sz="1078" b="1"/>
            </a:pPr>
            <a:endParaRPr lang="ru-RU"/>
          </a:p>
        </c:txPr>
        <c:crossAx val="65210240"/>
        <c:crosses val="autoZero"/>
        <c:auto val="1"/>
        <c:lblAlgn val="ctr"/>
        <c:lblOffset val="100"/>
      </c:catAx>
      <c:valAx>
        <c:axId val="65210240"/>
        <c:scaling>
          <c:orientation val="minMax"/>
        </c:scaling>
        <c:delete val="1"/>
        <c:axPos val="l"/>
        <c:numFmt formatCode="General" sourceLinked="1"/>
        <c:tickLblPos val="none"/>
        <c:crossAx val="65208704"/>
        <c:crosses val="autoZero"/>
        <c:crossBetween val="between"/>
      </c:valAx>
      <c:spPr>
        <a:solidFill>
          <a:schemeClr val="accent6">
            <a:lumMod val="40000"/>
            <a:lumOff val="60000"/>
          </a:schemeClr>
        </a:solidFill>
        <a:ln>
          <a:noFill/>
        </a:ln>
      </c:spPr>
    </c:plotArea>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7"/>
            </a:pPr>
            <a:r>
              <a:rPr lang="ru-RU" sz="1177"/>
              <a:t>Среднемесячная номинальная начисленная заработная плата по крупным и средним предприятиям, рублей</a:t>
            </a:r>
          </a:p>
        </c:rich>
      </c:tx>
      <c:layout>
        <c:manualLayout>
          <c:xMode val="edge"/>
          <c:yMode val="edge"/>
          <c:x val="0.13707168635170602"/>
          <c:y val="2.1739176542326405E-2"/>
        </c:manualLayout>
      </c:layout>
      <c:spPr>
        <a:noFill/>
        <a:ln w="25395">
          <a:noFill/>
        </a:ln>
      </c:spPr>
    </c:title>
    <c:plotArea>
      <c:layout>
        <c:manualLayout>
          <c:layoutTarget val="inner"/>
          <c:xMode val="edge"/>
          <c:yMode val="edge"/>
          <c:x val="2.3400936037441488E-2"/>
          <c:y val="0.24867724867724891"/>
          <c:w val="0.94820432061376969"/>
          <c:h val="0.478734100545122"/>
        </c:manualLayout>
      </c:layout>
      <c:barChart>
        <c:barDir val="col"/>
        <c:grouping val="clustered"/>
        <c:ser>
          <c:idx val="0"/>
          <c:order val="0"/>
          <c:tx>
            <c:strRef>
              <c:f>Лист1!$B$1</c:f>
              <c:strCache>
                <c:ptCount val="1"/>
                <c:pt idx="0">
                  <c:v>Кичменгско-Городецкий район</c:v>
                </c:pt>
              </c:strCache>
            </c:strRef>
          </c:tx>
          <c:dLbls>
            <c:spPr>
              <a:noFill/>
              <a:ln w="25395">
                <a:noFill/>
              </a:ln>
            </c:spPr>
            <c:txPr>
              <a:bodyPr/>
              <a:lstStyle/>
              <a:p>
                <a:pPr>
                  <a:defRPr sz="1177" b="1">
                    <a:solidFill>
                      <a:srgbClr val="0070C0"/>
                    </a:solidFill>
                  </a:defRPr>
                </a:pPr>
                <a:endParaRPr lang="ru-RU"/>
              </a:p>
            </c:txPr>
            <c:showVal val="1"/>
          </c:dLbls>
          <c:cat>
            <c:strRef>
              <c:f>Лист1!$A$2:$A$6</c:f>
              <c:strCache>
                <c:ptCount val="5"/>
                <c:pt idx="0">
                  <c:v>2011 г.</c:v>
                </c:pt>
                <c:pt idx="1">
                  <c:v>2012 г.</c:v>
                </c:pt>
                <c:pt idx="2">
                  <c:v>2013 г.</c:v>
                </c:pt>
                <c:pt idx="3">
                  <c:v>2014 г.</c:v>
                </c:pt>
                <c:pt idx="4">
                  <c:v>9 мес. 2015 г.</c:v>
                </c:pt>
              </c:strCache>
            </c:strRef>
          </c:cat>
          <c:val>
            <c:numRef>
              <c:f>Лист1!$B$2:$B$6</c:f>
              <c:numCache>
                <c:formatCode>General</c:formatCode>
                <c:ptCount val="5"/>
                <c:pt idx="0">
                  <c:v>11256</c:v>
                </c:pt>
                <c:pt idx="1">
                  <c:v>12793</c:v>
                </c:pt>
                <c:pt idx="2">
                  <c:v>15417</c:v>
                </c:pt>
                <c:pt idx="3">
                  <c:v>17944</c:v>
                </c:pt>
                <c:pt idx="4">
                  <c:v>19393</c:v>
                </c:pt>
              </c:numCache>
            </c:numRef>
          </c:val>
        </c:ser>
        <c:ser>
          <c:idx val="1"/>
          <c:order val="1"/>
          <c:cat>
            <c:strRef>
              <c:f>Лист1!$A$2:$A$6</c:f>
              <c:strCache>
                <c:ptCount val="5"/>
                <c:pt idx="0">
                  <c:v>2011 г.</c:v>
                </c:pt>
                <c:pt idx="1">
                  <c:v>2012 г.</c:v>
                </c:pt>
                <c:pt idx="2">
                  <c:v>2013 г.</c:v>
                </c:pt>
                <c:pt idx="3">
                  <c:v>2014 г.</c:v>
                </c:pt>
                <c:pt idx="4">
                  <c:v>9 мес. 2015 г.</c:v>
                </c:pt>
              </c:strCache>
            </c:strRef>
          </c:cat>
          <c:val>
            <c:numLit>
              <c:formatCode>General</c:formatCode>
              <c:ptCount val="1"/>
              <c:pt idx="0">
                <c:v>0</c:v>
              </c:pt>
            </c:numLit>
          </c:val>
        </c:ser>
        <c:gapWidth val="75"/>
        <c:overlap val="-25"/>
        <c:axId val="66726144"/>
        <c:axId val="66732032"/>
      </c:barChart>
      <c:catAx>
        <c:axId val="66726144"/>
        <c:scaling>
          <c:orientation val="minMax"/>
        </c:scaling>
        <c:axPos val="b"/>
        <c:numFmt formatCode="General" sourceLinked="1"/>
        <c:majorTickMark val="none"/>
        <c:tickLblPos val="nextTo"/>
        <c:crossAx val="66732032"/>
        <c:crosses val="autoZero"/>
        <c:auto val="1"/>
        <c:lblAlgn val="ctr"/>
        <c:lblOffset val="100"/>
      </c:catAx>
      <c:valAx>
        <c:axId val="66732032"/>
        <c:scaling>
          <c:orientation val="minMax"/>
        </c:scaling>
        <c:delete val="1"/>
        <c:axPos val="l"/>
        <c:numFmt formatCode="General" sourceLinked="1"/>
        <c:tickLblPos val="none"/>
        <c:crossAx val="66726144"/>
        <c:crosses val="autoZero"/>
        <c:crossBetween val="between"/>
      </c:valAx>
    </c:plotArea>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55">
                <a:latin typeface="+mn-lt"/>
              </a:defRPr>
            </a:pPr>
            <a:r>
              <a:rPr lang="ru-RU" sz="1177">
                <a:latin typeface="+mn-lt"/>
              </a:rPr>
              <a:t>Уровень</a:t>
            </a:r>
            <a:r>
              <a:rPr lang="ru-RU" sz="1177" baseline="0">
                <a:latin typeface="+mn-lt"/>
              </a:rPr>
              <a:t> оплаты труда в разрезе экономической деятельности, </a:t>
            </a:r>
          </a:p>
          <a:p>
            <a:pPr>
              <a:defRPr sz="1155">
                <a:latin typeface="+mn-lt"/>
              </a:defRPr>
            </a:pPr>
            <a:r>
              <a:rPr lang="ru-RU" sz="1177" baseline="0">
                <a:latin typeface="+mn-lt"/>
              </a:rPr>
              <a:t>за 9 мес. 2015 г.</a:t>
            </a:r>
            <a:r>
              <a:rPr lang="ru-RU" sz="1177">
                <a:latin typeface="+mn-lt"/>
              </a:rPr>
              <a:t>, руб.</a:t>
            </a:r>
          </a:p>
        </c:rich>
      </c:tx>
      <c:layout>
        <c:manualLayout>
          <c:xMode val="edge"/>
          <c:yMode val="edge"/>
          <c:x val="0.13621794060308379"/>
          <c:y val="2.1212232191906242E-2"/>
        </c:manualLayout>
      </c:layout>
      <c:spPr>
        <a:noFill/>
        <a:ln w="25396">
          <a:noFill/>
        </a:ln>
      </c:spPr>
    </c:title>
    <c:plotArea>
      <c:layout>
        <c:manualLayout>
          <c:layoutTarget val="inner"/>
          <c:xMode val="edge"/>
          <c:yMode val="edge"/>
          <c:x val="0.51211678085692436"/>
          <c:y val="0.16925753716987171"/>
          <c:w val="0.47091335174012339"/>
          <c:h val="0.78719160104986874"/>
        </c:manualLayout>
      </c:layout>
      <c:barChart>
        <c:barDir val="bar"/>
        <c:grouping val="clustered"/>
        <c:ser>
          <c:idx val="0"/>
          <c:order val="0"/>
          <c:tx>
            <c:strRef>
              <c:f>Лист1!$B$1</c:f>
              <c:strCache>
                <c:ptCount val="1"/>
                <c:pt idx="0">
                  <c:v>Уровень оплаты труда, руб.</c:v>
                </c:pt>
              </c:strCache>
            </c:strRef>
          </c:tx>
          <c:spPr>
            <a:solidFill>
              <a:srgbClr val="FF0000"/>
            </a:solidFill>
          </c:spPr>
          <c:dLbls>
            <c:spPr>
              <a:noFill/>
              <a:ln w="25396">
                <a:noFill/>
              </a:ln>
            </c:spPr>
            <c:txPr>
              <a:bodyPr/>
              <a:lstStyle/>
              <a:p>
                <a:pPr>
                  <a:defRPr sz="1324" b="1"/>
                </a:pPr>
                <a:endParaRPr lang="ru-RU"/>
              </a:p>
            </c:txPr>
            <c:showVal val="1"/>
          </c:dLbls>
          <c:cat>
            <c:strRef>
              <c:f>Лист1!$A$2:$A$15</c:f>
              <c:strCache>
                <c:ptCount val="14"/>
                <c:pt idx="0">
                  <c:v>сельское хозяйство, охота и лесное хозяйство</c:v>
                </c:pt>
                <c:pt idx="1">
                  <c:v>обрабатывающие производства</c:v>
                </c:pt>
                <c:pt idx="2">
                  <c:v>сельское хозяйство, охота </c:v>
                </c:pt>
                <c:pt idx="3">
                  <c:v>лесное хозяйство, лесозаготовки</c:v>
                </c:pt>
                <c:pt idx="4">
                  <c:v>производство и распределение электроэнергии, газа и воды</c:v>
                </c:pt>
                <c:pt idx="5">
                  <c:v>оптовая и розничная торговля, ремонт авто, бытовых изделий</c:v>
                </c:pt>
                <c:pt idx="6">
                  <c:v>транспорт и связь</c:v>
                </c:pt>
                <c:pt idx="7">
                  <c:v>финансовая деятельность</c:v>
                </c:pt>
                <c:pt idx="8">
                  <c:v>операции с недвижимым имуществом, аренда и предоставление услуг</c:v>
                </c:pt>
                <c:pt idx="9">
                  <c:v>гос. управление и обеспечение военной безопасности, соц. страхование</c:v>
                </c:pt>
                <c:pt idx="10">
                  <c:v>образование</c:v>
                </c:pt>
                <c:pt idx="11">
                  <c:v>здравоохранение и предоставление социальных услуг</c:v>
                </c:pt>
                <c:pt idx="12">
                  <c:v>предоставление прочих коммунальных, социальных и персональных услуг</c:v>
                </c:pt>
                <c:pt idx="13">
                  <c:v>деятельность в области культуры и искусства</c:v>
                </c:pt>
              </c:strCache>
            </c:strRef>
          </c:cat>
          <c:val>
            <c:numRef>
              <c:f>Лист1!$B$2:$B$15</c:f>
              <c:numCache>
                <c:formatCode>General</c:formatCode>
                <c:ptCount val="14"/>
                <c:pt idx="0">
                  <c:v>15795</c:v>
                </c:pt>
                <c:pt idx="1">
                  <c:v>12764</c:v>
                </c:pt>
                <c:pt idx="2">
                  <c:v>16340</c:v>
                </c:pt>
                <c:pt idx="3">
                  <c:v>23016</c:v>
                </c:pt>
                <c:pt idx="4">
                  <c:v>33204</c:v>
                </c:pt>
                <c:pt idx="5">
                  <c:v>15202</c:v>
                </c:pt>
                <c:pt idx="6">
                  <c:v>17744</c:v>
                </c:pt>
                <c:pt idx="7">
                  <c:v>22933</c:v>
                </c:pt>
                <c:pt idx="8">
                  <c:v>21828</c:v>
                </c:pt>
                <c:pt idx="9">
                  <c:v>26874</c:v>
                </c:pt>
                <c:pt idx="10">
                  <c:v>18426</c:v>
                </c:pt>
                <c:pt idx="11">
                  <c:v>15291</c:v>
                </c:pt>
                <c:pt idx="12">
                  <c:v>15027</c:v>
                </c:pt>
                <c:pt idx="13">
                  <c:v>16555</c:v>
                </c:pt>
              </c:numCache>
            </c:numRef>
          </c:val>
        </c:ser>
        <c:gapWidth val="78"/>
        <c:axId val="66739584"/>
        <c:axId val="66770048"/>
      </c:barChart>
      <c:catAx>
        <c:axId val="66739584"/>
        <c:scaling>
          <c:orientation val="minMax"/>
        </c:scaling>
        <c:axPos val="l"/>
        <c:numFmt formatCode="General" sourceLinked="1"/>
        <c:tickLblPos val="nextTo"/>
        <c:txPr>
          <a:bodyPr/>
          <a:lstStyle/>
          <a:p>
            <a:pPr>
              <a:defRPr sz="785"/>
            </a:pPr>
            <a:endParaRPr lang="ru-RU"/>
          </a:p>
        </c:txPr>
        <c:crossAx val="66770048"/>
        <c:crosses val="autoZero"/>
        <c:auto val="1"/>
        <c:lblAlgn val="ctr"/>
        <c:lblOffset val="100"/>
      </c:catAx>
      <c:valAx>
        <c:axId val="66770048"/>
        <c:scaling>
          <c:orientation val="minMax"/>
        </c:scaling>
        <c:delete val="1"/>
        <c:axPos val="b"/>
        <c:numFmt formatCode="General" sourceLinked="1"/>
        <c:tickLblPos val="none"/>
        <c:crossAx val="66739584"/>
        <c:crosses val="autoZero"/>
        <c:crossBetween val="between"/>
      </c:valAx>
    </c:plotArea>
    <c:plotVisOnly val="1"/>
    <c:dispBlanksAs val="gap"/>
  </c:chart>
  <c:spPr>
    <a:ln>
      <a:noFill/>
    </a:ln>
  </c:spPr>
  <c:txPr>
    <a:bodyPr/>
    <a:lstStyle/>
    <a:p>
      <a:pPr>
        <a:defRPr sz="1766"/>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Количество</a:t>
            </a:r>
            <a:r>
              <a:rPr lang="ru-RU" sz="1200" baseline="0"/>
              <a:t> субъектов малого и среднего предпринимательства на конец года, ед.</a:t>
            </a:r>
            <a:endParaRPr lang="ru-RU" sz="1200"/>
          </a:p>
        </c:rich>
      </c:tx>
      <c:layout>
        <c:manualLayout>
          <c:xMode val="edge"/>
          <c:yMode val="edge"/>
          <c:x val="9.9859337971103246E-2"/>
          <c:y val="1.9841068253565301E-2"/>
        </c:manualLayout>
      </c:layout>
      <c:spPr>
        <a:noFill/>
        <a:ln w="18856">
          <a:noFill/>
        </a:ln>
      </c:spPr>
    </c:title>
    <c:plotArea>
      <c:layout>
        <c:manualLayout>
          <c:layoutTarget val="inner"/>
          <c:xMode val="edge"/>
          <c:yMode val="edge"/>
          <c:x val="2.2503516174402251E-2"/>
          <c:y val="0.25396825396825651"/>
          <c:w val="0.94201230419445958"/>
          <c:h val="0.40602078925156765"/>
        </c:manualLayout>
      </c:layout>
      <c:barChart>
        <c:barDir val="col"/>
        <c:grouping val="clustered"/>
        <c:ser>
          <c:idx val="0"/>
          <c:order val="0"/>
          <c:tx>
            <c:strRef>
              <c:f>Лист1!$B$1</c:f>
              <c:strCache>
                <c:ptCount val="1"/>
                <c:pt idx="0">
                  <c:v>малые и средние предприятия</c:v>
                </c:pt>
              </c:strCache>
            </c:strRef>
          </c:tx>
          <c:dLbls>
            <c:dLbl>
              <c:idx val="0"/>
              <c:layout>
                <c:manualLayout>
                  <c:x val="-8.5744908896035268E-3"/>
                  <c:y val="0"/>
                </c:manualLayout>
              </c:layout>
              <c:dLblPos val="outEnd"/>
              <c:showVal val="1"/>
            </c:dLbl>
            <c:dLbl>
              <c:idx val="1"/>
              <c:layout>
                <c:manualLayout>
                  <c:x val="-2.1436227224008652E-3"/>
                  <c:y val="-5.5096418732782917E-3"/>
                </c:manualLayout>
              </c:layout>
              <c:dLblPos val="outEnd"/>
              <c:showVal val="1"/>
            </c:dLbl>
            <c:dLbl>
              <c:idx val="2"/>
              <c:layout>
                <c:manualLayout>
                  <c:x val="-6.430868167202679E-3"/>
                  <c:y val="0"/>
                </c:manualLayout>
              </c:layout>
              <c:dLblPos val="outEnd"/>
              <c:showVal val="1"/>
            </c:dLbl>
            <c:dLbl>
              <c:idx val="3"/>
              <c:layout>
                <c:manualLayout>
                  <c:x val="-6.4310369563933762E-3"/>
                  <c:y val="-1.1019717576625234E-2"/>
                </c:manualLayout>
              </c:layout>
              <c:dLblPos val="outEnd"/>
              <c:showVal val="1"/>
            </c:dLbl>
            <c:dLbl>
              <c:idx val="4"/>
              <c:layout>
                <c:manualLayout>
                  <c:x val="-4.2872454448017877E-3"/>
                  <c:y val="1.1019283746556479E-2"/>
                </c:manualLayout>
              </c:layout>
              <c:dLblPos val="outEnd"/>
              <c:showVal val="1"/>
            </c:dLbl>
            <c:spPr>
              <a:noFill/>
              <a:ln w="18856">
                <a:noFill/>
              </a:ln>
            </c:spPr>
            <c:txPr>
              <a:bodyPr/>
              <a:lstStyle/>
              <a:p>
                <a:pPr>
                  <a:defRPr sz="1000" b="1">
                    <a:solidFill>
                      <a:srgbClr val="0070C0"/>
                    </a:solidFill>
                  </a:defRPr>
                </a:pPr>
                <a:endParaRPr lang="ru-RU"/>
              </a:p>
            </c:txPr>
            <c:showVal val="1"/>
          </c:dLbls>
          <c:cat>
            <c:strRef>
              <c:f>Лист1!$A$2:$A$6</c:f>
              <c:strCache>
                <c:ptCount val="5"/>
                <c:pt idx="0">
                  <c:v>2011 г.</c:v>
                </c:pt>
                <c:pt idx="1">
                  <c:v>2012 г.</c:v>
                </c:pt>
                <c:pt idx="2">
                  <c:v>2013 г.</c:v>
                </c:pt>
                <c:pt idx="3">
                  <c:v>2014 г.</c:v>
                </c:pt>
                <c:pt idx="4">
                  <c:v>2015 г. (оценка)</c:v>
                </c:pt>
              </c:strCache>
            </c:strRef>
          </c:cat>
          <c:val>
            <c:numRef>
              <c:f>Лист1!$B$2:$B$6</c:f>
              <c:numCache>
                <c:formatCode>General</c:formatCode>
                <c:ptCount val="5"/>
                <c:pt idx="0">
                  <c:v>82</c:v>
                </c:pt>
                <c:pt idx="1">
                  <c:v>85</c:v>
                </c:pt>
                <c:pt idx="2">
                  <c:v>85</c:v>
                </c:pt>
                <c:pt idx="3">
                  <c:v>80</c:v>
                </c:pt>
                <c:pt idx="4">
                  <c:v>79</c:v>
                </c:pt>
              </c:numCache>
            </c:numRef>
          </c:val>
        </c:ser>
        <c:ser>
          <c:idx val="1"/>
          <c:order val="1"/>
          <c:tx>
            <c:strRef>
              <c:f>Лист1!$C$1</c:f>
              <c:strCache>
                <c:ptCount val="1"/>
                <c:pt idx="0">
                  <c:v>индивидуальные предприниматели</c:v>
                </c:pt>
              </c:strCache>
            </c:strRef>
          </c:tx>
          <c:dLbls>
            <c:dLbl>
              <c:idx val="0"/>
              <c:layout>
                <c:manualLayout>
                  <c:x val="0"/>
                  <c:y val="0"/>
                </c:manualLayout>
              </c:layout>
              <c:dLblPos val="outEnd"/>
              <c:showVal val="1"/>
            </c:dLbl>
            <c:dLbl>
              <c:idx val="1"/>
              <c:layout>
                <c:manualLayout>
                  <c:x val="-4.2872454448017521E-3"/>
                  <c:y val="1.1018849916487721E-2"/>
                </c:manualLayout>
              </c:layout>
              <c:dLblPos val="outEnd"/>
              <c:showVal val="1"/>
            </c:dLbl>
            <c:dLbl>
              <c:idx val="2"/>
              <c:layout>
                <c:manualLayout>
                  <c:x val="-2.1436227224008652E-3"/>
                  <c:y val="5.5096418732782917E-3"/>
                </c:manualLayout>
              </c:layout>
              <c:dLblPos val="outEnd"/>
              <c:showVal val="1"/>
            </c:dLbl>
            <c:dLbl>
              <c:idx val="3"/>
              <c:layout>
                <c:manualLayout>
                  <c:x val="-2.1437915115916605E-3"/>
                  <c:y val="-5.5096418732782917E-3"/>
                </c:manualLayout>
              </c:layout>
              <c:dLblPos val="outEnd"/>
              <c:showVal val="1"/>
            </c:dLbl>
            <c:dLbl>
              <c:idx val="4"/>
              <c:layout>
                <c:manualLayout>
                  <c:x val="0"/>
                  <c:y val="-1.1019283746556479E-2"/>
                </c:manualLayout>
              </c:layout>
              <c:dLblPos val="outEnd"/>
              <c:showVal val="1"/>
            </c:dLbl>
            <c:spPr>
              <a:noFill/>
              <a:ln w="18856">
                <a:noFill/>
              </a:ln>
            </c:spPr>
            <c:txPr>
              <a:bodyPr/>
              <a:lstStyle/>
              <a:p>
                <a:pPr>
                  <a:defRPr sz="1000" b="1">
                    <a:solidFill>
                      <a:srgbClr val="C00000"/>
                    </a:solidFill>
                  </a:defRPr>
                </a:pPr>
                <a:endParaRPr lang="ru-RU"/>
              </a:p>
            </c:txPr>
            <c:showVal val="1"/>
          </c:dLbls>
          <c:cat>
            <c:strRef>
              <c:f>Лист1!$A$2:$A$6</c:f>
              <c:strCache>
                <c:ptCount val="5"/>
                <c:pt idx="0">
                  <c:v>2011 г.</c:v>
                </c:pt>
                <c:pt idx="1">
                  <c:v>2012 г.</c:v>
                </c:pt>
                <c:pt idx="2">
                  <c:v>2013 г.</c:v>
                </c:pt>
                <c:pt idx="3">
                  <c:v>2014 г.</c:v>
                </c:pt>
                <c:pt idx="4">
                  <c:v>2015 г. (оценка)</c:v>
                </c:pt>
              </c:strCache>
            </c:strRef>
          </c:cat>
          <c:val>
            <c:numRef>
              <c:f>Лист1!$C$2:$C$6</c:f>
              <c:numCache>
                <c:formatCode>General</c:formatCode>
                <c:ptCount val="5"/>
                <c:pt idx="0">
                  <c:v>357</c:v>
                </c:pt>
                <c:pt idx="1">
                  <c:v>343</c:v>
                </c:pt>
                <c:pt idx="2">
                  <c:v>312</c:v>
                </c:pt>
                <c:pt idx="3">
                  <c:v>306</c:v>
                </c:pt>
                <c:pt idx="4">
                  <c:v>306</c:v>
                </c:pt>
              </c:numCache>
            </c:numRef>
          </c:val>
        </c:ser>
        <c:ser>
          <c:idx val="2"/>
          <c:order val="2"/>
          <c:tx>
            <c:strRef>
              <c:f>Лист1!$D$1</c:f>
              <c:strCache>
                <c:ptCount val="1"/>
                <c:pt idx="0">
                  <c:v>Крестьянско-фермерские хозяйства</c:v>
                </c:pt>
              </c:strCache>
            </c:strRef>
          </c:tx>
          <c:dLbls>
            <c:spPr>
              <a:noFill/>
              <a:ln w="18856">
                <a:noFill/>
              </a:ln>
            </c:spPr>
            <c:txPr>
              <a:bodyPr/>
              <a:lstStyle/>
              <a:p>
                <a:pPr>
                  <a:defRPr sz="1000" b="1">
                    <a:solidFill>
                      <a:srgbClr val="00B050"/>
                    </a:solidFill>
                  </a:defRPr>
                </a:pPr>
                <a:endParaRPr lang="ru-RU"/>
              </a:p>
            </c:txPr>
            <c:showVal val="1"/>
          </c:dLbls>
          <c:cat>
            <c:strRef>
              <c:f>Лист1!$A$2:$A$6</c:f>
              <c:strCache>
                <c:ptCount val="5"/>
                <c:pt idx="0">
                  <c:v>2011 г.</c:v>
                </c:pt>
                <c:pt idx="1">
                  <c:v>2012 г.</c:v>
                </c:pt>
                <c:pt idx="2">
                  <c:v>2013 г.</c:v>
                </c:pt>
                <c:pt idx="3">
                  <c:v>2014 г.</c:v>
                </c:pt>
                <c:pt idx="4">
                  <c:v>2015 г. (оценка)</c:v>
                </c:pt>
              </c:strCache>
            </c:strRef>
          </c:cat>
          <c:val>
            <c:numRef>
              <c:f>Лист1!$D$2:$D$6</c:f>
              <c:numCache>
                <c:formatCode>General</c:formatCode>
                <c:ptCount val="5"/>
                <c:pt idx="0">
                  <c:v>21</c:v>
                </c:pt>
                <c:pt idx="1">
                  <c:v>21</c:v>
                </c:pt>
                <c:pt idx="2">
                  <c:v>16</c:v>
                </c:pt>
                <c:pt idx="3">
                  <c:v>16</c:v>
                </c:pt>
                <c:pt idx="4">
                  <c:v>16</c:v>
                </c:pt>
              </c:numCache>
            </c:numRef>
          </c:val>
        </c:ser>
        <c:axId val="65588224"/>
        <c:axId val="65598208"/>
      </c:barChart>
      <c:catAx>
        <c:axId val="65588224"/>
        <c:scaling>
          <c:orientation val="minMax"/>
        </c:scaling>
        <c:axPos val="b"/>
        <c:numFmt formatCode="General" sourceLinked="1"/>
        <c:majorTickMark val="none"/>
        <c:tickLblPos val="nextTo"/>
        <c:txPr>
          <a:bodyPr/>
          <a:lstStyle/>
          <a:p>
            <a:pPr>
              <a:defRPr sz="800" b="1"/>
            </a:pPr>
            <a:endParaRPr lang="ru-RU"/>
          </a:p>
        </c:txPr>
        <c:crossAx val="65598208"/>
        <c:crosses val="autoZero"/>
        <c:auto val="1"/>
        <c:lblAlgn val="ctr"/>
        <c:lblOffset val="100"/>
      </c:catAx>
      <c:valAx>
        <c:axId val="65598208"/>
        <c:scaling>
          <c:orientation val="minMax"/>
        </c:scaling>
        <c:delete val="1"/>
        <c:axPos val="l"/>
        <c:numFmt formatCode="General" sourceLinked="1"/>
        <c:tickLblPos val="none"/>
        <c:crossAx val="65588224"/>
        <c:crosses val="autoZero"/>
        <c:crossBetween val="between"/>
      </c:valAx>
    </c:plotArea>
    <c:legend>
      <c:legendPos val="b"/>
      <c:txPr>
        <a:bodyPr/>
        <a:lstStyle/>
        <a:p>
          <a:pPr>
            <a:defRPr sz="1000" b="0" i="0" u="none" strike="noStrike" baseline="0">
              <a:solidFill>
                <a:srgbClr val="000000"/>
              </a:solidFill>
              <a:latin typeface="Calibri"/>
              <a:ea typeface="Calibri"/>
              <a:cs typeface="Calibri"/>
            </a:defRPr>
          </a:pPr>
          <a:endParaRPr lang="ru-RU"/>
        </a:p>
      </c:tx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74"/>
            </a:pPr>
            <a:r>
              <a:rPr lang="ru-RU" sz="1174"/>
              <a:t>Число субъектов малого и среднего предпринимательства, ед. на 10 тыс. чел. населения</a:t>
            </a:r>
          </a:p>
        </c:rich>
      </c:tx>
      <c:layout>
        <c:manualLayout>
          <c:xMode val="edge"/>
          <c:yMode val="edge"/>
          <c:x val="0"/>
          <c:y val="0"/>
        </c:manualLayout>
      </c:layout>
      <c:spPr>
        <a:noFill/>
        <a:ln w="25388">
          <a:noFill/>
        </a:ln>
      </c:spPr>
    </c:title>
    <c:plotArea>
      <c:layout/>
      <c:barChart>
        <c:barDir val="col"/>
        <c:grouping val="clustered"/>
        <c:ser>
          <c:idx val="0"/>
          <c:order val="0"/>
          <c:tx>
            <c:strRef>
              <c:f>Лист1!$B$1</c:f>
              <c:strCache>
                <c:ptCount val="1"/>
                <c:pt idx="0">
                  <c:v>Число субъектов малого и среднего предпринимательства, ед. на 10 тыс. чел. Населения</c:v>
                </c:pt>
              </c:strCache>
            </c:strRef>
          </c:tx>
          <c:dLbls>
            <c:spPr>
              <a:noFill/>
              <a:ln w="25388">
                <a:noFill/>
              </a:ln>
            </c:spPr>
            <c:txPr>
              <a:bodyPr/>
              <a:lstStyle/>
              <a:p>
                <a:pPr>
                  <a:defRPr b="1">
                    <a:solidFill>
                      <a:srgbClr val="0070C0"/>
                    </a:solidFill>
                  </a:defRPr>
                </a:pPr>
                <a:endParaRPr lang="ru-RU"/>
              </a:p>
            </c:txPr>
            <c:showVal val="1"/>
          </c:dLbls>
          <c:cat>
            <c:strRef>
              <c:f>Лист1!$A$2:$A$6</c:f>
              <c:strCache>
                <c:ptCount val="5"/>
                <c:pt idx="0">
                  <c:v>2011</c:v>
                </c:pt>
                <c:pt idx="1">
                  <c:v>2012</c:v>
                </c:pt>
                <c:pt idx="2">
                  <c:v>2013</c:v>
                </c:pt>
                <c:pt idx="3">
                  <c:v>2014</c:v>
                </c:pt>
                <c:pt idx="4">
                  <c:v>2015 оценка</c:v>
                </c:pt>
              </c:strCache>
            </c:strRef>
          </c:cat>
          <c:val>
            <c:numRef>
              <c:f>Лист1!$B$2:$B$6</c:f>
              <c:numCache>
                <c:formatCode>General</c:formatCode>
                <c:ptCount val="5"/>
                <c:pt idx="0">
                  <c:v>254</c:v>
                </c:pt>
                <c:pt idx="1">
                  <c:v>257</c:v>
                </c:pt>
                <c:pt idx="2">
                  <c:v>242</c:v>
                </c:pt>
                <c:pt idx="3">
                  <c:v>236</c:v>
                </c:pt>
                <c:pt idx="4">
                  <c:v>240</c:v>
                </c:pt>
              </c:numCache>
            </c:numRef>
          </c:val>
        </c:ser>
        <c:axId val="66941696"/>
        <c:axId val="66943232"/>
      </c:barChart>
      <c:catAx>
        <c:axId val="66941696"/>
        <c:scaling>
          <c:orientation val="minMax"/>
        </c:scaling>
        <c:axPos val="b"/>
        <c:numFmt formatCode="General" sourceLinked="1"/>
        <c:tickLblPos val="nextTo"/>
        <c:crossAx val="66943232"/>
        <c:crosses val="autoZero"/>
        <c:auto val="1"/>
        <c:lblAlgn val="ctr"/>
        <c:lblOffset val="100"/>
      </c:catAx>
      <c:valAx>
        <c:axId val="66943232"/>
        <c:scaling>
          <c:orientation val="minMax"/>
        </c:scaling>
        <c:delete val="1"/>
        <c:axPos val="l"/>
        <c:numFmt formatCode="General" sourceLinked="1"/>
        <c:tickLblPos val="none"/>
        <c:crossAx val="66941696"/>
        <c:crosses val="autoZero"/>
        <c:crossBetween val="between"/>
      </c:valAx>
    </c:plotArea>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11290323135837528"/>
          <c:y val="1.8867906998350871E-2"/>
        </c:manualLayout>
      </c:layout>
      <c:spPr>
        <a:noFill/>
        <a:ln w="25161">
          <a:noFill/>
        </a:ln>
      </c:spPr>
      <c:txPr>
        <a:bodyPr/>
        <a:lstStyle/>
        <a:p>
          <a:pPr>
            <a:defRPr sz="1189"/>
          </a:pPr>
          <a:endParaRPr lang="ru-RU"/>
        </a:p>
      </c:txPr>
    </c:title>
    <c:plotArea>
      <c:layout>
        <c:manualLayout>
          <c:layoutTarget val="inner"/>
          <c:xMode val="edge"/>
          <c:yMode val="edge"/>
          <c:x val="4.1935483870967752E-2"/>
          <c:y val="0.57075471698113722"/>
          <c:w val="0.85161290322580663"/>
          <c:h val="0.19811320754717168"/>
        </c:manualLayout>
      </c:layout>
      <c:barChart>
        <c:barDir val="col"/>
        <c:grouping val="clustered"/>
        <c:ser>
          <c:idx val="0"/>
          <c:order val="0"/>
          <c:tx>
            <c:strRef>
              <c:f>Лист1!$B$1</c:f>
              <c:strCache>
                <c:ptCount val="1"/>
                <c:pt idx="0">
                  <c:v>Доля среднесписочной численности малых и средних предприятий в среднесписочной численности работников всех предприятий и организаций, %</c:v>
                </c:pt>
              </c:strCache>
            </c:strRef>
          </c:tx>
          <c:spPr>
            <a:solidFill>
              <a:srgbClr val="C00000"/>
            </a:solidFill>
          </c:spPr>
          <c:dLbls>
            <c:spPr>
              <a:noFill/>
              <a:ln w="25161">
                <a:noFill/>
              </a:ln>
            </c:spPr>
            <c:txPr>
              <a:bodyPr/>
              <a:lstStyle/>
              <a:p>
                <a:pPr>
                  <a:defRPr b="1">
                    <a:solidFill>
                      <a:srgbClr val="C00000"/>
                    </a:solidFill>
                  </a:defRPr>
                </a:pPr>
                <a:endParaRPr lang="ru-RU"/>
              </a:p>
            </c:txPr>
            <c:showVal val="1"/>
          </c:dLbls>
          <c:cat>
            <c:strRef>
              <c:f>Лист1!$A$2:$A$6</c:f>
              <c:strCache>
                <c:ptCount val="5"/>
                <c:pt idx="0">
                  <c:v>2011</c:v>
                </c:pt>
                <c:pt idx="1">
                  <c:v>2012</c:v>
                </c:pt>
                <c:pt idx="2">
                  <c:v>2013</c:v>
                </c:pt>
                <c:pt idx="3">
                  <c:v>2014</c:v>
                </c:pt>
                <c:pt idx="4">
                  <c:v>2015 оценка</c:v>
                </c:pt>
              </c:strCache>
            </c:strRef>
          </c:cat>
          <c:val>
            <c:numRef>
              <c:f>Лист1!$B$2:$B$6</c:f>
              <c:numCache>
                <c:formatCode>General</c:formatCode>
                <c:ptCount val="5"/>
                <c:pt idx="0">
                  <c:v>48.9</c:v>
                </c:pt>
                <c:pt idx="1">
                  <c:v>50.8</c:v>
                </c:pt>
                <c:pt idx="2">
                  <c:v>49.6</c:v>
                </c:pt>
                <c:pt idx="3">
                  <c:v>46.620000000000012</c:v>
                </c:pt>
                <c:pt idx="4">
                  <c:v>49.7</c:v>
                </c:pt>
              </c:numCache>
            </c:numRef>
          </c:val>
        </c:ser>
        <c:axId val="67069824"/>
        <c:axId val="67071360"/>
      </c:barChart>
      <c:catAx>
        <c:axId val="67069824"/>
        <c:scaling>
          <c:orientation val="minMax"/>
        </c:scaling>
        <c:axPos val="b"/>
        <c:numFmt formatCode="General" sourceLinked="1"/>
        <c:tickLblPos val="nextTo"/>
        <c:crossAx val="67071360"/>
        <c:crosses val="autoZero"/>
        <c:auto val="1"/>
        <c:lblAlgn val="ctr"/>
        <c:lblOffset val="100"/>
      </c:catAx>
      <c:valAx>
        <c:axId val="67071360"/>
        <c:scaling>
          <c:orientation val="minMax"/>
        </c:scaling>
        <c:delete val="1"/>
        <c:axPos val="l"/>
        <c:numFmt formatCode="General" sourceLinked="1"/>
        <c:tickLblPos val="none"/>
        <c:crossAx val="67069824"/>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C4328-188E-4BD4-9493-E03D7D9A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10178</Words>
  <Characters>58020</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2016-06-08T06:47:00Z</cp:lastPrinted>
  <dcterms:created xsi:type="dcterms:W3CDTF">2016-06-07T13:25:00Z</dcterms:created>
  <dcterms:modified xsi:type="dcterms:W3CDTF">2016-06-08T09:19:00Z</dcterms:modified>
</cp:coreProperties>
</file>