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A3" w:rsidRDefault="00FB59A3" w:rsidP="00FB59A3">
      <w:pPr>
        <w:pStyle w:val="a3"/>
        <w:ind w:left="-142"/>
        <w:jc w:val="left"/>
      </w:pPr>
    </w:p>
    <w:p w:rsidR="00FB59A3" w:rsidRDefault="00FB59A3" w:rsidP="00FB59A3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-21590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B59A3" w:rsidRDefault="00FB59A3" w:rsidP="00FB59A3">
      <w:pPr>
        <w:pStyle w:val="a3"/>
        <w:ind w:left="-142"/>
      </w:pPr>
    </w:p>
    <w:p w:rsidR="00FB59A3" w:rsidRDefault="00FB59A3" w:rsidP="00FB59A3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FB59A3" w:rsidRDefault="00FB59A3" w:rsidP="00FB59A3">
      <w:pPr>
        <w:pStyle w:val="3"/>
        <w:rPr>
          <w:b/>
          <w:sz w:val="40"/>
          <w:szCs w:val="40"/>
        </w:rPr>
      </w:pPr>
    </w:p>
    <w:p w:rsidR="00FB59A3" w:rsidRDefault="00FB59A3" w:rsidP="00FB59A3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B59A3" w:rsidRDefault="00FB59A3" w:rsidP="00FB59A3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FB59A3" w:rsidRDefault="00FB59A3" w:rsidP="00FB59A3">
      <w:pPr>
        <w:rPr>
          <w:sz w:val="28"/>
          <w:szCs w:val="28"/>
        </w:rPr>
      </w:pPr>
    </w:p>
    <w:p w:rsidR="00FB59A3" w:rsidRDefault="00FB59A3" w:rsidP="00FB59A3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14.02.2017   №  57</w:t>
      </w:r>
    </w:p>
    <w:p w:rsidR="00FB59A3" w:rsidRDefault="00FB59A3" w:rsidP="00FB59A3">
      <w:pPr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31" style="position:absolute;z-index:251658240" from="264pt,11.3pt" to="264pt,20.3pt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9" style="position:absolute;z-index:251658240" from="246pt,11.3pt" to="264pt,11.3pt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8" style="position:absolute;z-index:251658240" from="42pt,11.3pt" to="60pt,11.3pt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30" style="position:absolute;z-index:251658240" from="42pt,11.3pt" to="42pt,20.3pt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z-index:251658240" from="37.35pt,1.6pt" to="136.35pt,1.6pt"/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z-index:251658240" from="154.35pt,1.6pt" to="208.35pt,1.6pt"/>
        </w:pict>
      </w:r>
      <w:r>
        <w:t xml:space="preserve">                         с. </w:t>
      </w:r>
      <w:proofErr w:type="spellStart"/>
      <w:r>
        <w:t>Кичменгский</w:t>
      </w:r>
      <w:proofErr w:type="spellEnd"/>
      <w:r>
        <w:t xml:space="preserve"> Городок</w:t>
      </w:r>
    </w:p>
    <w:p w:rsidR="00FB59A3" w:rsidRDefault="00FB59A3" w:rsidP="00FB59A3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B6D81" w:rsidRDefault="002B6D81" w:rsidP="002B6D81"/>
    <w:p w:rsidR="002B6D81" w:rsidRDefault="002B6D81" w:rsidP="002B6D81">
      <w:r>
        <w:t>О внесении изменений в постановление от 23.10.2015 №</w:t>
      </w:r>
      <w:r w:rsidR="00303F1D">
        <w:t xml:space="preserve"> </w:t>
      </w:r>
      <w:r>
        <w:t>692</w:t>
      </w:r>
    </w:p>
    <w:p w:rsidR="002B6D81" w:rsidRDefault="002B6D81" w:rsidP="002B6D81"/>
    <w:p w:rsidR="002B6D81" w:rsidRDefault="002B6D81" w:rsidP="00FB59A3">
      <w:pPr>
        <w:ind w:firstLine="708"/>
        <w:jc w:val="both"/>
      </w:pPr>
      <w:proofErr w:type="gramStart"/>
      <w:r>
        <w:t xml:space="preserve">В целях реализации указов Президента Российской Федерации от 7 мая 2012 года № 597 «О мероприятиях по реализации государственной социальной политики», </w:t>
      </w:r>
      <w:r w:rsidR="00FB59A3">
        <w:t xml:space="preserve">                        </w:t>
      </w:r>
      <w:r>
        <w:t xml:space="preserve">от 1 июня 2012 года № 761 «О национальной стратегии действий в интересах детей </w:t>
      </w:r>
      <w:r w:rsidR="00FB59A3">
        <w:t xml:space="preserve">                        </w:t>
      </w:r>
      <w:r>
        <w:t xml:space="preserve">на 2012 – 2017 годы», Программы поэтапного совершенствования системы оплаты труда </w:t>
      </w:r>
      <w:r w:rsidR="00FB59A3">
        <w:t xml:space="preserve">                         </w:t>
      </w:r>
      <w:r>
        <w:t>в государственных (муниципальных) учреждениях на 2012 -2018 годы, утвержденной распоряжением Правительства Российской Федерации от 26 ноября 2012</w:t>
      </w:r>
      <w:proofErr w:type="gramEnd"/>
      <w:r>
        <w:t xml:space="preserve"> </w:t>
      </w:r>
      <w:proofErr w:type="gramStart"/>
      <w:r>
        <w:t xml:space="preserve">года № 2190-р, во исполнение распоряжения Правительства Российской Федерации от 28 декабря 2012 года № 2606-р (с изменениями и дополнениями) «Об утверждении Плана мероприятий («Дорожной карты») «Изменения в отраслях социальной сферы, направленные </w:t>
      </w:r>
      <w:r w:rsidR="00FB59A3">
        <w:t xml:space="preserve">                               </w:t>
      </w:r>
      <w:r>
        <w:t xml:space="preserve">на повышение эффективности сферы культуры», постановления Правительства Вологодской области от 25.02.2013 года № 200 (с изменениями и дополнениями) </w:t>
      </w:r>
      <w:r w:rsidR="00FB59A3">
        <w:t xml:space="preserve">                        </w:t>
      </w:r>
      <w:r>
        <w:t xml:space="preserve">«Об утверждении Плана мероприятий («дорожной карты») «Изменения, направленные </w:t>
      </w:r>
      <w:r w:rsidR="00FB59A3">
        <w:t xml:space="preserve">                      </w:t>
      </w:r>
      <w:r>
        <w:t>на повышение эффективности сферы культуры</w:t>
      </w:r>
      <w:proofErr w:type="gramEnd"/>
      <w:r>
        <w:t xml:space="preserve"> в Вологодской области»,</w:t>
      </w:r>
    </w:p>
    <w:p w:rsidR="002B6D81" w:rsidRPr="00FB59A3" w:rsidRDefault="002B6D81" w:rsidP="002B6D81">
      <w:pPr>
        <w:jc w:val="both"/>
      </w:pPr>
      <w:r>
        <w:t xml:space="preserve">администрация района </w:t>
      </w:r>
      <w:r w:rsidRPr="00FA5181">
        <w:rPr>
          <w:b/>
        </w:rPr>
        <w:t>ПОСТАНОВЛЯЕТ:</w:t>
      </w:r>
    </w:p>
    <w:p w:rsidR="002B6D81" w:rsidRDefault="002B6D81" w:rsidP="00FB59A3">
      <w:pPr>
        <w:pStyle w:val="1"/>
        <w:ind w:left="0" w:firstLine="708"/>
        <w:jc w:val="both"/>
      </w:pPr>
      <w:r>
        <w:t xml:space="preserve">1. </w:t>
      </w:r>
      <w:proofErr w:type="gramStart"/>
      <w:r>
        <w:t>Внести изменения в постан</w:t>
      </w:r>
      <w:r w:rsidR="00FB59A3">
        <w:t>овление а</w:t>
      </w:r>
      <w:r>
        <w:t>дминистрации Кичменгско</w:t>
      </w:r>
      <w:r w:rsidR="00303F1D">
        <w:t xml:space="preserve"> </w:t>
      </w:r>
      <w:r>
        <w:t>-</w:t>
      </w:r>
      <w:r w:rsidR="00303F1D">
        <w:t xml:space="preserve"> </w:t>
      </w:r>
      <w:r>
        <w:t>Городецкого муниципального района от 23.10.2015 № 692 «Об утверждении Плана мероприятий («дорожной карты») «Изменения, направленные на повышение эффективности сферы культуры «Кичменгско-Городецкого муниципального района Вологодской области (2013-2018гг., изложив его в новой редакции.</w:t>
      </w:r>
      <w:proofErr w:type="gramEnd"/>
      <w:r>
        <w:t xml:space="preserve"> (Приложение 1).</w:t>
      </w:r>
    </w:p>
    <w:p w:rsidR="002B6D81" w:rsidRDefault="00FB59A3" w:rsidP="00FB59A3">
      <w:pPr>
        <w:pStyle w:val="1"/>
        <w:ind w:left="0" w:firstLine="708"/>
        <w:jc w:val="both"/>
      </w:pPr>
      <w:r>
        <w:t>2</w:t>
      </w:r>
      <w:r w:rsidR="002B6D81">
        <w:t xml:space="preserve">. </w:t>
      </w:r>
      <w:r w:rsidR="00303F1D">
        <w:t xml:space="preserve"> </w:t>
      </w:r>
      <w:r w:rsidR="002B6D81">
        <w:t>Настоящее постановление вступает в силу со дня его принятия.</w:t>
      </w:r>
    </w:p>
    <w:p w:rsidR="00FB59A3" w:rsidRDefault="00FB59A3" w:rsidP="00FB59A3">
      <w:pPr>
        <w:pStyle w:val="1"/>
        <w:ind w:left="0" w:firstLine="708"/>
        <w:jc w:val="both"/>
      </w:pPr>
      <w:r>
        <w:t>3. Настоящее постановление разместить на официальном сайте Кичменгско – Городецкого муниципального района в сети Интернет.</w:t>
      </w:r>
    </w:p>
    <w:p w:rsidR="002B6D81" w:rsidRDefault="002B6D81" w:rsidP="002B6D81">
      <w:pPr>
        <w:jc w:val="both"/>
      </w:pPr>
    </w:p>
    <w:p w:rsidR="002B6D81" w:rsidRDefault="002B6D81" w:rsidP="002B6D81">
      <w:pPr>
        <w:jc w:val="both"/>
      </w:pPr>
    </w:p>
    <w:p w:rsidR="002B6D81" w:rsidRPr="00394AA2" w:rsidRDefault="002B6D81" w:rsidP="002B6D81">
      <w:pPr>
        <w:outlineLvl w:val="0"/>
      </w:pPr>
      <w:r w:rsidRPr="00394AA2">
        <w:t>ВрИО Главы администрации</w:t>
      </w:r>
      <w:r>
        <w:t xml:space="preserve"> района                                                                  Г.П. Труфанова</w:t>
      </w:r>
    </w:p>
    <w:p w:rsidR="002B6D81" w:rsidRDefault="002B6D81" w:rsidP="002B6D81">
      <w:pPr>
        <w:jc w:val="both"/>
      </w:pPr>
    </w:p>
    <w:p w:rsidR="002B6D81" w:rsidRDefault="002B6D81" w:rsidP="002B6D81">
      <w:pPr>
        <w:jc w:val="both"/>
      </w:pPr>
    </w:p>
    <w:p w:rsidR="002B6D81" w:rsidRDefault="002B6D81" w:rsidP="002B6D81">
      <w:pPr>
        <w:jc w:val="right"/>
      </w:pPr>
    </w:p>
    <w:p w:rsidR="002B6D81" w:rsidRDefault="002B6D81" w:rsidP="002B6D81">
      <w:pPr>
        <w:jc w:val="right"/>
      </w:pPr>
    </w:p>
    <w:p w:rsidR="002B6D81" w:rsidRDefault="002B6D81" w:rsidP="002B6D81">
      <w:pPr>
        <w:jc w:val="right"/>
      </w:pPr>
    </w:p>
    <w:p w:rsidR="002B6D81" w:rsidRDefault="002B6D81" w:rsidP="00FB59A3"/>
    <w:p w:rsidR="002B6D81" w:rsidRDefault="002B6D81" w:rsidP="002B6D81">
      <w:pPr>
        <w:jc w:val="right"/>
      </w:pPr>
    </w:p>
    <w:p w:rsidR="002B6D81" w:rsidRDefault="00FB59A3" w:rsidP="002B6D81">
      <w:pPr>
        <w:jc w:val="right"/>
      </w:pPr>
      <w:r>
        <w:lastRenderedPageBreak/>
        <w:t>Приложение к постановлению</w:t>
      </w:r>
    </w:p>
    <w:p w:rsidR="00FB59A3" w:rsidRDefault="00FB59A3" w:rsidP="002B6D81">
      <w:pPr>
        <w:jc w:val="right"/>
        <w:rPr>
          <w:sz w:val="28"/>
          <w:szCs w:val="28"/>
        </w:rPr>
      </w:pPr>
      <w:r>
        <w:t>администрации района от 14.02.2017 №</w:t>
      </w:r>
      <w:r w:rsidR="00303F1D">
        <w:t xml:space="preserve"> </w:t>
      </w:r>
      <w:r>
        <w:t>57</w:t>
      </w:r>
    </w:p>
    <w:p w:rsidR="002B6D81" w:rsidRDefault="002B6D81" w:rsidP="002B6D81">
      <w:pPr>
        <w:jc w:val="right"/>
      </w:pPr>
    </w:p>
    <w:p w:rsidR="002B6D81" w:rsidRPr="003A7661" w:rsidRDefault="002B6D81" w:rsidP="002B6D81">
      <w:pPr>
        <w:jc w:val="right"/>
      </w:pPr>
    </w:p>
    <w:p w:rsidR="002B6D81" w:rsidRPr="003A7661" w:rsidRDefault="002B6D81" w:rsidP="002B6D81">
      <w:pPr>
        <w:jc w:val="center"/>
      </w:pPr>
      <w:r>
        <w:t xml:space="preserve">План </w:t>
      </w:r>
      <w:r w:rsidRPr="003A7661">
        <w:t>мероприятий («дорожная карта»)</w:t>
      </w:r>
    </w:p>
    <w:p w:rsidR="002B6D81" w:rsidRPr="003A7661" w:rsidRDefault="002B6D81" w:rsidP="002B6D81">
      <w:pPr>
        <w:jc w:val="center"/>
      </w:pPr>
      <w:r w:rsidRPr="003A7661">
        <w:t>«Изменения, направленные на повышение эффективности сферы культуры Кичменгско-Городецкого муниципального района Вологодской области (2013-2018 годы)»</w:t>
      </w:r>
    </w:p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center"/>
      </w:pPr>
      <w:smartTag w:uri="urn:schemas-microsoft-com:office:smarttags" w:element="place">
        <w:r w:rsidRPr="003A7661">
          <w:rPr>
            <w:lang w:val="en-US"/>
          </w:rPr>
          <w:t>I</w:t>
        </w:r>
        <w:r w:rsidRPr="003A7661">
          <w:t>.</w:t>
        </w:r>
      </w:smartTag>
      <w:r w:rsidRPr="003A7661">
        <w:t xml:space="preserve"> Цели разработки «дорожной карты»</w:t>
      </w:r>
    </w:p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both"/>
      </w:pPr>
      <w:r w:rsidRPr="003A7661">
        <w:tab/>
        <w:t>Целями реализации плана мероприятий («дорожной карты») «Изменения, направленные на повышение эффективности сферы культуры Кичменгско-Городецкого муниципального района Вологодской области (2013-</w:t>
      </w:r>
      <w:r>
        <w:t xml:space="preserve">2018 годы)» (далее - «дорожная </w:t>
      </w:r>
      <w:r w:rsidRPr="003A7661">
        <w:t>карта») являются:</w:t>
      </w:r>
    </w:p>
    <w:p w:rsidR="002B6D81" w:rsidRPr="003A7661" w:rsidRDefault="002B6D81" w:rsidP="002B6D81">
      <w:pPr>
        <w:jc w:val="both"/>
      </w:pPr>
      <w:r w:rsidRPr="003A7661">
        <w:tab/>
      </w:r>
      <w:proofErr w:type="gramStart"/>
      <w:r w:rsidRPr="003A7661">
        <w:t>повышение качества жизни граждан Рос</w:t>
      </w:r>
      <w:r>
        <w:t xml:space="preserve">сийской Федерации, проживающих </w:t>
      </w:r>
      <w:r w:rsidRPr="003A7661">
        <w:t>в Кичменгско-Городецком районе Вологодской области,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2B6D81" w:rsidRPr="003A7661" w:rsidRDefault="002B6D81" w:rsidP="002B6D81">
      <w:pPr>
        <w:jc w:val="both"/>
      </w:pPr>
      <w:r w:rsidRPr="003A7661">
        <w:tab/>
        <w:t xml:space="preserve">обеспечение достойной </w:t>
      </w:r>
      <w:proofErr w:type="gramStart"/>
      <w:r w:rsidRPr="003A7661">
        <w:t>оплаты труда работников</w:t>
      </w:r>
      <w:r>
        <w:t xml:space="preserve"> бюджетных</w:t>
      </w:r>
      <w:r w:rsidRPr="003A7661">
        <w:t xml:space="preserve"> учреждений культуры</w:t>
      </w:r>
      <w:proofErr w:type="gramEnd"/>
      <w:r w:rsidRPr="003A7661">
        <w:t xml:space="preserve"> и образования, подведомственных Управлению культуры, молодежной политики, тур</w:t>
      </w:r>
      <w:r>
        <w:t xml:space="preserve">изма и спорта администрации Кичменгско-Городецкого муниципального района (далее - учреждения культуры), </w:t>
      </w:r>
      <w:r w:rsidRPr="003A7661">
        <w:t>как результат повышения качества и количества</w:t>
      </w:r>
      <w:r>
        <w:t xml:space="preserve"> оказываемых ими</w:t>
      </w:r>
      <w:r w:rsidRPr="003A7661">
        <w:t xml:space="preserve"> муниципальных услуг;</w:t>
      </w:r>
    </w:p>
    <w:p w:rsidR="002B6D81" w:rsidRPr="003A7661" w:rsidRDefault="002B6D81" w:rsidP="002B6D81">
      <w:pPr>
        <w:jc w:val="both"/>
      </w:pPr>
      <w:r w:rsidRPr="003A7661">
        <w:tab/>
        <w:t>развитие и сохранение кадрового потенциала учреждений культуры;</w:t>
      </w:r>
    </w:p>
    <w:p w:rsidR="002B6D81" w:rsidRPr="003A7661" w:rsidRDefault="002B6D81" w:rsidP="002B6D81">
      <w:pPr>
        <w:jc w:val="both"/>
      </w:pPr>
      <w:r w:rsidRPr="003A7661">
        <w:tab/>
        <w:t>повышение престижности и привлекательности профессий в сфере культуры района;</w:t>
      </w:r>
    </w:p>
    <w:p w:rsidR="002B6D81" w:rsidRPr="003A7661" w:rsidRDefault="002B6D81" w:rsidP="002B6D81">
      <w:pPr>
        <w:jc w:val="both"/>
      </w:pPr>
      <w:r w:rsidRPr="003A7661">
        <w:tab/>
        <w:t>сохранение культурного и исторического наследия Кичменгско-Городецкого муниципального района, обеспечение доступа граждан к культурным ценностям и участию в культурной жизни, реализация творческого потенциала населения района;</w:t>
      </w:r>
    </w:p>
    <w:p w:rsidR="002B6D81" w:rsidRPr="003A7661" w:rsidRDefault="002B6D81" w:rsidP="002B6D81">
      <w:pPr>
        <w:jc w:val="both"/>
      </w:pPr>
      <w:r w:rsidRPr="003A7661">
        <w:tab/>
        <w:t>создание благоприятных условий для устойчивого развития сферы культуры.</w:t>
      </w:r>
    </w:p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center"/>
      </w:pPr>
      <w:r w:rsidRPr="003A7661">
        <w:rPr>
          <w:lang w:val="en-US"/>
        </w:rPr>
        <w:t>II</w:t>
      </w:r>
      <w:r w:rsidRPr="003A7661">
        <w:t>. Проведение структурных реформ в сфере культуры Кичменгско-Городецкого муниципального района.</w:t>
      </w:r>
    </w:p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both"/>
      </w:pPr>
      <w:r w:rsidRPr="003A7661">
        <w:tab/>
        <w:t>В рамках структурных реформ предусматривается:</w:t>
      </w:r>
    </w:p>
    <w:p w:rsidR="002B6D81" w:rsidRPr="003A7661" w:rsidRDefault="002B6D81" w:rsidP="002B6D81">
      <w:pPr>
        <w:jc w:val="both"/>
      </w:pPr>
      <w:r w:rsidRPr="003A7661">
        <w:tab/>
        <w:t>повышение</w:t>
      </w:r>
      <w:r>
        <w:t xml:space="preserve"> качества и расширение спектра </w:t>
      </w:r>
      <w:r w:rsidRPr="003A7661">
        <w:t>муниципальных услуг в сфере культуры района;</w:t>
      </w:r>
    </w:p>
    <w:p w:rsidR="002B6D81" w:rsidRPr="003A7661" w:rsidRDefault="002B6D81" w:rsidP="002B6D81">
      <w:pPr>
        <w:jc w:val="both"/>
      </w:pPr>
      <w:r w:rsidRPr="003A7661">
        <w:tab/>
        <w:t>обеспечение доступности к культурному продукту путем информатизации отра</w:t>
      </w:r>
      <w:r>
        <w:t>сти</w:t>
      </w:r>
      <w:r w:rsidRPr="003A7661">
        <w:t>;</w:t>
      </w:r>
    </w:p>
    <w:p w:rsidR="002B6D81" w:rsidRPr="003A7661" w:rsidRDefault="002B6D81" w:rsidP="002B6D81">
      <w:pPr>
        <w:jc w:val="both"/>
      </w:pPr>
      <w:r w:rsidRPr="003A7661">
        <w:tab/>
        <w:t>создание условий для творческой самореализации граждан, проживающих на территории района;</w:t>
      </w:r>
    </w:p>
    <w:p w:rsidR="002B6D81" w:rsidRPr="003A7661" w:rsidRDefault="002B6D81" w:rsidP="002B6D81">
      <w:pPr>
        <w:jc w:val="both"/>
      </w:pPr>
      <w:r>
        <w:tab/>
        <w:t xml:space="preserve">вовлечение населения района </w:t>
      </w:r>
      <w:r w:rsidRPr="003A7661">
        <w:t>в создание и продвижение культурного продукта;</w:t>
      </w:r>
    </w:p>
    <w:p w:rsidR="002B6D81" w:rsidRPr="003A7661" w:rsidRDefault="002B6D81" w:rsidP="002B6D81">
      <w:pPr>
        <w:jc w:val="both"/>
      </w:pPr>
      <w:r w:rsidRPr="003A7661">
        <w:tab/>
        <w:t xml:space="preserve"> участие сферы культуры района в формировании комфортной среды жизнедеятельности населенных пунктов;</w:t>
      </w:r>
    </w:p>
    <w:p w:rsidR="002B6D81" w:rsidRPr="003A7661" w:rsidRDefault="002B6D81" w:rsidP="002B6D81">
      <w:pPr>
        <w:jc w:val="both"/>
      </w:pPr>
      <w:r w:rsidRPr="003A7661">
        <w:tab/>
        <w:t>укрепление единого культурного пространства района, развитие межрегионального культурного обмена, продвижение культурных продуктов района на областной, межрегиональный культурные рынки.</w:t>
      </w:r>
    </w:p>
    <w:p w:rsidR="002B6D81" w:rsidRDefault="002B6D81" w:rsidP="002B6D81">
      <w:pPr>
        <w:jc w:val="both"/>
      </w:pPr>
    </w:p>
    <w:p w:rsidR="002B6D81" w:rsidRPr="003A7661" w:rsidRDefault="002B6D81" w:rsidP="002B6D81">
      <w:pPr>
        <w:jc w:val="both"/>
      </w:pPr>
    </w:p>
    <w:p w:rsidR="002B6D81" w:rsidRDefault="002B6D81" w:rsidP="002B6D81">
      <w:pPr>
        <w:jc w:val="center"/>
      </w:pPr>
      <w:r w:rsidRPr="003A7661">
        <w:rPr>
          <w:lang w:val="en-US"/>
        </w:rPr>
        <w:t>III</w:t>
      </w:r>
      <w:r w:rsidRPr="003A7661">
        <w:t xml:space="preserve">. Целевые показатели (индикаторы) развития сферы культуры и меры, </w:t>
      </w:r>
    </w:p>
    <w:p w:rsidR="002B6D81" w:rsidRPr="003A7661" w:rsidRDefault="002B6D81" w:rsidP="002B6D81">
      <w:pPr>
        <w:jc w:val="center"/>
      </w:pPr>
      <w:r w:rsidRPr="003A7661">
        <w:t>обеспечивающие их достижение</w:t>
      </w:r>
    </w:p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both"/>
      </w:pPr>
      <w:r w:rsidRPr="003A7661">
        <w:tab/>
        <w:t>1. С ростом эффективности и качества оказываемых услуг будут достигнуты следующие целевые показатели (индикаторы):</w:t>
      </w:r>
    </w:p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 w:rsidRPr="003A7661">
        <w:tab/>
        <w:t>1) увеличение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Вологодской области (по сравнению с предыдущим годом).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rPr>
          <w:jc w:val="center"/>
        </w:trPr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rPr>
          <w:jc w:val="center"/>
        </w:trPr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1,2</w:t>
            </w:r>
          </w:p>
        </w:tc>
        <w:tc>
          <w:tcPr>
            <w:tcW w:w="1595" w:type="dxa"/>
          </w:tcPr>
          <w:p w:rsidR="002B6D81" w:rsidRPr="003A7661" w:rsidRDefault="0065556C" w:rsidP="000329C7">
            <w:pPr>
              <w:jc w:val="center"/>
            </w:pPr>
            <w:r>
              <w:t>23,0</w:t>
            </w:r>
          </w:p>
        </w:tc>
        <w:tc>
          <w:tcPr>
            <w:tcW w:w="1595" w:type="dxa"/>
          </w:tcPr>
          <w:p w:rsidR="002B6D81" w:rsidRPr="003A7661" w:rsidRDefault="0065556C" w:rsidP="000329C7">
            <w:pPr>
              <w:jc w:val="center"/>
            </w:pPr>
            <w:r>
              <w:t>2,0</w:t>
            </w:r>
          </w:p>
        </w:tc>
        <w:tc>
          <w:tcPr>
            <w:tcW w:w="1595" w:type="dxa"/>
          </w:tcPr>
          <w:p w:rsidR="002B6D81" w:rsidRPr="003A7661" w:rsidRDefault="0065556C" w:rsidP="000329C7">
            <w:pPr>
              <w:jc w:val="center"/>
            </w:pPr>
            <w:r>
              <w:t>2,6</w:t>
            </w:r>
          </w:p>
        </w:tc>
        <w:tc>
          <w:tcPr>
            <w:tcW w:w="1595" w:type="dxa"/>
          </w:tcPr>
          <w:p w:rsidR="002B6D81" w:rsidRPr="003A7661" w:rsidRDefault="0065556C" w:rsidP="000329C7">
            <w:pPr>
              <w:jc w:val="center"/>
            </w:pPr>
            <w:r>
              <w:t>1,8</w:t>
            </w:r>
          </w:p>
        </w:tc>
        <w:tc>
          <w:tcPr>
            <w:tcW w:w="1596" w:type="dxa"/>
          </w:tcPr>
          <w:p w:rsidR="002B6D81" w:rsidRPr="003A7661" w:rsidRDefault="0065556C" w:rsidP="000329C7">
            <w:pPr>
              <w:jc w:val="center"/>
            </w:pPr>
            <w:r>
              <w:t>1,8</w:t>
            </w:r>
          </w:p>
        </w:tc>
      </w:tr>
    </w:tbl>
    <w:p w:rsidR="002B6D81" w:rsidRPr="0022263C" w:rsidRDefault="002B6D81" w:rsidP="002B6D81">
      <w:pPr>
        <w:jc w:val="both"/>
      </w:pPr>
    </w:p>
    <w:p w:rsidR="002B6D81" w:rsidRPr="0042436F" w:rsidRDefault="002B6D81" w:rsidP="002B6D81">
      <w:pPr>
        <w:jc w:val="both"/>
      </w:pPr>
      <w:r w:rsidRPr="00C06A68">
        <w:rPr>
          <w:color w:val="FF0000"/>
        </w:rPr>
        <w:tab/>
      </w:r>
      <w:r w:rsidRPr="0042436F">
        <w:t>2) доля представленных (во всех формах) зрителю музейных предметов в общем количестве музейных предметов основного фонда:</w:t>
      </w:r>
    </w:p>
    <w:p w:rsidR="002B6D81" w:rsidRPr="003A7661" w:rsidRDefault="002B6D81" w:rsidP="002B6D81">
      <w:pPr>
        <w:jc w:val="right"/>
      </w:pPr>
      <w:r w:rsidRPr="0042436F"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rPr>
          <w:jc w:val="center"/>
        </w:trPr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rPr>
          <w:jc w:val="center"/>
        </w:trPr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29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29,87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29,57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24</w:t>
            </w:r>
          </w:p>
        </w:tc>
        <w:tc>
          <w:tcPr>
            <w:tcW w:w="1595" w:type="dxa"/>
          </w:tcPr>
          <w:p w:rsidR="002B6D81" w:rsidRPr="003A7661" w:rsidRDefault="00DC453C" w:rsidP="000329C7">
            <w:pPr>
              <w:jc w:val="center"/>
            </w:pPr>
            <w:r>
              <w:t>8,1</w:t>
            </w:r>
          </w:p>
        </w:tc>
        <w:tc>
          <w:tcPr>
            <w:tcW w:w="1596" w:type="dxa"/>
          </w:tcPr>
          <w:p w:rsidR="002B6D81" w:rsidRPr="003A7661" w:rsidRDefault="00DC453C" w:rsidP="000329C7">
            <w:pPr>
              <w:jc w:val="center"/>
            </w:pPr>
            <w:r>
              <w:t>8,2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  <w:t xml:space="preserve">3) </w:t>
      </w:r>
      <w:r w:rsidRPr="003A7661">
        <w:t xml:space="preserve">посещаемость музейных учреждений: </w:t>
      </w:r>
    </w:p>
    <w:p w:rsidR="002B6D81" w:rsidRPr="003A7661" w:rsidRDefault="002B6D81" w:rsidP="002B6D81">
      <w:pPr>
        <w:jc w:val="right"/>
      </w:pPr>
      <w:r w:rsidRPr="003A7661">
        <w:t>(посещений на 1 жителя в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0,24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0,26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0,</w:t>
            </w:r>
            <w:r>
              <w:t>2</w:t>
            </w:r>
            <w:r w:rsidRPr="003A7661">
              <w:t>3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0,4</w:t>
            </w:r>
            <w:r>
              <w:t>5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>
              <w:t>0,7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  <w:t xml:space="preserve">4) увеличение </w:t>
      </w:r>
      <w:r w:rsidRPr="003A7661">
        <w:t>ч</w:t>
      </w:r>
      <w:r>
        <w:t xml:space="preserve">исленности участников </w:t>
      </w:r>
      <w:r w:rsidR="000329C7">
        <w:t>культурно–досуговых мероприятий</w:t>
      </w:r>
      <w:r w:rsidRPr="003A7661">
        <w:t xml:space="preserve"> по сравнению с 2012 годом:</w:t>
      </w:r>
    </w:p>
    <w:p w:rsidR="002B6D81" w:rsidRPr="003A7661" w:rsidRDefault="002B6D81" w:rsidP="002B6D81">
      <w:pPr>
        <w:jc w:val="right"/>
      </w:pPr>
      <w:r w:rsidRPr="003A7661">
        <w:t>(проц</w:t>
      </w:r>
      <w:r>
        <w:t>ентов по отношению к 2012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212E76" w:rsidRDefault="00212E76" w:rsidP="000329C7">
            <w:pPr>
              <w:jc w:val="center"/>
            </w:pPr>
            <w:r>
              <w:t>-3</w:t>
            </w:r>
          </w:p>
        </w:tc>
        <w:tc>
          <w:tcPr>
            <w:tcW w:w="1595" w:type="dxa"/>
          </w:tcPr>
          <w:p w:rsidR="002B6D81" w:rsidRPr="003A7661" w:rsidRDefault="00212E76" w:rsidP="000329C7">
            <w:pPr>
              <w:jc w:val="center"/>
            </w:pPr>
            <w:r>
              <w:t>-5</w:t>
            </w:r>
          </w:p>
        </w:tc>
        <w:tc>
          <w:tcPr>
            <w:tcW w:w="1595" w:type="dxa"/>
          </w:tcPr>
          <w:p w:rsidR="002B6D81" w:rsidRPr="003A7661" w:rsidRDefault="00371BA9" w:rsidP="000329C7">
            <w:pPr>
              <w:jc w:val="center"/>
            </w:pPr>
            <w:r>
              <w:t>-21</w:t>
            </w:r>
          </w:p>
        </w:tc>
        <w:tc>
          <w:tcPr>
            <w:tcW w:w="1595" w:type="dxa"/>
          </w:tcPr>
          <w:p w:rsidR="002B6D81" w:rsidRPr="00371BA9" w:rsidRDefault="000329C7" w:rsidP="000329C7">
            <w:pPr>
              <w:jc w:val="center"/>
            </w:pPr>
            <w:r>
              <w:rPr>
                <w:lang w:val="en-US"/>
              </w:rPr>
              <w:t>-</w:t>
            </w:r>
            <w:r w:rsidR="00371BA9">
              <w:t>22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0,</w:t>
            </w:r>
            <w:r w:rsidR="00371BA9">
              <w:t>8</w:t>
            </w:r>
          </w:p>
        </w:tc>
        <w:tc>
          <w:tcPr>
            <w:tcW w:w="1596" w:type="dxa"/>
          </w:tcPr>
          <w:p w:rsidR="002B6D81" w:rsidRPr="003A7661" w:rsidRDefault="00371BA9" w:rsidP="000329C7">
            <w:pPr>
              <w:jc w:val="center"/>
            </w:pPr>
            <w:r>
              <w:t>1,0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ind w:firstLine="708"/>
        <w:jc w:val="both"/>
      </w:pPr>
      <w:r>
        <w:t xml:space="preserve">5) </w:t>
      </w:r>
      <w:r w:rsidRPr="003A7661">
        <w:t>повышение уровня удовлетворенности граждан качеством предоставления муниципальных услуг в сфере культуры: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>
              <w:t xml:space="preserve">2018 </w:t>
            </w:r>
            <w:r w:rsidRPr="003A7661">
              <w:t>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71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88,9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90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91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92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95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  <w:t xml:space="preserve">6) </w:t>
      </w:r>
      <w:r w:rsidRPr="003A7661">
        <w:t>доля общедоступных библиотек района, оснащенных компьютерным оборудованием и доступом в сеть «Интернет»: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80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89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  <w:t xml:space="preserve">7) </w:t>
      </w:r>
      <w:r w:rsidRPr="003A7661">
        <w:t>доля музеев, имеющих сайт в сети «Интернет», в общем количестве музеев района: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100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  <w:t>8)</w:t>
      </w:r>
      <w:r w:rsidRPr="003A7661">
        <w:t xml:space="preserve"> увеличение выставочных проектов, осуществляемых в музее района:</w:t>
      </w:r>
    </w:p>
    <w:p w:rsidR="002B6D81" w:rsidRPr="003A7661" w:rsidRDefault="002B6D81" w:rsidP="002B6D81">
      <w:pPr>
        <w:jc w:val="right"/>
      </w:pPr>
      <w:r w:rsidRPr="003A7661">
        <w:t>(процентов по отношению к 2011году)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449"/>
        <w:gridCol w:w="1359"/>
        <w:gridCol w:w="1359"/>
        <w:gridCol w:w="1359"/>
        <w:gridCol w:w="1360"/>
        <w:gridCol w:w="1236"/>
      </w:tblGrid>
      <w:tr w:rsidR="00371BA9" w:rsidRPr="003A7661" w:rsidTr="00371BA9">
        <w:tc>
          <w:tcPr>
            <w:tcW w:w="1449" w:type="dxa"/>
          </w:tcPr>
          <w:p w:rsidR="00371BA9" w:rsidRPr="003A7661" w:rsidRDefault="00371BA9" w:rsidP="000329C7">
            <w:pPr>
              <w:jc w:val="center"/>
            </w:pPr>
            <w:r w:rsidRPr="003A7661">
              <w:lastRenderedPageBreak/>
              <w:t>2012год</w:t>
            </w:r>
          </w:p>
        </w:tc>
        <w:tc>
          <w:tcPr>
            <w:tcW w:w="1449" w:type="dxa"/>
          </w:tcPr>
          <w:p w:rsidR="00371BA9" w:rsidRPr="003A7661" w:rsidRDefault="00371BA9" w:rsidP="000329C7">
            <w:pPr>
              <w:jc w:val="center"/>
            </w:pPr>
            <w:r w:rsidRPr="003A7661">
              <w:t>2013год</w:t>
            </w:r>
          </w:p>
        </w:tc>
        <w:tc>
          <w:tcPr>
            <w:tcW w:w="1359" w:type="dxa"/>
          </w:tcPr>
          <w:p w:rsidR="00371BA9" w:rsidRPr="003A7661" w:rsidRDefault="00371BA9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359" w:type="dxa"/>
          </w:tcPr>
          <w:p w:rsidR="00371BA9" w:rsidRPr="003A7661" w:rsidRDefault="00371BA9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359" w:type="dxa"/>
          </w:tcPr>
          <w:p w:rsidR="00371BA9" w:rsidRPr="003A7661" w:rsidRDefault="00371BA9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360" w:type="dxa"/>
          </w:tcPr>
          <w:p w:rsidR="00371BA9" w:rsidRPr="003A7661" w:rsidRDefault="00371BA9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236" w:type="dxa"/>
          </w:tcPr>
          <w:p w:rsidR="00371BA9" w:rsidRPr="003A7661" w:rsidRDefault="00371BA9" w:rsidP="000329C7">
            <w:pPr>
              <w:jc w:val="center"/>
            </w:pPr>
            <w:r>
              <w:t>2018 год</w:t>
            </w:r>
          </w:p>
        </w:tc>
      </w:tr>
      <w:tr w:rsidR="00371BA9" w:rsidRPr="003A7661" w:rsidTr="00371BA9">
        <w:tc>
          <w:tcPr>
            <w:tcW w:w="1449" w:type="dxa"/>
          </w:tcPr>
          <w:p w:rsidR="00371BA9" w:rsidRPr="00D13B6B" w:rsidRDefault="00371BA9" w:rsidP="000329C7">
            <w:pPr>
              <w:jc w:val="center"/>
            </w:pPr>
            <w:r>
              <w:t>0,0</w:t>
            </w:r>
          </w:p>
        </w:tc>
        <w:tc>
          <w:tcPr>
            <w:tcW w:w="1449" w:type="dxa"/>
          </w:tcPr>
          <w:p w:rsidR="00371BA9" w:rsidRPr="00D13B6B" w:rsidRDefault="00371BA9" w:rsidP="000329C7">
            <w:pPr>
              <w:jc w:val="center"/>
            </w:pPr>
            <w:r>
              <w:t>0,0</w:t>
            </w:r>
          </w:p>
        </w:tc>
        <w:tc>
          <w:tcPr>
            <w:tcW w:w="1359" w:type="dxa"/>
          </w:tcPr>
          <w:p w:rsidR="00371BA9" w:rsidRPr="00D13B6B" w:rsidRDefault="00371BA9" w:rsidP="000329C7">
            <w:pPr>
              <w:jc w:val="center"/>
            </w:pPr>
            <w:r>
              <w:t>0,0</w:t>
            </w:r>
          </w:p>
        </w:tc>
        <w:tc>
          <w:tcPr>
            <w:tcW w:w="1359" w:type="dxa"/>
          </w:tcPr>
          <w:p w:rsidR="00371BA9" w:rsidRPr="00D13B6B" w:rsidRDefault="00371BA9" w:rsidP="000329C7">
            <w:pPr>
              <w:jc w:val="center"/>
            </w:pPr>
            <w:r>
              <w:t>0,0</w:t>
            </w:r>
          </w:p>
        </w:tc>
        <w:tc>
          <w:tcPr>
            <w:tcW w:w="1359" w:type="dxa"/>
          </w:tcPr>
          <w:p w:rsidR="00371BA9" w:rsidRPr="00D13B6B" w:rsidRDefault="00371BA9" w:rsidP="000329C7">
            <w:pPr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371BA9" w:rsidRPr="00D13B6B" w:rsidRDefault="00371BA9" w:rsidP="000329C7">
            <w:pPr>
              <w:jc w:val="center"/>
            </w:pPr>
            <w:r>
              <w:t>5,3</w:t>
            </w:r>
          </w:p>
        </w:tc>
        <w:tc>
          <w:tcPr>
            <w:tcW w:w="1236" w:type="dxa"/>
          </w:tcPr>
          <w:p w:rsidR="00371BA9" w:rsidRDefault="00371BA9" w:rsidP="000329C7">
            <w:pPr>
              <w:jc w:val="center"/>
            </w:pPr>
            <w:r>
              <w:t>5,8</w:t>
            </w:r>
          </w:p>
        </w:tc>
      </w:tr>
    </w:tbl>
    <w:p w:rsidR="002B6D81" w:rsidRPr="003A7661" w:rsidRDefault="002B6D81" w:rsidP="002B6D81">
      <w:pPr>
        <w:jc w:val="both"/>
      </w:pPr>
      <w:r w:rsidRPr="003A7661">
        <w:t xml:space="preserve"> </w:t>
      </w:r>
    </w:p>
    <w:p w:rsidR="002B6D81" w:rsidRPr="003A7661" w:rsidRDefault="002B6D81" w:rsidP="002B6D81">
      <w:pPr>
        <w:jc w:val="both"/>
      </w:pPr>
      <w:r>
        <w:tab/>
        <w:t xml:space="preserve">9) </w:t>
      </w:r>
      <w:r w:rsidRPr="003A7661">
        <w:t>доля детей, привлекаемых к участию в творческих мероприятиях, в общей численности детей: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7,6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9,3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10,5</w:t>
            </w:r>
          </w:p>
        </w:tc>
        <w:tc>
          <w:tcPr>
            <w:tcW w:w="1595" w:type="dxa"/>
          </w:tcPr>
          <w:p w:rsidR="002B6D81" w:rsidRPr="003A7661" w:rsidRDefault="00EE1E12" w:rsidP="000329C7">
            <w:pPr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>
              <w:t>8,</w:t>
            </w:r>
            <w:r w:rsidR="00EE1E12">
              <w:t>2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>
              <w:t>8,2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 w:rsidRPr="003A7661">
        <w:t>10) увеличение посещаемости учреждений культуры (по отношению к 2012 году):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0.0</w:t>
            </w:r>
          </w:p>
        </w:tc>
        <w:tc>
          <w:tcPr>
            <w:tcW w:w="1595" w:type="dxa"/>
          </w:tcPr>
          <w:p w:rsidR="002B6D81" w:rsidRPr="003A7661" w:rsidRDefault="00D96F8B" w:rsidP="000329C7">
            <w:pPr>
              <w:jc w:val="center"/>
            </w:pPr>
            <w:r>
              <w:t>2,2</w:t>
            </w:r>
          </w:p>
        </w:tc>
        <w:tc>
          <w:tcPr>
            <w:tcW w:w="1595" w:type="dxa"/>
          </w:tcPr>
          <w:p w:rsidR="002B6D81" w:rsidRPr="003A7661" w:rsidRDefault="00D96F8B" w:rsidP="000329C7">
            <w:pPr>
              <w:jc w:val="center"/>
            </w:pPr>
            <w:r>
              <w:t>-5,8</w:t>
            </w:r>
          </w:p>
        </w:tc>
        <w:tc>
          <w:tcPr>
            <w:tcW w:w="1595" w:type="dxa"/>
          </w:tcPr>
          <w:p w:rsidR="002B6D81" w:rsidRPr="003A7661" w:rsidRDefault="00D96F8B" w:rsidP="000329C7">
            <w:pPr>
              <w:jc w:val="center"/>
            </w:pPr>
            <w:r>
              <w:t>-6,6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0,4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0,5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 w:rsidRPr="003A7661">
        <w:t>11) увеличение количества предоставляемых дополнительных услуг учреждениями культуры (по отношению к 2012 году):</w:t>
      </w:r>
    </w:p>
    <w:p w:rsidR="002B6D81" w:rsidRPr="003A7661" w:rsidRDefault="002B6D81" w:rsidP="002B6D81">
      <w:pPr>
        <w:jc w:val="right"/>
      </w:pPr>
      <w:r w:rsidRPr="003A7661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B6D81" w:rsidRPr="003A7661" w:rsidTr="000329C7"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2013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2014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2015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2016 год</w:t>
            </w:r>
          </w:p>
        </w:tc>
        <w:tc>
          <w:tcPr>
            <w:tcW w:w="1595" w:type="dxa"/>
          </w:tcPr>
          <w:p w:rsidR="002B6D81" w:rsidRPr="003A7661" w:rsidRDefault="002B6D81" w:rsidP="000329C7">
            <w:pPr>
              <w:jc w:val="center"/>
            </w:pPr>
            <w:r w:rsidRPr="003A7661">
              <w:t>2017 год</w:t>
            </w:r>
          </w:p>
        </w:tc>
        <w:tc>
          <w:tcPr>
            <w:tcW w:w="1596" w:type="dxa"/>
          </w:tcPr>
          <w:p w:rsidR="002B6D81" w:rsidRPr="003A7661" w:rsidRDefault="002B6D81" w:rsidP="000329C7">
            <w:pPr>
              <w:jc w:val="center"/>
            </w:pPr>
            <w:r w:rsidRPr="003A7661">
              <w:t>2018 год</w:t>
            </w:r>
          </w:p>
        </w:tc>
      </w:tr>
      <w:tr w:rsidR="002B6D81" w:rsidRPr="003A7661" w:rsidTr="000329C7">
        <w:tc>
          <w:tcPr>
            <w:tcW w:w="1595" w:type="dxa"/>
          </w:tcPr>
          <w:p w:rsidR="002B6D81" w:rsidRPr="003A7661" w:rsidRDefault="00F63C12" w:rsidP="000329C7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B6D81" w:rsidRPr="003A7661" w:rsidRDefault="00F63C12" w:rsidP="000329C7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2B6D81" w:rsidRPr="003A7661" w:rsidRDefault="00F63C12" w:rsidP="000329C7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2B6D81" w:rsidRPr="003A7661" w:rsidRDefault="00F63C12" w:rsidP="000329C7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2B6D81" w:rsidRPr="003A7661" w:rsidRDefault="00F63C12" w:rsidP="000329C7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2B6D81" w:rsidRPr="003A7661" w:rsidRDefault="00F63C12" w:rsidP="000329C7">
            <w:pPr>
              <w:jc w:val="center"/>
            </w:pPr>
            <w:r>
              <w:t>30</w:t>
            </w:r>
          </w:p>
        </w:tc>
      </w:tr>
    </w:tbl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 w:rsidRPr="003A7661">
        <w:tab/>
        <w:t>2. Мерами, обеспечивающими достижение целевых показателей (индикаторов) развития сферы культуры района, являются:</w:t>
      </w:r>
    </w:p>
    <w:p w:rsidR="002B6D81" w:rsidRPr="003A7661" w:rsidRDefault="002B6D81" w:rsidP="002B6D81">
      <w:pPr>
        <w:jc w:val="both"/>
      </w:pPr>
      <w:r w:rsidRPr="003A7661">
        <w:tab/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2B6D81" w:rsidRPr="003A7661" w:rsidRDefault="002B6D81" w:rsidP="002B6D81">
      <w:pPr>
        <w:jc w:val="both"/>
      </w:pPr>
      <w:r>
        <w:tab/>
      </w:r>
      <w:proofErr w:type="gramStart"/>
      <w:r>
        <w:t xml:space="preserve">2) </w:t>
      </w:r>
      <w:r w:rsidRPr="003A7661">
        <w:t>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культуры, которым в соответствии с указами Президента Российской Федерации от 7 мая 2012 года № 597 «О мероприятиях  по реализации государственной социальной политики» и от 1 июня 2012 года № 761 «О национальной стратегии действий в интересах детей на 2012</w:t>
      </w:r>
      <w:proofErr w:type="gramEnd"/>
      <w:r w:rsidRPr="003A7661">
        <w:t xml:space="preserve"> – 2017 годы»</w:t>
      </w:r>
      <w:r>
        <w:t xml:space="preserve"> предусмотре</w:t>
      </w:r>
      <w:r w:rsidRPr="003A7661">
        <w:t>но увеличение заработной платы до средней заработной платы в Вологодской области;</w:t>
      </w:r>
    </w:p>
    <w:p w:rsidR="002B6D81" w:rsidRPr="003A7661" w:rsidRDefault="002B6D81" w:rsidP="002B6D81">
      <w:pPr>
        <w:jc w:val="both"/>
      </w:pPr>
      <w:r>
        <w:tab/>
        <w:t xml:space="preserve">3) </w:t>
      </w:r>
      <w:r w:rsidRPr="003A7661">
        <w:t xml:space="preserve">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</w:t>
      </w:r>
      <w:proofErr w:type="gramStart"/>
      <w:r w:rsidRPr="003A7661">
        <w:t>потенциала работников сферы культуры района</w:t>
      </w:r>
      <w:proofErr w:type="gramEnd"/>
      <w:r w:rsidRPr="003A7661">
        <w:t>;</w:t>
      </w:r>
    </w:p>
    <w:p w:rsidR="002B6D81" w:rsidRPr="003A7661" w:rsidRDefault="002B6D81" w:rsidP="002B6D81">
      <w:pPr>
        <w:jc w:val="both"/>
      </w:pPr>
      <w:r w:rsidRPr="003A7661">
        <w:tab/>
        <w:t>4) заключение трудовых договоров (дополнительных соглашений к трудов</w:t>
      </w:r>
      <w:r>
        <w:t xml:space="preserve">ым договорам) </w:t>
      </w:r>
      <w:r w:rsidRPr="003A7661">
        <w:t>с руководителями и работниками учреждений культуры в связи с введением эффективного контракта;</w:t>
      </w:r>
    </w:p>
    <w:p w:rsidR="002B6D81" w:rsidRPr="003A7661" w:rsidRDefault="002B6D81" w:rsidP="002B6D81">
      <w:pPr>
        <w:jc w:val="both"/>
      </w:pPr>
      <w:r>
        <w:tab/>
        <w:t xml:space="preserve">5) </w:t>
      </w:r>
      <w:r w:rsidRPr="003A7661">
        <w:t>проведение реструктуризации и оптимизации существующей сети учреждений отрасли культуры (приведение численного состава сети в соответствие с функциональными особенностями, характером оказываемых услуги критериями эффективности ее деятельности);</w:t>
      </w:r>
    </w:p>
    <w:p w:rsidR="002B6D81" w:rsidRPr="003A7661" w:rsidRDefault="002B6D81" w:rsidP="002B6D81">
      <w:pPr>
        <w:jc w:val="both"/>
      </w:pPr>
      <w:r w:rsidRPr="003A7661">
        <w:tab/>
        <w:t xml:space="preserve">6) реализация мероприятий по повышению эффективности бюджетных расходов, внедрение принципов </w:t>
      </w:r>
      <w:proofErr w:type="spellStart"/>
      <w:r w:rsidRPr="003A7661">
        <w:t>бюджетирования</w:t>
      </w:r>
      <w:proofErr w:type="spellEnd"/>
      <w:r w:rsidRPr="003A7661">
        <w:t xml:space="preserve">, </w:t>
      </w:r>
      <w:proofErr w:type="gramStart"/>
      <w:r w:rsidRPr="003A7661">
        <w:t>ориентированного</w:t>
      </w:r>
      <w:proofErr w:type="gramEnd"/>
      <w:r w:rsidRPr="003A7661">
        <w:t xml:space="preserve"> на результат.</w:t>
      </w:r>
    </w:p>
    <w:p w:rsidR="002B6D81" w:rsidRPr="003A7661" w:rsidRDefault="002B6D81" w:rsidP="002B6D81">
      <w:pPr>
        <w:jc w:val="both"/>
      </w:pPr>
    </w:p>
    <w:p w:rsidR="002B6D81" w:rsidRDefault="002B6D81" w:rsidP="002B6D81">
      <w:pPr>
        <w:jc w:val="center"/>
      </w:pPr>
      <w:r w:rsidRPr="003A7661">
        <w:rPr>
          <w:lang w:val="en-US"/>
        </w:rPr>
        <w:t>IV</w:t>
      </w:r>
      <w:r w:rsidRPr="003A7661">
        <w:t>. Анализ текущей с</w:t>
      </w:r>
      <w:r>
        <w:t xml:space="preserve">итуации по формированию системы </w:t>
      </w:r>
    </w:p>
    <w:p w:rsidR="002B6D81" w:rsidRPr="003A7661" w:rsidRDefault="002B6D81" w:rsidP="002B6D81">
      <w:pPr>
        <w:jc w:val="center"/>
      </w:pPr>
      <w:r w:rsidRPr="003A7661">
        <w:t>оплат</w:t>
      </w:r>
      <w:r>
        <w:t>ы труда работников бюджетных</w:t>
      </w:r>
      <w:r w:rsidRPr="003A7661">
        <w:t xml:space="preserve"> учреждений культуры</w:t>
      </w:r>
    </w:p>
    <w:p w:rsidR="002B6D81" w:rsidRPr="003A7661" w:rsidRDefault="002B6D81" w:rsidP="002B6D81"/>
    <w:p w:rsidR="002B6D81" w:rsidRPr="003A7661" w:rsidRDefault="002B6D81" w:rsidP="002B6D81">
      <w:pPr>
        <w:jc w:val="both"/>
      </w:pPr>
      <w:r w:rsidRPr="003A7661">
        <w:lastRenderedPageBreak/>
        <w:tab/>
        <w:t xml:space="preserve">Система </w:t>
      </w:r>
      <w:proofErr w:type="gramStart"/>
      <w:r w:rsidRPr="003A7661">
        <w:t>оплат</w:t>
      </w:r>
      <w:r>
        <w:t>ы труда работников бюджетных</w:t>
      </w:r>
      <w:r w:rsidRPr="003A7661">
        <w:t xml:space="preserve"> учреждений культуры</w:t>
      </w:r>
      <w:proofErr w:type="gramEnd"/>
      <w:r w:rsidRPr="003A7661">
        <w:t xml:space="preserve"> Кичменгско-Городецкого муниципального района установлена:</w:t>
      </w:r>
    </w:p>
    <w:p w:rsidR="002B6D81" w:rsidRPr="003A7661" w:rsidRDefault="002B6D81" w:rsidP="002B6D81">
      <w:pPr>
        <w:jc w:val="both"/>
      </w:pPr>
      <w:r>
        <w:t>1. Постановлением Администрации Кичменгско-Городецкого муниципального района от 28.06.2016г. №417 «Об утверждении положения об оплате труда учреждений, подведомственных Управлению культуры, молодежной политики, туризма и спорта администрации Кичменгско-Городецкого муниципального района».</w:t>
      </w:r>
    </w:p>
    <w:p w:rsidR="002B6D81" w:rsidRPr="003A7661" w:rsidRDefault="002B6D81" w:rsidP="002B6D81">
      <w:pPr>
        <w:jc w:val="both"/>
      </w:pPr>
      <w:r>
        <w:t>2.</w:t>
      </w:r>
      <w:r w:rsidRPr="003A7661">
        <w:t xml:space="preserve"> </w:t>
      </w:r>
      <w:r>
        <w:t>П</w:t>
      </w:r>
      <w:r w:rsidRPr="003A7661">
        <w:t>остановлениями глав сельских поселений об утверждении Положений об оплат</w:t>
      </w:r>
      <w:r>
        <w:t>е труда работников бюджетных</w:t>
      </w:r>
      <w:r w:rsidRPr="003A7661">
        <w:t xml:space="preserve"> учре</w:t>
      </w:r>
      <w:r>
        <w:t xml:space="preserve">ждений культуры, финансируемых </w:t>
      </w:r>
      <w:r w:rsidRPr="003A7661">
        <w:t>из бюджетов сельских поселений.</w:t>
      </w:r>
    </w:p>
    <w:p w:rsidR="002B6D81" w:rsidRPr="003A7661" w:rsidRDefault="002B6D81" w:rsidP="002B6D81">
      <w:pPr>
        <w:jc w:val="both"/>
      </w:pPr>
      <w:r w:rsidRPr="003A7661">
        <w:tab/>
        <w:t xml:space="preserve">Данные системы оплаты труда, а также системы оплаты </w:t>
      </w:r>
      <w:r>
        <w:t>труда, введенные в муниципальных</w:t>
      </w:r>
      <w:r w:rsidRPr="003A7661">
        <w:t xml:space="preserve"> учреждениях культуры </w:t>
      </w:r>
      <w:r>
        <w:t xml:space="preserve">и дополнительного образования, </w:t>
      </w:r>
      <w:r w:rsidRPr="003A7661">
        <w:t xml:space="preserve">позволили существенно расширить самостоятельность учреждений в решении вопросов оплаты труда работников. Переход на новые системы оплаты труда в сфере культуры района осуществлялся в период 2009-2010 годов (официально признанный период экономического кризиса) и предполагал проведение </w:t>
      </w:r>
      <w:proofErr w:type="gramStart"/>
      <w:r w:rsidRPr="003A7661">
        <w:t>оптимизации сети учреждений культуры района</w:t>
      </w:r>
      <w:proofErr w:type="gramEnd"/>
      <w:r w:rsidRPr="003A7661">
        <w:t>.</w:t>
      </w:r>
    </w:p>
    <w:p w:rsidR="002B6D81" w:rsidRPr="003A7661" w:rsidRDefault="002B6D81" w:rsidP="002B6D81">
      <w:pPr>
        <w:jc w:val="both"/>
      </w:pPr>
      <w:r w:rsidRPr="003A7661">
        <w:tab/>
      </w:r>
      <w:proofErr w:type="gramStart"/>
      <w:r w:rsidRPr="003A7661">
        <w:t>Указ Президента Российской Федерации от 7 мая 2012 года №597 «О мероприятиях по реализации государственной социальной политики» предусматривает повышение оплаты труда работников бюджетной сферы, в</w:t>
      </w:r>
      <w:r>
        <w:t xml:space="preserve"> том числе за счет направления </w:t>
      </w:r>
      <w:r w:rsidRPr="003A7661">
        <w:t>на эти цели средств от реорганиз</w:t>
      </w:r>
      <w:r>
        <w:t xml:space="preserve">ации неэффективных учреждений, </w:t>
      </w:r>
      <w:r w:rsidRPr="003A7661">
        <w:t>максимального</w:t>
      </w:r>
      <w:r>
        <w:t xml:space="preserve"> </w:t>
      </w:r>
      <w:r w:rsidRPr="003A7661">
        <w:t>привлечения средств от приносящей доход деятел</w:t>
      </w:r>
      <w:r>
        <w:t xml:space="preserve">ьности, оптимизации численного </w:t>
      </w:r>
      <w:r w:rsidRPr="003A7661">
        <w:t>персонала учреждения путем перераспределения функциональн</w:t>
      </w:r>
      <w:r>
        <w:t>ых обязанностей.</w:t>
      </w:r>
      <w:proofErr w:type="gramEnd"/>
      <w:r>
        <w:t xml:space="preserve"> Бюджетными </w:t>
      </w:r>
      <w:r w:rsidRPr="003A7661">
        <w:t>учреждениями кул</w:t>
      </w:r>
      <w:r>
        <w:t xml:space="preserve">ьтуры с </w:t>
      </w:r>
      <w:r w:rsidRPr="003A7661">
        <w:t>2012</w:t>
      </w:r>
      <w:r>
        <w:t xml:space="preserve"> по 2016 годы</w:t>
      </w:r>
      <w:r w:rsidRPr="003A7661">
        <w:t xml:space="preserve"> проведены оптимизационные мероприятия по реструктуризации сети, штатной численности, со</w:t>
      </w:r>
      <w:r>
        <w:t>кращению неэффективных расходов, выведению за штат несвойственных функций.</w:t>
      </w:r>
    </w:p>
    <w:p w:rsidR="002B6D81" w:rsidRPr="003A7661" w:rsidRDefault="002B6D81" w:rsidP="002B6D81">
      <w:pPr>
        <w:jc w:val="both"/>
      </w:pPr>
    </w:p>
    <w:p w:rsidR="002B6D81" w:rsidRDefault="002B6D81" w:rsidP="002B6D81">
      <w:pPr>
        <w:jc w:val="center"/>
      </w:pPr>
      <w:r w:rsidRPr="003A7661">
        <w:rPr>
          <w:lang w:val="en-US"/>
        </w:rPr>
        <w:t>V</w:t>
      </w:r>
      <w:r w:rsidRPr="003A7661">
        <w:t>. Мероприятия по совершенствованию оплаты труд</w:t>
      </w:r>
      <w:r>
        <w:t>а</w:t>
      </w:r>
    </w:p>
    <w:p w:rsidR="002B6D81" w:rsidRPr="003A7661" w:rsidRDefault="002B6D81" w:rsidP="002B6D81">
      <w:pPr>
        <w:jc w:val="center"/>
      </w:pPr>
      <w:r w:rsidRPr="003A7661">
        <w:t>работников учреждений культуры</w:t>
      </w:r>
    </w:p>
    <w:p w:rsidR="002B6D81" w:rsidRPr="003A7661" w:rsidRDefault="002B6D81" w:rsidP="002B6D81">
      <w:pPr>
        <w:jc w:val="both"/>
      </w:pPr>
    </w:p>
    <w:p w:rsidR="002B6D81" w:rsidRPr="003A7661" w:rsidRDefault="002B6D81" w:rsidP="002B6D81">
      <w:pPr>
        <w:jc w:val="both"/>
      </w:pPr>
      <w:r>
        <w:tab/>
      </w:r>
      <w:r w:rsidRPr="003A7661">
        <w:t xml:space="preserve">1. </w:t>
      </w:r>
      <w:proofErr w:type="gramStart"/>
      <w:r w:rsidRPr="003A7661">
        <w:t>Разработка и проведение мероприятий по совершенствованию оплаты труда работни</w:t>
      </w:r>
      <w:r>
        <w:t xml:space="preserve">ков учреждений культуры района </w:t>
      </w:r>
      <w:r w:rsidRPr="003A7661">
        <w:t>осуществляется с учетом рекомендаций Программы поэтапного совершенствования системы оплаты труда в муниципальных учреждениях на 2012-2018 годы, утвержденной распоряжением Правительства Российской Федерации  от 26 ноября 2012 года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</w:t>
      </w:r>
      <w:proofErr w:type="gramEnd"/>
      <w:r w:rsidRPr="003A7661">
        <w:t xml:space="preserve"> год решением Российской трехсторонней комис</w:t>
      </w:r>
      <w:r>
        <w:t>сии по регулированию социально-</w:t>
      </w:r>
      <w:r w:rsidRPr="003A7661">
        <w:t>трудовых отношений,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 декабря 2012 года № 2606</w:t>
      </w:r>
      <w:r>
        <w:t xml:space="preserve"> (с последующими изменениями)</w:t>
      </w:r>
      <w:r w:rsidRPr="003A7661">
        <w:t>.</w:t>
      </w:r>
    </w:p>
    <w:p w:rsidR="002B6D81" w:rsidRPr="003A7661" w:rsidRDefault="002B6D81" w:rsidP="002B6D81">
      <w:pPr>
        <w:jc w:val="both"/>
      </w:pPr>
      <w:r>
        <w:tab/>
      </w:r>
      <w:r w:rsidRPr="003A7661"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2B6D81" w:rsidRPr="003A7661" w:rsidRDefault="002B6D81" w:rsidP="002B6D81">
      <w:pPr>
        <w:jc w:val="both"/>
      </w:pPr>
      <w:proofErr w:type="gramStart"/>
      <w:r w:rsidRPr="003A7661">
        <w:t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Указами президента Российской Федерации от 7 мая 2012 года №597 «О мероприятиях по реализации государственной социальной политики» и от 1 июня 2012 года №761 «О национальной стратегии действий в интересах детей на 2012-2017 годы», и средней заработной платы в Вологодской области: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984"/>
        <w:gridCol w:w="932"/>
        <w:gridCol w:w="932"/>
        <w:gridCol w:w="932"/>
        <w:gridCol w:w="933"/>
        <w:gridCol w:w="933"/>
        <w:gridCol w:w="933"/>
      </w:tblGrid>
      <w:tr w:rsidR="002B6D81" w:rsidRPr="00663BD5" w:rsidTr="000329C7">
        <w:tc>
          <w:tcPr>
            <w:tcW w:w="3976" w:type="dxa"/>
            <w:gridSpan w:val="2"/>
          </w:tcPr>
          <w:p w:rsidR="002B6D81" w:rsidRPr="00663BD5" w:rsidRDefault="002B6D81" w:rsidP="000329C7">
            <w:pPr>
              <w:jc w:val="both"/>
            </w:pP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t>2013 год</w:t>
            </w: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t>2014 год</w:t>
            </w: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t>2015 год</w:t>
            </w:r>
          </w:p>
        </w:tc>
        <w:tc>
          <w:tcPr>
            <w:tcW w:w="933" w:type="dxa"/>
          </w:tcPr>
          <w:p w:rsidR="002B6D81" w:rsidRPr="00663BD5" w:rsidRDefault="002B6D81" w:rsidP="000329C7">
            <w:pPr>
              <w:jc w:val="center"/>
            </w:pPr>
            <w:r w:rsidRPr="00663BD5">
              <w:t>2016 год</w:t>
            </w:r>
          </w:p>
        </w:tc>
        <w:tc>
          <w:tcPr>
            <w:tcW w:w="933" w:type="dxa"/>
          </w:tcPr>
          <w:p w:rsidR="002B6D81" w:rsidRPr="00663BD5" w:rsidRDefault="002B6D81" w:rsidP="000329C7">
            <w:pPr>
              <w:jc w:val="center"/>
            </w:pPr>
            <w:r w:rsidRPr="00663BD5">
              <w:t>2017 год</w:t>
            </w:r>
          </w:p>
        </w:tc>
        <w:tc>
          <w:tcPr>
            <w:tcW w:w="933" w:type="dxa"/>
          </w:tcPr>
          <w:p w:rsidR="002B6D81" w:rsidRPr="00663BD5" w:rsidRDefault="002B6D81" w:rsidP="000329C7">
            <w:pPr>
              <w:jc w:val="center"/>
            </w:pPr>
            <w:r w:rsidRPr="00663BD5">
              <w:t>2018 год</w:t>
            </w:r>
          </w:p>
        </w:tc>
      </w:tr>
      <w:tr w:rsidR="002B6D81" w:rsidRPr="00663BD5" w:rsidTr="000329C7">
        <w:tc>
          <w:tcPr>
            <w:tcW w:w="1992" w:type="dxa"/>
          </w:tcPr>
          <w:p w:rsidR="002B6D81" w:rsidRPr="00663BD5" w:rsidRDefault="002B6D81" w:rsidP="000329C7">
            <w:pPr>
              <w:jc w:val="both"/>
            </w:pPr>
            <w:r w:rsidRPr="00663BD5">
              <w:t xml:space="preserve">Работники </w:t>
            </w:r>
            <w:r w:rsidRPr="00663BD5">
              <w:lastRenderedPageBreak/>
              <w:t>учреждений культуры.</w:t>
            </w:r>
          </w:p>
        </w:tc>
        <w:tc>
          <w:tcPr>
            <w:tcW w:w="1984" w:type="dxa"/>
          </w:tcPr>
          <w:p w:rsidR="002B6D81" w:rsidRPr="00663BD5" w:rsidRDefault="002B6D81" w:rsidP="000329C7">
            <w:pPr>
              <w:jc w:val="both"/>
            </w:pPr>
            <w:r w:rsidRPr="00663BD5">
              <w:lastRenderedPageBreak/>
              <w:t xml:space="preserve">Контролируемые </w:t>
            </w:r>
            <w:r w:rsidRPr="00663BD5">
              <w:lastRenderedPageBreak/>
              <w:t>целевые показатели, %</w:t>
            </w: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lastRenderedPageBreak/>
              <w:t>30,5</w:t>
            </w: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t>47,7</w:t>
            </w:r>
          </w:p>
        </w:tc>
        <w:tc>
          <w:tcPr>
            <w:tcW w:w="932" w:type="dxa"/>
          </w:tcPr>
          <w:p w:rsidR="002B6D81" w:rsidRPr="00663BD5" w:rsidRDefault="002B6D81" w:rsidP="000329C7">
            <w:pPr>
              <w:jc w:val="center"/>
            </w:pPr>
            <w:r w:rsidRPr="00663BD5">
              <w:t>64,9</w:t>
            </w:r>
          </w:p>
        </w:tc>
        <w:tc>
          <w:tcPr>
            <w:tcW w:w="933" w:type="dxa"/>
          </w:tcPr>
          <w:p w:rsidR="002B6D81" w:rsidRPr="00663BD5" w:rsidRDefault="002B6D81" w:rsidP="000329C7">
            <w:pPr>
              <w:jc w:val="center"/>
            </w:pPr>
            <w:r w:rsidRPr="00663BD5">
              <w:t>59,</w:t>
            </w:r>
            <w:r>
              <w:t>6</w:t>
            </w:r>
          </w:p>
        </w:tc>
        <w:tc>
          <w:tcPr>
            <w:tcW w:w="933" w:type="dxa"/>
          </w:tcPr>
          <w:p w:rsidR="002B6D81" w:rsidRPr="00663BD5" w:rsidRDefault="00260DAD" w:rsidP="000329C7">
            <w:pPr>
              <w:jc w:val="center"/>
            </w:pPr>
            <w:r>
              <w:t>90</w:t>
            </w:r>
          </w:p>
        </w:tc>
        <w:tc>
          <w:tcPr>
            <w:tcW w:w="933" w:type="dxa"/>
          </w:tcPr>
          <w:p w:rsidR="002B6D81" w:rsidRPr="00663BD5" w:rsidRDefault="002B6D81" w:rsidP="000329C7">
            <w:pPr>
              <w:jc w:val="center"/>
            </w:pPr>
            <w:r w:rsidRPr="00663BD5">
              <w:t>100</w:t>
            </w:r>
          </w:p>
        </w:tc>
      </w:tr>
    </w:tbl>
    <w:p w:rsidR="002B6D81" w:rsidRDefault="002B6D81" w:rsidP="002B6D81">
      <w:pPr>
        <w:jc w:val="both"/>
      </w:pPr>
      <w:r w:rsidRPr="003A7661">
        <w:lastRenderedPageBreak/>
        <w:t>2) предельная доля расходов на оплату труда административн</w:t>
      </w:r>
      <w:r>
        <w:t xml:space="preserve">о-управленческого </w:t>
      </w:r>
      <w:r w:rsidRPr="003A7661">
        <w:t>и вспомогательного персонала учреждений культуры в фонде опла</w:t>
      </w:r>
      <w:r>
        <w:t xml:space="preserve">ты труда учреждения – не более </w:t>
      </w:r>
      <w:r w:rsidRPr="003A7661">
        <w:t>40 процентов.</w:t>
      </w:r>
    </w:p>
    <w:p w:rsidR="002B6D81" w:rsidRPr="00A7549C" w:rsidRDefault="002B6D81" w:rsidP="002B6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49C">
        <w:rPr>
          <w:rFonts w:ascii="Times New Roman" w:hAnsi="Times New Roman" w:cs="Times New Roman"/>
          <w:sz w:val="24"/>
          <w:szCs w:val="24"/>
        </w:rPr>
        <w:t>3) оптимизация численности работников учреждений культуры (по отношению к 2013 году):</w:t>
      </w:r>
    </w:p>
    <w:p w:rsidR="002B6D81" w:rsidRPr="00A7549C" w:rsidRDefault="002B6D81" w:rsidP="002B6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49C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17"/>
        <w:gridCol w:w="1361"/>
        <w:gridCol w:w="1417"/>
        <w:gridCol w:w="1417"/>
        <w:gridCol w:w="1417"/>
      </w:tblGrid>
      <w:tr w:rsidR="002B6D81" w:rsidRPr="00A7549C" w:rsidTr="000329C7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B6D81" w:rsidRPr="00A7549C" w:rsidTr="000329C7">
        <w:trPr>
          <w:trHeight w:val="44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7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1" w:rsidRPr="00913370" w:rsidRDefault="002B6D81" w:rsidP="00032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</w:tbl>
    <w:p w:rsidR="002B6D81" w:rsidRPr="00A7549C" w:rsidRDefault="002B6D81" w:rsidP="002B6D81">
      <w:pPr>
        <w:jc w:val="both"/>
      </w:pPr>
    </w:p>
    <w:p w:rsidR="002B6D81" w:rsidRDefault="002B6D81" w:rsidP="002B6D81"/>
    <w:p w:rsidR="002B6D81" w:rsidRPr="003A7661" w:rsidRDefault="002B6D81" w:rsidP="002B6D81">
      <w:pPr>
        <w:jc w:val="center"/>
      </w:pPr>
      <w:proofErr w:type="gramStart"/>
      <w:r w:rsidRPr="003A7661">
        <w:rPr>
          <w:lang w:val="en-US"/>
        </w:rPr>
        <w:t>YI</w:t>
      </w:r>
      <w:r w:rsidRPr="003A7661">
        <w:t>.</w:t>
      </w:r>
      <w:proofErr w:type="gramEnd"/>
      <w:r w:rsidRPr="003A7661">
        <w:t xml:space="preserve">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контракт.</w:t>
      </w:r>
    </w:p>
    <w:p w:rsidR="002B6D81" w:rsidRPr="003A7661" w:rsidRDefault="002B6D81" w:rsidP="002B6D81">
      <w:pPr>
        <w:jc w:val="center"/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3"/>
        <w:gridCol w:w="1960"/>
        <w:gridCol w:w="1677"/>
        <w:gridCol w:w="1900"/>
      </w:tblGrid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center"/>
            </w:pPr>
            <w:r w:rsidRPr="003A7661">
              <w:t>Наименование мероприятия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Результат 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Срок исполнения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Ответственный исполнитель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>1. Совершенствование системы оплаты труда.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Разработка (изменение) системы </w:t>
            </w:r>
            <w:proofErr w:type="gramStart"/>
            <w:r w:rsidRPr="003A7661">
              <w:t>показателей эффективности деятельности бюджетных учреждений культуры</w:t>
            </w:r>
            <w:proofErr w:type="gramEnd"/>
            <w:r w:rsidRPr="003A7661">
              <w:t xml:space="preserve"> и дополнительного образования в сфере культуры и искусства с учетом методических рекомендаций, подготовленных Министерством культуры Российской Федерации.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Приказ Управления культуры, молодежной политики, туризма и спорта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proofErr w:type="gramStart"/>
            <w:r w:rsidRPr="003A7661"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сокращения неэффективных расходов, а также по возможному привлечению средств от приносящей доход деятельности и экономии средств, полученных при осуществлении закупок в соответствии с законодательством о контрактной системе в сфере закупок товаров, работ и услуг для обеспечения государственных и муниципальных</w:t>
            </w:r>
            <w:proofErr w:type="gramEnd"/>
            <w:r w:rsidRPr="003A7661">
              <w:t xml:space="preserve"> нужд (включая мероприятия по максимальному использованию площадей и имущества, по расширению перечня платных услуг, по повышению доступности информации об услугах учреждений культуры).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Аналитическая справка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Разработка (внесение изменений) штатных расписаний бюджетных </w:t>
            </w:r>
            <w:r w:rsidRPr="003A7661">
              <w:lastRenderedPageBreak/>
              <w:t>учреждений культуры, подведомственных Управлению культуры, молодежной политики, туризма и спорта (далее подведомственные учреждения), с учетом отраслевых норм труда.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lastRenderedPageBreak/>
              <w:t>Локальные акты подведомственн</w:t>
            </w:r>
            <w:r w:rsidRPr="003A7661">
              <w:lastRenderedPageBreak/>
              <w:t>ых учреждений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lastRenderedPageBreak/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Управление культуры, </w:t>
            </w:r>
            <w:r w:rsidRPr="003A7661">
              <w:lastRenderedPageBreak/>
              <w:t>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Default="002B6D81" w:rsidP="000329C7">
            <w:pPr>
              <w:jc w:val="both"/>
            </w:pPr>
            <w:r w:rsidRPr="003A7661">
              <w:lastRenderedPageBreak/>
              <w:t>Обеспечение внесения в По</w:t>
            </w:r>
            <w:r>
              <w:t xml:space="preserve">становление </w:t>
            </w:r>
          </w:p>
          <w:p w:rsidR="002B6D81" w:rsidRPr="003A7661" w:rsidRDefault="002B6D81" w:rsidP="000329C7">
            <w:pPr>
              <w:jc w:val="both"/>
            </w:pPr>
            <w:r>
              <w:t xml:space="preserve">Администрации Кичменгско-Городецкого муниципального района от 28.06.2016г. №417 «Об утверждении положения об оплате труда учреждений, подведомственных Управлению культуры, молодежной политики, туризма и спорта администрации Кичменгско-Городецкого муниципального района» </w:t>
            </w:r>
            <w:r w:rsidRPr="003A7661">
              <w:t>в целях обеспечения уровня установленных базовых окладов работников культуры, искусства и кинематографии по профессиональным квалификационным группам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Постановление Администрации Кичменгско-Городецкого муниципального района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В течение 2-х месяцев после установления Правительством </w:t>
            </w:r>
            <w:r>
              <w:t>Р</w:t>
            </w:r>
            <w:r w:rsidRPr="003A7661">
              <w:t>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расходов на оплату их труда в фонде оплаты труда подведомственных учреждений – не более 40 процентов.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Локальные акты подведомственных учреждений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Обеспечение внедрения </w:t>
            </w:r>
            <w:proofErr w:type="spellStart"/>
            <w:r w:rsidRPr="003A7661">
              <w:t>нормативно-подушевого</w:t>
            </w:r>
            <w:proofErr w:type="spellEnd"/>
            <w:r w:rsidRPr="003A7661">
              <w:t xml:space="preserve"> финансирования в подведомственных учреждениях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Актуализация нормативных затрат на оказание услуг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>2. Мониторинг достижения целевых показателей средней заработной платы отдельных категорий работников, определенных Указами Президента Российской Федерации от 7 мая 2012 года №597 и от 1 июня 2012 года №761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Проведение мониторинга реализации мероприятий по повышению оплаты труда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Аналитическая справка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ежеквартально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Управление культуры, молодежной политики, </w:t>
            </w:r>
            <w:r w:rsidRPr="003A7661">
              <w:lastRenderedPageBreak/>
              <w:t>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proofErr w:type="gramStart"/>
            <w:r w:rsidRPr="003A7661">
              <w:lastRenderedPageBreak/>
              <w:t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 Президента РФ от 7 мая 2012 года №597, с учетом ситуации на рынке труда, в том числе в части дефицита (избытка) кадров, с целью недопущения отставания от установленных распоряжением Правительства РФ от 28 декабря 2012 года №2606-р «Об утверждении плана мероприятий «Изменения в</w:t>
            </w:r>
            <w:proofErr w:type="gramEnd"/>
            <w:r w:rsidRPr="003A7661">
              <w:t xml:space="preserve"> </w:t>
            </w:r>
            <w:proofErr w:type="gramStart"/>
            <w:r w:rsidRPr="003A7661">
              <w:t>отраслях социальной сферы, направленные на повышение эффективности сферы культуры», настоящей «дорожной картой» целевых показателей динамики повышения заработной платы работников учреждений культуры.</w:t>
            </w:r>
            <w:proofErr w:type="gramEnd"/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Подготовка сводного рейтинга показателей уровня и динамики заработной платы работников учреждений культуры в разрезе сельских поселений района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ежеквартально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расходов.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Актуализация расчета потребности в дополнительных ресурсах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По мере необходимости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3. Независимая система </w:t>
            </w:r>
            <w:proofErr w:type="gramStart"/>
            <w:r w:rsidRPr="003A7661">
              <w:t>оценки качества работы бюджетных учреждений культуры района</w:t>
            </w:r>
            <w:proofErr w:type="gramEnd"/>
            <w:r w:rsidRPr="003A7661">
              <w:t>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Обеспечение координации деятельности в районе по улучшению качества работы учреждений культуры по результатам независимой </w:t>
            </w:r>
            <w:proofErr w:type="gramStart"/>
            <w:r w:rsidRPr="003A7661">
              <w:t>оценки качества работы учреждений культуры</w:t>
            </w:r>
            <w:proofErr w:type="gramEnd"/>
            <w:r w:rsidRPr="003A7661">
              <w:t>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Повышение качества работы учреждений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Создание условий для формирования и обеспечения </w:t>
            </w:r>
            <w:proofErr w:type="gramStart"/>
            <w:r w:rsidRPr="003A7661">
              <w:t>функционирования независимой системы оценки качества работы муниципальных учреждений культуры</w:t>
            </w:r>
            <w:proofErr w:type="gramEnd"/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Повышение качества работы учреждений 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Оказание содействия общественному совету при Департаменте культуры и охраны объектов культурного наследия области при организации работы по независимой оценке качества работы учреждений культуры и составлению рейтингов деятельности учреждений культуры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Предоставление информации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Обеспечение информационной открытости учреждений культуры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Создание официальных сайтов </w:t>
            </w:r>
            <w:r w:rsidRPr="003A7661">
              <w:lastRenderedPageBreak/>
              <w:t>учреждений культуры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lastRenderedPageBreak/>
              <w:t>2016 год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Управление культуры, молодежной </w:t>
            </w:r>
            <w:r w:rsidRPr="003A7661">
              <w:lastRenderedPageBreak/>
              <w:t>политики, туризма и спорта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lastRenderedPageBreak/>
              <w:t xml:space="preserve">Проведение мониторинга качества работы учреждений культуры, анализ </w:t>
            </w:r>
            <w:proofErr w:type="gramStart"/>
            <w:r w:rsidRPr="003A7661">
              <w:t>итогов мониторинга качества работы учреждений культуры</w:t>
            </w:r>
            <w:proofErr w:type="gramEnd"/>
            <w:r w:rsidRPr="003A7661">
              <w:t xml:space="preserve"> и результатов рейтинга их деятельности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аналитический отчет.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4. Создание прозрачного </w:t>
            </w:r>
            <w:proofErr w:type="gramStart"/>
            <w:r w:rsidRPr="003A7661">
              <w:t>механизма оплаты труда руководителей учреждений</w:t>
            </w:r>
            <w:proofErr w:type="gramEnd"/>
            <w:r w:rsidRPr="003A7661">
              <w:t>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proofErr w:type="gramStart"/>
            <w:r w:rsidRPr="003A7661">
              <w:t>Контроль за</w:t>
            </w:r>
            <w:proofErr w:type="gramEnd"/>
            <w:r w:rsidRPr="003A7661">
              <w:t xml:space="preserve"> выполнением в полном объеме мер по созданию прозрачного механизма оплаты труда руководителей подведомственных учреждений, включая:</w:t>
            </w:r>
          </w:p>
          <w:p w:rsidR="002B6D81" w:rsidRPr="003A7661" w:rsidRDefault="002B6D81" w:rsidP="000329C7">
            <w:pPr>
              <w:jc w:val="both"/>
            </w:pPr>
            <w:r w:rsidRPr="003A7661">
              <w:t>- предоставление руководителями сведений о доходах и имуществе и размещение их в системе Интернет;</w:t>
            </w:r>
          </w:p>
          <w:p w:rsidR="002B6D81" w:rsidRPr="003A7661" w:rsidRDefault="002B6D81" w:rsidP="000329C7">
            <w:pPr>
              <w:jc w:val="both"/>
            </w:pPr>
          </w:p>
          <w:p w:rsidR="002B6D81" w:rsidRPr="003A7661" w:rsidRDefault="002B6D81" w:rsidP="000329C7">
            <w:pPr>
              <w:jc w:val="both"/>
            </w:pPr>
          </w:p>
          <w:p w:rsidR="002B6D81" w:rsidRPr="003A7661" w:rsidRDefault="002B6D81" w:rsidP="000329C7">
            <w:pPr>
              <w:jc w:val="both"/>
            </w:pPr>
          </w:p>
          <w:p w:rsidR="002B6D81" w:rsidRPr="003A7661" w:rsidRDefault="002B6D81" w:rsidP="000329C7">
            <w:pPr>
              <w:jc w:val="both"/>
            </w:pPr>
            <w:r w:rsidRPr="003A7661">
              <w:t>-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Правительством Российской Федерации от 12.04.2013 №329 «О типовой форме трудового договора с руководителем государственного (муниципального) учреждения;</w:t>
            </w:r>
          </w:p>
          <w:p w:rsidR="002B6D81" w:rsidRPr="003A7661" w:rsidRDefault="002B6D81" w:rsidP="000329C7">
            <w:pPr>
              <w:jc w:val="both"/>
            </w:pPr>
          </w:p>
          <w:p w:rsidR="002B6D81" w:rsidRPr="003A7661" w:rsidRDefault="002B6D81" w:rsidP="000329C7">
            <w:pPr>
              <w:jc w:val="both"/>
            </w:pPr>
            <w:r w:rsidRPr="003A7661">
              <w:t xml:space="preserve">- соблюдение установленных соотношений средней заработной платы руководителей учреждений </w:t>
            </w:r>
            <w:proofErr w:type="gramStart"/>
            <w:r w:rsidRPr="003A7661">
              <w:t>с</w:t>
            </w:r>
            <w:proofErr w:type="gramEnd"/>
            <w:r w:rsidRPr="003A7661">
              <w:t xml:space="preserve"> средней заработной платы работников учреждений (средняя заработная плата руководителей учреждений не превышает более чем в 8 раз уровень средней заработной платы работников).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  <w:r w:rsidRPr="003A7661">
              <w:t>Размещение представленных сведений в сети Интернет</w:t>
            </w:r>
          </w:p>
          <w:p w:rsidR="002B6D81" w:rsidRPr="003A7661" w:rsidRDefault="002B6D81" w:rsidP="000329C7"/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  <w:r w:rsidRPr="003A7661">
              <w:t>Внедрение механизма «эффективный контракт»</w:t>
            </w:r>
          </w:p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>
            <w:pPr>
              <w:jc w:val="center"/>
            </w:pPr>
            <w:r w:rsidRPr="003A7661">
              <w:t xml:space="preserve">Обеспечение предельного </w:t>
            </w:r>
            <w:proofErr w:type="gramStart"/>
            <w:r w:rsidRPr="003A7661">
              <w:t>уровня оплаты труда руководителя учреждения</w:t>
            </w:r>
            <w:proofErr w:type="gramEnd"/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  <w:r w:rsidRPr="003A7661">
              <w:t>По мере необходимости</w:t>
            </w:r>
          </w:p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/>
          <w:p w:rsidR="002B6D81" w:rsidRPr="003A7661" w:rsidRDefault="002B6D81" w:rsidP="000329C7">
            <w:pPr>
              <w:jc w:val="center"/>
            </w:pPr>
            <w:r w:rsidRPr="003A7661">
              <w:t>Ежемесячно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</w:p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>5. Развитие кадрового потенциала работников учреждений культуры.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Обеспечение внедрения утвержденных профессиональных стандартов в подведомственных учреждениях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Аналитическая справка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2015-2018гг.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Осуществление мероприятий по </w:t>
            </w:r>
            <w:r w:rsidRPr="003A7661">
              <w:lastRenderedPageBreak/>
              <w:t>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(с учетом результатов проведения аттестации работников)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lastRenderedPageBreak/>
              <w:t xml:space="preserve">Аналитическая </w:t>
            </w:r>
            <w:r w:rsidRPr="003A7661">
              <w:lastRenderedPageBreak/>
              <w:t>справка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lastRenderedPageBreak/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 xml:space="preserve">Управление </w:t>
            </w:r>
            <w:r w:rsidRPr="003A7661">
              <w:lastRenderedPageBreak/>
              <w:t>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lastRenderedPageBreak/>
              <w:t>Обеспечение проведения аттестации работников подведомственных учреждений с последующим их переводом на «эффективный контракт» в соответствии с</w:t>
            </w:r>
            <w:r>
              <w:t xml:space="preserve"> рекомендациями, утвержденными </w:t>
            </w:r>
            <w:r w:rsidRPr="003A7661">
              <w:t xml:space="preserve">приказом Минтруда России от 26 апреля 2013 </w:t>
            </w:r>
            <w:r>
              <w:t xml:space="preserve">№167н «Об утверждении </w:t>
            </w:r>
            <w:r w:rsidRPr="003A7661">
              <w:t>рекомендаций по оформлению трудовых отношений с работником государственного (муниципального) учреждения при введении в 2014-2015 годах «эффективного контракта».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Обеспечение соответствия работников квалификационным требованиям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2014-2015гг.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 xml:space="preserve">Обеспечение </w:t>
            </w:r>
            <w:proofErr w:type="gramStart"/>
            <w:r w:rsidRPr="003A7661">
              <w:t>внедрения показателей эффективности деятельности работников подведомственных учреждений</w:t>
            </w:r>
            <w:proofErr w:type="gramEnd"/>
            <w:r w:rsidRPr="003A7661">
              <w:t xml:space="preserve"> и заключение трудовых договоров в соответствии с примерной формой трудового договора («эффективный контракт») в сфере культуры.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Трудовые договоры с работниками подведомственных учреждений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Обеспечение соотношения средней заработной платы основного и вспомогательного персонала подведомственных учреждений до 1:0,7 – 1:0,5 к 2018 году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Аналитическая справка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ежегодно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спорта, руководители подведомственных учреждений.</w:t>
            </w:r>
          </w:p>
        </w:tc>
      </w:tr>
      <w:tr w:rsidR="002B6D81" w:rsidRPr="003A7661" w:rsidTr="000329C7">
        <w:tc>
          <w:tcPr>
            <w:tcW w:w="9927" w:type="dxa"/>
            <w:gridSpan w:val="4"/>
          </w:tcPr>
          <w:p w:rsidR="002B6D81" w:rsidRPr="003A7661" w:rsidRDefault="002B6D81" w:rsidP="000329C7">
            <w:pPr>
              <w:jc w:val="center"/>
            </w:pPr>
            <w:r w:rsidRPr="003A7661">
              <w:t>6. Сопровождение «дорожной карты».</w:t>
            </w:r>
          </w:p>
        </w:tc>
      </w:tr>
      <w:tr w:rsidR="002B6D81" w:rsidRPr="003A7661" w:rsidTr="000329C7">
        <w:tc>
          <w:tcPr>
            <w:tcW w:w="4393" w:type="dxa"/>
          </w:tcPr>
          <w:p w:rsidR="002B6D81" w:rsidRPr="003A7661" w:rsidRDefault="002B6D81" w:rsidP="000329C7">
            <w:pPr>
              <w:jc w:val="both"/>
            </w:pPr>
            <w:r w:rsidRPr="003A7661">
              <w:t>Организация проведения разъяснительной работы в трудовых коллективах подведомственных учреждений.</w:t>
            </w:r>
          </w:p>
        </w:tc>
        <w:tc>
          <w:tcPr>
            <w:tcW w:w="1959" w:type="dxa"/>
          </w:tcPr>
          <w:p w:rsidR="002B6D81" w:rsidRPr="003A7661" w:rsidRDefault="002B6D81" w:rsidP="000329C7">
            <w:pPr>
              <w:jc w:val="center"/>
            </w:pPr>
            <w:r w:rsidRPr="003A7661">
              <w:t>встречи</w:t>
            </w:r>
          </w:p>
        </w:tc>
        <w:tc>
          <w:tcPr>
            <w:tcW w:w="1676" w:type="dxa"/>
          </w:tcPr>
          <w:p w:rsidR="002B6D81" w:rsidRPr="003A7661" w:rsidRDefault="002B6D81" w:rsidP="000329C7">
            <w:pPr>
              <w:jc w:val="center"/>
            </w:pPr>
            <w:r w:rsidRPr="003A7661">
              <w:t>2013-2018гг.</w:t>
            </w:r>
          </w:p>
        </w:tc>
        <w:tc>
          <w:tcPr>
            <w:tcW w:w="1899" w:type="dxa"/>
          </w:tcPr>
          <w:p w:rsidR="002B6D81" w:rsidRPr="003A7661" w:rsidRDefault="002B6D81" w:rsidP="000329C7">
            <w:pPr>
              <w:jc w:val="center"/>
            </w:pPr>
            <w:r w:rsidRPr="003A7661">
              <w:t>Управление культуры, молодежной политики, туризма и спорта</w:t>
            </w:r>
          </w:p>
        </w:tc>
      </w:tr>
    </w:tbl>
    <w:p w:rsidR="002B6D81" w:rsidRPr="003A7661" w:rsidRDefault="002B6D81" w:rsidP="002B6D81">
      <w:pPr>
        <w:jc w:val="center"/>
      </w:pPr>
    </w:p>
    <w:p w:rsidR="002B6D81" w:rsidRPr="003A7661" w:rsidRDefault="002B6D81" w:rsidP="002B6D81">
      <w:pPr>
        <w:jc w:val="both"/>
      </w:pPr>
    </w:p>
    <w:p w:rsidR="002B6D81" w:rsidRPr="003A7661" w:rsidRDefault="002B6D81" w:rsidP="002B6D81"/>
    <w:p w:rsidR="002B6D81" w:rsidRPr="003A7661" w:rsidRDefault="002B6D81" w:rsidP="002B6D81">
      <w:pPr>
        <w:sectPr w:rsidR="002B6D81" w:rsidRPr="003A7661">
          <w:pgSz w:w="11906" w:h="16838"/>
          <w:pgMar w:top="1134" w:right="850" w:bottom="1134" w:left="1701" w:header="708" w:footer="708" w:gutter="0"/>
          <w:cols w:space="720"/>
        </w:sectPr>
      </w:pPr>
    </w:p>
    <w:p w:rsidR="002B6D81" w:rsidRDefault="002B6D81" w:rsidP="002B6D81">
      <w:pPr>
        <w:jc w:val="center"/>
      </w:pPr>
      <w:proofErr w:type="gramStart"/>
      <w:r>
        <w:rPr>
          <w:lang w:val="en-US"/>
        </w:rPr>
        <w:lastRenderedPageBreak/>
        <w:t>YII</w:t>
      </w:r>
      <w:r>
        <w:t>.</w:t>
      </w:r>
      <w:proofErr w:type="gramEnd"/>
      <w:r>
        <w:t xml:space="preserve"> Показатели нормативов «дорожной карты». </w:t>
      </w:r>
    </w:p>
    <w:p w:rsidR="002B6D81" w:rsidRDefault="002B6D81" w:rsidP="002B6D81">
      <w:pPr>
        <w:jc w:val="center"/>
      </w:pPr>
      <w:r>
        <w:t>Категория работников: Работники учреждений культуры.</w:t>
      </w:r>
    </w:p>
    <w:p w:rsidR="002B6D81" w:rsidRDefault="002B6D81" w:rsidP="002B6D81"/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763"/>
        <w:gridCol w:w="4985"/>
        <w:gridCol w:w="1662"/>
        <w:gridCol w:w="1679"/>
        <w:gridCol w:w="1381"/>
        <w:gridCol w:w="1620"/>
        <w:gridCol w:w="1440"/>
        <w:gridCol w:w="1620"/>
      </w:tblGrid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80F9E">
                <w:rPr>
                  <w:color w:val="000000"/>
                  <w:sz w:val="20"/>
                  <w:szCs w:val="20"/>
                </w:rPr>
                <w:t>2013 г</w:t>
              </w:r>
            </w:smartTag>
            <w:r w:rsidRPr="00480F9E">
              <w:rPr>
                <w:color w:val="000000"/>
                <w:sz w:val="20"/>
                <w:szCs w:val="20"/>
              </w:rPr>
              <w:t>. (отчет)</w:t>
            </w:r>
          </w:p>
        </w:tc>
        <w:tc>
          <w:tcPr>
            <w:tcW w:w="1679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0F9E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480F9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81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0F9E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480F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0F9E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480F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80F9E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480F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80F9E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480F9E">
              <w:rPr>
                <w:color w:val="000000"/>
                <w:sz w:val="20"/>
                <w:szCs w:val="20"/>
              </w:rPr>
              <w:t>.</w:t>
            </w:r>
          </w:p>
        </w:tc>
      </w:tr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662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24 944,0</w:t>
            </w:r>
          </w:p>
        </w:tc>
        <w:tc>
          <w:tcPr>
            <w:tcW w:w="1679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26 745,00</w:t>
            </w:r>
          </w:p>
        </w:tc>
        <w:tc>
          <w:tcPr>
            <w:tcW w:w="1381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24 289,7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25 652,0</w:t>
            </w:r>
          </w:p>
        </w:tc>
        <w:tc>
          <w:tcPr>
            <w:tcW w:w="144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26 534,0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27 285,0</w:t>
            </w:r>
          </w:p>
        </w:tc>
      </w:tr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1662" w:type="dxa"/>
            <w:shd w:val="solid" w:color="FFFFFF" w:fill="auto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7 596,8</w:t>
            </w:r>
          </w:p>
        </w:tc>
        <w:tc>
          <w:tcPr>
            <w:tcW w:w="1679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12 745,3</w:t>
            </w:r>
          </w:p>
        </w:tc>
        <w:tc>
          <w:tcPr>
            <w:tcW w:w="1381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15 776,0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297,0</w:t>
            </w:r>
          </w:p>
        </w:tc>
        <w:tc>
          <w:tcPr>
            <w:tcW w:w="1440" w:type="dxa"/>
          </w:tcPr>
          <w:p w:rsidR="002B6D81" w:rsidRPr="00F81628" w:rsidRDefault="0088462C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23880,6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27285,0</w:t>
            </w:r>
          </w:p>
        </w:tc>
      </w:tr>
      <w:tr w:rsidR="002B6D81" w:rsidRPr="00480F9E" w:rsidTr="000329C7">
        <w:trPr>
          <w:trHeight w:val="698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 xml:space="preserve">Соотношение средней заработной платы работников учреждений культуры и средней заработной платы в субъекте Российской Федерации, % </w:t>
            </w:r>
          </w:p>
        </w:tc>
        <w:tc>
          <w:tcPr>
            <w:tcW w:w="1662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30,5</w:t>
            </w:r>
          </w:p>
        </w:tc>
        <w:tc>
          <w:tcPr>
            <w:tcW w:w="1679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47,7</w:t>
            </w:r>
          </w:p>
        </w:tc>
        <w:tc>
          <w:tcPr>
            <w:tcW w:w="1381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64,9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B6D81" w:rsidRPr="00F81628" w:rsidRDefault="0088462C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620" w:type="dxa"/>
          </w:tcPr>
          <w:p w:rsidR="002B6D81" w:rsidRPr="00F81628" w:rsidRDefault="002B6D81" w:rsidP="000329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628">
              <w:rPr>
                <w:sz w:val="20"/>
                <w:szCs w:val="20"/>
              </w:rPr>
              <w:t>100,0</w:t>
            </w:r>
          </w:p>
        </w:tc>
      </w:tr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Среднесписочная численность  работников учреждений культуры, человек</w:t>
            </w:r>
          </w:p>
        </w:tc>
        <w:tc>
          <w:tcPr>
            <w:tcW w:w="1662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90,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2B6D81" w:rsidRPr="00480F9E" w:rsidTr="000329C7">
        <w:trPr>
          <w:trHeight w:val="226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Фонд оплаты труда за счет всех источников, тыс. руб.</w:t>
            </w:r>
          </w:p>
        </w:tc>
        <w:tc>
          <w:tcPr>
            <w:tcW w:w="1662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23 857,1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33 434,4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28 148,5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21 557,8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25744,6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29414,7</w:t>
            </w:r>
          </w:p>
        </w:tc>
      </w:tr>
      <w:tr w:rsidR="002B6D81" w:rsidRPr="00480F9E" w:rsidTr="000329C7">
        <w:trPr>
          <w:trHeight w:val="473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5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0F9E">
                <w:rPr>
                  <w:color w:val="000000"/>
                  <w:sz w:val="20"/>
                  <w:szCs w:val="20"/>
                </w:rPr>
                <w:t>2013 г</w:t>
              </w:r>
            </w:smartTag>
            <w:r w:rsidRPr="00480F9E">
              <w:rPr>
                <w:color w:val="000000"/>
                <w:sz w:val="20"/>
                <w:szCs w:val="20"/>
              </w:rPr>
              <w:t xml:space="preserve">., тыс. рублей 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9 577,3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4 291,4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-1887,5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-5557,6</w:t>
            </w:r>
          </w:p>
        </w:tc>
      </w:tr>
      <w:tr w:rsidR="002B6D81" w:rsidRPr="00480F9E" w:rsidTr="000329C7">
        <w:trPr>
          <w:trHeight w:val="677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5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Соотношение объема средств от оптимизации к объему средств, предусмотренных на повышение заработной платы, %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clear" w:color="auto" w:fill="FFFFFF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81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0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-26,4</w:t>
            </w:r>
          </w:p>
        </w:tc>
        <w:tc>
          <w:tcPr>
            <w:tcW w:w="1620" w:type="dxa"/>
          </w:tcPr>
          <w:p w:rsidR="002B6D81" w:rsidRPr="00480F9E" w:rsidRDefault="006A07D7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85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Объем средств, полученных за счет проведения мероприятий по оптимизации, (тыс. рублей), из них: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849,2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B6D81" w:rsidRPr="00480F9E" w:rsidTr="000329C7">
        <w:trPr>
          <w:trHeight w:val="269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85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от реструктуризации сети, тыс. рублей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B6D81" w:rsidRPr="00480F9E" w:rsidTr="000329C7">
        <w:trPr>
          <w:trHeight w:val="494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5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тыс. рублей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577,1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6D81" w:rsidRPr="00480F9E" w:rsidTr="000329C7">
        <w:trPr>
          <w:trHeight w:val="451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6D81" w:rsidRPr="00480F9E" w:rsidTr="000329C7">
        <w:trPr>
          <w:trHeight w:val="504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80F9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2B6D81" w:rsidRPr="00480F9E" w:rsidTr="000329C7">
        <w:trPr>
          <w:trHeight w:val="902"/>
        </w:trPr>
        <w:tc>
          <w:tcPr>
            <w:tcW w:w="763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5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 (не менее 13% от общего фонда оплаты труда), тыс. рублей</w:t>
            </w:r>
          </w:p>
        </w:tc>
        <w:tc>
          <w:tcPr>
            <w:tcW w:w="1662" w:type="dxa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3 746,1</w:t>
            </w:r>
          </w:p>
        </w:tc>
        <w:tc>
          <w:tcPr>
            <w:tcW w:w="1381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377,2</w:t>
            </w:r>
          </w:p>
        </w:tc>
        <w:tc>
          <w:tcPr>
            <w:tcW w:w="144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935,4</w:t>
            </w:r>
          </w:p>
        </w:tc>
        <w:tc>
          <w:tcPr>
            <w:tcW w:w="1620" w:type="dxa"/>
            <w:shd w:val="solid" w:color="FFFFFF" w:fill="auto"/>
          </w:tcPr>
          <w:p w:rsidR="002B6D81" w:rsidRPr="00480F9E" w:rsidRDefault="002B6D81" w:rsidP="00032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0F9E">
              <w:rPr>
                <w:color w:val="000000"/>
                <w:sz w:val="20"/>
                <w:szCs w:val="20"/>
              </w:rPr>
              <w:t>1 593,5</w:t>
            </w:r>
          </w:p>
        </w:tc>
      </w:tr>
    </w:tbl>
    <w:p w:rsidR="002B6D81" w:rsidRDefault="002B6D81" w:rsidP="002B6D81"/>
    <w:p w:rsidR="002B6D81" w:rsidRPr="0071684B" w:rsidRDefault="002B6D81" w:rsidP="002B6D81"/>
    <w:p w:rsidR="00C33726" w:rsidRDefault="00C33726"/>
    <w:sectPr w:rsidR="00C33726" w:rsidSect="00032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6D81"/>
    <w:rsid w:val="00002DB9"/>
    <w:rsid w:val="0001354B"/>
    <w:rsid w:val="00014D2F"/>
    <w:rsid w:val="00017774"/>
    <w:rsid w:val="00022BC9"/>
    <w:rsid w:val="0002366D"/>
    <w:rsid w:val="0002792F"/>
    <w:rsid w:val="000329C7"/>
    <w:rsid w:val="00033733"/>
    <w:rsid w:val="000347DB"/>
    <w:rsid w:val="000354CF"/>
    <w:rsid w:val="00044E9C"/>
    <w:rsid w:val="00054815"/>
    <w:rsid w:val="00055FA8"/>
    <w:rsid w:val="000615C3"/>
    <w:rsid w:val="000627A5"/>
    <w:rsid w:val="0006429A"/>
    <w:rsid w:val="00065C19"/>
    <w:rsid w:val="00067FCC"/>
    <w:rsid w:val="00070C05"/>
    <w:rsid w:val="00071250"/>
    <w:rsid w:val="00074FC6"/>
    <w:rsid w:val="00076F6E"/>
    <w:rsid w:val="000901A2"/>
    <w:rsid w:val="000903B6"/>
    <w:rsid w:val="00090912"/>
    <w:rsid w:val="000917D8"/>
    <w:rsid w:val="00094430"/>
    <w:rsid w:val="0009605E"/>
    <w:rsid w:val="0009624B"/>
    <w:rsid w:val="000A154B"/>
    <w:rsid w:val="000B1246"/>
    <w:rsid w:val="000B7694"/>
    <w:rsid w:val="000C385A"/>
    <w:rsid w:val="000C4171"/>
    <w:rsid w:val="000C63B6"/>
    <w:rsid w:val="000D214A"/>
    <w:rsid w:val="000D2E23"/>
    <w:rsid w:val="000D499A"/>
    <w:rsid w:val="000D5440"/>
    <w:rsid w:val="000E2343"/>
    <w:rsid w:val="000E5B27"/>
    <w:rsid w:val="000E5BC4"/>
    <w:rsid w:val="000E6C2B"/>
    <w:rsid w:val="000F1A8D"/>
    <w:rsid w:val="000F1F5F"/>
    <w:rsid w:val="000F20B0"/>
    <w:rsid w:val="001007DE"/>
    <w:rsid w:val="00103AFC"/>
    <w:rsid w:val="001048D2"/>
    <w:rsid w:val="0011185A"/>
    <w:rsid w:val="00113B1B"/>
    <w:rsid w:val="0011596C"/>
    <w:rsid w:val="001223F6"/>
    <w:rsid w:val="00125E86"/>
    <w:rsid w:val="00125EC5"/>
    <w:rsid w:val="0013216C"/>
    <w:rsid w:val="001332A5"/>
    <w:rsid w:val="0013330D"/>
    <w:rsid w:val="0014343B"/>
    <w:rsid w:val="0014609A"/>
    <w:rsid w:val="00155AC6"/>
    <w:rsid w:val="00156C6E"/>
    <w:rsid w:val="00157341"/>
    <w:rsid w:val="00160A97"/>
    <w:rsid w:val="00163E10"/>
    <w:rsid w:val="001644C1"/>
    <w:rsid w:val="00164AD0"/>
    <w:rsid w:val="001654A4"/>
    <w:rsid w:val="00166793"/>
    <w:rsid w:val="001706F1"/>
    <w:rsid w:val="00173441"/>
    <w:rsid w:val="00176D4D"/>
    <w:rsid w:val="00180B29"/>
    <w:rsid w:val="001812AB"/>
    <w:rsid w:val="00184111"/>
    <w:rsid w:val="001845AD"/>
    <w:rsid w:val="0019460D"/>
    <w:rsid w:val="001960C2"/>
    <w:rsid w:val="00197417"/>
    <w:rsid w:val="001A045A"/>
    <w:rsid w:val="001A13B8"/>
    <w:rsid w:val="001A363F"/>
    <w:rsid w:val="001A48CD"/>
    <w:rsid w:val="001A50F1"/>
    <w:rsid w:val="001B1B3C"/>
    <w:rsid w:val="001B4772"/>
    <w:rsid w:val="001B52CD"/>
    <w:rsid w:val="001B674F"/>
    <w:rsid w:val="001C3C82"/>
    <w:rsid w:val="001C4121"/>
    <w:rsid w:val="001C496A"/>
    <w:rsid w:val="001C4D1D"/>
    <w:rsid w:val="001C5153"/>
    <w:rsid w:val="001C7F79"/>
    <w:rsid w:val="001D06DF"/>
    <w:rsid w:val="001D5149"/>
    <w:rsid w:val="001D5AB4"/>
    <w:rsid w:val="001D5E3C"/>
    <w:rsid w:val="001E00C5"/>
    <w:rsid w:val="001E09D8"/>
    <w:rsid w:val="001E1AB8"/>
    <w:rsid w:val="001E41CB"/>
    <w:rsid w:val="001E59F5"/>
    <w:rsid w:val="001F21AB"/>
    <w:rsid w:val="001F6A64"/>
    <w:rsid w:val="001F7DD3"/>
    <w:rsid w:val="00202E02"/>
    <w:rsid w:val="00206342"/>
    <w:rsid w:val="00212E76"/>
    <w:rsid w:val="00214CD5"/>
    <w:rsid w:val="002207C0"/>
    <w:rsid w:val="00223AD0"/>
    <w:rsid w:val="0022415A"/>
    <w:rsid w:val="00230FFD"/>
    <w:rsid w:val="00233E1F"/>
    <w:rsid w:val="00234B8A"/>
    <w:rsid w:val="00242CEA"/>
    <w:rsid w:val="00244782"/>
    <w:rsid w:val="00250364"/>
    <w:rsid w:val="00253060"/>
    <w:rsid w:val="00256C3C"/>
    <w:rsid w:val="00260DAD"/>
    <w:rsid w:val="002614CA"/>
    <w:rsid w:val="002641A4"/>
    <w:rsid w:val="00265337"/>
    <w:rsid w:val="002716C2"/>
    <w:rsid w:val="002727FA"/>
    <w:rsid w:val="00273E99"/>
    <w:rsid w:val="00275694"/>
    <w:rsid w:val="00275933"/>
    <w:rsid w:val="002771C4"/>
    <w:rsid w:val="002773A0"/>
    <w:rsid w:val="00285285"/>
    <w:rsid w:val="00291F88"/>
    <w:rsid w:val="00292F62"/>
    <w:rsid w:val="00296BEE"/>
    <w:rsid w:val="002A1457"/>
    <w:rsid w:val="002A1693"/>
    <w:rsid w:val="002A1B7B"/>
    <w:rsid w:val="002A1C4D"/>
    <w:rsid w:val="002A338D"/>
    <w:rsid w:val="002B031E"/>
    <w:rsid w:val="002B381C"/>
    <w:rsid w:val="002B3B0A"/>
    <w:rsid w:val="002B4A37"/>
    <w:rsid w:val="002B5DC3"/>
    <w:rsid w:val="002B5FFF"/>
    <w:rsid w:val="002B6D81"/>
    <w:rsid w:val="002B7DD8"/>
    <w:rsid w:val="002C2224"/>
    <w:rsid w:val="002C27CE"/>
    <w:rsid w:val="002C38C3"/>
    <w:rsid w:val="002D0184"/>
    <w:rsid w:val="002D0F72"/>
    <w:rsid w:val="002E0325"/>
    <w:rsid w:val="002E0A96"/>
    <w:rsid w:val="002E14DD"/>
    <w:rsid w:val="002E50B3"/>
    <w:rsid w:val="002E7D7A"/>
    <w:rsid w:val="002F0810"/>
    <w:rsid w:val="002F0F6D"/>
    <w:rsid w:val="002F4716"/>
    <w:rsid w:val="002F57C9"/>
    <w:rsid w:val="002F66AA"/>
    <w:rsid w:val="002F7DDD"/>
    <w:rsid w:val="003024A2"/>
    <w:rsid w:val="00303F1D"/>
    <w:rsid w:val="00304FEC"/>
    <w:rsid w:val="00305980"/>
    <w:rsid w:val="00306A47"/>
    <w:rsid w:val="003078C0"/>
    <w:rsid w:val="0031229C"/>
    <w:rsid w:val="00322A3C"/>
    <w:rsid w:val="00326D25"/>
    <w:rsid w:val="003330F5"/>
    <w:rsid w:val="00334E52"/>
    <w:rsid w:val="00335A3C"/>
    <w:rsid w:val="003367BD"/>
    <w:rsid w:val="00336AEA"/>
    <w:rsid w:val="003503B1"/>
    <w:rsid w:val="003544AD"/>
    <w:rsid w:val="003633B2"/>
    <w:rsid w:val="00366942"/>
    <w:rsid w:val="003674A5"/>
    <w:rsid w:val="0037135E"/>
    <w:rsid w:val="00371BA9"/>
    <w:rsid w:val="00372705"/>
    <w:rsid w:val="003758FF"/>
    <w:rsid w:val="0037651F"/>
    <w:rsid w:val="0037680F"/>
    <w:rsid w:val="00377A7F"/>
    <w:rsid w:val="00390804"/>
    <w:rsid w:val="0039243E"/>
    <w:rsid w:val="0039416C"/>
    <w:rsid w:val="0039565C"/>
    <w:rsid w:val="00395B8A"/>
    <w:rsid w:val="00397374"/>
    <w:rsid w:val="003A0643"/>
    <w:rsid w:val="003A4A73"/>
    <w:rsid w:val="003B1B45"/>
    <w:rsid w:val="003C0D82"/>
    <w:rsid w:val="003C1ADE"/>
    <w:rsid w:val="003C2A11"/>
    <w:rsid w:val="003C2A26"/>
    <w:rsid w:val="003C2F9C"/>
    <w:rsid w:val="003C78DB"/>
    <w:rsid w:val="003D443A"/>
    <w:rsid w:val="003D6438"/>
    <w:rsid w:val="003E28C3"/>
    <w:rsid w:val="003E4401"/>
    <w:rsid w:val="003E55FE"/>
    <w:rsid w:val="003E7D6E"/>
    <w:rsid w:val="003F11EC"/>
    <w:rsid w:val="003F21C3"/>
    <w:rsid w:val="003F3174"/>
    <w:rsid w:val="003F3D00"/>
    <w:rsid w:val="003F461A"/>
    <w:rsid w:val="003F588E"/>
    <w:rsid w:val="003F7AB8"/>
    <w:rsid w:val="00405CEC"/>
    <w:rsid w:val="00406132"/>
    <w:rsid w:val="00406C47"/>
    <w:rsid w:val="00410043"/>
    <w:rsid w:val="004102EC"/>
    <w:rsid w:val="00413601"/>
    <w:rsid w:val="004141B1"/>
    <w:rsid w:val="004216BC"/>
    <w:rsid w:val="004236DF"/>
    <w:rsid w:val="00424B0D"/>
    <w:rsid w:val="004256C6"/>
    <w:rsid w:val="00425B31"/>
    <w:rsid w:val="00426C9F"/>
    <w:rsid w:val="00426FDB"/>
    <w:rsid w:val="004361CD"/>
    <w:rsid w:val="004376BF"/>
    <w:rsid w:val="0044126D"/>
    <w:rsid w:val="00442575"/>
    <w:rsid w:val="00443615"/>
    <w:rsid w:val="0044445A"/>
    <w:rsid w:val="004462DB"/>
    <w:rsid w:val="004479BA"/>
    <w:rsid w:val="00450B2E"/>
    <w:rsid w:val="0045417F"/>
    <w:rsid w:val="004573AF"/>
    <w:rsid w:val="00466475"/>
    <w:rsid w:val="00467EBD"/>
    <w:rsid w:val="00473359"/>
    <w:rsid w:val="00475379"/>
    <w:rsid w:val="0047611F"/>
    <w:rsid w:val="00481616"/>
    <w:rsid w:val="00494487"/>
    <w:rsid w:val="0049668B"/>
    <w:rsid w:val="004A1AA1"/>
    <w:rsid w:val="004A347A"/>
    <w:rsid w:val="004A5D95"/>
    <w:rsid w:val="004A76D6"/>
    <w:rsid w:val="004A7744"/>
    <w:rsid w:val="004B0AC1"/>
    <w:rsid w:val="004B0BE9"/>
    <w:rsid w:val="004B11AB"/>
    <w:rsid w:val="004B5482"/>
    <w:rsid w:val="004B60FC"/>
    <w:rsid w:val="004B77EB"/>
    <w:rsid w:val="004C109C"/>
    <w:rsid w:val="004C5A5A"/>
    <w:rsid w:val="004C6A6E"/>
    <w:rsid w:val="004D1BF1"/>
    <w:rsid w:val="004D5405"/>
    <w:rsid w:val="004D60D4"/>
    <w:rsid w:val="004D6620"/>
    <w:rsid w:val="004D6740"/>
    <w:rsid w:val="004D6A7F"/>
    <w:rsid w:val="004E0840"/>
    <w:rsid w:val="004E3A81"/>
    <w:rsid w:val="004E4602"/>
    <w:rsid w:val="004E6AE5"/>
    <w:rsid w:val="004F25FD"/>
    <w:rsid w:val="004F2715"/>
    <w:rsid w:val="004F29FD"/>
    <w:rsid w:val="004F5610"/>
    <w:rsid w:val="004F7B12"/>
    <w:rsid w:val="00502AE9"/>
    <w:rsid w:val="005122E4"/>
    <w:rsid w:val="00514295"/>
    <w:rsid w:val="0051509C"/>
    <w:rsid w:val="0051679D"/>
    <w:rsid w:val="00517E1A"/>
    <w:rsid w:val="0052265E"/>
    <w:rsid w:val="00526157"/>
    <w:rsid w:val="00526CA2"/>
    <w:rsid w:val="00532CFF"/>
    <w:rsid w:val="00537377"/>
    <w:rsid w:val="00541E44"/>
    <w:rsid w:val="00542A1A"/>
    <w:rsid w:val="005460F1"/>
    <w:rsid w:val="005466A0"/>
    <w:rsid w:val="00556A5F"/>
    <w:rsid w:val="0056299E"/>
    <w:rsid w:val="00563CB8"/>
    <w:rsid w:val="0056652B"/>
    <w:rsid w:val="00572134"/>
    <w:rsid w:val="00574C3D"/>
    <w:rsid w:val="00580E62"/>
    <w:rsid w:val="00583DEA"/>
    <w:rsid w:val="00585AC5"/>
    <w:rsid w:val="00586D0B"/>
    <w:rsid w:val="005905DD"/>
    <w:rsid w:val="00593414"/>
    <w:rsid w:val="005A0501"/>
    <w:rsid w:val="005A2AB5"/>
    <w:rsid w:val="005A5018"/>
    <w:rsid w:val="005B00A8"/>
    <w:rsid w:val="005B01C7"/>
    <w:rsid w:val="005B5317"/>
    <w:rsid w:val="005B5759"/>
    <w:rsid w:val="005B63DE"/>
    <w:rsid w:val="005C4F87"/>
    <w:rsid w:val="005C590E"/>
    <w:rsid w:val="005C6426"/>
    <w:rsid w:val="005D2580"/>
    <w:rsid w:val="005D4A1A"/>
    <w:rsid w:val="005D77AD"/>
    <w:rsid w:val="005E2698"/>
    <w:rsid w:val="005E560B"/>
    <w:rsid w:val="005F2D26"/>
    <w:rsid w:val="005F3A17"/>
    <w:rsid w:val="005F3BB3"/>
    <w:rsid w:val="005F55A5"/>
    <w:rsid w:val="005F7A38"/>
    <w:rsid w:val="0060014D"/>
    <w:rsid w:val="00614B0D"/>
    <w:rsid w:val="00615581"/>
    <w:rsid w:val="0061580C"/>
    <w:rsid w:val="006166E7"/>
    <w:rsid w:val="00617001"/>
    <w:rsid w:val="00617791"/>
    <w:rsid w:val="00617D9C"/>
    <w:rsid w:val="0062233B"/>
    <w:rsid w:val="00625DBA"/>
    <w:rsid w:val="006307C3"/>
    <w:rsid w:val="006318E5"/>
    <w:rsid w:val="006333DD"/>
    <w:rsid w:val="00633FA9"/>
    <w:rsid w:val="00635C44"/>
    <w:rsid w:val="00636C6B"/>
    <w:rsid w:val="00637382"/>
    <w:rsid w:val="00642561"/>
    <w:rsid w:val="00646C8F"/>
    <w:rsid w:val="00647CCB"/>
    <w:rsid w:val="0065003A"/>
    <w:rsid w:val="006506E7"/>
    <w:rsid w:val="006527A6"/>
    <w:rsid w:val="006535ED"/>
    <w:rsid w:val="00654CFC"/>
    <w:rsid w:val="0065556C"/>
    <w:rsid w:val="00655E9C"/>
    <w:rsid w:val="0066024D"/>
    <w:rsid w:val="006634EA"/>
    <w:rsid w:val="00665484"/>
    <w:rsid w:val="006723AC"/>
    <w:rsid w:val="006749B0"/>
    <w:rsid w:val="006820B5"/>
    <w:rsid w:val="00682AEF"/>
    <w:rsid w:val="00683630"/>
    <w:rsid w:val="006849C6"/>
    <w:rsid w:val="00684AA3"/>
    <w:rsid w:val="00684DBD"/>
    <w:rsid w:val="00690F27"/>
    <w:rsid w:val="006A07D7"/>
    <w:rsid w:val="006A44CA"/>
    <w:rsid w:val="006B15CE"/>
    <w:rsid w:val="006B1D85"/>
    <w:rsid w:val="006B2833"/>
    <w:rsid w:val="006B2D46"/>
    <w:rsid w:val="006B4FFF"/>
    <w:rsid w:val="006C7ECC"/>
    <w:rsid w:val="006D17D0"/>
    <w:rsid w:val="006D2C64"/>
    <w:rsid w:val="006D3A29"/>
    <w:rsid w:val="006D795A"/>
    <w:rsid w:val="006E0AD7"/>
    <w:rsid w:val="006E10A6"/>
    <w:rsid w:val="006E1D2F"/>
    <w:rsid w:val="006E5861"/>
    <w:rsid w:val="006E5B35"/>
    <w:rsid w:val="006F1987"/>
    <w:rsid w:val="006F5890"/>
    <w:rsid w:val="006F69BB"/>
    <w:rsid w:val="006F6B18"/>
    <w:rsid w:val="006F72AB"/>
    <w:rsid w:val="00700FC5"/>
    <w:rsid w:val="007020B2"/>
    <w:rsid w:val="0072679B"/>
    <w:rsid w:val="00750FCE"/>
    <w:rsid w:val="00751BAE"/>
    <w:rsid w:val="00752062"/>
    <w:rsid w:val="00752C12"/>
    <w:rsid w:val="007542E7"/>
    <w:rsid w:val="007548A8"/>
    <w:rsid w:val="0076053D"/>
    <w:rsid w:val="007635F7"/>
    <w:rsid w:val="00764325"/>
    <w:rsid w:val="00771A03"/>
    <w:rsid w:val="00771D39"/>
    <w:rsid w:val="00771ED9"/>
    <w:rsid w:val="00773184"/>
    <w:rsid w:val="007731FD"/>
    <w:rsid w:val="00775DA0"/>
    <w:rsid w:val="007836BE"/>
    <w:rsid w:val="00785C7E"/>
    <w:rsid w:val="00791418"/>
    <w:rsid w:val="00792D6B"/>
    <w:rsid w:val="007967A2"/>
    <w:rsid w:val="007B2238"/>
    <w:rsid w:val="007B2715"/>
    <w:rsid w:val="007B7288"/>
    <w:rsid w:val="007C0F9A"/>
    <w:rsid w:val="007C425A"/>
    <w:rsid w:val="007C5788"/>
    <w:rsid w:val="007C7985"/>
    <w:rsid w:val="007D6161"/>
    <w:rsid w:val="007F2AEC"/>
    <w:rsid w:val="007F2BDE"/>
    <w:rsid w:val="007F5334"/>
    <w:rsid w:val="007F6D1E"/>
    <w:rsid w:val="0080258E"/>
    <w:rsid w:val="0080799E"/>
    <w:rsid w:val="008137FC"/>
    <w:rsid w:val="00814BE8"/>
    <w:rsid w:val="00817B5D"/>
    <w:rsid w:val="00820055"/>
    <w:rsid w:val="008217C7"/>
    <w:rsid w:val="00821B8D"/>
    <w:rsid w:val="008227AF"/>
    <w:rsid w:val="00823DC2"/>
    <w:rsid w:val="008247CC"/>
    <w:rsid w:val="00840026"/>
    <w:rsid w:val="008400E3"/>
    <w:rsid w:val="00841440"/>
    <w:rsid w:val="00845E36"/>
    <w:rsid w:val="0085505C"/>
    <w:rsid w:val="00856883"/>
    <w:rsid w:val="00857727"/>
    <w:rsid w:val="00860ECF"/>
    <w:rsid w:val="00865583"/>
    <w:rsid w:val="00873599"/>
    <w:rsid w:val="00875440"/>
    <w:rsid w:val="00877A76"/>
    <w:rsid w:val="00883D04"/>
    <w:rsid w:val="0088462C"/>
    <w:rsid w:val="00893AE6"/>
    <w:rsid w:val="0089472A"/>
    <w:rsid w:val="008949AF"/>
    <w:rsid w:val="0089757A"/>
    <w:rsid w:val="008A3C95"/>
    <w:rsid w:val="008A4394"/>
    <w:rsid w:val="008A7F9B"/>
    <w:rsid w:val="008B1AFF"/>
    <w:rsid w:val="008C0B77"/>
    <w:rsid w:val="008C1A75"/>
    <w:rsid w:val="008C4E72"/>
    <w:rsid w:val="008D1A1D"/>
    <w:rsid w:val="008D1CDF"/>
    <w:rsid w:val="008D22F6"/>
    <w:rsid w:val="008D3186"/>
    <w:rsid w:val="008E070D"/>
    <w:rsid w:val="008E14C7"/>
    <w:rsid w:val="008E5470"/>
    <w:rsid w:val="008E6D3B"/>
    <w:rsid w:val="008E7A74"/>
    <w:rsid w:val="00906BB9"/>
    <w:rsid w:val="009108BF"/>
    <w:rsid w:val="00911A77"/>
    <w:rsid w:val="0091247E"/>
    <w:rsid w:val="00912D3A"/>
    <w:rsid w:val="00913BF3"/>
    <w:rsid w:val="00915733"/>
    <w:rsid w:val="009216F7"/>
    <w:rsid w:val="00925235"/>
    <w:rsid w:val="009257D2"/>
    <w:rsid w:val="00927529"/>
    <w:rsid w:val="009341ED"/>
    <w:rsid w:val="009362FD"/>
    <w:rsid w:val="00945A17"/>
    <w:rsid w:val="00945F07"/>
    <w:rsid w:val="009511FB"/>
    <w:rsid w:val="009523BE"/>
    <w:rsid w:val="009537D3"/>
    <w:rsid w:val="00956A95"/>
    <w:rsid w:val="00956CCE"/>
    <w:rsid w:val="00963515"/>
    <w:rsid w:val="009707A2"/>
    <w:rsid w:val="009715BF"/>
    <w:rsid w:val="0097317E"/>
    <w:rsid w:val="00973F1C"/>
    <w:rsid w:val="00981B51"/>
    <w:rsid w:val="009820FC"/>
    <w:rsid w:val="00986963"/>
    <w:rsid w:val="00990D1C"/>
    <w:rsid w:val="009A0A77"/>
    <w:rsid w:val="009A308D"/>
    <w:rsid w:val="009A31C8"/>
    <w:rsid w:val="009A51BA"/>
    <w:rsid w:val="009A6AC2"/>
    <w:rsid w:val="009B151B"/>
    <w:rsid w:val="009B4170"/>
    <w:rsid w:val="009B7B1A"/>
    <w:rsid w:val="009C2969"/>
    <w:rsid w:val="009C3C61"/>
    <w:rsid w:val="009C4B7B"/>
    <w:rsid w:val="009C7219"/>
    <w:rsid w:val="009D408C"/>
    <w:rsid w:val="009D520A"/>
    <w:rsid w:val="009E0830"/>
    <w:rsid w:val="009E14EF"/>
    <w:rsid w:val="009E3280"/>
    <w:rsid w:val="009E4AF3"/>
    <w:rsid w:val="009F00B3"/>
    <w:rsid w:val="009F03FD"/>
    <w:rsid w:val="009F096C"/>
    <w:rsid w:val="009F63F0"/>
    <w:rsid w:val="00A00241"/>
    <w:rsid w:val="00A00CF0"/>
    <w:rsid w:val="00A019F4"/>
    <w:rsid w:val="00A01EBD"/>
    <w:rsid w:val="00A0350C"/>
    <w:rsid w:val="00A039A6"/>
    <w:rsid w:val="00A03B1C"/>
    <w:rsid w:val="00A105CF"/>
    <w:rsid w:val="00A15D59"/>
    <w:rsid w:val="00A174AC"/>
    <w:rsid w:val="00A2055D"/>
    <w:rsid w:val="00A22F27"/>
    <w:rsid w:val="00A231D9"/>
    <w:rsid w:val="00A23496"/>
    <w:rsid w:val="00A24DE1"/>
    <w:rsid w:val="00A30C64"/>
    <w:rsid w:val="00A41D63"/>
    <w:rsid w:val="00A435EE"/>
    <w:rsid w:val="00A440E0"/>
    <w:rsid w:val="00A445DF"/>
    <w:rsid w:val="00A448AF"/>
    <w:rsid w:val="00A4607E"/>
    <w:rsid w:val="00A51B52"/>
    <w:rsid w:val="00A5445C"/>
    <w:rsid w:val="00A5610A"/>
    <w:rsid w:val="00A56791"/>
    <w:rsid w:val="00A57E0C"/>
    <w:rsid w:val="00A62A52"/>
    <w:rsid w:val="00A707C4"/>
    <w:rsid w:val="00A71127"/>
    <w:rsid w:val="00A71A47"/>
    <w:rsid w:val="00A71E24"/>
    <w:rsid w:val="00A71F83"/>
    <w:rsid w:val="00A72BAF"/>
    <w:rsid w:val="00A75E9A"/>
    <w:rsid w:val="00A77EDA"/>
    <w:rsid w:val="00A8137A"/>
    <w:rsid w:val="00A81B9E"/>
    <w:rsid w:val="00A821C7"/>
    <w:rsid w:val="00A824FA"/>
    <w:rsid w:val="00A83FE8"/>
    <w:rsid w:val="00A85470"/>
    <w:rsid w:val="00A86CAD"/>
    <w:rsid w:val="00A87CB0"/>
    <w:rsid w:val="00A90A90"/>
    <w:rsid w:val="00A91C69"/>
    <w:rsid w:val="00A93BF0"/>
    <w:rsid w:val="00A95662"/>
    <w:rsid w:val="00A95E77"/>
    <w:rsid w:val="00A97279"/>
    <w:rsid w:val="00A97FAE"/>
    <w:rsid w:val="00AA05B4"/>
    <w:rsid w:val="00AA075A"/>
    <w:rsid w:val="00AA2E84"/>
    <w:rsid w:val="00AA3961"/>
    <w:rsid w:val="00AA448C"/>
    <w:rsid w:val="00AA4802"/>
    <w:rsid w:val="00AA7D9B"/>
    <w:rsid w:val="00AB0649"/>
    <w:rsid w:val="00AB3E39"/>
    <w:rsid w:val="00AB4FD5"/>
    <w:rsid w:val="00AB54A6"/>
    <w:rsid w:val="00AC019C"/>
    <w:rsid w:val="00AC0828"/>
    <w:rsid w:val="00AC0A21"/>
    <w:rsid w:val="00AC1D19"/>
    <w:rsid w:val="00AC24B3"/>
    <w:rsid w:val="00AC5FDA"/>
    <w:rsid w:val="00AD2392"/>
    <w:rsid w:val="00AD3018"/>
    <w:rsid w:val="00AE1945"/>
    <w:rsid w:val="00AE2A62"/>
    <w:rsid w:val="00AE5369"/>
    <w:rsid w:val="00AF1D3F"/>
    <w:rsid w:val="00AF28F9"/>
    <w:rsid w:val="00AF4D11"/>
    <w:rsid w:val="00AF615C"/>
    <w:rsid w:val="00B01523"/>
    <w:rsid w:val="00B01B68"/>
    <w:rsid w:val="00B04867"/>
    <w:rsid w:val="00B10F1B"/>
    <w:rsid w:val="00B11F02"/>
    <w:rsid w:val="00B12EF8"/>
    <w:rsid w:val="00B1336B"/>
    <w:rsid w:val="00B135B6"/>
    <w:rsid w:val="00B145C1"/>
    <w:rsid w:val="00B14E9C"/>
    <w:rsid w:val="00B1624D"/>
    <w:rsid w:val="00B168FA"/>
    <w:rsid w:val="00B22FCE"/>
    <w:rsid w:val="00B253CB"/>
    <w:rsid w:val="00B34CD7"/>
    <w:rsid w:val="00B3784C"/>
    <w:rsid w:val="00B37A55"/>
    <w:rsid w:val="00B434E8"/>
    <w:rsid w:val="00B4379D"/>
    <w:rsid w:val="00B43F29"/>
    <w:rsid w:val="00B46057"/>
    <w:rsid w:val="00B47B03"/>
    <w:rsid w:val="00B50464"/>
    <w:rsid w:val="00B5538A"/>
    <w:rsid w:val="00B67896"/>
    <w:rsid w:val="00B70012"/>
    <w:rsid w:val="00B72330"/>
    <w:rsid w:val="00B74665"/>
    <w:rsid w:val="00B755AB"/>
    <w:rsid w:val="00B75E2B"/>
    <w:rsid w:val="00B81EFD"/>
    <w:rsid w:val="00B82E20"/>
    <w:rsid w:val="00B84140"/>
    <w:rsid w:val="00B843F4"/>
    <w:rsid w:val="00B84AF7"/>
    <w:rsid w:val="00BA02CB"/>
    <w:rsid w:val="00BA7A33"/>
    <w:rsid w:val="00BB007C"/>
    <w:rsid w:val="00BB1032"/>
    <w:rsid w:val="00BB2FA5"/>
    <w:rsid w:val="00BB314A"/>
    <w:rsid w:val="00BB328B"/>
    <w:rsid w:val="00BB383B"/>
    <w:rsid w:val="00BB4ECA"/>
    <w:rsid w:val="00BC1A45"/>
    <w:rsid w:val="00BC1AF3"/>
    <w:rsid w:val="00BC6FBC"/>
    <w:rsid w:val="00BD235F"/>
    <w:rsid w:val="00BD45CF"/>
    <w:rsid w:val="00BD6FE7"/>
    <w:rsid w:val="00BF02D8"/>
    <w:rsid w:val="00BF49A1"/>
    <w:rsid w:val="00C02E17"/>
    <w:rsid w:val="00C060BC"/>
    <w:rsid w:val="00C06D6A"/>
    <w:rsid w:val="00C12DDA"/>
    <w:rsid w:val="00C16412"/>
    <w:rsid w:val="00C17273"/>
    <w:rsid w:val="00C25E71"/>
    <w:rsid w:val="00C260EF"/>
    <w:rsid w:val="00C271B6"/>
    <w:rsid w:val="00C309E8"/>
    <w:rsid w:val="00C32014"/>
    <w:rsid w:val="00C33726"/>
    <w:rsid w:val="00C35C1A"/>
    <w:rsid w:val="00C363B7"/>
    <w:rsid w:val="00C3743D"/>
    <w:rsid w:val="00C37480"/>
    <w:rsid w:val="00C41D37"/>
    <w:rsid w:val="00C465C6"/>
    <w:rsid w:val="00C46CE1"/>
    <w:rsid w:val="00C509ED"/>
    <w:rsid w:val="00C558E7"/>
    <w:rsid w:val="00C60D82"/>
    <w:rsid w:val="00C636FC"/>
    <w:rsid w:val="00C6403E"/>
    <w:rsid w:val="00C65B37"/>
    <w:rsid w:val="00C705EA"/>
    <w:rsid w:val="00C73DDF"/>
    <w:rsid w:val="00C75130"/>
    <w:rsid w:val="00C77969"/>
    <w:rsid w:val="00C83D8D"/>
    <w:rsid w:val="00C92D3B"/>
    <w:rsid w:val="00C94088"/>
    <w:rsid w:val="00C95301"/>
    <w:rsid w:val="00C95C06"/>
    <w:rsid w:val="00C95FAD"/>
    <w:rsid w:val="00CA4AA9"/>
    <w:rsid w:val="00CB1A03"/>
    <w:rsid w:val="00CB3FC1"/>
    <w:rsid w:val="00CB4032"/>
    <w:rsid w:val="00CB46E4"/>
    <w:rsid w:val="00CC0AF4"/>
    <w:rsid w:val="00CC0DE9"/>
    <w:rsid w:val="00CC2784"/>
    <w:rsid w:val="00CC4664"/>
    <w:rsid w:val="00CD39AC"/>
    <w:rsid w:val="00CD487C"/>
    <w:rsid w:val="00CD70BF"/>
    <w:rsid w:val="00CE61D0"/>
    <w:rsid w:val="00CF0F2C"/>
    <w:rsid w:val="00CF590A"/>
    <w:rsid w:val="00CF5C86"/>
    <w:rsid w:val="00CF618D"/>
    <w:rsid w:val="00CF7185"/>
    <w:rsid w:val="00CF74A4"/>
    <w:rsid w:val="00D05378"/>
    <w:rsid w:val="00D05592"/>
    <w:rsid w:val="00D075D9"/>
    <w:rsid w:val="00D07C7D"/>
    <w:rsid w:val="00D12388"/>
    <w:rsid w:val="00D210C5"/>
    <w:rsid w:val="00D216E3"/>
    <w:rsid w:val="00D24499"/>
    <w:rsid w:val="00D258D4"/>
    <w:rsid w:val="00D27718"/>
    <w:rsid w:val="00D325C8"/>
    <w:rsid w:val="00D3336E"/>
    <w:rsid w:val="00D41AA8"/>
    <w:rsid w:val="00D459E8"/>
    <w:rsid w:val="00D45B14"/>
    <w:rsid w:val="00D50676"/>
    <w:rsid w:val="00D72187"/>
    <w:rsid w:val="00D74E51"/>
    <w:rsid w:val="00D826D1"/>
    <w:rsid w:val="00D834A2"/>
    <w:rsid w:val="00D860DD"/>
    <w:rsid w:val="00D8686C"/>
    <w:rsid w:val="00D87FD6"/>
    <w:rsid w:val="00D91006"/>
    <w:rsid w:val="00D944BF"/>
    <w:rsid w:val="00D96F8B"/>
    <w:rsid w:val="00DA3116"/>
    <w:rsid w:val="00DA343E"/>
    <w:rsid w:val="00DA4B87"/>
    <w:rsid w:val="00DA4F4C"/>
    <w:rsid w:val="00DA64A4"/>
    <w:rsid w:val="00DB1EAF"/>
    <w:rsid w:val="00DB4922"/>
    <w:rsid w:val="00DB6189"/>
    <w:rsid w:val="00DB6B51"/>
    <w:rsid w:val="00DB7190"/>
    <w:rsid w:val="00DC453C"/>
    <w:rsid w:val="00DC4797"/>
    <w:rsid w:val="00DC6E04"/>
    <w:rsid w:val="00DD0F5E"/>
    <w:rsid w:val="00DD312B"/>
    <w:rsid w:val="00DD5A53"/>
    <w:rsid w:val="00DD5EDC"/>
    <w:rsid w:val="00DD6B5A"/>
    <w:rsid w:val="00DE37CD"/>
    <w:rsid w:val="00DE44D1"/>
    <w:rsid w:val="00DE7E88"/>
    <w:rsid w:val="00DF0A09"/>
    <w:rsid w:val="00DF194B"/>
    <w:rsid w:val="00DF43A4"/>
    <w:rsid w:val="00DF525B"/>
    <w:rsid w:val="00DF67AE"/>
    <w:rsid w:val="00DF6A01"/>
    <w:rsid w:val="00E0778C"/>
    <w:rsid w:val="00E10343"/>
    <w:rsid w:val="00E11AF1"/>
    <w:rsid w:val="00E15CB4"/>
    <w:rsid w:val="00E20884"/>
    <w:rsid w:val="00E21647"/>
    <w:rsid w:val="00E22134"/>
    <w:rsid w:val="00E22485"/>
    <w:rsid w:val="00E24950"/>
    <w:rsid w:val="00E24C17"/>
    <w:rsid w:val="00E25237"/>
    <w:rsid w:val="00E341D4"/>
    <w:rsid w:val="00E34EA7"/>
    <w:rsid w:val="00E36B1A"/>
    <w:rsid w:val="00E4031A"/>
    <w:rsid w:val="00E40972"/>
    <w:rsid w:val="00E42C9F"/>
    <w:rsid w:val="00E434E3"/>
    <w:rsid w:val="00E452C4"/>
    <w:rsid w:val="00E47847"/>
    <w:rsid w:val="00E51733"/>
    <w:rsid w:val="00E522CB"/>
    <w:rsid w:val="00E60C16"/>
    <w:rsid w:val="00E621B6"/>
    <w:rsid w:val="00E64FE7"/>
    <w:rsid w:val="00E65FBB"/>
    <w:rsid w:val="00E66C52"/>
    <w:rsid w:val="00E73F07"/>
    <w:rsid w:val="00E7403C"/>
    <w:rsid w:val="00E757B3"/>
    <w:rsid w:val="00E76554"/>
    <w:rsid w:val="00E87523"/>
    <w:rsid w:val="00E94DB9"/>
    <w:rsid w:val="00E96DC7"/>
    <w:rsid w:val="00EA4958"/>
    <w:rsid w:val="00EB0081"/>
    <w:rsid w:val="00EB5152"/>
    <w:rsid w:val="00EC0878"/>
    <w:rsid w:val="00EC1EF1"/>
    <w:rsid w:val="00EC488B"/>
    <w:rsid w:val="00ED0848"/>
    <w:rsid w:val="00ED3052"/>
    <w:rsid w:val="00ED6037"/>
    <w:rsid w:val="00ED7284"/>
    <w:rsid w:val="00ED772B"/>
    <w:rsid w:val="00EE1E12"/>
    <w:rsid w:val="00EE57B1"/>
    <w:rsid w:val="00EE671A"/>
    <w:rsid w:val="00EF0051"/>
    <w:rsid w:val="00EF0469"/>
    <w:rsid w:val="00EF056F"/>
    <w:rsid w:val="00EF134D"/>
    <w:rsid w:val="00EF3C8B"/>
    <w:rsid w:val="00EF6495"/>
    <w:rsid w:val="00EF70D6"/>
    <w:rsid w:val="00EF7417"/>
    <w:rsid w:val="00F00866"/>
    <w:rsid w:val="00F0146B"/>
    <w:rsid w:val="00F04570"/>
    <w:rsid w:val="00F0726C"/>
    <w:rsid w:val="00F1045A"/>
    <w:rsid w:val="00F15CFB"/>
    <w:rsid w:val="00F17186"/>
    <w:rsid w:val="00F17420"/>
    <w:rsid w:val="00F27954"/>
    <w:rsid w:val="00F30E7B"/>
    <w:rsid w:val="00F323A4"/>
    <w:rsid w:val="00F3654C"/>
    <w:rsid w:val="00F3675C"/>
    <w:rsid w:val="00F37043"/>
    <w:rsid w:val="00F41BDE"/>
    <w:rsid w:val="00F45786"/>
    <w:rsid w:val="00F47A79"/>
    <w:rsid w:val="00F514C9"/>
    <w:rsid w:val="00F63BED"/>
    <w:rsid w:val="00F63C12"/>
    <w:rsid w:val="00F66C9C"/>
    <w:rsid w:val="00F670D6"/>
    <w:rsid w:val="00F70EB9"/>
    <w:rsid w:val="00F73883"/>
    <w:rsid w:val="00F7579D"/>
    <w:rsid w:val="00F778FF"/>
    <w:rsid w:val="00F82651"/>
    <w:rsid w:val="00F83434"/>
    <w:rsid w:val="00F96E51"/>
    <w:rsid w:val="00FA328B"/>
    <w:rsid w:val="00FA3742"/>
    <w:rsid w:val="00FB59A3"/>
    <w:rsid w:val="00FB70B5"/>
    <w:rsid w:val="00FC023E"/>
    <w:rsid w:val="00FC209E"/>
    <w:rsid w:val="00FC21E0"/>
    <w:rsid w:val="00FC2FEF"/>
    <w:rsid w:val="00FC36A7"/>
    <w:rsid w:val="00FC4178"/>
    <w:rsid w:val="00FC509D"/>
    <w:rsid w:val="00FC5CAA"/>
    <w:rsid w:val="00FD2CA5"/>
    <w:rsid w:val="00FD2FF6"/>
    <w:rsid w:val="00FE70FA"/>
    <w:rsid w:val="00FF0192"/>
    <w:rsid w:val="00FF08B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81"/>
    <w:pPr>
      <w:spacing w:line="240" w:lineRule="auto"/>
    </w:pPr>
    <w:rPr>
      <w:rFonts w:eastAsia="Calibri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59A3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D81"/>
    <w:pPr>
      <w:ind w:left="720"/>
      <w:contextualSpacing/>
    </w:pPr>
  </w:style>
  <w:style w:type="paragraph" w:customStyle="1" w:styleId="ConsPlusNormal">
    <w:name w:val="ConsPlusNormal"/>
    <w:rsid w:val="002B6D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B59A3"/>
    <w:rPr>
      <w:rFonts w:eastAsia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B59A3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B59A3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</cp:lastModifiedBy>
  <cp:revision>11</cp:revision>
  <cp:lastPrinted>2017-02-15T11:34:00Z</cp:lastPrinted>
  <dcterms:created xsi:type="dcterms:W3CDTF">2017-02-01T13:44:00Z</dcterms:created>
  <dcterms:modified xsi:type="dcterms:W3CDTF">2017-02-15T11:56:00Z</dcterms:modified>
</cp:coreProperties>
</file>