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140686" w:rsidP="004E0BDD">
            <w:pPr>
              <w:jc w:val="center"/>
              <w:rPr>
                <w:color w:val="262626" w:themeColor="text1" w:themeTint="D9"/>
                <w:szCs w:val="28"/>
              </w:rPr>
            </w:pPr>
            <w:r>
              <w:rPr>
                <w:color w:val="262626" w:themeColor="text1" w:themeTint="D9"/>
                <w:sz w:val="28"/>
                <w:szCs w:val="28"/>
              </w:rPr>
              <w:t>28</w:t>
            </w:r>
            <w:r w:rsidR="008B53B7" w:rsidRPr="009908F4">
              <w:rPr>
                <w:color w:val="262626" w:themeColor="text1" w:themeTint="D9"/>
                <w:sz w:val="28"/>
                <w:szCs w:val="28"/>
              </w:rPr>
              <w:t>.</w:t>
            </w:r>
            <w:r w:rsidR="00524C7F" w:rsidRPr="009908F4">
              <w:rPr>
                <w:color w:val="262626" w:themeColor="text1" w:themeTint="D9"/>
                <w:sz w:val="28"/>
                <w:szCs w:val="28"/>
              </w:rPr>
              <w:t>0</w:t>
            </w:r>
            <w:r w:rsidR="004E0BDD">
              <w:rPr>
                <w:color w:val="262626" w:themeColor="text1" w:themeTint="D9"/>
                <w:sz w:val="28"/>
                <w:szCs w:val="28"/>
              </w:rPr>
              <w:t>6</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AB356B" w:rsidP="00C85297">
            <w:pPr>
              <w:jc w:val="center"/>
              <w:rPr>
                <w:color w:val="262626" w:themeColor="text1" w:themeTint="D9"/>
                <w:szCs w:val="28"/>
              </w:rPr>
            </w:pPr>
            <w:r>
              <w:rPr>
                <w:color w:val="262626" w:themeColor="text1" w:themeTint="D9"/>
                <w:sz w:val="28"/>
                <w:szCs w:val="28"/>
              </w:rPr>
              <w:t>7</w:t>
            </w:r>
            <w:r w:rsidR="00574EA2">
              <w:rPr>
                <w:color w:val="262626" w:themeColor="text1" w:themeTint="D9"/>
                <w:sz w:val="28"/>
                <w:szCs w:val="28"/>
              </w:rPr>
              <w:t>7</w:t>
            </w:r>
          </w:p>
        </w:tc>
      </w:tr>
    </w:tbl>
    <w:p w:rsidR="00D12C3C"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1F51C8" w:rsidRPr="003227C5" w:rsidRDefault="001F51C8" w:rsidP="00D12C3C">
      <w:pPr>
        <w:ind w:firstLine="1276"/>
        <w:rPr>
          <w:color w:val="262626" w:themeColor="text1" w:themeTint="D9"/>
          <w:sz w:val="28"/>
          <w:szCs w:val="28"/>
        </w:rPr>
      </w:pPr>
    </w:p>
    <w:p w:rsidR="001F51C8" w:rsidRPr="003227C5" w:rsidRDefault="001F51C8" w:rsidP="00D12C3C">
      <w:pPr>
        <w:ind w:firstLine="1276"/>
        <w:rPr>
          <w:color w:val="262626" w:themeColor="text1" w:themeTint="D9"/>
          <w:sz w:val="28"/>
          <w:szCs w:val="28"/>
        </w:rPr>
      </w:pPr>
    </w:p>
    <w:p w:rsidR="00574EA2" w:rsidRDefault="00574EA2" w:rsidP="00574EA2">
      <w:pPr>
        <w:tabs>
          <w:tab w:val="left" w:pos="1920"/>
        </w:tabs>
        <w:ind w:left="567"/>
        <w:rPr>
          <w:sz w:val="28"/>
          <w:szCs w:val="28"/>
        </w:rPr>
      </w:pPr>
      <w:bookmarkStart w:id="0" w:name="P205"/>
      <w:bookmarkEnd w:id="0"/>
      <w:r>
        <w:rPr>
          <w:sz w:val="28"/>
          <w:szCs w:val="28"/>
        </w:rPr>
        <w:t>О передаче полномочий</w:t>
      </w:r>
    </w:p>
    <w:p w:rsidR="00574EA2" w:rsidRDefault="00574EA2" w:rsidP="00574EA2">
      <w:pPr>
        <w:tabs>
          <w:tab w:val="left" w:pos="1920"/>
        </w:tabs>
        <w:rPr>
          <w:sz w:val="28"/>
          <w:szCs w:val="28"/>
        </w:rPr>
      </w:pPr>
    </w:p>
    <w:p w:rsidR="00574EA2" w:rsidRDefault="00574EA2" w:rsidP="00574EA2">
      <w:pPr>
        <w:tabs>
          <w:tab w:val="left" w:pos="1920"/>
        </w:tabs>
        <w:rPr>
          <w:sz w:val="28"/>
          <w:szCs w:val="28"/>
        </w:rPr>
      </w:pPr>
    </w:p>
    <w:p w:rsidR="00574EA2" w:rsidRDefault="00574EA2" w:rsidP="00574EA2">
      <w:pPr>
        <w:tabs>
          <w:tab w:val="left" w:pos="1920"/>
        </w:tabs>
        <w:ind w:firstLine="567"/>
        <w:jc w:val="both"/>
        <w:rPr>
          <w:sz w:val="28"/>
          <w:szCs w:val="28"/>
        </w:rPr>
      </w:pPr>
      <w:r>
        <w:rPr>
          <w:sz w:val="28"/>
          <w:szCs w:val="28"/>
        </w:rPr>
        <w:t xml:space="preserve">В целях рационального и эффективного использования денежных средств Дорожного фонда Кичменгско-Городецкого муниципального района, во исполнение муниципальной программы «Развитие сети автомобильных дорог общего пользования местного значения на 2017-2019 годы и на период до 2020 года», утвержденной постановлением администрации Кичменгско-Городецкого муниципального района от 29.09.2016 года № 551 (с последующими изменениями), Муниципальное Собрание </w:t>
      </w:r>
      <w:r w:rsidRPr="00574EA2">
        <w:rPr>
          <w:b/>
          <w:sz w:val="28"/>
          <w:szCs w:val="28"/>
        </w:rPr>
        <w:t>РЕШИЛО</w:t>
      </w:r>
      <w:r>
        <w:rPr>
          <w:sz w:val="28"/>
          <w:szCs w:val="28"/>
        </w:rPr>
        <w:t>:</w:t>
      </w:r>
    </w:p>
    <w:p w:rsidR="00574EA2" w:rsidRDefault="00574EA2" w:rsidP="00574EA2">
      <w:pPr>
        <w:tabs>
          <w:tab w:val="left" w:pos="1920"/>
        </w:tabs>
        <w:ind w:firstLine="567"/>
        <w:jc w:val="both"/>
        <w:rPr>
          <w:sz w:val="28"/>
          <w:szCs w:val="28"/>
        </w:rPr>
      </w:pPr>
      <w:r>
        <w:rPr>
          <w:sz w:val="28"/>
          <w:szCs w:val="28"/>
        </w:rPr>
        <w:t>Одобрить передачу органам местного самоуправления муниципального образования Городецкое, сельского поселения Кичменгское, сельского поселения Енангское от органов местного самоуправления Кичменгско-Городецкого муниципального района осуществления части полномочий по решению вопроса местного значения по дорожной деятельности в отношении автомобильных дорог общего пользования местного значения вне границ и в границах населенных пунктов на территории поселений и обеспечение безопасности дорожного движения на них с 01.01.2019 года по 31.12.2019 года.</w:t>
      </w:r>
    </w:p>
    <w:p w:rsidR="003227C5" w:rsidRDefault="003227C5" w:rsidP="003227C5">
      <w:pPr>
        <w:jc w:val="both"/>
        <w:rPr>
          <w:sz w:val="28"/>
          <w:szCs w:val="28"/>
        </w:rPr>
      </w:pPr>
    </w:p>
    <w:p w:rsidR="003227C5" w:rsidRDefault="003227C5"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806" w:rsidRDefault="008C6806" w:rsidP="006B1A05">
      <w:r>
        <w:separator/>
      </w:r>
    </w:p>
  </w:endnote>
  <w:endnote w:type="continuationSeparator" w:id="0">
    <w:p w:rsidR="008C6806" w:rsidRDefault="008C680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806" w:rsidRDefault="008C6806" w:rsidP="006B1A05">
      <w:r>
        <w:separator/>
      </w:r>
    </w:p>
  </w:footnote>
  <w:footnote w:type="continuationSeparator" w:id="0">
    <w:p w:rsidR="008C6806" w:rsidRDefault="008C680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4A2446">
        <w:pPr>
          <w:pStyle w:val="a8"/>
          <w:jc w:val="center"/>
        </w:pPr>
        <w:fldSimple w:instr=" PAGE   \* MERGEFORMAT ">
          <w:r w:rsidR="00574EA2">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53A"/>
    <w:rsid w:val="00136664"/>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285"/>
    <w:rsid w:val="003515B1"/>
    <w:rsid w:val="00351F44"/>
    <w:rsid w:val="003520B0"/>
    <w:rsid w:val="00352817"/>
    <w:rsid w:val="0035298A"/>
    <w:rsid w:val="0035299B"/>
    <w:rsid w:val="003530E8"/>
    <w:rsid w:val="003531EE"/>
    <w:rsid w:val="00353533"/>
    <w:rsid w:val="003536CD"/>
    <w:rsid w:val="00353C4A"/>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3E6D-9B88-4AD7-BCA5-DF577C50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2018-06-29T08:08:00Z</cp:lastPrinted>
  <dcterms:created xsi:type="dcterms:W3CDTF">2018-06-29T08:00:00Z</dcterms:created>
  <dcterms:modified xsi:type="dcterms:W3CDTF">2018-06-29T08:09:00Z</dcterms:modified>
</cp:coreProperties>
</file>