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06.07. 2016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820A29">
            <w:pPr>
              <w:jc w:val="center"/>
              <w:rPr>
                <w:color w:val="0D0D0D" w:themeColor="text1" w:themeTint="F2"/>
                <w:szCs w:val="28"/>
              </w:rPr>
            </w:pPr>
            <w:r w:rsidRPr="00D14F1C">
              <w:rPr>
                <w:color w:val="0D0D0D" w:themeColor="text1" w:themeTint="F2"/>
                <w:sz w:val="28"/>
                <w:szCs w:val="28"/>
              </w:rPr>
              <w:t>28</w:t>
            </w:r>
            <w:r w:rsidR="009A7039">
              <w:rPr>
                <w:color w:val="0D0D0D" w:themeColor="text1" w:themeTint="F2"/>
                <w:sz w:val="28"/>
                <w:szCs w:val="28"/>
              </w:rPr>
              <w:t>5</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9A7039" w:rsidRDefault="009A7039" w:rsidP="006636D2">
      <w:pPr>
        <w:pStyle w:val="ConsPlusTitle0"/>
        <w:widowControl/>
        <w:ind w:left="567" w:right="4533"/>
        <w:rPr>
          <w:b w:val="0"/>
          <w:color w:val="0D0D0D" w:themeColor="text1" w:themeTint="F2"/>
        </w:rPr>
      </w:pPr>
    </w:p>
    <w:p w:rsidR="009A7039" w:rsidRDefault="009A7039" w:rsidP="009A7039">
      <w:pPr>
        <w:tabs>
          <w:tab w:val="left" w:pos="284"/>
          <w:tab w:val="left" w:pos="851"/>
        </w:tabs>
        <w:ind w:left="567" w:right="4250"/>
        <w:rPr>
          <w:sz w:val="28"/>
          <w:szCs w:val="28"/>
        </w:rPr>
      </w:pPr>
      <w:r w:rsidRPr="006040E3">
        <w:rPr>
          <w:sz w:val="28"/>
          <w:szCs w:val="28"/>
        </w:rPr>
        <w:t xml:space="preserve">О </w:t>
      </w:r>
      <w:r>
        <w:rPr>
          <w:sz w:val="28"/>
          <w:szCs w:val="28"/>
        </w:rPr>
        <w:t>назначении уполномоченного лица за организацию и осуществление мероприятий по территориальной обороне на территории Кичменгско-Городецкого муниципального района</w:t>
      </w:r>
      <w:r w:rsidRPr="006040E3">
        <w:rPr>
          <w:sz w:val="28"/>
          <w:szCs w:val="28"/>
        </w:rPr>
        <w:t>.</w:t>
      </w:r>
    </w:p>
    <w:p w:rsidR="009A7039" w:rsidRPr="006F1CB1" w:rsidRDefault="009A7039" w:rsidP="009A7039">
      <w:pPr>
        <w:ind w:firstLine="720"/>
        <w:rPr>
          <w:bCs/>
          <w:spacing w:val="-6"/>
          <w:sz w:val="28"/>
          <w:szCs w:val="28"/>
        </w:rPr>
      </w:pPr>
    </w:p>
    <w:p w:rsidR="009A7039" w:rsidRPr="006F1CB1" w:rsidRDefault="009A7039" w:rsidP="009A7039">
      <w:pPr>
        <w:ind w:firstLine="720"/>
        <w:rPr>
          <w:bCs/>
          <w:spacing w:val="-6"/>
          <w:sz w:val="28"/>
          <w:szCs w:val="28"/>
        </w:rPr>
      </w:pPr>
    </w:p>
    <w:p w:rsidR="009A7039" w:rsidRPr="006F1CB1" w:rsidRDefault="009A7039" w:rsidP="009A7039">
      <w:pPr>
        <w:ind w:firstLine="567"/>
        <w:jc w:val="both"/>
        <w:rPr>
          <w:bCs/>
          <w:sz w:val="28"/>
          <w:szCs w:val="28"/>
        </w:rPr>
      </w:pPr>
      <w:r>
        <w:rPr>
          <w:bCs/>
          <w:sz w:val="28"/>
          <w:szCs w:val="28"/>
        </w:rPr>
        <w:t xml:space="preserve">В соответствии с Федеральным законом от 06.10.2003 года № 131 «Об общих принципах организации местного самоуправления в Российской Федерации», руководствуясь Уставом Кичменгско-Городецкого муниципального района, Муниципальное Собрание </w:t>
      </w:r>
      <w:r w:rsidRPr="009A7039">
        <w:rPr>
          <w:b/>
          <w:bCs/>
          <w:spacing w:val="40"/>
          <w:sz w:val="28"/>
          <w:szCs w:val="28"/>
        </w:rPr>
        <w:t>РЕШИЛО</w:t>
      </w:r>
      <w:r w:rsidRPr="006F1CB1">
        <w:rPr>
          <w:b/>
          <w:bCs/>
          <w:spacing w:val="40"/>
          <w:sz w:val="28"/>
          <w:szCs w:val="28"/>
        </w:rPr>
        <w:t>:</w:t>
      </w:r>
    </w:p>
    <w:p w:rsidR="009A7039" w:rsidRDefault="009A7039" w:rsidP="009A7039">
      <w:pPr>
        <w:pStyle w:val="a5"/>
        <w:numPr>
          <w:ilvl w:val="0"/>
          <w:numId w:val="11"/>
        </w:numPr>
        <w:tabs>
          <w:tab w:val="left" w:pos="284"/>
          <w:tab w:val="left" w:pos="851"/>
        </w:tabs>
        <w:ind w:left="0" w:firstLine="567"/>
        <w:jc w:val="both"/>
        <w:rPr>
          <w:sz w:val="28"/>
          <w:szCs w:val="28"/>
        </w:rPr>
      </w:pPr>
      <w:r>
        <w:rPr>
          <w:sz w:val="28"/>
          <w:szCs w:val="28"/>
        </w:rPr>
        <w:t>Назначить уполномоченным лицом за осуществление мероприятий по территориальной обороне Кичменгско-Городецкого муниципального района Главу Кичменгско-Городецкого муниципального района Дьякову Любовь Николаевну.</w:t>
      </w:r>
    </w:p>
    <w:p w:rsidR="009A7039" w:rsidRPr="002D0C33" w:rsidRDefault="009A7039" w:rsidP="009A7039">
      <w:pPr>
        <w:pStyle w:val="a5"/>
        <w:numPr>
          <w:ilvl w:val="0"/>
          <w:numId w:val="11"/>
        </w:numPr>
        <w:tabs>
          <w:tab w:val="left" w:pos="284"/>
          <w:tab w:val="left" w:pos="851"/>
        </w:tabs>
        <w:ind w:left="0" w:firstLine="567"/>
        <w:jc w:val="both"/>
        <w:rPr>
          <w:sz w:val="28"/>
          <w:szCs w:val="28"/>
        </w:rPr>
      </w:pPr>
      <w:r>
        <w:rPr>
          <w:sz w:val="28"/>
          <w:szCs w:val="28"/>
        </w:rPr>
        <w:t>Настоящее решение вступает в силу со дня принятия.</w:t>
      </w:r>
    </w:p>
    <w:p w:rsidR="009A7039" w:rsidRPr="006F1CB1" w:rsidRDefault="009A7039" w:rsidP="009A7039">
      <w:pPr>
        <w:ind w:left="180"/>
        <w:jc w:val="both"/>
        <w:rPr>
          <w:sz w:val="28"/>
          <w:szCs w:val="28"/>
        </w:rPr>
      </w:pPr>
    </w:p>
    <w:p w:rsidR="009A7039" w:rsidRPr="006F1CB1" w:rsidRDefault="009A7039" w:rsidP="009A7039">
      <w:pPr>
        <w:ind w:left="180"/>
        <w:jc w:val="both"/>
        <w:rPr>
          <w:sz w:val="28"/>
          <w:szCs w:val="28"/>
        </w:rPr>
      </w:pPr>
    </w:p>
    <w:p w:rsidR="009A7039" w:rsidRPr="006F1CB1" w:rsidRDefault="009A7039" w:rsidP="009A7039">
      <w:pPr>
        <w:ind w:left="180"/>
        <w:jc w:val="both"/>
        <w:rPr>
          <w:sz w:val="28"/>
          <w:szCs w:val="28"/>
        </w:rPr>
      </w:pPr>
    </w:p>
    <w:p w:rsidR="009A7039" w:rsidRPr="006F1CB1" w:rsidRDefault="009A7039" w:rsidP="009A7039">
      <w:pPr>
        <w:jc w:val="both"/>
        <w:rPr>
          <w:sz w:val="28"/>
          <w:szCs w:val="28"/>
        </w:rPr>
      </w:pPr>
      <w:r w:rsidRPr="006F1CB1">
        <w:rPr>
          <w:sz w:val="28"/>
          <w:szCs w:val="28"/>
        </w:rPr>
        <w:t xml:space="preserve">Глава района                                    </w:t>
      </w:r>
      <w:r>
        <w:rPr>
          <w:sz w:val="28"/>
          <w:szCs w:val="28"/>
        </w:rPr>
        <w:t xml:space="preserve">                                  </w:t>
      </w:r>
      <w:r w:rsidRPr="006F1CB1">
        <w:rPr>
          <w:sz w:val="28"/>
          <w:szCs w:val="28"/>
        </w:rPr>
        <w:t xml:space="preserve">               Л.Н. Дьякова</w:t>
      </w:r>
    </w:p>
    <w:sectPr w:rsidR="009A7039" w:rsidRPr="006F1CB1"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C8" w:rsidRDefault="00F661C8" w:rsidP="006B1A05">
      <w:r>
        <w:separator/>
      </w:r>
    </w:p>
  </w:endnote>
  <w:endnote w:type="continuationSeparator" w:id="0">
    <w:p w:rsidR="00F661C8" w:rsidRDefault="00F661C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C8" w:rsidRDefault="00F661C8" w:rsidP="006B1A05">
      <w:r>
        <w:separator/>
      </w:r>
    </w:p>
  </w:footnote>
  <w:footnote w:type="continuationSeparator" w:id="0">
    <w:p w:rsidR="00F661C8" w:rsidRDefault="00F661C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BB7ED8">
        <w:pPr>
          <w:pStyle w:val="a8"/>
          <w:jc w:val="center"/>
        </w:pPr>
        <w:fldSimple w:instr=" PAGE   \* MERGEFORMAT ">
          <w:r w:rsidR="009A7039">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8B50-3ED7-478C-84A2-865BB427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2016-07-07T09:04:00Z</cp:lastPrinted>
  <dcterms:created xsi:type="dcterms:W3CDTF">2016-07-07T09:01:00Z</dcterms:created>
  <dcterms:modified xsi:type="dcterms:W3CDTF">2016-07-07T09:05:00Z</dcterms:modified>
</cp:coreProperties>
</file>