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B504AF" w:rsidTr="00585761">
        <w:trPr>
          <w:trHeight w:val="993"/>
        </w:trPr>
        <w:tc>
          <w:tcPr>
            <w:tcW w:w="3827" w:type="dxa"/>
          </w:tcPr>
          <w:p w:rsidR="00D12C3C" w:rsidRPr="00B504AF" w:rsidRDefault="00D12C3C" w:rsidP="00177CBE">
            <w:pPr>
              <w:rPr>
                <w:color w:val="404040" w:themeColor="text1" w:themeTint="BF"/>
                <w:sz w:val="22"/>
              </w:rPr>
            </w:pPr>
          </w:p>
        </w:tc>
        <w:tc>
          <w:tcPr>
            <w:tcW w:w="1328" w:type="dxa"/>
          </w:tcPr>
          <w:p w:rsidR="00D12C3C" w:rsidRPr="00B504AF" w:rsidRDefault="00AF1C9A" w:rsidP="00177CBE">
            <w:pPr>
              <w:jc w:val="center"/>
              <w:rPr>
                <w:color w:val="404040" w:themeColor="text1" w:themeTint="BF"/>
                <w:sz w:val="22"/>
              </w:rPr>
            </w:pPr>
            <w:r w:rsidRPr="00B504AF">
              <w:rPr>
                <w:noProof/>
                <w:color w:val="404040" w:themeColor="text1" w:themeTint="BF"/>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B504AF" w:rsidRDefault="00D12C3C" w:rsidP="00177CBE">
            <w:pPr>
              <w:rPr>
                <w:color w:val="404040" w:themeColor="text1" w:themeTint="BF"/>
                <w:sz w:val="22"/>
              </w:rPr>
            </w:pPr>
          </w:p>
          <w:p w:rsidR="004A5B7C" w:rsidRPr="00B504AF" w:rsidRDefault="004A5B7C" w:rsidP="00177CBE">
            <w:pPr>
              <w:rPr>
                <w:color w:val="404040" w:themeColor="text1" w:themeTint="BF"/>
                <w:sz w:val="22"/>
              </w:rPr>
            </w:pPr>
          </w:p>
          <w:p w:rsidR="004A5B7C" w:rsidRPr="00B504AF" w:rsidRDefault="004A5B7C" w:rsidP="00177CBE">
            <w:pPr>
              <w:rPr>
                <w:color w:val="404040" w:themeColor="text1" w:themeTint="BF"/>
                <w:sz w:val="22"/>
              </w:rPr>
            </w:pPr>
          </w:p>
        </w:tc>
      </w:tr>
      <w:tr w:rsidR="00D12C3C" w:rsidRPr="00B504AF" w:rsidTr="00177CBE">
        <w:tc>
          <w:tcPr>
            <w:tcW w:w="9321" w:type="dxa"/>
            <w:gridSpan w:val="3"/>
          </w:tcPr>
          <w:p w:rsidR="004A5B7C" w:rsidRPr="00B504AF" w:rsidRDefault="004A5B7C" w:rsidP="00177CBE">
            <w:pPr>
              <w:jc w:val="center"/>
              <w:rPr>
                <w:color w:val="404040" w:themeColor="text1" w:themeTint="BF"/>
                <w:sz w:val="22"/>
              </w:rPr>
            </w:pPr>
          </w:p>
        </w:tc>
      </w:tr>
      <w:tr w:rsidR="00D12C3C" w:rsidRPr="009908F4" w:rsidTr="00AF1C9A">
        <w:trPr>
          <w:trHeight w:val="1035"/>
        </w:trPr>
        <w:tc>
          <w:tcPr>
            <w:tcW w:w="9321" w:type="dxa"/>
            <w:gridSpan w:val="3"/>
            <w:vAlign w:val="center"/>
          </w:tcPr>
          <w:p w:rsidR="00D12C3C" w:rsidRPr="009908F4" w:rsidRDefault="00D12C3C" w:rsidP="00AF1C9A">
            <w:pPr>
              <w:pStyle w:val="a3"/>
              <w:rPr>
                <w:b w:val="0"/>
                <w:bCs w:val="0"/>
                <w:color w:val="262626" w:themeColor="text1" w:themeTint="D9"/>
              </w:rPr>
            </w:pPr>
            <w:r w:rsidRPr="009908F4">
              <w:rPr>
                <w:b w:val="0"/>
                <w:bCs w:val="0"/>
                <w:color w:val="262626" w:themeColor="text1" w:themeTint="D9"/>
              </w:rPr>
              <w:t>МУНИЦИПАЛЬНОЕ СОБРАНИЕ</w:t>
            </w:r>
          </w:p>
          <w:p w:rsidR="00D12C3C" w:rsidRPr="009908F4" w:rsidRDefault="00D12C3C" w:rsidP="00AF1C9A">
            <w:pPr>
              <w:pStyle w:val="a3"/>
              <w:rPr>
                <w:b w:val="0"/>
                <w:bCs w:val="0"/>
                <w:color w:val="262626" w:themeColor="text1" w:themeTint="D9"/>
              </w:rPr>
            </w:pPr>
            <w:r w:rsidRPr="009908F4">
              <w:rPr>
                <w:b w:val="0"/>
                <w:bCs w:val="0"/>
                <w:color w:val="262626" w:themeColor="text1" w:themeTint="D9"/>
              </w:rPr>
              <w:t>КИЧМЕНГСКО-ГОРОДЕЦКОГО МУНИЦИПАЛЬНОГО РАЙОНА</w:t>
            </w:r>
          </w:p>
          <w:p w:rsidR="00D12C3C" w:rsidRPr="009908F4" w:rsidRDefault="00D12C3C" w:rsidP="00AF1C9A">
            <w:pPr>
              <w:pStyle w:val="a3"/>
              <w:rPr>
                <w:b w:val="0"/>
                <w:color w:val="262626" w:themeColor="text1" w:themeTint="D9"/>
                <w:sz w:val="22"/>
                <w:szCs w:val="22"/>
              </w:rPr>
            </w:pPr>
            <w:r w:rsidRPr="009908F4">
              <w:rPr>
                <w:b w:val="0"/>
                <w:bCs w:val="0"/>
                <w:color w:val="262626" w:themeColor="text1" w:themeTint="D9"/>
              </w:rPr>
              <w:t>ВОЛОГОДСКОЙ ОБЛАСТИ</w:t>
            </w:r>
          </w:p>
        </w:tc>
      </w:tr>
      <w:tr w:rsidR="00D12C3C" w:rsidRPr="009908F4" w:rsidTr="00177CBE">
        <w:tc>
          <w:tcPr>
            <w:tcW w:w="9321" w:type="dxa"/>
            <w:gridSpan w:val="3"/>
          </w:tcPr>
          <w:p w:rsidR="00D12C3C" w:rsidRPr="009908F4" w:rsidRDefault="00D12C3C" w:rsidP="00177CBE">
            <w:pPr>
              <w:jc w:val="center"/>
              <w:rPr>
                <w:color w:val="262626" w:themeColor="text1" w:themeTint="D9"/>
                <w:sz w:val="22"/>
              </w:rPr>
            </w:pPr>
          </w:p>
        </w:tc>
      </w:tr>
      <w:tr w:rsidR="00D12C3C" w:rsidRPr="009908F4" w:rsidTr="00177CBE">
        <w:tc>
          <w:tcPr>
            <w:tcW w:w="9321" w:type="dxa"/>
            <w:gridSpan w:val="3"/>
          </w:tcPr>
          <w:p w:rsidR="00D12C3C" w:rsidRPr="009908F4" w:rsidRDefault="00D12C3C" w:rsidP="00177CBE">
            <w:pPr>
              <w:jc w:val="center"/>
              <w:rPr>
                <w:color w:val="262626" w:themeColor="text1" w:themeTint="D9"/>
                <w:sz w:val="36"/>
                <w:szCs w:val="36"/>
              </w:rPr>
            </w:pPr>
            <w:r w:rsidRPr="009908F4">
              <w:rPr>
                <w:color w:val="262626" w:themeColor="text1" w:themeTint="D9"/>
                <w:sz w:val="36"/>
                <w:szCs w:val="36"/>
              </w:rPr>
              <w:t>РЕШЕНИЕ</w:t>
            </w:r>
          </w:p>
        </w:tc>
      </w:tr>
      <w:tr w:rsidR="00D12C3C" w:rsidRPr="009908F4" w:rsidTr="00177CBE">
        <w:tc>
          <w:tcPr>
            <w:tcW w:w="9321" w:type="dxa"/>
            <w:gridSpan w:val="3"/>
          </w:tcPr>
          <w:p w:rsidR="00D12C3C" w:rsidRPr="009908F4" w:rsidRDefault="00D12C3C" w:rsidP="00177CBE">
            <w:pPr>
              <w:jc w:val="center"/>
              <w:rPr>
                <w:color w:val="262626" w:themeColor="text1" w:themeTint="D9"/>
                <w:sz w:val="22"/>
              </w:rPr>
            </w:pPr>
          </w:p>
        </w:tc>
      </w:tr>
    </w:tbl>
    <w:p w:rsidR="00D12C3C" w:rsidRPr="009908F4" w:rsidRDefault="00D12C3C" w:rsidP="00D12C3C">
      <w:pPr>
        <w:ind w:firstLine="567"/>
        <w:jc w:val="center"/>
        <w:rPr>
          <w:color w:val="262626" w:themeColor="text1" w:themeTint="D9"/>
          <w:sz w:val="22"/>
          <w:szCs w:val="22"/>
        </w:rPr>
      </w:pPr>
    </w:p>
    <w:p w:rsidR="00D12C3C" w:rsidRPr="009908F4" w:rsidRDefault="00D12C3C" w:rsidP="00D12C3C">
      <w:pPr>
        <w:ind w:firstLine="567"/>
        <w:jc w:val="center"/>
        <w:rPr>
          <w:color w:val="262626" w:themeColor="text1" w:themeTint="D9"/>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9908F4" w:rsidTr="00177CBE">
        <w:trPr>
          <w:trHeight w:val="108"/>
        </w:trPr>
        <w:tc>
          <w:tcPr>
            <w:tcW w:w="479" w:type="dxa"/>
            <w:tcBorders>
              <w:top w:val="nil"/>
              <w:left w:val="nil"/>
              <w:bottom w:val="nil"/>
              <w:right w:val="nil"/>
            </w:tcBorders>
            <w:vAlign w:val="bottom"/>
          </w:tcPr>
          <w:p w:rsidR="00D12C3C" w:rsidRPr="009908F4" w:rsidRDefault="00D12C3C" w:rsidP="00177CBE">
            <w:pPr>
              <w:rPr>
                <w:color w:val="262626" w:themeColor="text1" w:themeTint="D9"/>
                <w:szCs w:val="28"/>
              </w:rPr>
            </w:pPr>
            <w:r w:rsidRPr="009908F4">
              <w:rPr>
                <w:color w:val="262626" w:themeColor="text1" w:themeTint="D9"/>
                <w:sz w:val="28"/>
                <w:szCs w:val="28"/>
              </w:rPr>
              <w:t>от</w:t>
            </w:r>
          </w:p>
        </w:tc>
        <w:tc>
          <w:tcPr>
            <w:tcW w:w="236" w:type="dxa"/>
            <w:tcBorders>
              <w:top w:val="nil"/>
              <w:left w:val="nil"/>
              <w:bottom w:val="nil"/>
              <w:right w:val="nil"/>
            </w:tcBorders>
          </w:tcPr>
          <w:p w:rsidR="00D12C3C" w:rsidRPr="009908F4" w:rsidRDefault="00D12C3C" w:rsidP="00177CBE">
            <w:pPr>
              <w:rPr>
                <w:color w:val="262626" w:themeColor="text1" w:themeTint="D9"/>
                <w:szCs w:val="28"/>
              </w:rPr>
            </w:pPr>
          </w:p>
        </w:tc>
        <w:tc>
          <w:tcPr>
            <w:tcW w:w="1496" w:type="dxa"/>
            <w:tcBorders>
              <w:top w:val="nil"/>
              <w:left w:val="nil"/>
              <w:bottom w:val="single" w:sz="4" w:space="0" w:color="auto"/>
              <w:right w:val="nil"/>
            </w:tcBorders>
            <w:vAlign w:val="bottom"/>
          </w:tcPr>
          <w:p w:rsidR="00D12C3C" w:rsidRPr="009908F4" w:rsidRDefault="004E0BDD" w:rsidP="004E0BDD">
            <w:pPr>
              <w:jc w:val="center"/>
              <w:rPr>
                <w:color w:val="262626" w:themeColor="text1" w:themeTint="D9"/>
                <w:szCs w:val="28"/>
              </w:rPr>
            </w:pPr>
            <w:r>
              <w:rPr>
                <w:color w:val="262626" w:themeColor="text1" w:themeTint="D9"/>
                <w:sz w:val="28"/>
                <w:szCs w:val="28"/>
              </w:rPr>
              <w:t>01</w:t>
            </w:r>
            <w:r w:rsidR="008B53B7" w:rsidRPr="009908F4">
              <w:rPr>
                <w:color w:val="262626" w:themeColor="text1" w:themeTint="D9"/>
                <w:sz w:val="28"/>
                <w:szCs w:val="28"/>
              </w:rPr>
              <w:t>.</w:t>
            </w:r>
            <w:r w:rsidR="00524C7F" w:rsidRPr="009908F4">
              <w:rPr>
                <w:color w:val="262626" w:themeColor="text1" w:themeTint="D9"/>
                <w:sz w:val="28"/>
                <w:szCs w:val="28"/>
              </w:rPr>
              <w:t>0</w:t>
            </w:r>
            <w:r>
              <w:rPr>
                <w:color w:val="262626" w:themeColor="text1" w:themeTint="D9"/>
                <w:sz w:val="28"/>
                <w:szCs w:val="28"/>
              </w:rPr>
              <w:t>6</w:t>
            </w:r>
            <w:r w:rsidR="008B53B7" w:rsidRPr="009908F4">
              <w:rPr>
                <w:color w:val="262626" w:themeColor="text1" w:themeTint="D9"/>
                <w:sz w:val="28"/>
                <w:szCs w:val="28"/>
              </w:rPr>
              <w:t>.201</w:t>
            </w:r>
            <w:r w:rsidR="00524C7F" w:rsidRPr="009908F4">
              <w:rPr>
                <w:color w:val="262626" w:themeColor="text1" w:themeTint="D9"/>
                <w:sz w:val="28"/>
                <w:szCs w:val="28"/>
              </w:rPr>
              <w:t>8</w:t>
            </w:r>
          </w:p>
        </w:tc>
        <w:tc>
          <w:tcPr>
            <w:tcW w:w="236" w:type="dxa"/>
            <w:tcBorders>
              <w:top w:val="nil"/>
              <w:left w:val="nil"/>
              <w:bottom w:val="nil"/>
              <w:right w:val="nil"/>
            </w:tcBorders>
            <w:vAlign w:val="bottom"/>
          </w:tcPr>
          <w:p w:rsidR="00D12C3C" w:rsidRPr="009908F4" w:rsidRDefault="00D12C3C" w:rsidP="00177CBE">
            <w:pPr>
              <w:jc w:val="center"/>
              <w:rPr>
                <w:color w:val="262626" w:themeColor="text1" w:themeTint="D9"/>
                <w:szCs w:val="28"/>
              </w:rPr>
            </w:pPr>
          </w:p>
        </w:tc>
        <w:tc>
          <w:tcPr>
            <w:tcW w:w="484" w:type="dxa"/>
            <w:tcBorders>
              <w:top w:val="nil"/>
              <w:left w:val="nil"/>
              <w:bottom w:val="nil"/>
              <w:right w:val="nil"/>
            </w:tcBorders>
            <w:vAlign w:val="bottom"/>
          </w:tcPr>
          <w:p w:rsidR="00D12C3C" w:rsidRPr="009908F4" w:rsidRDefault="00D12C3C" w:rsidP="00177CBE">
            <w:pPr>
              <w:jc w:val="center"/>
              <w:rPr>
                <w:color w:val="262626" w:themeColor="text1" w:themeTint="D9"/>
                <w:szCs w:val="28"/>
              </w:rPr>
            </w:pPr>
            <w:r w:rsidRPr="009908F4">
              <w:rPr>
                <w:color w:val="262626" w:themeColor="text1" w:themeTint="D9"/>
                <w:sz w:val="28"/>
                <w:szCs w:val="28"/>
              </w:rPr>
              <w:t>№</w:t>
            </w:r>
          </w:p>
        </w:tc>
        <w:tc>
          <w:tcPr>
            <w:tcW w:w="849" w:type="dxa"/>
            <w:tcBorders>
              <w:top w:val="nil"/>
              <w:left w:val="nil"/>
              <w:bottom w:val="single" w:sz="4" w:space="0" w:color="auto"/>
              <w:right w:val="nil"/>
            </w:tcBorders>
            <w:vAlign w:val="bottom"/>
          </w:tcPr>
          <w:p w:rsidR="00D12C3C" w:rsidRPr="009908F4" w:rsidRDefault="00AB356B" w:rsidP="00C85297">
            <w:pPr>
              <w:jc w:val="center"/>
              <w:rPr>
                <w:color w:val="262626" w:themeColor="text1" w:themeTint="D9"/>
                <w:szCs w:val="28"/>
              </w:rPr>
            </w:pPr>
            <w:r>
              <w:rPr>
                <w:color w:val="262626" w:themeColor="text1" w:themeTint="D9"/>
                <w:sz w:val="28"/>
                <w:szCs w:val="28"/>
              </w:rPr>
              <w:t>7</w:t>
            </w:r>
            <w:r w:rsidR="001F51C8">
              <w:rPr>
                <w:color w:val="262626" w:themeColor="text1" w:themeTint="D9"/>
                <w:sz w:val="28"/>
                <w:szCs w:val="28"/>
              </w:rPr>
              <w:t>4</w:t>
            </w:r>
          </w:p>
        </w:tc>
      </w:tr>
    </w:tbl>
    <w:p w:rsidR="00D12C3C" w:rsidRDefault="00D12C3C" w:rsidP="00D12C3C">
      <w:pPr>
        <w:ind w:firstLine="1276"/>
        <w:rPr>
          <w:color w:val="262626" w:themeColor="text1" w:themeTint="D9"/>
        </w:rPr>
      </w:pPr>
      <w:r w:rsidRPr="009908F4">
        <w:rPr>
          <w:color w:val="262626" w:themeColor="text1" w:themeTint="D9"/>
        </w:rPr>
        <w:t>с.</w:t>
      </w:r>
      <w:r w:rsidR="00523A0E" w:rsidRPr="009908F4">
        <w:rPr>
          <w:color w:val="262626" w:themeColor="text1" w:themeTint="D9"/>
        </w:rPr>
        <w:t> </w:t>
      </w:r>
      <w:r w:rsidRPr="009908F4">
        <w:rPr>
          <w:color w:val="262626" w:themeColor="text1" w:themeTint="D9"/>
        </w:rPr>
        <w:t>Кичменгский Городок</w:t>
      </w:r>
    </w:p>
    <w:p w:rsidR="001F51C8" w:rsidRDefault="001F51C8" w:rsidP="00D12C3C">
      <w:pPr>
        <w:ind w:firstLine="1276"/>
        <w:rPr>
          <w:color w:val="262626" w:themeColor="text1" w:themeTint="D9"/>
        </w:rPr>
      </w:pPr>
    </w:p>
    <w:p w:rsidR="001F51C8" w:rsidRPr="009908F4" w:rsidRDefault="001F51C8" w:rsidP="00D12C3C">
      <w:pPr>
        <w:ind w:firstLine="1276"/>
        <w:rPr>
          <w:color w:val="262626" w:themeColor="text1" w:themeTint="D9"/>
        </w:rPr>
      </w:pPr>
    </w:p>
    <w:p w:rsidR="002073B0" w:rsidRDefault="001F51C8" w:rsidP="00507771">
      <w:pPr>
        <w:ind w:firstLine="567"/>
        <w:rPr>
          <w:color w:val="262626" w:themeColor="text1" w:themeTint="D9"/>
          <w:sz w:val="28"/>
          <w:szCs w:val="28"/>
        </w:rPr>
      </w:pPr>
      <w:bookmarkStart w:id="0" w:name="P205"/>
      <w:bookmarkEnd w:id="0"/>
      <w:r>
        <w:rPr>
          <w:sz w:val="28"/>
          <w:szCs w:val="28"/>
        </w:rPr>
        <w:t>Об утверждении Положения о порядке</w:t>
      </w:r>
    </w:p>
    <w:p w:rsidR="001F51C8" w:rsidRDefault="001F51C8" w:rsidP="001F51C8">
      <w:pPr>
        <w:autoSpaceDE w:val="0"/>
        <w:autoSpaceDN w:val="0"/>
        <w:adjustRightInd w:val="0"/>
        <w:ind w:left="567" w:right="3685"/>
        <w:rPr>
          <w:sz w:val="28"/>
          <w:szCs w:val="28"/>
        </w:rPr>
      </w:pPr>
      <w:r>
        <w:rPr>
          <w:sz w:val="28"/>
          <w:szCs w:val="28"/>
        </w:rPr>
        <w:t>заключения органами местного самоуправления Кичменгско-Городецкого муниципального района договоров (соглашений) с казачьими обществами</w:t>
      </w:r>
    </w:p>
    <w:p w:rsidR="001F51C8" w:rsidRDefault="001F51C8" w:rsidP="001F51C8">
      <w:pPr>
        <w:autoSpaceDE w:val="0"/>
        <w:autoSpaceDN w:val="0"/>
        <w:adjustRightInd w:val="0"/>
        <w:ind w:firstLine="540"/>
        <w:rPr>
          <w:rFonts w:ascii="Calibri" w:hAnsi="Calibri" w:cs="Calibri"/>
        </w:rPr>
      </w:pPr>
    </w:p>
    <w:p w:rsidR="001F51C8" w:rsidRDefault="001F51C8" w:rsidP="001F51C8">
      <w:pPr>
        <w:autoSpaceDE w:val="0"/>
        <w:autoSpaceDN w:val="0"/>
        <w:adjustRightInd w:val="0"/>
        <w:ind w:firstLine="540"/>
        <w:rPr>
          <w:sz w:val="28"/>
          <w:szCs w:val="28"/>
        </w:rPr>
      </w:pPr>
    </w:p>
    <w:p w:rsidR="001F51C8" w:rsidRDefault="001F51C8" w:rsidP="001F51C8">
      <w:pPr>
        <w:autoSpaceDE w:val="0"/>
        <w:autoSpaceDN w:val="0"/>
        <w:adjustRightInd w:val="0"/>
        <w:ind w:firstLine="540"/>
        <w:jc w:val="both"/>
        <w:rPr>
          <w:sz w:val="28"/>
          <w:szCs w:val="28"/>
        </w:rPr>
      </w:pPr>
      <w:r>
        <w:rPr>
          <w:sz w:val="28"/>
          <w:szCs w:val="28"/>
        </w:rPr>
        <w:t>В соответствии с частью 5 статьи 7 Федерального закона от 05.12.2005 года № 154-ФЗ «О государственной службе российского казачества»,</w:t>
      </w:r>
      <w:r>
        <w:t xml:space="preserve"> </w:t>
      </w:r>
      <w:r>
        <w:rPr>
          <w:sz w:val="28"/>
          <w:szCs w:val="28"/>
        </w:rPr>
        <w:t xml:space="preserve">Постановлением Правительства РФ от 08.10.2009 года № 806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(или) их территориальными органами договоров (соглашений) с казачьими обществами» Муниципальное Собрание </w:t>
      </w:r>
      <w:r w:rsidRPr="001F51C8">
        <w:rPr>
          <w:b/>
          <w:sz w:val="28"/>
          <w:szCs w:val="28"/>
        </w:rPr>
        <w:t>РЕШИЛО</w:t>
      </w:r>
      <w:r>
        <w:rPr>
          <w:sz w:val="28"/>
          <w:szCs w:val="28"/>
        </w:rPr>
        <w:t>:</w:t>
      </w:r>
    </w:p>
    <w:p w:rsidR="001F51C8" w:rsidRDefault="001F51C8" w:rsidP="001F51C8">
      <w:pPr>
        <w:numPr>
          <w:ilvl w:val="0"/>
          <w:numId w:val="27"/>
        </w:numPr>
        <w:tabs>
          <w:tab w:val="left" w:pos="284"/>
          <w:tab w:val="left" w:pos="851"/>
        </w:tabs>
        <w:autoSpaceDE w:val="0"/>
        <w:autoSpaceDN w:val="0"/>
        <w:adjustRightInd w:val="0"/>
        <w:spacing w:before="100" w:beforeAutospacing="1" w:after="100" w:afterAutospacing="1"/>
        <w:ind w:left="0" w:firstLine="540"/>
        <w:contextualSpacing/>
        <w:jc w:val="both"/>
        <w:rPr>
          <w:sz w:val="28"/>
          <w:szCs w:val="28"/>
        </w:rPr>
      </w:pPr>
      <w:r>
        <w:rPr>
          <w:sz w:val="28"/>
          <w:szCs w:val="28"/>
        </w:rPr>
        <w:t xml:space="preserve">Утвердить прилагаемое </w:t>
      </w:r>
      <w:hyperlink r:id="rId9" w:history="1">
        <w:r w:rsidRPr="001F51C8">
          <w:rPr>
            <w:rStyle w:val="af0"/>
            <w:color w:val="0D0D0D" w:themeColor="text1" w:themeTint="F2"/>
            <w:sz w:val="28"/>
            <w:szCs w:val="28"/>
          </w:rPr>
          <w:t>Положение</w:t>
        </w:r>
      </w:hyperlink>
      <w:r w:rsidRPr="00C008F2">
        <w:rPr>
          <w:sz w:val="28"/>
          <w:szCs w:val="28"/>
        </w:rPr>
        <w:t xml:space="preserve"> </w:t>
      </w:r>
      <w:r>
        <w:rPr>
          <w:sz w:val="28"/>
          <w:szCs w:val="28"/>
        </w:rPr>
        <w:t>о порядке заключения органами местного самоуправления Кичменгско-Городецкого муниципального района  договоров (соглашений) с казачьими обществами.</w:t>
      </w:r>
    </w:p>
    <w:p w:rsidR="001F51C8" w:rsidRDefault="001F51C8" w:rsidP="001F51C8">
      <w:pPr>
        <w:numPr>
          <w:ilvl w:val="0"/>
          <w:numId w:val="27"/>
        </w:numPr>
        <w:tabs>
          <w:tab w:val="left" w:pos="284"/>
          <w:tab w:val="left" w:pos="851"/>
        </w:tabs>
        <w:autoSpaceDE w:val="0"/>
        <w:autoSpaceDN w:val="0"/>
        <w:adjustRightInd w:val="0"/>
        <w:spacing w:before="100" w:beforeAutospacing="1" w:after="100" w:afterAutospacing="1"/>
        <w:ind w:left="0" w:firstLine="540"/>
        <w:contextualSpacing/>
        <w:jc w:val="both"/>
        <w:rPr>
          <w:sz w:val="28"/>
          <w:szCs w:val="28"/>
        </w:rPr>
      </w:pPr>
      <w:r>
        <w:rPr>
          <w:sz w:val="28"/>
          <w:szCs w:val="28"/>
        </w:rPr>
        <w:t>Настоящее решение вступает в силу после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1F51C8" w:rsidRDefault="001F51C8" w:rsidP="001F51C8">
      <w:pPr>
        <w:autoSpaceDE w:val="0"/>
        <w:autoSpaceDN w:val="0"/>
        <w:adjustRightInd w:val="0"/>
        <w:rPr>
          <w:sz w:val="28"/>
          <w:szCs w:val="28"/>
        </w:rPr>
      </w:pPr>
    </w:p>
    <w:p w:rsidR="001F51C8" w:rsidRDefault="001F51C8" w:rsidP="001F51C8">
      <w:pPr>
        <w:autoSpaceDE w:val="0"/>
        <w:autoSpaceDN w:val="0"/>
        <w:adjustRightInd w:val="0"/>
        <w:rPr>
          <w:sz w:val="28"/>
          <w:szCs w:val="28"/>
        </w:rPr>
      </w:pPr>
    </w:p>
    <w:p w:rsidR="001F51C8" w:rsidRDefault="001F51C8" w:rsidP="001F51C8">
      <w:pPr>
        <w:autoSpaceDE w:val="0"/>
        <w:autoSpaceDN w:val="0"/>
        <w:adjustRightInd w:val="0"/>
        <w:rPr>
          <w:sz w:val="28"/>
          <w:szCs w:val="28"/>
        </w:rPr>
      </w:pPr>
    </w:p>
    <w:p w:rsidR="001F51C8" w:rsidRDefault="001F51C8" w:rsidP="001F51C8">
      <w:pPr>
        <w:autoSpaceDE w:val="0"/>
        <w:autoSpaceDN w:val="0"/>
        <w:adjustRightInd w:val="0"/>
        <w:rPr>
          <w:sz w:val="28"/>
          <w:szCs w:val="28"/>
        </w:rPr>
      </w:pPr>
      <w:r>
        <w:rPr>
          <w:sz w:val="28"/>
          <w:szCs w:val="28"/>
        </w:rPr>
        <w:t>Глава района                                                                                    Л.Н.Дьякова</w:t>
      </w:r>
    </w:p>
    <w:p w:rsidR="001F51C8" w:rsidRDefault="001F51C8">
      <w:pPr>
        <w:jc w:val="both"/>
        <w:rPr>
          <w:sz w:val="28"/>
          <w:szCs w:val="28"/>
        </w:rPr>
      </w:pPr>
      <w:r>
        <w:rPr>
          <w:sz w:val="28"/>
          <w:szCs w:val="28"/>
        </w:rPr>
        <w:br w:type="page"/>
      </w:r>
    </w:p>
    <w:p w:rsidR="001F51C8" w:rsidRDefault="001F51C8" w:rsidP="001F51C8">
      <w:pPr>
        <w:autoSpaceDE w:val="0"/>
        <w:autoSpaceDN w:val="0"/>
        <w:adjustRightInd w:val="0"/>
        <w:jc w:val="center"/>
        <w:rPr>
          <w:b/>
          <w:bCs/>
        </w:rPr>
      </w:pPr>
    </w:p>
    <w:p w:rsidR="001F51C8" w:rsidRDefault="001F51C8" w:rsidP="001F51C8">
      <w:pPr>
        <w:autoSpaceDE w:val="0"/>
        <w:autoSpaceDN w:val="0"/>
        <w:adjustRightInd w:val="0"/>
        <w:jc w:val="center"/>
        <w:rPr>
          <w:b/>
          <w:bCs/>
        </w:rPr>
      </w:pPr>
    </w:p>
    <w:p w:rsidR="001F51C8" w:rsidRPr="001F51C8" w:rsidRDefault="001F51C8" w:rsidP="001F51C8">
      <w:pPr>
        <w:autoSpaceDE w:val="0"/>
        <w:autoSpaceDN w:val="0"/>
        <w:adjustRightInd w:val="0"/>
        <w:jc w:val="center"/>
        <w:rPr>
          <w:b/>
          <w:bCs/>
        </w:rPr>
      </w:pPr>
      <w:r w:rsidRPr="001F51C8">
        <w:rPr>
          <w:b/>
          <w:bCs/>
        </w:rPr>
        <w:t>ПОЛОЖЕНИЕ</w:t>
      </w:r>
    </w:p>
    <w:p w:rsidR="001F51C8" w:rsidRPr="001F51C8" w:rsidRDefault="001F51C8" w:rsidP="001F51C8">
      <w:pPr>
        <w:autoSpaceDE w:val="0"/>
        <w:autoSpaceDN w:val="0"/>
        <w:adjustRightInd w:val="0"/>
        <w:jc w:val="center"/>
        <w:rPr>
          <w:b/>
          <w:bCs/>
        </w:rPr>
      </w:pPr>
      <w:r w:rsidRPr="001F51C8">
        <w:rPr>
          <w:b/>
          <w:bCs/>
        </w:rPr>
        <w:t xml:space="preserve">О ПОРЯДКЕ ЗАКЛЮЧЕНИЯ ОРГАНАМИ МЕСТНОГО САМОУПРАВЛЕНИЯ </w:t>
      </w:r>
    </w:p>
    <w:p w:rsidR="001F51C8" w:rsidRDefault="001F51C8" w:rsidP="001F51C8">
      <w:pPr>
        <w:autoSpaceDE w:val="0"/>
        <w:autoSpaceDN w:val="0"/>
        <w:adjustRightInd w:val="0"/>
        <w:jc w:val="center"/>
        <w:rPr>
          <w:b/>
          <w:bCs/>
        </w:rPr>
      </w:pPr>
      <w:r w:rsidRPr="001F51C8">
        <w:rPr>
          <w:b/>
          <w:bCs/>
        </w:rPr>
        <w:t>КИЧМЕНГСКО-ГОРОДЕЦКОГО МУНИЦИПАЛЬНОГО РАЙОНА</w:t>
      </w:r>
    </w:p>
    <w:p w:rsidR="001F51C8" w:rsidRDefault="001F51C8" w:rsidP="001F51C8">
      <w:pPr>
        <w:autoSpaceDE w:val="0"/>
        <w:autoSpaceDN w:val="0"/>
        <w:adjustRightInd w:val="0"/>
        <w:jc w:val="center"/>
        <w:rPr>
          <w:b/>
          <w:bCs/>
          <w:sz w:val="28"/>
          <w:szCs w:val="28"/>
        </w:rPr>
      </w:pPr>
      <w:r w:rsidRPr="001F51C8">
        <w:rPr>
          <w:b/>
          <w:bCs/>
        </w:rPr>
        <w:t>ДОГОВОРОВ (СОГЛАШЕНИЙ) С КАЗАЧЬИМИ ОБЩЕСТВАМИ</w:t>
      </w:r>
    </w:p>
    <w:p w:rsidR="001F51C8" w:rsidRPr="001F51C8" w:rsidRDefault="001F51C8" w:rsidP="001F51C8">
      <w:pPr>
        <w:autoSpaceDE w:val="0"/>
        <w:autoSpaceDN w:val="0"/>
        <w:adjustRightInd w:val="0"/>
        <w:ind w:firstLine="539"/>
        <w:jc w:val="both"/>
        <w:rPr>
          <w:sz w:val="28"/>
          <w:szCs w:val="28"/>
        </w:rPr>
      </w:pPr>
    </w:p>
    <w:p w:rsidR="001F51C8" w:rsidRPr="001F51C8" w:rsidRDefault="001F51C8" w:rsidP="001F51C8">
      <w:pPr>
        <w:autoSpaceDE w:val="0"/>
        <w:autoSpaceDN w:val="0"/>
        <w:adjustRightInd w:val="0"/>
        <w:ind w:firstLine="539"/>
        <w:jc w:val="both"/>
        <w:rPr>
          <w:sz w:val="28"/>
          <w:szCs w:val="28"/>
        </w:rPr>
      </w:pPr>
      <w:r w:rsidRPr="001F51C8">
        <w:rPr>
          <w:sz w:val="28"/>
          <w:szCs w:val="28"/>
        </w:rPr>
        <w:t>1. Настоящее Положение определяет порядок заключения органами местного самоуправления Кичменгско-Городецкого муниципального района (далее – органы местного самоуправления) договоров (соглашений) с казачьими обществами (далее - договоры).</w:t>
      </w:r>
    </w:p>
    <w:p w:rsidR="001F51C8" w:rsidRPr="001F51C8" w:rsidRDefault="001F51C8" w:rsidP="001F51C8">
      <w:pPr>
        <w:autoSpaceDE w:val="0"/>
        <w:autoSpaceDN w:val="0"/>
        <w:adjustRightInd w:val="0"/>
        <w:ind w:firstLine="539"/>
        <w:jc w:val="both"/>
        <w:rPr>
          <w:sz w:val="28"/>
          <w:szCs w:val="28"/>
        </w:rPr>
      </w:pPr>
      <w:r w:rsidRPr="001F51C8">
        <w:rPr>
          <w:sz w:val="28"/>
          <w:szCs w:val="28"/>
        </w:rPr>
        <w:t>2. Оказание членами казачьего общества содействия органам местного самоуправления в осуществлении установленных задач и функций осуществляется на основании договоров.</w:t>
      </w:r>
    </w:p>
    <w:p w:rsidR="001F51C8" w:rsidRPr="001F51C8" w:rsidRDefault="001F51C8" w:rsidP="001F51C8">
      <w:pPr>
        <w:autoSpaceDE w:val="0"/>
        <w:autoSpaceDN w:val="0"/>
        <w:adjustRightInd w:val="0"/>
        <w:ind w:firstLine="539"/>
        <w:jc w:val="both"/>
        <w:rPr>
          <w:sz w:val="28"/>
          <w:szCs w:val="28"/>
        </w:rPr>
      </w:pPr>
      <w:r w:rsidRPr="001F51C8">
        <w:rPr>
          <w:sz w:val="28"/>
          <w:szCs w:val="28"/>
        </w:rPr>
        <w:t xml:space="preserve">3. Договоры оформляются в соответствии с </w:t>
      </w:r>
      <w:hyperlink r:id="rId10" w:history="1">
        <w:r w:rsidRPr="001F51C8">
          <w:rPr>
            <w:rStyle w:val="af0"/>
            <w:color w:val="0D0D0D" w:themeColor="text1" w:themeTint="F2"/>
            <w:sz w:val="28"/>
            <w:szCs w:val="28"/>
          </w:rPr>
          <w:t>формой</w:t>
        </w:r>
      </w:hyperlink>
      <w:r w:rsidRPr="001F51C8">
        <w:rPr>
          <w:sz w:val="28"/>
          <w:szCs w:val="28"/>
        </w:rPr>
        <w:t xml:space="preserve"> договора, утверждаемой Федеральным агентством по делам национальностей.</w:t>
      </w:r>
    </w:p>
    <w:p w:rsidR="001F51C8" w:rsidRPr="001F51C8" w:rsidRDefault="001F51C8" w:rsidP="001F51C8">
      <w:pPr>
        <w:autoSpaceDE w:val="0"/>
        <w:autoSpaceDN w:val="0"/>
        <w:adjustRightInd w:val="0"/>
        <w:ind w:firstLine="539"/>
        <w:jc w:val="both"/>
        <w:rPr>
          <w:sz w:val="28"/>
          <w:szCs w:val="28"/>
        </w:rPr>
      </w:pPr>
      <w:r w:rsidRPr="001F51C8">
        <w:rPr>
          <w:sz w:val="28"/>
          <w:szCs w:val="28"/>
        </w:rPr>
        <w:t>Сторонами договоров выступают орган местного самоуправления, с одной стороны, и казачье общество - с другой стороны.</w:t>
      </w:r>
    </w:p>
    <w:p w:rsidR="001F51C8" w:rsidRPr="001F51C8" w:rsidRDefault="001F51C8" w:rsidP="001F51C8">
      <w:pPr>
        <w:autoSpaceDE w:val="0"/>
        <w:autoSpaceDN w:val="0"/>
        <w:adjustRightInd w:val="0"/>
        <w:ind w:firstLine="539"/>
        <w:jc w:val="both"/>
        <w:rPr>
          <w:sz w:val="28"/>
          <w:szCs w:val="28"/>
        </w:rPr>
      </w:pPr>
      <w:r w:rsidRPr="001F51C8">
        <w:rPr>
          <w:sz w:val="28"/>
          <w:szCs w:val="28"/>
        </w:rPr>
        <w:t>4. Решение о заключении органом местного самоуправления договора принимает руководитель органа местного самоуправления.</w:t>
      </w:r>
    </w:p>
    <w:p w:rsidR="001F51C8" w:rsidRPr="001F51C8" w:rsidRDefault="001F51C8" w:rsidP="001F51C8">
      <w:pPr>
        <w:autoSpaceDE w:val="0"/>
        <w:autoSpaceDN w:val="0"/>
        <w:adjustRightInd w:val="0"/>
        <w:ind w:firstLine="539"/>
        <w:jc w:val="both"/>
        <w:rPr>
          <w:sz w:val="28"/>
          <w:szCs w:val="28"/>
        </w:rPr>
      </w:pPr>
      <w:r w:rsidRPr="001F51C8">
        <w:rPr>
          <w:sz w:val="28"/>
          <w:szCs w:val="28"/>
        </w:rPr>
        <w:t>5. Договор подписывается руководителем органа местного самоуправления либо уполномоченным им должностным лицом, с одной стороны, и атаманом казачьего общества - с другой стороны.</w:t>
      </w:r>
    </w:p>
    <w:p w:rsidR="001F51C8" w:rsidRPr="001F51C8" w:rsidRDefault="001F51C8" w:rsidP="001F51C8">
      <w:pPr>
        <w:autoSpaceDE w:val="0"/>
        <w:autoSpaceDN w:val="0"/>
        <w:adjustRightInd w:val="0"/>
        <w:ind w:firstLine="539"/>
        <w:jc w:val="both"/>
        <w:rPr>
          <w:sz w:val="28"/>
          <w:szCs w:val="28"/>
        </w:rPr>
      </w:pPr>
      <w:r w:rsidRPr="001F51C8">
        <w:rPr>
          <w:sz w:val="28"/>
          <w:szCs w:val="28"/>
        </w:rPr>
        <w:t>6. В договоре должны быть определены предмет договора, условия и порядок привлечения членов казачьих обществ к содействию органам местного самоуправления в осуществлении установленных задач и функций, права и обязанности сторон, порядок финансового обеспечения, сроки действия договора, основания и порядок изменения и досрочного расторжения договора, а также иные условия, связанные с исполнением положений договора.</w:t>
      </w:r>
    </w:p>
    <w:sectPr w:rsidR="001F51C8" w:rsidRPr="001F51C8" w:rsidSect="00A27AE3">
      <w:headerReference w:type="default" r:id="rId11"/>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25B" w:rsidRDefault="0079625B" w:rsidP="006B1A05">
      <w:r>
        <w:separator/>
      </w:r>
    </w:p>
  </w:endnote>
  <w:endnote w:type="continuationSeparator" w:id="0">
    <w:p w:rsidR="0079625B" w:rsidRDefault="0079625B"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25B" w:rsidRDefault="0079625B" w:rsidP="006B1A05">
      <w:r>
        <w:separator/>
      </w:r>
    </w:p>
  </w:footnote>
  <w:footnote w:type="continuationSeparator" w:id="0">
    <w:p w:rsidR="0079625B" w:rsidRDefault="0079625B"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8B77E6">
        <w:pPr>
          <w:pStyle w:val="a8"/>
          <w:jc w:val="center"/>
        </w:pPr>
        <w:fldSimple w:instr=" PAGE   \* MERGEFORMAT ">
          <w:r w:rsidR="001F51C8">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5">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6">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4"/>
  </w:num>
  <w:num w:numId="3">
    <w:abstractNumId w:val="11"/>
  </w:num>
  <w:num w:numId="4">
    <w:abstractNumId w:val="22"/>
  </w:num>
  <w:num w:numId="5">
    <w:abstractNumId w:val="28"/>
  </w:num>
  <w:num w:numId="6">
    <w:abstractNumId w:val="5"/>
  </w:num>
  <w:num w:numId="7">
    <w:abstractNumId w:val="7"/>
  </w:num>
  <w:num w:numId="8">
    <w:abstractNumId w:val="18"/>
  </w:num>
  <w:num w:numId="9">
    <w:abstractNumId w:val="24"/>
  </w:num>
  <w:num w:numId="10">
    <w:abstractNumId w:val="23"/>
  </w:num>
  <w:num w:numId="11">
    <w:abstractNumId w:val="30"/>
  </w:num>
  <w:num w:numId="12">
    <w:abstractNumId w:val="26"/>
  </w:num>
  <w:num w:numId="13">
    <w:abstractNumId w:val="17"/>
  </w:num>
  <w:num w:numId="14">
    <w:abstractNumId w:val="21"/>
  </w:num>
  <w:num w:numId="15">
    <w:abstractNumId w:val="29"/>
  </w:num>
  <w:num w:numId="16">
    <w:abstractNumId w:val="19"/>
  </w:num>
  <w:num w:numId="17">
    <w:abstractNumId w:val="27"/>
  </w:num>
  <w:num w:numId="18">
    <w:abstractNumId w:val="25"/>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285"/>
    <w:rsid w:val="003515B1"/>
    <w:rsid w:val="00351F44"/>
    <w:rsid w:val="003520B0"/>
    <w:rsid w:val="00352817"/>
    <w:rsid w:val="0035298A"/>
    <w:rsid w:val="0035299B"/>
    <w:rsid w:val="003530E8"/>
    <w:rsid w:val="003531EE"/>
    <w:rsid w:val="00353533"/>
    <w:rsid w:val="003536CD"/>
    <w:rsid w:val="00353C4A"/>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37FA3D80F6D9E299D5A46674523ADFFC20C022FF4D32978020F2A98328FBDB09BC324A1F3C6A3DDdBh5G" TargetMode="External"/><Relationship Id="rId4" Type="http://schemas.openxmlformats.org/officeDocument/2006/relationships/settings" Target="settings.xml"/><Relationship Id="rId9" Type="http://schemas.openxmlformats.org/officeDocument/2006/relationships/hyperlink" Target="consultantplus://offline/ref=DCDD3D44B4D48722A60999D94A910B828D8226922CE750C0A57BA5E582A4BFE7665508724527720A64a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8331C-E198-4839-8600-780C6EF6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463</Words>
  <Characters>2642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2018-06-04T13:18:00Z</cp:lastPrinted>
  <dcterms:created xsi:type="dcterms:W3CDTF">2018-06-04T13:04:00Z</dcterms:created>
  <dcterms:modified xsi:type="dcterms:W3CDTF">2018-06-04T13:20:00Z</dcterms:modified>
</cp:coreProperties>
</file>