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ind w:firstLine="708" w:left="0" w:right="0"/>
      </w:pPr>
      <w:r>
        <w:rPr>
          <w:sz w:val="28"/>
          <w:szCs w:val="28"/>
          <w:lang w:val="ru-RU"/>
        </w:rPr>
        <w:t xml:space="preserve">Вопросом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пеки и попечительства совершеннолетних недееспособных граждан занимаются </w:t>
      </w:r>
      <w:r>
        <w:rPr>
          <w:sz w:val="28"/>
          <w:b/>
          <w:szCs w:val="28"/>
          <w:lang w:val="ru-RU"/>
        </w:rPr>
        <w:t>специалисты Управления социальной защиты населения администрации Устюженского муниципального района</w:t>
      </w:r>
      <w:r>
        <w:rPr>
          <w:sz w:val="28"/>
          <w:szCs w:val="28"/>
          <w:lang w:val="ru-RU"/>
        </w:rPr>
        <w:t>, расположенного по адресу г. Устюжна, ул. Корелякова, д. 10, каб. № 4.</w:t>
      </w:r>
    </w:p>
    <w:p>
      <w:pPr>
        <w:pStyle w:val="style0"/>
        <w:jc w:val="both"/>
      </w:pPr>
      <w:r>
        <w:rPr>
          <w:sz w:val="28"/>
          <w:szCs w:val="28"/>
          <w:lang w:val="ru-RU"/>
        </w:rPr>
        <w:t>тел 2-10-41.</w:t>
      </w:r>
    </w:p>
    <w:p>
      <w:pPr>
        <w:pStyle w:val="style0"/>
        <w:jc w:val="both"/>
      </w:pPr>
      <w:r>
        <w:rPr>
          <w:sz w:val="28"/>
          <w:szCs w:val="28"/>
          <w:lang w:val="ru-RU"/>
        </w:rPr>
        <w:t>- ведущий специалист по опеке и попечительству Старостина Галина Николаевна,</w:t>
      </w:r>
    </w:p>
    <w:p>
      <w:pPr>
        <w:pStyle w:val="style0"/>
        <w:jc w:val="both"/>
      </w:pPr>
      <w:r>
        <w:rPr>
          <w:sz w:val="28"/>
          <w:szCs w:val="28"/>
          <w:lang w:val="ru-RU"/>
        </w:rPr>
        <w:t>- ведущий специалист по опеке и попечительству Сущева Анастасия Евгеньевна.</w:t>
      </w:r>
    </w:p>
    <w:p>
      <w:pPr>
        <w:pStyle w:val="style0"/>
        <w:jc w:val="center"/>
        <w:tabs>
          <w:tab w:leader="none" w:pos="0" w:val="left"/>
        </w:tabs>
      </w:pPr>
      <w:r>
        <w:rPr>
          <w:b/>
        </w:rPr>
        <w:t xml:space="preserve">      </w:t>
      </w:r>
    </w:p>
    <w:p>
      <w:pPr>
        <w:pStyle w:val="style0"/>
        <w:jc w:val="center"/>
        <w:tabs>
          <w:tab w:leader="none" w:pos="0" w:val="left"/>
        </w:tabs>
      </w:pPr>
      <w:r>
        <w:rPr>
          <w:b/>
        </w:rPr>
        <w:t>ПРАВА  И  ОБЯЗАННОСТИ  ОПЕКУНОВ  И  ПОПЕЧИТЕЛЕЙ</w:t>
      </w:r>
    </w:p>
    <w:p>
      <w:pPr>
        <w:pStyle w:val="style0"/>
        <w:jc w:val="both"/>
        <w:tabs>
          <w:tab w:leader="none" w:pos="0" w:val="left"/>
        </w:tabs>
      </w:pPr>
      <w:r>
        <w:rPr>
          <w:b/>
        </w:rPr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>Опека –</w:t>
      </w:r>
      <w:r>
        <w:rPr/>
        <w:t xml:space="preserve"> </w:t>
      </w:r>
      <w:r>
        <w:rPr>
          <w:sz w:val="28"/>
          <w:szCs w:val="28"/>
        </w:rPr>
        <w:t>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 xml:space="preserve">Опекун – </w:t>
      </w:r>
      <w:r>
        <w:rPr>
          <w:sz w:val="28"/>
          <w:szCs w:val="28"/>
        </w:rPr>
        <w:t xml:space="preserve">законный представитель гражданина, признанного решением суда недееспособным вследствие психического заболевания, действующий на основании акта органа местного самоуправления. 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 xml:space="preserve">Попечительство - </w:t>
      </w:r>
      <w:r>
        <w:rPr>
          <w:sz w:val="28"/>
          <w:szCs w:val="28"/>
        </w:rPr>
        <w:t>форма устройства несовершеннолетних граждан в возрасте от четырнадцати до восемнадцати лет и граждан, ограниченных судом в дееспособности,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 в соответствии со статьей 30 Гражданского кодекса Российской Федерации.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>Попечитель</w:t>
      </w:r>
      <w:r>
        <w:rPr>
          <w:sz w:val="28"/>
          <w:szCs w:val="28"/>
        </w:rPr>
        <w:t xml:space="preserve"> – даёт согласие на совершение тех сделок, которые граждане, находящиеся под попечительством, не вправе совершать самостоятельно.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Попечители оказывают подопечным содействие в осуществлении ими своих прав и исполнении обязанностей, а так же охраняют их от злоупотреблений со стороны третьих лиц.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ab/>
        <w:t xml:space="preserve">В соответствии с Гражданским кодексом РФ на опекуна возлагаются следующие </w:t>
      </w:r>
      <w:r>
        <w:rPr>
          <w:sz w:val="28"/>
          <w:b/>
          <w:szCs w:val="28"/>
        </w:rPr>
        <w:t>функции: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 xml:space="preserve">- </w:t>
      </w:r>
      <w:r>
        <w:rPr>
          <w:sz w:val="28"/>
          <w:szCs w:val="28"/>
        </w:rPr>
        <w:t>заботиться о физическом состоянии подопечного;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- контролировать действия подопечного, не допускать причинения ему вреда;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- представлять интересы подопечного, защищать эти интересы.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 xml:space="preserve">Правовой статус опекуна </w:t>
      </w:r>
      <w:r>
        <w:rPr>
          <w:sz w:val="28"/>
          <w:szCs w:val="28"/>
        </w:rPr>
        <w:t>включает в себя следующие права и обязанности: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- подавать заявления о выплате причитающихся  пособий, пенсий;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- предпринимать меры по защите права собственности подопечного (предъявлять иски об истребовании его имущества из чужого незаконного владения, о признании права собственности);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-предъявлять требования о возмещении вреда, причинённого здоровью подопечного или его имуществу;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-обращаться в лечебные учреждения, с целью получения медицинских услуг;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-защищать жилищные права подопечного путём подачи исков о его вселении, о выселении лиц, не имеющих права проживать в жилом помещении подопечного, подачи заявления о предоставлении подопечному жилого помещения;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-обращаться с заявлением  в организации, органы местного самоуправления, органам государственной власти, должностным лицам в случаях, нарушения прав подопечного.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 xml:space="preserve">-при улучшении состояния здоровья подопечного, свидетельствующем о прекращении психического расстройства, опекун обязан ходатайствовать перед судом о признании подопечного дееспособным и о снятии с него опеки; 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-производить уплату налогов (за счёт денежных  средств недееспособного);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 xml:space="preserve">-ежегодно представлять отчет </w:t>
      </w:r>
      <w:r>
        <w:rPr>
          <w:sz w:val="28"/>
          <w:b/>
          <w:szCs w:val="28"/>
        </w:rPr>
        <w:t>не позднее 1 февраля</w:t>
      </w:r>
      <w:r>
        <w:rPr>
          <w:sz w:val="28"/>
          <w:szCs w:val="28"/>
        </w:rPr>
        <w:t xml:space="preserve">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платёжных документов)</w:t>
      </w:r>
    </w:p>
    <w:p>
      <w:pPr>
        <w:pStyle w:val="style0"/>
        <w:jc w:val="both"/>
        <w:tabs>
          <w:tab w:leader="none" w:pos="0" w:val="left"/>
        </w:tabs>
      </w:pPr>
      <w:r>
        <w:rPr/>
      </w:r>
    </w:p>
    <w:p>
      <w:pPr>
        <w:pStyle w:val="style0"/>
        <w:jc w:val="both"/>
        <w:tabs>
          <w:tab w:leader="none" w:pos="0" w:val="left"/>
        </w:tabs>
      </w:pPr>
      <w:r>
        <w:rPr/>
      </w:r>
    </w:p>
    <w:p>
      <w:pPr>
        <w:pStyle w:val="style0"/>
        <w:jc w:val="both"/>
        <w:tabs>
          <w:tab w:leader="none" w:pos="0" w:val="left"/>
        </w:tabs>
      </w:pPr>
      <w:r>
        <w:rPr/>
        <w:t xml:space="preserve"> 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ab/>
        <w:t xml:space="preserve">Опекун недееспособного гражданина несёт </w:t>
      </w:r>
      <w:r>
        <w:rPr>
          <w:sz w:val="28"/>
          <w:b/>
          <w:szCs w:val="28"/>
        </w:rPr>
        <w:t>ответственность: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>Имущественную</w:t>
      </w:r>
      <w:r>
        <w:rPr>
          <w:sz w:val="28"/>
          <w:szCs w:val="28"/>
        </w:rPr>
        <w:t xml:space="preserve"> – за причинение вреда личности и имуществу подопечного. 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 xml:space="preserve">Уголовную – </w:t>
      </w:r>
      <w:r>
        <w:rPr>
          <w:sz w:val="28"/>
          <w:szCs w:val="28"/>
        </w:rPr>
        <w:t>когда подопечный оставлен без надзора и необходимой помощи, а жизнь и здоровье подопечного находится в опасности.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Права и обязанности опекунов и попечителей определяются гражданским законодательством.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ab/>
      </w:r>
      <w:r>
        <w:rPr>
          <w:sz w:val="28"/>
          <w:b w:val="off"/>
          <w:szCs w:val="28"/>
          <w:bCs w:val="off"/>
        </w:rPr>
        <w:t>Опекун или попечитель назначается с их согласия или по их заявлению в письменной форме органом опеки и попечительства по  месту жительства лица, нуждающегося в установлении над  ним опеки  или  попечительства.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 w:val="off"/>
          <w:szCs w:val="28"/>
          <w:bCs w:val="off"/>
        </w:rPr>
        <w:t xml:space="preserve">В случае, если лицу, нуждающемуся в установлении над ним опеки или попечительства, не назначен опекун  или попечитель в течение месяца, исполнение обязанностей опекуна  или попечителя </w:t>
      </w:r>
      <w:r>
        <w:rPr>
          <w:sz w:val="28"/>
          <w:i/>
          <w:b w:val="off"/>
          <w:szCs w:val="28"/>
          <w:bCs w:val="off"/>
        </w:rPr>
        <w:t>временно</w:t>
      </w:r>
      <w:r>
        <w:rPr>
          <w:sz w:val="28"/>
          <w:b w:val="off"/>
          <w:szCs w:val="28"/>
          <w:bCs w:val="off"/>
        </w:rPr>
        <w:t xml:space="preserve"> возлагается на орган опеки и попечительства по месту выявления лица.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 xml:space="preserve"> </w:t>
      </w:r>
    </w:p>
    <w:p>
      <w:pPr>
        <w:pStyle w:val="style0"/>
        <w:jc w:val="center"/>
        <w:tabs>
          <w:tab w:leader="none" w:pos="0" w:val="left"/>
        </w:tabs>
      </w:pPr>
      <w:r>
        <w:rPr>
          <w:sz w:val="28"/>
          <w:szCs w:val="28"/>
        </w:rPr>
      </w:r>
    </w:p>
    <w:p>
      <w:pPr>
        <w:pStyle w:val="style0"/>
        <w:jc w:val="center"/>
        <w:tabs>
          <w:tab w:leader="none" w:pos="0" w:val="left"/>
        </w:tabs>
      </w:pPr>
      <w:r>
        <w:rPr>
          <w:sz w:val="28"/>
          <w:b/>
          <w:szCs w:val="28"/>
        </w:rPr>
      </w:r>
    </w:p>
    <w:p>
      <w:pPr>
        <w:pStyle w:val="style0"/>
        <w:jc w:val="center"/>
        <w:tabs>
          <w:tab w:leader="none" w:pos="0" w:val="left"/>
        </w:tabs>
      </w:pPr>
      <w:r>
        <w:rPr>
          <w:sz w:val="28"/>
          <w:b/>
          <w:szCs w:val="28"/>
        </w:rPr>
      </w:r>
    </w:p>
    <w:p>
      <w:pPr>
        <w:pStyle w:val="style0"/>
        <w:jc w:val="center"/>
        <w:tabs>
          <w:tab w:leader="none" w:pos="0" w:val="left"/>
        </w:tabs>
      </w:pPr>
      <w:r>
        <w:rPr>
          <w:sz w:val="28"/>
          <w:b/>
          <w:szCs w:val="28"/>
        </w:rPr>
      </w:r>
    </w:p>
    <w:p>
      <w:pPr>
        <w:pStyle w:val="style0"/>
        <w:jc w:val="center"/>
        <w:tabs>
          <w:tab w:leader="none" w:pos="0" w:val="left"/>
        </w:tabs>
      </w:pPr>
      <w:r>
        <w:rPr>
          <w:sz w:val="28"/>
          <w:b/>
          <w:szCs w:val="28"/>
        </w:rPr>
      </w:r>
    </w:p>
    <w:p>
      <w:pPr>
        <w:pStyle w:val="style0"/>
        <w:jc w:val="center"/>
        <w:tabs>
          <w:tab w:leader="none" w:pos="0" w:val="left"/>
        </w:tabs>
      </w:pPr>
      <w:r>
        <w:rPr>
          <w:sz w:val="28"/>
          <w:b/>
          <w:szCs w:val="28"/>
        </w:rPr>
      </w:r>
    </w:p>
    <w:p>
      <w:pPr>
        <w:pStyle w:val="style0"/>
        <w:jc w:val="both"/>
      </w:pPr>
      <w:bookmarkStart w:id="0" w:name="_GoBack"/>
      <w:bookmarkStart w:id="1" w:name="_GoBack"/>
      <w:bookmarkEnd w:id="1"/>
      <w:r>
        <w:rPr>
          <w:sz w:val="28"/>
          <w:szCs w:val="28"/>
          <w:lang w:val="ru-RU"/>
        </w:rPr>
      </w:r>
    </w:p>
    <w:p>
      <w:pPr>
        <w:pStyle w:val="style0"/>
        <w:jc w:val="center"/>
        <w:tabs>
          <w:tab w:leader="none" w:pos="0" w:val="left"/>
        </w:tabs>
      </w:pPr>
      <w:r>
        <w:rPr>
          <w:sz w:val="28"/>
          <w:b/>
          <w:szCs w:val="28"/>
        </w:rPr>
        <w:t xml:space="preserve">ПЕРЕЧЕНЬ ДОКУМЕНТОВ, ПРИЛАГАЕМЫХ  К  ЗАЯВЛЕНИЮ ОБ УСТАНОВЛЕНИИ ОПЕКИ (ПОПЕЧИТЕЛЬСТВА) НАД  ГРАЖДАНАМИ, </w:t>
      </w:r>
    </w:p>
    <w:p>
      <w:pPr>
        <w:pStyle w:val="style0"/>
        <w:jc w:val="center"/>
        <w:tabs>
          <w:tab w:leader="none" w:pos="0" w:val="left"/>
        </w:tabs>
      </w:pPr>
      <w:r>
        <w:rPr>
          <w:sz w:val="28"/>
          <w:b/>
          <w:szCs w:val="28"/>
        </w:rPr>
        <w:t>ПРИЗННАНЫМИ  РЕШЕНИЕМ  СУДА  НЕДЕЕСПОСОБНЫМИ  (ОГРАНИЧЕННО  ДЕЕСПОСОБНЫМИ)</w:t>
      </w:r>
    </w:p>
    <w:p>
      <w:pPr>
        <w:pStyle w:val="style0"/>
        <w:jc w:val="center"/>
        <w:tabs>
          <w:tab w:leader="none" w:pos="0" w:val="left"/>
        </w:tabs>
      </w:pPr>
      <w:r>
        <w:rPr>
          <w:sz w:val="28"/>
          <w:b/>
          <w:szCs w:val="28"/>
        </w:rPr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</w:r>
    </w:p>
    <w:p>
      <w:pPr>
        <w:pStyle w:val="style0"/>
        <w:numPr>
          <w:ilvl w:val="0"/>
          <w:numId w:val="1"/>
        </w:numPr>
        <w:jc w:val="both"/>
        <w:tabs>
          <w:tab w:leader="none" w:pos="0" w:val="left"/>
        </w:tabs>
      </w:pPr>
      <w:r>
        <w:rPr>
          <w:sz w:val="28"/>
          <w:szCs w:val="28"/>
        </w:rPr>
        <w:t>Решение суда о признании гражданина недееспособным (ограниченно дееспособным).</w:t>
      </w:r>
    </w:p>
    <w:p>
      <w:pPr>
        <w:pStyle w:val="style0"/>
        <w:numPr>
          <w:ilvl w:val="0"/>
          <w:numId w:val="1"/>
        </w:numPr>
        <w:jc w:val="both"/>
        <w:tabs>
          <w:tab w:leader="none" w:pos="0" w:val="left"/>
        </w:tabs>
      </w:pPr>
      <w:r>
        <w:rPr>
          <w:sz w:val="28"/>
          <w:szCs w:val="28"/>
        </w:rPr>
        <w:t>Копия паспорта заявителя.</w:t>
      </w:r>
    </w:p>
    <w:p>
      <w:pPr>
        <w:pStyle w:val="style0"/>
        <w:numPr>
          <w:ilvl w:val="0"/>
          <w:numId w:val="1"/>
        </w:numPr>
        <w:jc w:val="both"/>
        <w:tabs>
          <w:tab w:leader="none" w:pos="0" w:val="left"/>
        </w:tabs>
      </w:pPr>
      <w:r>
        <w:rPr>
          <w:sz w:val="28"/>
          <w:szCs w:val="28"/>
        </w:rPr>
        <w:t>Копия паспорта лица, нуждающегося в опеке (попечительстве).</w:t>
      </w:r>
    </w:p>
    <w:p>
      <w:pPr>
        <w:pStyle w:val="style0"/>
        <w:numPr>
          <w:ilvl w:val="0"/>
          <w:numId w:val="1"/>
        </w:numPr>
        <w:jc w:val="both"/>
        <w:tabs>
          <w:tab w:leader="none" w:pos="0" w:val="left"/>
        </w:tabs>
      </w:pPr>
      <w:r>
        <w:rPr>
          <w:sz w:val="28"/>
          <w:szCs w:val="28"/>
        </w:rPr>
        <w:t>Справка о составе семьи заявителя и лица, нуждающегося в опеке (попечительстве), выданная  ЖКХ по месту их регистрации.</w:t>
      </w:r>
    </w:p>
    <w:p>
      <w:pPr>
        <w:pStyle w:val="style0"/>
        <w:numPr>
          <w:ilvl w:val="0"/>
          <w:numId w:val="1"/>
        </w:numPr>
        <w:jc w:val="both"/>
        <w:tabs>
          <w:tab w:leader="none" w:pos="0" w:val="left"/>
        </w:tabs>
      </w:pPr>
      <w:r>
        <w:rPr>
          <w:sz w:val="28"/>
          <w:szCs w:val="28"/>
        </w:rPr>
        <w:t>Характеристика заявителя, выданная по месту работы или по месту жительства.</w:t>
      </w:r>
    </w:p>
    <w:p>
      <w:pPr>
        <w:pStyle w:val="style0"/>
        <w:numPr>
          <w:ilvl w:val="0"/>
          <w:numId w:val="1"/>
        </w:numPr>
        <w:jc w:val="both"/>
        <w:tabs>
          <w:tab w:leader="none" w:pos="0" w:val="left"/>
        </w:tabs>
      </w:pPr>
      <w:r>
        <w:rPr>
          <w:sz w:val="28"/>
          <w:szCs w:val="28"/>
        </w:rPr>
        <w:t>Справка  психиатра  на имя заявителя.</w:t>
      </w:r>
    </w:p>
    <w:p>
      <w:pPr>
        <w:pStyle w:val="style0"/>
        <w:numPr>
          <w:ilvl w:val="0"/>
          <w:numId w:val="1"/>
        </w:numPr>
        <w:jc w:val="both"/>
        <w:tabs>
          <w:tab w:leader="none" w:pos="0" w:val="left"/>
        </w:tabs>
      </w:pPr>
      <w:r>
        <w:rPr>
          <w:sz w:val="28"/>
          <w:szCs w:val="28"/>
        </w:rPr>
        <w:t>Справка МСЭ лица, нуждающегося в опеке.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</w:r>
    </w:p>
    <w:p>
      <w:pPr>
        <w:pStyle w:val="style0"/>
      </w:pPr>
      <w:r>
        <w:rPr/>
      </w:r>
    </w:p>
    <w:p>
      <w:pPr>
        <w:pStyle w:val="style0"/>
        <w:tabs>
          <w:tab w:leader="none" w:pos="0" w:val="left"/>
        </w:tabs>
      </w:pPr>
      <w:r>
        <w:rPr/>
      </w:r>
    </w:p>
    <w:p>
      <w:pPr>
        <w:pStyle w:val="style0"/>
        <w:tabs>
          <w:tab w:leader="none" w:pos="0" w:val="left"/>
        </w:tabs>
      </w:pPr>
      <w:r>
        <w:rPr>
          <w:b/>
        </w:rPr>
      </w:r>
    </w:p>
    <w:p>
      <w:pPr>
        <w:pStyle w:val="style0"/>
        <w:jc w:val="center"/>
        <w:tabs>
          <w:tab w:leader="none" w:pos="0" w:val="left"/>
        </w:tabs>
      </w:pPr>
      <w:r>
        <w:rPr>
          <w:b/>
        </w:rPr>
        <w:t>ПЕРЕЧЕНЬ  ДОКУМЕНТОВ, ПРИЛАГАЕМЫХ К  ЗАЯВЛЕНИЮ В  СУД  О ПРИЗНАНИИ НЕДЕЕСПОСОБНЫМ (ОГРАНИЧЕННО  ДЕЕСПОСОБНЫМ)</w:t>
      </w:r>
    </w:p>
    <w:p>
      <w:pPr>
        <w:pStyle w:val="style0"/>
        <w:jc w:val="center"/>
        <w:tabs>
          <w:tab w:leader="none" w:pos="0" w:val="left"/>
        </w:tabs>
      </w:pPr>
      <w:r>
        <w:rPr>
          <w:b/>
        </w:rPr>
      </w:r>
    </w:p>
    <w:p>
      <w:pPr>
        <w:pStyle w:val="style0"/>
        <w:jc w:val="center"/>
        <w:tabs>
          <w:tab w:leader="none" w:pos="0" w:val="left"/>
        </w:tabs>
      </w:pPr>
      <w:r>
        <w:rPr>
          <w:b/>
        </w:rPr>
      </w:r>
    </w:p>
    <w:p>
      <w:pPr>
        <w:pStyle w:val="style0"/>
        <w:numPr>
          <w:ilvl w:val="0"/>
          <w:numId w:val="2"/>
        </w:numPr>
        <w:jc w:val="both"/>
        <w:tabs>
          <w:tab w:leader="none" w:pos="0" w:val="left"/>
        </w:tabs>
      </w:pPr>
      <w:r>
        <w:rPr>
          <w:sz w:val="28"/>
          <w:szCs w:val="28"/>
        </w:rPr>
        <w:t>Медицинское  заключение психиатра.</w:t>
      </w:r>
    </w:p>
    <w:p>
      <w:pPr>
        <w:pStyle w:val="style0"/>
        <w:numPr>
          <w:ilvl w:val="0"/>
          <w:numId w:val="2"/>
        </w:numPr>
        <w:jc w:val="both"/>
        <w:tabs>
          <w:tab w:leader="none" w:pos="0" w:val="left"/>
        </w:tabs>
      </w:pPr>
      <w:r>
        <w:rPr>
          <w:sz w:val="28"/>
          <w:szCs w:val="28"/>
        </w:rPr>
        <w:t>Копия справки  о группе инвалидности.</w:t>
      </w:r>
    </w:p>
    <w:p>
      <w:pPr>
        <w:pStyle w:val="style0"/>
        <w:numPr>
          <w:ilvl w:val="0"/>
          <w:numId w:val="2"/>
        </w:numPr>
        <w:jc w:val="both"/>
        <w:tabs>
          <w:tab w:leader="none" w:pos="0" w:val="left"/>
        </w:tabs>
      </w:pPr>
      <w:r>
        <w:rPr>
          <w:sz w:val="28"/>
          <w:szCs w:val="28"/>
        </w:rPr>
        <w:t>Копия паспорта.</w:t>
      </w:r>
    </w:p>
    <w:p>
      <w:pPr>
        <w:pStyle w:val="style0"/>
        <w:numPr>
          <w:ilvl w:val="0"/>
          <w:numId w:val="2"/>
        </w:numPr>
        <w:jc w:val="both"/>
        <w:tabs>
          <w:tab w:leader="none" w:pos="0" w:val="left"/>
        </w:tabs>
      </w:pPr>
      <w:r>
        <w:rPr>
          <w:sz w:val="28"/>
          <w:szCs w:val="28"/>
        </w:rPr>
        <w:t>Акт  обследования.</w:t>
      </w:r>
    </w:p>
    <w:p>
      <w:pPr>
        <w:pStyle w:val="style0"/>
        <w:jc w:val="both"/>
        <w:tabs>
          <w:tab w:leader="none" w:pos="0" w:val="left"/>
        </w:tabs>
      </w:pPr>
      <w:r>
        <w:rPr/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 w:val="off"/>
          <w:szCs w:val="28"/>
          <w:bCs w:val="off"/>
        </w:rPr>
        <w:t>Дело о признании гражданина недееспособным вследствие психического расстройства может быть возбуждено в суде на основании заявления членов его семьи, близких родственников (родителей, детей, сестёр, братьев), органа опеки и попечительства (если нет близких родственников).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 w:val="off"/>
          <w:szCs w:val="28"/>
          <w:bCs w:val="off"/>
        </w:rPr>
        <w:tab/>
        <w:t>В заявлении о признании гражданина недееспособным должны быть  изложены обстоятельства, свидетельствующие о наличии у гражданина психического расстройства, вследствие чего он может понимать значение своих действий или руководить ими.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 xml:space="preserve">Опека- </w:t>
      </w:r>
      <w:r>
        <w:rPr>
          <w:sz w:val="28"/>
          <w:szCs w:val="28"/>
        </w:rPr>
        <w:t>устанавливается над малолетними, а также над гражданами, признанными судом недееспособными.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 xml:space="preserve">Опекун </w:t>
      </w:r>
      <w:r>
        <w:rPr>
          <w:sz w:val="28"/>
          <w:szCs w:val="28"/>
        </w:rPr>
        <w:t xml:space="preserve">–-законный представитель гражданина, признанного решением суда недееспособным вследствие психического заболевания, действующий на основании акта органа местного самоуправления. 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Опекун призван полностью заменить в юридической сфере своего подопечного.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 xml:space="preserve">Попечительство – </w:t>
      </w:r>
      <w:r>
        <w:rPr>
          <w:sz w:val="28"/>
          <w:szCs w:val="28"/>
        </w:rPr>
        <w:t xml:space="preserve">форма устройства несовершеннолетних граждан в возрасте от четырнадцати до восемнадцати лет, а также над гражданами, ограниченными судом в дееспособности вследствие злоупотребления спиртными напитками или наркотическими средствами. 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 xml:space="preserve">Попечители  </w:t>
      </w:r>
      <w:r>
        <w:rPr>
          <w:sz w:val="28"/>
          <w:szCs w:val="28"/>
        </w:rPr>
        <w:t xml:space="preserve"> дают согласие на совершение тех сделок, которые граждане, находящиеся под попечительством, не вправе совершать самостоятельно.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>Попечители оказывают подопечным содействие в осуществлении ими своих прав и  исполнении  обязанностей, а также охраняют их от злоупотреблений со стороны третьих лиц.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 xml:space="preserve">В  соответствии со ст.41 ГК РФ над совершеннолетним дееспособным гражданином, который по состоянию здоровья не способен самостоятельно осуществлять и защищать свои права и исполнять свои обязанности, может быть установлен </w:t>
      </w:r>
      <w:r>
        <w:rPr>
          <w:sz w:val="28"/>
          <w:b/>
          <w:szCs w:val="28"/>
        </w:rPr>
        <w:t>патронаж</w:t>
      </w:r>
      <w:r>
        <w:rPr>
          <w:sz w:val="28"/>
          <w:szCs w:val="28"/>
        </w:rPr>
        <w:t>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b/>
          <w:szCs w:val="28"/>
        </w:rPr>
        <w:t xml:space="preserve">Патронаж </w:t>
      </w:r>
      <w:r>
        <w:rPr>
          <w:sz w:val="28"/>
          <w:szCs w:val="28"/>
        </w:rPr>
        <w:t xml:space="preserve">над дееспособными гражданами не относится к формам опеки и попечительства. Соответственно, </w:t>
      </w:r>
      <w:r>
        <w:rPr>
          <w:sz w:val="28"/>
          <w:b/>
          <w:szCs w:val="28"/>
        </w:rPr>
        <w:t xml:space="preserve">помощник </w:t>
      </w:r>
      <w:r>
        <w:rPr>
          <w:sz w:val="28"/>
          <w:szCs w:val="28"/>
        </w:rPr>
        <w:t xml:space="preserve">не является законным представителем  гражданина, в отношении которого установлен </w:t>
      </w:r>
      <w:r>
        <w:rPr>
          <w:sz w:val="28"/>
          <w:b/>
          <w:szCs w:val="28"/>
        </w:rPr>
        <w:t>патронаж.</w:t>
      </w:r>
    </w:p>
    <w:p>
      <w:pPr>
        <w:pStyle w:val="style0"/>
        <w:jc w:val="both"/>
        <w:tabs>
          <w:tab w:leader="none" w:pos="0" w:val="left"/>
        </w:tabs>
      </w:pPr>
      <w:r>
        <w:rPr>
          <w:sz w:val="28"/>
          <w:szCs w:val="28"/>
        </w:rPr>
        <w:t xml:space="preserve">Распоряжение имуществом, принадлежащим совершеннолетнему дееспособному подопечному, осуществляется помощником на основании договора поручения или доверительного управления, заключённого с подопечным.  Заключение такого договора является обязательным условием установления патронажа. </w:t>
      </w:r>
    </w:p>
    <w:p>
      <w:pPr>
        <w:pStyle w:val="style0"/>
      </w:pPr>
      <w:r>
        <w:rPr>
          <w:sz w:val="28"/>
          <w:b/>
          <w:szCs w:val="28"/>
          <w:bCs/>
          <w:lang w:val="ru-RU"/>
        </w:rPr>
      </w:r>
    </w:p>
    <w:p>
      <w:pPr>
        <w:pStyle w:val="style0"/>
        <w:jc w:val="both"/>
      </w:pPr>
      <w:r>
        <w:rPr>
          <w:sz w:val="28"/>
          <w:b/>
          <w:szCs w:val="28"/>
          <w:bCs/>
          <w:lang w:val="ru-RU"/>
        </w:rPr>
        <w:tab/>
        <w:t>С 1 января 2012 года</w:t>
      </w:r>
      <w:r>
        <w:rPr>
          <w:sz w:val="28"/>
          <w:szCs w:val="28"/>
          <w:lang w:val="ru-RU"/>
        </w:rPr>
        <w:t xml:space="preserve"> вступил в силу закон Вологодской области от 03.06.2011 № 2524-ОЗ «О вознаграждении опекунам совершеннолетних недееспособных граждан», которым установлен размер ежемесячного денежного вознаграждения - 4330 руб. без учета НДС случаи и порядок выплаты вознаграждения опекунам совершеннолетних недееспособных граждан за счет средств обсластного бюджета. Право опекуна на возмезной основе возникает с момента заключения договора об осуществлении опеки.</w:t>
      </w:r>
    </w:p>
    <w:p>
      <w:pPr>
        <w:pStyle w:val="style0"/>
        <w:jc w:val="both"/>
      </w:pPr>
      <w:r>
        <w:rPr>
          <w:sz w:val="28"/>
          <w:u w:val="single"/>
          <w:szCs w:val="28"/>
          <w:lang w:val="ru-RU"/>
        </w:rPr>
        <w:t>Не могут получать вознаграждение: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ru-RU"/>
        </w:rPr>
        <w:t>родители, назначенные опекунами своих совершенноллетних недееспособных детей (ст. 85 ч. 1 СК РФ);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ru-RU"/>
        </w:rPr>
        <w:t>трудоспособные совершеннолетние дети, назначенные опекунами своих недееспособных родителей (ст. 87 ч. 1 СК РФ);</w:t>
      </w:r>
    </w:p>
    <w:p>
      <w:pPr>
        <w:pStyle w:val="style0"/>
        <w:numPr>
          <w:ilvl w:val="0"/>
          <w:numId w:val="3"/>
        </w:numPr>
        <w:jc w:val="both"/>
      </w:pPr>
      <w:r>
        <w:rPr>
          <w:sz w:val="28"/>
          <w:szCs w:val="28"/>
          <w:lang w:val="ru-RU"/>
        </w:rPr>
        <w:t>супруг, назначенный опекуном недееспособного супруга (ст. 89 СК РФ), а также опекуны недееспособных граждан, в отношении которых судом установлена обязанность по содержанию подопечных.</w:t>
      </w:r>
    </w:p>
    <w:p>
      <w:pPr>
        <w:pStyle w:val="style0"/>
        <w:jc w:val="both"/>
      </w:pPr>
      <w:r>
        <w:rPr>
          <w:sz w:val="28"/>
          <w:szCs w:val="28"/>
          <w:lang w:val="ru-RU"/>
        </w:rPr>
        <w:tab/>
        <w:t>Граждан, заинтересованных в установлении опеки над совершеннолетними, признанными судом недееспособными (ограниченно дееспособными), гражданами, просим обращаться в Управление социальной защиты населения администрации Устюженского муниципального района, находящегося по адресу: г. Устюжна, ул. Корелякова, д.10, каб. № 4, тел 2-10-41.</w:t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3">
    <w:lvl w:ilvl="0">
      <w:start w:val="1"/>
      <w:numFmt w:val="bullet"/>
      <w:lvlJc w:val="left"/>
      <w:lvlText w:val="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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Jc w:val="left"/>
      <w:lvlText w:val="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Jc w:val="left"/>
      <w:lvlText w:val="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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Jc w:val="left"/>
      <w:lvlText w:val="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Jc w:val="left"/>
      <w:lvlText w:val="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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Jc w:val="left"/>
      <w:lvlText w:val=""/>
      <w:pPr>
        <w:ind w:hanging="360" w:left="3600"/>
      </w:pPr>
      <w:rPr>
        <w:rFonts w:ascii="Symbol" w:cs="Symbol" w:hAnsi="Symbol" w:hint="default"/>
      </w:rPr>
    </w:lvl>
  </w:abstractNum>
  <w:abstractNum w:abstractNumId="4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suppressAutoHyphens w:val="true"/>
      <w:tabs>
        <w:tab w:leader="none" w:pos="709" w:val="left"/>
      </w:tabs>
      <w:spacing w:after="0" w:before="0" w:line="100" w:lineRule="atLeast"/>
    </w:pPr>
    <w:rPr>
      <w:color w:val="auto"/>
      <w:sz w:val="24"/>
      <w:szCs w:val="24"/>
      <w:rFonts w:ascii="Times New Roman" w:cs="Tahoma" w:eastAsia="Andale Sans UI" w:hAnsi="Times New Roman"/>
      <w:lang w:bidi="fa-IR" w:eastAsia="ja-JP" w:val="de-DE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OpenSymbol" w:eastAsia="OpenSymbol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ascii="Arial" w:cs="Mangal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OpenOffice.org/3.2$Win32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2013-10-08T10:10:00.00Z</dcterms:created>
  <dc:creator>us3</dc:creator>
  <cp:lastModifiedBy>us3</cp:lastModifiedBy>
  <dcterms:modified xsi:type="dcterms:W3CDTF">2013-10-08T10:19:00.00Z</dcterms:modified>
  <cp:revision>3</cp:revision>
</cp:coreProperties>
</file>