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C1" w:rsidRDefault="00440DC1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bookmarkStart w:id="0" w:name="_GoBack"/>
      <w:bookmarkEnd w:id="0"/>
    </w:p>
    <w:tbl>
      <w:tblPr>
        <w:tblW w:w="15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0"/>
      </w:tblGrid>
      <w:tr w:rsidR="00440DC1">
        <w:trPr>
          <w:divId w:val="25764307"/>
          <w:trHeight w:val="453"/>
        </w:trPr>
        <w:tc>
          <w:tcPr>
            <w:tcW w:w="0" w:type="auto"/>
            <w:vMerge w:val="restart"/>
            <w:tcMar>
              <w:top w:w="270" w:type="dxa"/>
              <w:left w:w="0" w:type="dxa"/>
              <w:bottom w:w="0" w:type="dxa"/>
              <w:right w:w="0" w:type="dxa"/>
            </w:tcMar>
            <w:hideMark/>
          </w:tcPr>
          <w:p w:rsidR="00440DC1" w:rsidRDefault="00440DC1" w:rsidP="00663082">
            <w:pPr>
              <w:pStyle w:val="1"/>
              <w:pBdr>
                <w:bottom w:val="single" w:sz="6" w:space="2" w:color="1B4E82"/>
              </w:pBdr>
              <w:spacing w:before="0" w:after="105"/>
              <w:jc w:val="center"/>
              <w:rPr>
                <w:rFonts w:ascii="Tahoma" w:eastAsia="Times New Roman" w:hAnsi="Tahoma" w:cs="Tahoma"/>
                <w:b/>
                <w:bCs/>
                <w:color w:val="1B4E82"/>
                <w:sz w:val="30"/>
                <w:szCs w:val="30"/>
              </w:rPr>
            </w:pPr>
            <w:r>
              <w:rPr>
                <w:rFonts w:ascii="Tahoma" w:eastAsia="Times New Roman" w:hAnsi="Tahoma" w:cs="Tahoma"/>
                <w:b/>
                <w:bCs/>
                <w:color w:val="1B4E82"/>
                <w:sz w:val="30"/>
                <w:szCs w:val="30"/>
              </w:rPr>
              <w:t>Информация</w:t>
            </w:r>
          </w:p>
          <w:tbl>
            <w:tblPr>
              <w:tblW w:w="158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0"/>
            </w:tblGrid>
            <w:tr w:rsidR="00440DC1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hideMark/>
                </w:tcPr>
                <w:p w:rsidR="00663082" w:rsidRDefault="00440DC1" w:rsidP="00663082">
                  <w:pPr>
                    <w:pStyle w:val="1"/>
                    <w:pBdr>
                      <w:bottom w:val="single" w:sz="6" w:space="2" w:color="1B4E82"/>
                    </w:pBdr>
                    <w:spacing w:before="0" w:after="105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  <w:t>Тарифы на электрическую энергию, отпускаемую населению Архангельской области</w:t>
                  </w:r>
                </w:p>
                <w:p w:rsidR="00440DC1" w:rsidRDefault="00440DC1" w:rsidP="00663082">
                  <w:pPr>
                    <w:pStyle w:val="1"/>
                    <w:pBdr>
                      <w:bottom w:val="single" w:sz="6" w:space="2" w:color="1B4E82"/>
                    </w:pBdr>
                    <w:spacing w:before="0" w:after="105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1B4E82"/>
                      <w:sz w:val="30"/>
                      <w:szCs w:val="30"/>
                    </w:rPr>
                    <w:t>в 2017 году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9"/>
                    <w:gridCol w:w="1582"/>
                    <w:gridCol w:w="4484"/>
                    <w:gridCol w:w="5094"/>
                  </w:tblGrid>
                  <w:tr w:rsidR="00440DC1" w:rsidTr="00FB6779">
                    <w:trPr>
                      <w:divId w:val="2124035582"/>
                    </w:trPr>
                    <w:tc>
                      <w:tcPr>
                        <w:tcW w:w="5841" w:type="dxa"/>
                        <w:gridSpan w:val="2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Показатель (группы потребителей с разбивкой по ставкам и дифференциацией по зонам суток)</w:t>
                        </w:r>
                      </w:p>
                    </w:tc>
                    <w:tc>
                      <w:tcPr>
                        <w:tcW w:w="9578" w:type="dxa"/>
                        <w:gridSpan w:val="2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Тариф, руб./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кВт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.ч</w:t>
                        </w:r>
                        <w:proofErr w:type="spellEnd"/>
                        <w:proofErr w:type="gramEnd"/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5841" w:type="dxa"/>
                        <w:gridSpan w:val="2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 xml:space="preserve">Кроме МУП «ПУ ЖКХ» в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оряжме</w:t>
                        </w:r>
                        <w:proofErr w:type="spellEnd"/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 xml:space="preserve">МУП «ПУ ЖКХ» в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оряжме</w:t>
                        </w:r>
                        <w:proofErr w:type="spellEnd"/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5841" w:type="dxa"/>
                        <w:gridSpan w:val="2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(Постановление агентства по тарифам и ценам Архангельской области от 23.12.2016 № 67-э/3)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(Постановление агентства по тарифам и ценам Архангельской области от 26.12.2015 № 68-э/2)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15419" w:type="dxa"/>
                        <w:gridSpan w:val="4"/>
                        <w:tcBorders>
                          <w:top w:val="single" w:sz="6" w:space="0" w:color="207CAD"/>
                          <w:left w:val="single" w:sz="6" w:space="0" w:color="207CAD"/>
                          <w:bottom w:val="single" w:sz="12" w:space="0" w:color="207CAD"/>
                          <w:right w:val="single" w:sz="6" w:space="0" w:color="207CAD"/>
                        </w:tcBorders>
                        <w:shd w:val="clear" w:color="auto" w:fill="DDEBFA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440DC1" w:rsidRDefault="00440DC1">
                        <w:pPr>
                          <w:spacing w:after="375"/>
                          <w:jc w:val="center"/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242428"/>
                            <w:sz w:val="18"/>
                            <w:szCs w:val="18"/>
                          </w:rPr>
      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5841" w:type="dxa"/>
                        <w:gridSpan w:val="2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63082">
                          <w:rPr>
                            <w:rFonts w:eastAsia="Times New Roman"/>
                          </w:rPr>
                          <w:t>Одноставочный</w:t>
                        </w:r>
                        <w:proofErr w:type="spellEnd"/>
                        <w:r w:rsidRPr="00663082">
                          <w:rPr>
                            <w:rFonts w:eastAsia="Times New Roman"/>
                          </w:rPr>
                          <w:t xml:space="preserve"> тариф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3,31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2,22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5841" w:type="dxa"/>
                        <w:gridSpan w:val="2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3,44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2,40 (с 01.07.2017 по 31.12.2017)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Тариф, дифференцированный по двум зонам суток</w:t>
                        </w: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Дневная / пиковая зона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3,81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2,51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3,96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2,72 (с 01.07.2017 по 31.12.2017)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Ночная зона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0,96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0,91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1,04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0,99 (с 01.07.2017 по 31.12.2017)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Тариф, дифференцированный по трем зонам суток</w:t>
                        </w: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Пиковая зона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3,97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2,66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4,13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2,88 (с 01.07.2017 по 31.12.2017)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Полупиковая зона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3,31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2,19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3,44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2,37 (с 01.07.2017 по 31.12.2017)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Ночная зона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0,96 (с 01.01.2017 по 30.06.2017)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0,91 (с 01.01.2017 по 30.06.2017)</w:t>
                        </w:r>
                      </w:p>
                    </w:tc>
                  </w:tr>
                  <w:tr w:rsidR="00440DC1" w:rsidTr="00FB6779">
                    <w:trPr>
                      <w:divId w:val="212403558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vAlign w:val="center"/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8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1,04 (с 01.07.2017 по 31.12.2017)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6" w:space="0" w:color="207CAD"/>
                          <w:left w:val="single" w:sz="6" w:space="0" w:color="207CAD"/>
                          <w:bottom w:val="single" w:sz="6" w:space="0" w:color="207CAD"/>
                          <w:right w:val="single" w:sz="6" w:space="0" w:color="207CAD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440DC1" w:rsidRPr="00663082" w:rsidRDefault="00440DC1">
                        <w:pPr>
                          <w:spacing w:after="375"/>
                          <w:rPr>
                            <w:rFonts w:eastAsia="Times New Roman"/>
                          </w:rPr>
                        </w:pPr>
                        <w:r w:rsidRPr="00663082">
                          <w:rPr>
                            <w:rFonts w:eastAsia="Times New Roman"/>
                          </w:rPr>
                          <w:t>0,99 (с 01.07.2017 по 31.12.2017)</w:t>
                        </w:r>
                      </w:p>
                    </w:tc>
                  </w:tr>
                </w:tbl>
                <w:p w:rsidR="00440DC1" w:rsidRDefault="00440DC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40DC1" w:rsidRDefault="00440DC1">
            <w:pPr>
              <w:spacing w:line="225" w:lineRule="atLeast"/>
              <w:divId w:val="298610408"/>
              <w:rPr>
                <w:rFonts w:eastAsia="Times New Roman"/>
                <w:color w:val="3A3939"/>
                <w:sz w:val="24"/>
                <w:szCs w:val="24"/>
              </w:rPr>
            </w:pPr>
            <w:r>
              <w:rPr>
                <w:rFonts w:eastAsia="Times New Roman"/>
                <w:color w:val="3A3939"/>
              </w:rPr>
              <w:t>.</w:t>
            </w:r>
          </w:p>
        </w:tc>
      </w:tr>
      <w:tr w:rsidR="00440DC1">
        <w:trPr>
          <w:divId w:val="25764307"/>
          <w:trHeight w:val="476"/>
        </w:trPr>
        <w:tc>
          <w:tcPr>
            <w:tcW w:w="0" w:type="auto"/>
            <w:vMerge/>
            <w:vAlign w:val="center"/>
            <w:hideMark/>
          </w:tcPr>
          <w:p w:rsidR="00440DC1" w:rsidRDefault="00440DC1">
            <w:pPr>
              <w:rPr>
                <w:rFonts w:eastAsia="Times New Roman"/>
                <w:color w:val="3A3939"/>
                <w:sz w:val="24"/>
                <w:szCs w:val="24"/>
              </w:rPr>
            </w:pPr>
          </w:p>
        </w:tc>
      </w:tr>
    </w:tbl>
    <w:p w:rsidR="00440DC1" w:rsidRDefault="00440DC1"/>
    <w:sectPr w:rsidR="00440DC1" w:rsidSect="00FB677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C1"/>
    <w:rsid w:val="000A2912"/>
    <w:rsid w:val="00115668"/>
    <w:rsid w:val="00440DC1"/>
    <w:rsid w:val="00663082"/>
    <w:rsid w:val="00F97778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0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40D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D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DC1"/>
  </w:style>
  <w:style w:type="paragraph" w:styleId="a5">
    <w:name w:val="Balloon Text"/>
    <w:basedOn w:val="a"/>
    <w:link w:val="a6"/>
    <w:uiPriority w:val="99"/>
    <w:semiHidden/>
    <w:unhideWhenUsed/>
    <w:rsid w:val="00F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0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40D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D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DC1"/>
  </w:style>
  <w:style w:type="paragraph" w:styleId="a5">
    <w:name w:val="Balloon Text"/>
    <w:basedOn w:val="a"/>
    <w:link w:val="a6"/>
    <w:uiPriority w:val="99"/>
    <w:semiHidden/>
    <w:unhideWhenUsed/>
    <w:rsid w:val="00F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</cp:revision>
  <cp:lastPrinted>2017-08-01T16:08:00Z</cp:lastPrinted>
  <dcterms:created xsi:type="dcterms:W3CDTF">2017-04-22T12:29:00Z</dcterms:created>
  <dcterms:modified xsi:type="dcterms:W3CDTF">2017-08-01T16:08:00Z</dcterms:modified>
</cp:coreProperties>
</file>