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64" w:rsidRDefault="00012D64" w:rsidP="00012D64">
      <w:pPr>
        <w:jc w:val="both"/>
      </w:pPr>
      <w:r>
        <w:t>Порядок оплаты предоставления государственной услуги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>41.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proofErr w:type="gramStart"/>
      <w:r>
        <w:t>Размеры и порядок уплаты государственной пошлины устанавливаются Налоговым кодексом Российской Федерации (глава 25.3.</w:t>
      </w:r>
      <w:proofErr w:type="gramEnd"/>
      <w:r>
        <w:t xml:space="preserve"> </w:t>
      </w:r>
      <w:proofErr w:type="gramStart"/>
      <w:r>
        <w:t>Государственная пошлина, далее - Кодекс).</w:t>
      </w:r>
      <w:proofErr w:type="gramEnd"/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>Плательщики уплачивают государственную пошлину, если иной порядок не установлен Кодексом, в следующие сроки: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>при обращении за выдачей документов (их дубликатов) - до выдачи документов (их дубликатов);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>Иностранные граждане и лица без гражданства уплачивают государственную пошлину в порядке и размерах, которые установлены Кодексом для физических лиц.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>42. 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статьями 333.26, 333.27, 333.33 Кодекса.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>43.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статьями 333.18, 333.35 и 333.39 Кодекса.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>44.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главы 12, статьи 333.40 главы 25.3 Кодекса.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lastRenderedPageBreak/>
        <w:t>В соответствии с пунктом 3 статьи 333.40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>
        <w:t xml:space="preserve">взысканной) </w:t>
      </w:r>
      <w:proofErr w:type="gramEnd"/>
      <w:r>
        <w:t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Кодексом месячного срока со дня подачи плательщиком заявления о возврате государственной пошлины.</w:t>
      </w:r>
    </w:p>
    <w:p w:rsidR="00012D64" w:rsidRDefault="00012D64" w:rsidP="00012D64">
      <w:pPr>
        <w:jc w:val="both"/>
      </w:pPr>
    </w:p>
    <w:p w:rsidR="00012D64" w:rsidRDefault="00012D64" w:rsidP="00012D64">
      <w:pPr>
        <w:jc w:val="both"/>
      </w:pPr>
      <w: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 если впоследствии не </w:t>
      </w:r>
      <w:proofErr w:type="gramStart"/>
      <w:r>
        <w:t>была</w:t>
      </w:r>
      <w:proofErr w:type="gramEnd"/>
      <w: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C91801" w:rsidRDefault="00C91801">
      <w:bookmarkStart w:id="0" w:name="_GoBack"/>
      <w:bookmarkEnd w:id="0"/>
    </w:p>
    <w:sectPr w:rsidR="00C9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AA"/>
    <w:rsid w:val="00012D64"/>
    <w:rsid w:val="008A3EAA"/>
    <w:rsid w:val="00C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2014-11-14T06:12:00Z</dcterms:created>
  <dcterms:modified xsi:type="dcterms:W3CDTF">2014-11-14T06:12:00Z</dcterms:modified>
</cp:coreProperties>
</file>